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v="urn:schemas-microsoft-com:vml" xmlns:wp="http://schemas.openxmlformats.org/drawingml/2006/wordprocessingDrawing" xmlns:w10="urn:schemas-microsoft-com:office:word" xmlns:w="http://schemas.openxmlformats.org/wordprocessingml/2006/main" xmlns:wps="http://schemas.microsoft.com/office/word/2010/wordprocessingShape">
  <w:body>
    <w:bookmarkStart w:id="0" w:name="page1"/>
    <w:bookmarkEnd w:id="0"/>
    <w:p>
      <w:pPr>
        <w:spacing w:after="0"/>
        <w:rPr>
          <w:sz w:val="20"/>
          <w:szCs w:val="20"/>
          <w:color w:val="auto"/>
        </w:rPr>
      </w:pPr>
      <w:r>
        <w:rPr>
          <w:rFonts w:ascii="Times New Roman" w:cs="Times New Roman" w:eastAsia="Times New Roman" w:hAnsi="Times New Roman"/>
          <w:sz w:val="45"/>
          <w:szCs w:val="45"/>
          <w:color w:val="FFFFFF"/>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Nokia Annual Report</w:t>
      </w:r>
    </w:p>
    <w:p>
      <w:pPr>
        <w:spacing w:after="0"/>
        <w:rPr>
          <w:sz w:val="20"/>
          <w:szCs w:val="20"/>
          <w:color w:val="auto"/>
        </w:rPr>
      </w:pPr>
      <w:r>
        <w:rPr>
          <w:rFonts w:ascii="Times New Roman" w:cs="Times New Roman" w:eastAsia="Times New Roman" w:hAnsi="Times New Roman"/>
          <w:sz w:val="46"/>
          <w:szCs w:val="46"/>
          <w:color w:val="FFFFFF"/>
        </w:rPr>
        <w:t>on Form 20-F 2023</w:t>
      </w:r>
    </w:p>
    <w:p>
      <w:pPr>
        <w:sectPr>
          <w:pgSz w:w="11900" w:h="16838" w:orient="portrait"/>
          <w:cols w:equalWidth="0" w:num="1">
            <w:col w:w="9499"/>
          </w:cols>
          <w:pgMar w:left="960" w:top="1307" w:right="1440" w:bottom="1440" w:gutter="0" w:footer="0" w:header="0"/>
        </w:sectPr>
      </w:pPr>
    </w:p>
    <w:bookmarkStart w:id="1" w:name="page2"/>
    <w:bookmarkEnd w:id="1"/>
    <w:p>
      <w:pPr>
        <w:jc w:val="center"/>
        <w:ind w:right="340"/>
        <w:spacing w:after="0"/>
        <w:rPr>
          <w:sz w:val="20"/>
          <w:szCs w:val="20"/>
          <w:color w:val="auto"/>
        </w:rPr>
      </w:pPr>
      <w:r>
        <w:rPr>
          <w:rFonts w:ascii="Times New Roman" w:cs="Times New Roman" w:eastAsia="Times New Roman" w:hAnsi="Times New Roman"/>
          <w:sz w:val="11"/>
          <w:szCs w:val="11"/>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As filed with the Securities and Exchange Commission on 29 February 2024</w:t>
      </w:r>
    </w:p>
    <w:p>
      <w:pPr>
        <w:spacing w:after="0" w:line="65" w:lineRule="exact"/>
        <w:rPr>
          <w:sz w:val="20"/>
          <w:szCs w:val="20"/>
          <w:color w:val="auto"/>
        </w:rPr>
      </w:pPr>
    </w:p>
    <w:p>
      <w:pPr>
        <w:ind w:left="4260"/>
        <w:spacing w:after="0"/>
        <w:rPr>
          <w:sz w:val="20"/>
          <w:szCs w:val="20"/>
          <w:color w:val="auto"/>
        </w:rPr>
      </w:pPr>
      <w:r>
        <w:rPr>
          <w:rFonts w:ascii="Times New Roman" w:cs="Times New Roman" w:eastAsia="Times New Roman" w:hAnsi="Times New Roman"/>
          <w:sz w:val="22"/>
          <w:szCs w:val="22"/>
          <w:color w:val="auto"/>
        </w:rPr>
        <w:t>UNITED STATES</w:t>
      </w:r>
    </w:p>
    <w:p>
      <w:pPr>
        <w:spacing w:after="0" w:line="29" w:lineRule="exact"/>
        <w:rPr>
          <w:sz w:val="20"/>
          <w:szCs w:val="20"/>
          <w:color w:val="auto"/>
        </w:rPr>
      </w:pPr>
    </w:p>
    <w:p>
      <w:pPr>
        <w:ind w:left="3060"/>
        <w:spacing w:after="0"/>
        <w:rPr>
          <w:sz w:val="20"/>
          <w:szCs w:val="20"/>
          <w:color w:val="auto"/>
        </w:rPr>
      </w:pPr>
      <w:r>
        <w:rPr>
          <w:rFonts w:ascii="Times New Roman" w:cs="Times New Roman" w:eastAsia="Times New Roman" w:hAnsi="Times New Roman"/>
          <w:sz w:val="20"/>
          <w:szCs w:val="20"/>
          <w:color w:val="auto"/>
        </w:rPr>
        <w:t>SECURITIES AND EXCHANGE COMMISSION</w:t>
      </w:r>
    </w:p>
    <w:p>
      <w:pPr>
        <w:spacing w:after="0" w:line="35" w:lineRule="exact"/>
        <w:rPr>
          <w:sz w:val="20"/>
          <w:szCs w:val="20"/>
          <w:color w:val="auto"/>
        </w:rPr>
      </w:pPr>
    </w:p>
    <w:p>
      <w:pPr>
        <w:ind w:left="4380"/>
        <w:spacing w:after="0"/>
        <w:rPr>
          <w:sz w:val="20"/>
          <w:szCs w:val="20"/>
          <w:color w:val="auto"/>
        </w:rPr>
      </w:pPr>
      <w:r>
        <w:rPr>
          <w:rFonts w:ascii="Times New Roman" w:cs="Times New Roman" w:eastAsia="Times New Roman" w:hAnsi="Times New Roman"/>
          <w:sz w:val="11"/>
          <w:szCs w:val="11"/>
          <w:color w:val="auto"/>
        </w:rPr>
        <w:t>Washington, D.C. 20549</w:t>
      </w:r>
    </w:p>
    <w:p>
      <w:pPr>
        <w:spacing w:after="0" w:line="65" w:lineRule="exact"/>
        <w:rPr>
          <w:sz w:val="20"/>
          <w:szCs w:val="20"/>
          <w:color w:val="auto"/>
        </w:rPr>
      </w:pPr>
    </w:p>
    <w:p>
      <w:pPr>
        <w:jc w:val="center"/>
        <w:ind w:right="20"/>
        <w:spacing w:after="0"/>
        <w:rPr>
          <w:sz w:val="20"/>
          <w:szCs w:val="20"/>
          <w:color w:val="auto"/>
        </w:rPr>
      </w:pPr>
      <w:r>
        <w:rPr>
          <w:rFonts w:ascii="Times New Roman" w:cs="Times New Roman" w:eastAsia="Times New Roman" w:hAnsi="Times New Roman"/>
          <w:sz w:val="22"/>
          <w:szCs w:val="22"/>
          <w:color w:val="auto"/>
        </w:rPr>
        <w:t>FORM20-F</w:t>
      </w:r>
    </w:p>
    <w:p>
      <w:pPr>
        <w:spacing w:after="0" w:line="33" w:lineRule="exact"/>
        <w:rPr>
          <w:sz w:val="20"/>
          <w:szCs w:val="20"/>
          <w:color w:val="auto"/>
        </w:rPr>
      </w:pPr>
    </w:p>
    <w:p>
      <w:pPr>
        <w:ind w:left="3840"/>
        <w:spacing w:after="0"/>
        <w:rPr>
          <w:sz w:val="20"/>
          <w:szCs w:val="20"/>
          <w:color w:val="auto"/>
        </w:rPr>
      </w:pPr>
      <w:r>
        <w:rPr>
          <w:rFonts w:ascii="Times New Roman" w:cs="Times New Roman" w:eastAsia="Times New Roman" w:hAnsi="Times New Roman"/>
          <w:sz w:val="8"/>
          <w:szCs w:val="8"/>
          <w:b w:val="1"/>
          <w:bCs w:val="1"/>
          <w:color w:val="auto"/>
        </w:rPr>
        <w:t>ANNUAL REPORT PURSUANT TO SECTION 13 OR 15(d) OF THE</w:t>
      </w:r>
    </w:p>
    <w:p>
      <w:pPr>
        <w:spacing w:after="0" w:line="60" w:lineRule="exact"/>
        <w:rPr>
          <w:sz w:val="20"/>
          <w:szCs w:val="20"/>
          <w:color w:val="auto"/>
        </w:rPr>
      </w:pPr>
    </w:p>
    <w:p>
      <w:pPr>
        <w:ind w:left="4300"/>
        <w:spacing w:after="0"/>
        <w:rPr>
          <w:sz w:val="20"/>
          <w:szCs w:val="20"/>
          <w:color w:val="auto"/>
        </w:rPr>
      </w:pPr>
      <w:r>
        <w:rPr>
          <w:rFonts w:ascii="Times New Roman" w:cs="Times New Roman" w:eastAsia="Times New Roman" w:hAnsi="Times New Roman"/>
          <w:sz w:val="8"/>
          <w:szCs w:val="8"/>
          <w:b w:val="1"/>
          <w:bCs w:val="1"/>
          <w:color w:val="auto"/>
        </w:rPr>
        <w:t>SECURITIES EXCHANGEACT OF 1934</w:t>
      </w:r>
    </w:p>
    <w:p>
      <w:pPr>
        <w:spacing w:after="0" w:line="200" w:lineRule="exact"/>
        <w:rPr>
          <w:sz w:val="20"/>
          <w:szCs w:val="20"/>
          <w:color w:val="auto"/>
        </w:rPr>
      </w:pPr>
    </w:p>
    <w:p>
      <w:pPr>
        <w:ind w:left="3840"/>
        <w:spacing w:after="0"/>
        <w:tabs>
          <w:tab w:leader="none" w:pos="5120" w:val="left"/>
        </w:tabs>
        <w:rPr>
          <w:sz w:val="20"/>
          <w:szCs w:val="20"/>
          <w:color w:val="auto"/>
        </w:rPr>
      </w:pPr>
      <w:r>
        <w:rPr>
          <w:rFonts w:ascii="Times New Roman" w:cs="Times New Roman" w:eastAsia="Times New Roman" w:hAnsi="Times New Roman"/>
          <w:sz w:val="11"/>
          <w:szCs w:val="11"/>
          <w:color w:val="auto"/>
        </w:rPr>
        <w:t>For the fiscal year ended</w:t>
        <w:tab/>
        <w:t>31 December 2023</w:t>
      </w:r>
    </w:p>
    <w:p>
      <w:pPr>
        <w:spacing w:after="0" w:line="96" w:lineRule="exact"/>
        <w:rPr>
          <w:sz w:val="20"/>
          <w:szCs w:val="20"/>
          <w:color w:val="auto"/>
        </w:rPr>
      </w:pPr>
    </w:p>
    <w:p>
      <w:pPr>
        <w:ind w:left="4120"/>
        <w:spacing w:after="0"/>
        <w:tabs>
          <w:tab w:leader="none" w:pos="5380" w:val="left"/>
        </w:tabs>
        <w:rPr>
          <w:sz w:val="20"/>
          <w:szCs w:val="20"/>
          <w:color w:val="auto"/>
        </w:rPr>
      </w:pPr>
      <w:r>
        <w:rPr>
          <w:rFonts w:ascii="Times New Roman" w:cs="Times New Roman" w:eastAsia="Times New Roman" w:hAnsi="Times New Roman"/>
          <w:sz w:val="11"/>
          <w:szCs w:val="11"/>
          <w:color w:val="auto"/>
        </w:rPr>
        <w:t>Commission file number</w:t>
        <w:tab/>
        <w:t>1-13202</w:t>
      </w:r>
    </w:p>
    <w:p>
      <w:pPr>
        <w:spacing w:after="0" w:line="65" w:lineRule="exact"/>
        <w:rPr>
          <w:sz w:val="20"/>
          <w:szCs w:val="20"/>
          <w:color w:val="auto"/>
        </w:rPr>
      </w:pPr>
    </w:p>
    <w:p>
      <w:pPr>
        <w:jc w:val="center"/>
        <w:ind w:right="60"/>
        <w:spacing w:after="0"/>
        <w:rPr>
          <w:sz w:val="20"/>
          <w:szCs w:val="20"/>
          <w:color w:val="auto"/>
        </w:rPr>
      </w:pPr>
      <w:r>
        <w:rPr>
          <w:rFonts w:ascii="Times New Roman" w:cs="Times New Roman" w:eastAsia="Times New Roman" w:hAnsi="Times New Roman"/>
          <w:sz w:val="22"/>
          <w:szCs w:val="22"/>
          <w:color w:val="auto"/>
        </w:rPr>
        <w:t>Nokia Corporation</w:t>
      </w:r>
    </w:p>
    <w:p>
      <w:pPr>
        <w:spacing w:after="0" w:line="31" w:lineRule="exact"/>
        <w:rPr>
          <w:sz w:val="20"/>
          <w:szCs w:val="20"/>
          <w:color w:val="auto"/>
        </w:rPr>
      </w:pPr>
    </w:p>
    <w:p>
      <w:pPr>
        <w:ind w:left="3660"/>
        <w:spacing w:after="0"/>
        <w:rPr>
          <w:sz w:val="20"/>
          <w:szCs w:val="20"/>
          <w:color w:val="auto"/>
        </w:rPr>
      </w:pPr>
      <w:r>
        <w:rPr>
          <w:rFonts w:ascii="Times New Roman" w:cs="Times New Roman" w:eastAsia="Times New Roman" w:hAnsi="Times New Roman"/>
          <w:sz w:val="11"/>
          <w:szCs w:val="11"/>
          <w:color w:val="auto"/>
        </w:rPr>
        <w:t>(Exact name of Registrant as specified in its charter)</w:t>
      </w:r>
    </w:p>
    <w:p>
      <w:pPr>
        <w:spacing w:after="0" w:line="94" w:lineRule="exact"/>
        <w:rPr>
          <w:sz w:val="20"/>
          <w:szCs w:val="20"/>
          <w:color w:val="auto"/>
        </w:rPr>
      </w:pPr>
    </w:p>
    <w:p>
      <w:pPr>
        <w:ind w:left="4480"/>
        <w:spacing w:after="0"/>
        <w:rPr>
          <w:sz w:val="20"/>
          <w:szCs w:val="20"/>
          <w:color w:val="auto"/>
        </w:rPr>
      </w:pPr>
      <w:r>
        <w:rPr>
          <w:rFonts w:ascii="Times New Roman" w:cs="Times New Roman" w:eastAsia="Times New Roman" w:hAnsi="Times New Roman"/>
          <w:sz w:val="11"/>
          <w:szCs w:val="11"/>
          <w:b w:val="1"/>
          <w:bCs w:val="1"/>
          <w:color w:val="auto"/>
        </w:rPr>
        <w:t>Republic of Finland</w:t>
      </w:r>
    </w:p>
    <w:p>
      <w:pPr>
        <w:spacing w:after="0" w:line="19" w:lineRule="exact"/>
        <w:rPr>
          <w:sz w:val="20"/>
          <w:szCs w:val="20"/>
          <w:color w:val="auto"/>
        </w:rPr>
      </w:pPr>
    </w:p>
    <w:p>
      <w:pPr>
        <w:ind w:left="4240"/>
        <w:spacing w:after="0"/>
        <w:rPr>
          <w:sz w:val="20"/>
          <w:szCs w:val="20"/>
          <w:color w:val="auto"/>
        </w:rPr>
      </w:pPr>
      <w:r>
        <w:rPr>
          <w:rFonts w:ascii="Times New Roman" w:cs="Times New Roman" w:eastAsia="Times New Roman" w:hAnsi="Times New Roman"/>
          <w:sz w:val="11"/>
          <w:szCs w:val="11"/>
          <w:color w:val="auto"/>
        </w:rPr>
        <w:t>(Jurisdiction of incorporation)</w:t>
      </w:r>
    </w:p>
    <w:p>
      <w:pPr>
        <w:spacing w:after="0" w:line="10" w:lineRule="exact"/>
        <w:rPr>
          <w:sz w:val="20"/>
          <w:szCs w:val="20"/>
          <w:color w:val="auto"/>
        </w:rPr>
      </w:pPr>
    </w:p>
    <w:p>
      <w:pPr>
        <w:ind w:left="4040"/>
        <w:spacing w:after="0"/>
        <w:rPr>
          <w:sz w:val="20"/>
          <w:szCs w:val="20"/>
          <w:color w:val="auto"/>
        </w:rPr>
      </w:pPr>
      <w:r>
        <w:rPr>
          <w:rFonts w:ascii="Times New Roman" w:cs="Times New Roman" w:eastAsia="Times New Roman" w:hAnsi="Times New Roman"/>
          <w:sz w:val="11"/>
          <w:szCs w:val="11"/>
          <w:b w:val="1"/>
          <w:bCs w:val="1"/>
          <w:color w:val="auto"/>
        </w:rPr>
        <w:t>Karakaari 7 FI-02610 Espoo , Finland</w:t>
      </w:r>
    </w:p>
    <w:p>
      <w:pPr>
        <w:sectPr>
          <w:pgSz w:w="11900" w:h="16838" w:orient="portrait"/>
          <w:cols w:equalWidth="0" w:num="1">
            <w:col w:w="9980"/>
          </w:cols>
          <w:pgMar w:left="1000" w:top="612" w:right="919" w:bottom="1440" w:gutter="0" w:footer="0" w:header="0"/>
        </w:sectPr>
      </w:pPr>
    </w:p>
    <w:p>
      <w:pPr>
        <w:spacing w:after="0" w:line="15" w:lineRule="exact"/>
        <w:rPr>
          <w:sz w:val="20"/>
          <w:szCs w:val="20"/>
          <w:color w:val="auto"/>
        </w:rPr>
      </w:pPr>
    </w:p>
    <w:p>
      <w:pPr>
        <w:ind w:left="4000"/>
        <w:spacing w:after="0"/>
        <w:rPr>
          <w:sz w:val="20"/>
          <w:szCs w:val="20"/>
          <w:color w:val="auto"/>
        </w:rPr>
      </w:pPr>
      <w:r>
        <w:rPr>
          <w:rFonts w:ascii="Times New Roman" w:cs="Times New Roman" w:eastAsia="Times New Roman" w:hAnsi="Times New Roman"/>
          <w:sz w:val="11"/>
          <w:szCs w:val="11"/>
          <w:color w:val="auto"/>
        </w:rPr>
        <w:t>(Address of principal executive offices)</w:t>
      </w:r>
    </w:p>
    <w:p>
      <w:pPr>
        <w:spacing w:after="0" w:line="5" w:lineRule="exact"/>
        <w:rPr>
          <w:sz w:val="20"/>
          <w:szCs w:val="20"/>
          <w:color w:val="auto"/>
        </w:rPr>
      </w:pPr>
    </w:p>
    <w:p>
      <w:pPr>
        <w:ind w:left="1860"/>
        <w:spacing w:after="0"/>
        <w:tabs>
          <w:tab w:leader="none" w:pos="5180" w:val="left"/>
          <w:tab w:leader="none" w:pos="6300" w:val="left"/>
        </w:tabs>
        <w:rPr>
          <w:sz w:val="20"/>
          <w:szCs w:val="20"/>
          <w:color w:val="auto"/>
        </w:rPr>
      </w:pPr>
      <w:r>
        <w:rPr>
          <w:rFonts w:ascii="Times New Roman" w:cs="Times New Roman" w:eastAsia="Times New Roman" w:hAnsi="Times New Roman"/>
          <w:sz w:val="11"/>
          <w:szCs w:val="11"/>
          <w:b w:val="1"/>
          <w:bCs w:val="1"/>
          <w:color w:val="auto"/>
        </w:rPr>
        <w:t>Johanna Mandelin , Global Head of Corporate Legal, Telephone:</w:t>
        <w:tab/>
        <w:t>+358 (0) 104 488 000</w:t>
        <w:tab/>
        <w:t>, Facsimile: +358 (0)  104 481 002</w:t>
      </w:r>
    </w:p>
    <w:p>
      <w:pPr>
        <w:spacing w:after="0" w:line="15" w:lineRule="exact"/>
        <w:rPr>
          <w:sz w:val="20"/>
          <w:szCs w:val="20"/>
          <w:color w:val="auto"/>
        </w:rPr>
      </w:pPr>
    </w:p>
    <w:p>
      <w:pPr>
        <w:ind w:left="4020"/>
        <w:spacing w:after="0"/>
        <w:rPr>
          <w:sz w:val="20"/>
          <w:szCs w:val="20"/>
          <w:color w:val="auto"/>
        </w:rPr>
      </w:pPr>
      <w:r>
        <w:rPr>
          <w:rFonts w:ascii="Times New Roman" w:cs="Times New Roman" w:eastAsia="Times New Roman" w:hAnsi="Times New Roman"/>
          <w:sz w:val="11"/>
          <w:szCs w:val="11"/>
          <w:b w:val="1"/>
          <w:bCs w:val="1"/>
          <w:color w:val="auto"/>
        </w:rPr>
        <w:t>Karakaari 7, FI-02610 Espoo , Finland</w:t>
      </w:r>
    </w:p>
    <w:p>
      <w:pPr>
        <w:spacing w:after="0" w:line="10" w:lineRule="exact"/>
        <w:rPr>
          <w:sz w:val="20"/>
          <w:szCs w:val="20"/>
          <w:color w:val="auto"/>
        </w:rPr>
      </w:pPr>
    </w:p>
    <w:p>
      <w:pPr>
        <w:ind w:left="2600"/>
        <w:spacing w:after="0"/>
        <w:rPr>
          <w:sz w:val="20"/>
          <w:szCs w:val="20"/>
          <w:color w:val="auto"/>
        </w:rPr>
      </w:pPr>
      <w:r>
        <w:rPr>
          <w:rFonts w:ascii="Times New Roman" w:cs="Times New Roman" w:eastAsia="Times New Roman" w:hAnsi="Times New Roman"/>
          <w:sz w:val="11"/>
          <w:szCs w:val="11"/>
          <w:color w:val="auto"/>
        </w:rPr>
        <w:t>(Name, Telephone, E-mail and/or Facsimile number and Address of Company Contact Person)</w:t>
      </w:r>
    </w:p>
    <w:p>
      <w:pPr>
        <w:spacing w:after="0" w:line="10" w:lineRule="exact"/>
        <w:rPr>
          <w:sz w:val="20"/>
          <w:szCs w:val="20"/>
          <w:color w:val="auto"/>
        </w:rPr>
      </w:pPr>
    </w:p>
    <w:p>
      <w:pPr>
        <w:ind w:left="2160"/>
        <w:spacing w:after="0"/>
        <w:rPr>
          <w:sz w:val="20"/>
          <w:szCs w:val="20"/>
          <w:color w:val="auto"/>
        </w:rPr>
      </w:pPr>
      <w:r>
        <w:rPr>
          <w:rFonts w:ascii="Times New Roman" w:cs="Times New Roman" w:eastAsia="Times New Roman" w:hAnsi="Times New Roman"/>
          <w:sz w:val="11"/>
          <w:szCs w:val="11"/>
          <w:b w:val="1"/>
          <w:bCs w:val="1"/>
          <w:color w:val="auto"/>
        </w:rPr>
        <w:t>Securities registered pursuant to Section 12(b) of the Securities Exchange Act of 1934 (the “Exchange Act”):</w:t>
      </w:r>
    </w:p>
    <w:p>
      <w:pPr>
        <w:spacing w:after="0" w:line="20" w:lineRule="exact"/>
        <w:rPr>
          <w:sz w:val="20"/>
          <w:szCs w:val="20"/>
          <w:color w:val="auto"/>
        </w:rPr>
      </w:pPr>
      <w:r>
        <w:rPr>
          <w:sz w:val="20"/>
          <w:szCs w:val="20"/>
          <w:color w:val="auto"/>
        </w:rPr>
        <w:br w:type="column"/>
      </w:r>
    </w:p>
    <w:p>
      <w:pPr>
        <w:spacing w:after="0" w:line="11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w:t>
      </w:r>
    </w:p>
    <w:p>
      <w:pPr>
        <w:spacing w:after="0" w:line="484" w:lineRule="exact"/>
        <w:rPr>
          <w:sz w:val="20"/>
          <w:szCs w:val="20"/>
          <w:color w:val="auto"/>
        </w:rPr>
      </w:pPr>
    </w:p>
    <w:p>
      <w:pPr>
        <w:sectPr>
          <w:pgSz w:w="11900" w:h="16838" w:orient="portrait"/>
          <w:cols w:equalWidth="0" w:num="2">
            <w:col w:w="7980" w:space="80"/>
            <w:col w:w="1920"/>
          </w:cols>
          <w:pgMar w:left="1000" w:top="612" w:right="919" w:bottom="1440" w:gutter="0" w:footer="0" w:header="0"/>
          <w:type w:val="continuous"/>
        </w:sectPr>
      </w:pPr>
    </w:p>
    <w:p>
      <w:pPr>
        <w:spacing w:after="0"/>
        <w:rPr>
          <w:sz w:val="20"/>
          <w:szCs w:val="20"/>
          <w:color w:val="auto"/>
        </w:rPr>
      </w:pPr>
      <w:r>
        <w:rPr>
          <w:rFonts w:ascii="Times New Roman" w:cs="Times New Roman" w:eastAsia="Times New Roman" w:hAnsi="Times New Roman"/>
          <w:sz w:val="10"/>
          <w:szCs w:val="10"/>
          <w:b w:val="1"/>
          <w:bCs w:val="1"/>
          <w:color w:val="auto"/>
        </w:rPr>
        <w:t>Title of each class</w:t>
      </w:r>
    </w:p>
    <w:p>
      <w:pPr>
        <w:spacing w:after="0" w:line="20" w:lineRule="exact"/>
        <w:rPr>
          <w:sz w:val="20"/>
          <w:szCs w:val="20"/>
          <w:color w:val="auto"/>
        </w:rPr>
      </w:pPr>
      <w:r>
        <w:rPr>
          <w:sz w:val="20"/>
          <w:szCs w:val="20"/>
          <w:color w:val="auto"/>
        </w:rPr>
        <w:br w:type="column"/>
      </w:r>
    </w:p>
    <w:p>
      <w:pPr>
        <w:jc w:val="center"/>
        <w:ind w:right="900"/>
        <w:spacing w:after="0"/>
        <w:rPr>
          <w:sz w:val="20"/>
          <w:szCs w:val="20"/>
          <w:color w:val="auto"/>
        </w:rPr>
      </w:pPr>
      <w:r>
        <w:rPr>
          <w:rFonts w:ascii="Times New Roman" w:cs="Times New Roman" w:eastAsia="Times New Roman" w:hAnsi="Times New Roman"/>
          <w:sz w:val="9"/>
          <w:szCs w:val="9"/>
          <w:b w:val="1"/>
          <w:bCs w:val="1"/>
          <w:color w:val="auto"/>
        </w:rPr>
        <w:t>Trading Symbol(s)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9"/>
          <w:szCs w:val="9"/>
          <w:b w:val="1"/>
          <w:bCs w:val="1"/>
          <w:color w:val="auto"/>
        </w:rPr>
        <w:t>Name of each exchange on which registered</w:t>
      </w:r>
    </w:p>
    <w:p>
      <w:pPr>
        <w:spacing w:after="0" w:line="54" w:lineRule="exact"/>
        <w:rPr>
          <w:sz w:val="20"/>
          <w:szCs w:val="20"/>
          <w:color w:val="auto"/>
        </w:rPr>
      </w:pPr>
    </w:p>
    <w:p>
      <w:pPr>
        <w:sectPr>
          <w:pgSz w:w="11900" w:h="16838" w:orient="portrait"/>
          <w:cols w:equalWidth="0" w:num="3">
            <w:col w:w="1700" w:space="720"/>
            <w:col w:w="1700" w:space="720"/>
            <w:col w:w="5140"/>
          </w:cols>
          <w:pgMar w:left="1000" w:top="612" w:right="919" w:bottom="1440" w:gutter="0" w:footer="0" w:header="0"/>
          <w:type w:val="continuous"/>
        </w:sectPr>
      </w:pP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0D0D0D"/>
        </w:rPr>
        <w:t>American Depositary Shares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b w:val="1"/>
          <w:bCs w:val="1"/>
          <w:color w:val="0D0D0D"/>
        </w:rPr>
        <w:t>NOK</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0D0D0D"/>
        </w:rPr>
        <w:t>New York Stock Exchange</w:t>
      </w:r>
    </w:p>
    <w:p>
      <w:pPr>
        <w:spacing w:after="0" w:line="45" w:lineRule="exact"/>
        <w:rPr>
          <w:sz w:val="20"/>
          <w:szCs w:val="20"/>
          <w:color w:val="auto"/>
        </w:rPr>
      </w:pPr>
    </w:p>
    <w:p>
      <w:pPr>
        <w:sectPr>
          <w:pgSz w:w="11900" w:h="16838" w:orient="portrait"/>
          <w:cols w:equalWidth="0" w:num="3">
            <w:col w:w="1700" w:space="720"/>
            <w:col w:w="1700" w:space="720"/>
            <w:col w:w="5140"/>
          </w:cols>
          <w:pgMar w:left="1000" w:top="612" w:right="91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0D0D0D"/>
        </w:rPr>
        <w:t>Shares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0D0D0D"/>
        </w:rPr>
        <w:t>New York Stock Exchange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6"/>
          <w:szCs w:val="6"/>
          <w:color w:val="0D0D0D"/>
        </w:rPr>
        <w:t>(1)</w:t>
      </w:r>
    </w:p>
    <w:p>
      <w:pPr>
        <w:spacing w:after="0" w:line="137" w:lineRule="exact"/>
        <w:rPr>
          <w:sz w:val="20"/>
          <w:szCs w:val="20"/>
          <w:color w:val="auto"/>
        </w:rPr>
      </w:pPr>
    </w:p>
    <w:p>
      <w:pPr>
        <w:sectPr>
          <w:pgSz w:w="11900" w:h="16838" w:orient="portrait"/>
          <w:cols w:equalWidth="0" w:num="3">
            <w:col w:w="4120" w:space="720"/>
            <w:col w:w="1240" w:space="40"/>
            <w:col w:w="3860"/>
          </w:cols>
          <w:pgMar w:left="1000" w:top="612" w:right="919" w:bottom="1440" w:gutter="0" w:footer="0" w:header="0"/>
          <w:type w:val="continuous"/>
        </w:sectPr>
      </w:pPr>
    </w:p>
    <w:tbl>
      <w:tblPr>
        <w:tblLayout w:type="fixed"/>
        <w:tblInd w:w="0" w:type="dxa"/>
        <w:tblCellMar>
          <w:top w:w="0" w:type="dxa"/>
          <w:left w:w="0" w:type="dxa"/>
          <w:bottom w:w="0" w:type="dxa"/>
          <w:right w:w="0" w:type="dxa"/>
        </w:tblCellMar>
      </w:tblPr>
      <w:tr>
        <w:trPr>
          <w:trHeight w:val="104"/>
        </w:trPr>
        <w:tc>
          <w:tcPr>
            <w:tcW w:w="8000" w:type="dxa"/>
            <w:vAlign w:val="bottom"/>
            <w:gridSpan w:val="3"/>
          </w:tcPr>
          <w:p>
            <w:pPr>
              <w:spacing w:after="0"/>
              <w:rPr>
                <w:sz w:val="20"/>
                <w:szCs w:val="20"/>
                <w:color w:val="auto"/>
              </w:rPr>
            </w:pPr>
            <w:r>
              <w:rPr>
                <w:rFonts w:ascii="Times New Roman" w:cs="Times New Roman" w:eastAsia="Times New Roman" w:hAnsi="Times New Roman"/>
                <w:sz w:val="8"/>
                <w:szCs w:val="8"/>
                <w:color w:val="auto"/>
              </w:rPr>
              <w:t>(1)  Not for trading, but only in connection with the registration of American Depositary Shares representing these shares, pursuant to the requirements of the Securities and Exchange Commission.</w:t>
            </w:r>
          </w:p>
        </w:tc>
        <w:tc>
          <w:tcPr>
            <w:tcW w:w="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3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232"/>
        </w:trPr>
        <w:tc>
          <w:tcPr>
            <w:tcW w:w="3300" w:type="dxa"/>
            <w:vAlign w:val="bottom"/>
          </w:tcPr>
          <w:p>
            <w:pPr>
              <w:spacing w:after="0"/>
              <w:rPr>
                <w:sz w:val="20"/>
                <w:szCs w:val="20"/>
                <w:color w:val="auto"/>
              </w:rPr>
            </w:pPr>
            <w:r>
              <w:rPr>
                <w:rFonts w:ascii="Times New Roman" w:cs="Times New Roman" w:eastAsia="Times New Roman" w:hAnsi="Times New Roman"/>
                <w:sz w:val="11"/>
                <w:szCs w:val="11"/>
                <w:color w:val="auto"/>
              </w:rPr>
              <w:t>Securities registered pursuant to Section 12(g) of the Exchange Act:</w:t>
            </w:r>
          </w:p>
        </w:tc>
        <w:tc>
          <w:tcPr>
            <w:tcW w:w="1440" w:type="dxa"/>
            <w:vAlign w:val="bottom"/>
          </w:tcPr>
          <w:p>
            <w:pPr>
              <w:ind w:left="180"/>
              <w:spacing w:after="0"/>
              <w:rPr>
                <w:sz w:val="20"/>
                <w:szCs w:val="20"/>
                <w:color w:val="auto"/>
              </w:rPr>
            </w:pPr>
            <w:r>
              <w:rPr>
                <w:rFonts w:ascii="Times New Roman" w:cs="Times New Roman" w:eastAsia="Times New Roman" w:hAnsi="Times New Roman"/>
                <w:sz w:val="11"/>
                <w:szCs w:val="11"/>
                <w:b w:val="1"/>
                <w:bCs w:val="1"/>
                <w:color w:val="auto"/>
              </w:rPr>
              <w:t>None</w:t>
            </w:r>
          </w:p>
        </w:tc>
        <w:tc>
          <w:tcPr>
            <w:tcW w:w="3260" w:type="dxa"/>
            <w:vAlign w:val="bottom"/>
          </w:tcPr>
          <w:p>
            <w:pPr>
              <w:spacing w:after="0"/>
              <w:rPr>
                <w:sz w:val="20"/>
                <w:szCs w:val="20"/>
                <w:color w:val="auto"/>
              </w:rPr>
            </w:pPr>
          </w:p>
        </w:tc>
        <w:tc>
          <w:tcPr>
            <w:tcW w:w="280" w:type="dxa"/>
            <w:vAlign w:val="bottom"/>
          </w:tcPr>
          <w:p>
            <w:pPr>
              <w:spacing w:after="0"/>
              <w:rPr>
                <w:sz w:val="20"/>
                <w:szCs w:val="20"/>
                <w:color w:val="auto"/>
              </w:rPr>
            </w:pPr>
          </w:p>
        </w:tc>
        <w:tc>
          <w:tcPr>
            <w:tcW w:w="1360" w:type="dxa"/>
            <w:vAlign w:val="bottom"/>
          </w:tcPr>
          <w:p>
            <w:pPr>
              <w:spacing w:after="0"/>
              <w:rPr>
                <w:sz w:val="20"/>
                <w:szCs w:val="20"/>
                <w:color w:val="auto"/>
              </w:rPr>
            </w:pPr>
          </w:p>
        </w:tc>
        <w:tc>
          <w:tcPr>
            <w:tcW w:w="340" w:type="dxa"/>
            <w:vAlign w:val="bottom"/>
          </w:tcPr>
          <w:p>
            <w:pPr>
              <w:spacing w:after="0"/>
              <w:rPr>
                <w:sz w:val="20"/>
                <w:szCs w:val="20"/>
                <w:color w:val="auto"/>
              </w:rPr>
            </w:pPr>
          </w:p>
        </w:tc>
        <w:tc>
          <w:tcPr>
            <w:tcW w:w="0" w:type="dxa"/>
            <w:vAlign w:val="bottom"/>
          </w:tcPr>
          <w:p>
            <w:pPr>
              <w:spacing w:after="0"/>
              <w:rPr>
                <w:sz w:val="1"/>
                <w:szCs w:val="1"/>
                <w:color w:val="auto"/>
              </w:rPr>
            </w:pPr>
          </w:p>
        </w:tc>
      </w:tr>
      <w:tr>
        <w:trPr>
          <w:trHeight w:val="222"/>
        </w:trPr>
        <w:tc>
          <w:tcPr>
            <w:tcW w:w="47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Securities for which there is a reporting obligation pursuant to Section 15(d) of the Exchange Act:</w:t>
            </w:r>
          </w:p>
        </w:tc>
        <w:tc>
          <w:tcPr>
            <w:tcW w:w="3260" w:type="dxa"/>
            <w:vAlign w:val="bottom"/>
          </w:tcPr>
          <w:p>
            <w:pPr>
              <w:jc w:val="right"/>
              <w:ind w:right="2723"/>
              <w:spacing w:after="0"/>
              <w:rPr>
                <w:sz w:val="20"/>
                <w:szCs w:val="20"/>
                <w:color w:val="auto"/>
              </w:rPr>
            </w:pPr>
            <w:r>
              <w:rPr>
                <w:rFonts w:ascii="Times New Roman" w:cs="Times New Roman" w:eastAsia="Times New Roman" w:hAnsi="Times New Roman"/>
                <w:sz w:val="11"/>
                <w:szCs w:val="11"/>
                <w:b w:val="1"/>
                <w:bCs w:val="1"/>
                <w:color w:val="auto"/>
              </w:rPr>
              <w:t>None</w:t>
            </w:r>
          </w:p>
        </w:tc>
        <w:tc>
          <w:tcPr>
            <w:tcW w:w="280" w:type="dxa"/>
            <w:vAlign w:val="bottom"/>
          </w:tcPr>
          <w:p>
            <w:pPr>
              <w:spacing w:after="0"/>
              <w:rPr>
                <w:sz w:val="19"/>
                <w:szCs w:val="19"/>
                <w:color w:val="auto"/>
              </w:rPr>
            </w:pPr>
          </w:p>
        </w:tc>
        <w:tc>
          <w:tcPr>
            <w:tcW w:w="1360" w:type="dxa"/>
            <w:vAlign w:val="bottom"/>
          </w:tcPr>
          <w:p>
            <w:pPr>
              <w:spacing w:after="0"/>
              <w:rPr>
                <w:sz w:val="19"/>
                <w:szCs w:val="19"/>
                <w:color w:val="auto"/>
              </w:rPr>
            </w:pPr>
          </w:p>
        </w:tc>
        <w:tc>
          <w:tcPr>
            <w:tcW w:w="34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222"/>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Indicate the number of outstanding shares of each of the registrant’s classes of capital or common stock as of the close of the period covered by the annual report. Shares:</w:t>
            </w:r>
          </w:p>
        </w:tc>
        <w:tc>
          <w:tcPr>
            <w:tcW w:w="280" w:type="dxa"/>
            <w:vAlign w:val="bottom"/>
          </w:tcPr>
          <w:p>
            <w:pPr>
              <w:spacing w:after="0"/>
              <w:rPr>
                <w:sz w:val="19"/>
                <w:szCs w:val="19"/>
                <w:color w:val="auto"/>
              </w:rPr>
            </w:pPr>
          </w:p>
        </w:tc>
        <w:tc>
          <w:tcPr>
            <w:tcW w:w="136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5 613 496 565  .</w:t>
            </w:r>
          </w:p>
        </w:tc>
        <w:tc>
          <w:tcPr>
            <w:tcW w:w="34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258"/>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Indicate by check mark if the registrant is a well-known seasoned issuer, as defined in Rule 405 of the Securities Act.</w:t>
            </w:r>
          </w:p>
        </w:tc>
        <w:tc>
          <w:tcPr>
            <w:tcW w:w="280" w:type="dxa"/>
            <w:vAlign w:val="bottom"/>
          </w:tcPr>
          <w:p>
            <w:pPr>
              <w:spacing w:after="0"/>
              <w:rPr>
                <w:sz w:val="22"/>
                <w:szCs w:val="22"/>
                <w:color w:val="auto"/>
              </w:rPr>
            </w:pPr>
          </w:p>
        </w:tc>
        <w:tc>
          <w:tcPr>
            <w:tcW w:w="1360" w:type="dxa"/>
            <w:vAlign w:val="bottom"/>
          </w:tcPr>
          <w:p>
            <w:pPr>
              <w:jc w:val="right"/>
              <w:ind w:right="83"/>
              <w:spacing w:after="0" w:line="127" w:lineRule="exact"/>
              <w:rPr>
                <w:sz w:val="20"/>
                <w:szCs w:val="20"/>
                <w:color w:val="auto"/>
              </w:rPr>
            </w:pPr>
            <w:r>
              <w:rPr>
                <w:rFonts w:ascii="Times New Roman" w:cs="Times New Roman" w:eastAsia="Times New Roman" w:hAnsi="Times New Roman"/>
                <w:sz w:val="11"/>
                <w:szCs w:val="11"/>
                <w:color w:val="auto"/>
              </w:rPr>
              <w:t xml:space="preserve">Yes </w:t>
            </w:r>
            <w:r>
              <w:rPr>
                <w:rFonts w:ascii="MS PGothic" w:cs="MS PGothic" w:eastAsia="MS PGothic" w:hAnsi="MS PGothic"/>
                <w:sz w:val="11"/>
                <w:szCs w:val="11"/>
                <w:color w:val="auto"/>
              </w:rPr>
              <w:t>☒</w:t>
            </w:r>
          </w:p>
        </w:tc>
        <w:tc>
          <w:tcPr>
            <w:tcW w:w="340" w:type="dxa"/>
            <w:vAlign w:val="bottom"/>
          </w:tcPr>
          <w:p>
            <w:pPr>
              <w:ind w:left="60"/>
              <w:spacing w:after="0" w:line="127" w:lineRule="exact"/>
              <w:rPr>
                <w:sz w:val="20"/>
                <w:szCs w:val="20"/>
                <w:color w:val="auto"/>
              </w:rPr>
            </w:pPr>
            <w:r>
              <w:rPr>
                <w:rFonts w:ascii="Times New Roman" w:cs="Times New Roman" w:eastAsia="Times New Roman" w:hAnsi="Times New Roman"/>
                <w:sz w:val="11"/>
                <w:szCs w:val="11"/>
                <w:color w:val="auto"/>
                <w:w w:val="95"/>
              </w:rPr>
              <w:t xml:space="preserve">No </w:t>
            </w:r>
            <w:r>
              <w:rPr>
                <w:rFonts w:ascii="MS PGothic" w:cs="MS PGothic" w:eastAsia="MS PGothic" w:hAnsi="MS PGothic"/>
                <w:sz w:val="11"/>
                <w:szCs w:val="11"/>
                <w:color w:val="auto"/>
                <w:w w:val="95"/>
              </w:rPr>
              <w:t>☐</w:t>
            </w:r>
          </w:p>
        </w:tc>
        <w:tc>
          <w:tcPr>
            <w:tcW w:w="0" w:type="dxa"/>
            <w:vAlign w:val="bottom"/>
          </w:tcPr>
          <w:p>
            <w:pPr>
              <w:spacing w:after="0"/>
              <w:rPr>
                <w:sz w:val="1"/>
                <w:szCs w:val="1"/>
                <w:color w:val="auto"/>
              </w:rPr>
            </w:pPr>
          </w:p>
        </w:tc>
      </w:tr>
      <w:tr>
        <w:trPr>
          <w:trHeight w:val="178"/>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If this report is an annual or transition report, indicate by check mark if the registrant is not required to file reports pursuant to Section 13 or 15(d) of the Exchange Act.</w:t>
            </w:r>
          </w:p>
        </w:tc>
        <w:tc>
          <w:tcPr>
            <w:tcW w:w="280" w:type="dxa"/>
            <w:vAlign w:val="bottom"/>
          </w:tcPr>
          <w:p>
            <w:pPr>
              <w:spacing w:after="0"/>
              <w:rPr>
                <w:sz w:val="15"/>
                <w:szCs w:val="15"/>
                <w:color w:val="auto"/>
              </w:rPr>
            </w:pPr>
          </w:p>
        </w:tc>
        <w:tc>
          <w:tcPr>
            <w:tcW w:w="1360" w:type="dxa"/>
            <w:vAlign w:val="bottom"/>
          </w:tcPr>
          <w:p>
            <w:pPr>
              <w:jc w:val="right"/>
              <w:ind w:right="83"/>
              <w:spacing w:after="0" w:line="127" w:lineRule="exact"/>
              <w:rPr>
                <w:sz w:val="20"/>
                <w:szCs w:val="20"/>
                <w:color w:val="auto"/>
              </w:rPr>
            </w:pPr>
            <w:r>
              <w:rPr>
                <w:rFonts w:ascii="Times New Roman" w:cs="Times New Roman" w:eastAsia="Times New Roman" w:hAnsi="Times New Roman"/>
                <w:sz w:val="11"/>
                <w:szCs w:val="11"/>
                <w:color w:val="auto"/>
              </w:rPr>
              <w:t xml:space="preserve">Yes </w:t>
            </w:r>
            <w:r>
              <w:rPr>
                <w:rFonts w:ascii="MS PGothic" w:cs="MS PGothic" w:eastAsia="MS PGothic" w:hAnsi="MS PGothic"/>
                <w:sz w:val="11"/>
                <w:szCs w:val="11"/>
                <w:color w:val="auto"/>
              </w:rPr>
              <w:t>☐</w:t>
            </w:r>
          </w:p>
        </w:tc>
        <w:tc>
          <w:tcPr>
            <w:tcW w:w="340" w:type="dxa"/>
            <w:vAlign w:val="bottom"/>
          </w:tcPr>
          <w:p>
            <w:pPr>
              <w:ind w:left="60"/>
              <w:spacing w:after="0" w:line="127" w:lineRule="exact"/>
              <w:rPr>
                <w:sz w:val="20"/>
                <w:szCs w:val="20"/>
                <w:color w:val="auto"/>
              </w:rPr>
            </w:pPr>
            <w:r>
              <w:rPr>
                <w:rFonts w:ascii="Times New Roman" w:cs="Times New Roman" w:eastAsia="Times New Roman" w:hAnsi="Times New Roman"/>
                <w:sz w:val="11"/>
                <w:szCs w:val="11"/>
                <w:color w:val="auto"/>
                <w:w w:val="95"/>
              </w:rPr>
              <w:t xml:space="preserve">No </w:t>
            </w:r>
            <w:r>
              <w:rPr>
                <w:rFonts w:ascii="MS PGothic" w:cs="MS PGothic" w:eastAsia="MS PGothic" w:hAnsi="MS PGothic"/>
                <w:sz w:val="11"/>
                <w:szCs w:val="11"/>
                <w:color w:val="auto"/>
                <w:w w:val="95"/>
              </w:rPr>
              <w:t>☒</w:t>
            </w:r>
          </w:p>
        </w:tc>
        <w:tc>
          <w:tcPr>
            <w:tcW w:w="0" w:type="dxa"/>
            <w:vAlign w:val="bottom"/>
          </w:tcPr>
          <w:p>
            <w:pPr>
              <w:spacing w:after="0"/>
              <w:rPr>
                <w:sz w:val="1"/>
                <w:szCs w:val="1"/>
                <w:color w:val="auto"/>
              </w:rPr>
            </w:pPr>
          </w:p>
        </w:tc>
      </w:tr>
      <w:tr>
        <w:trPr>
          <w:trHeight w:val="153"/>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Indicate by check mark whether the registrant: (1) has filed all reports required to be filed by Section 13 or 15(d) of the Exchange Act during the preceding 12 months (or for</w:t>
            </w:r>
          </w:p>
        </w:tc>
        <w:tc>
          <w:tcPr>
            <w:tcW w:w="280" w:type="dxa"/>
            <w:vAlign w:val="bottom"/>
          </w:tcPr>
          <w:p>
            <w:pPr>
              <w:spacing w:after="0"/>
              <w:rPr>
                <w:sz w:val="13"/>
                <w:szCs w:val="13"/>
                <w:color w:val="auto"/>
              </w:rPr>
            </w:pPr>
          </w:p>
        </w:tc>
        <w:tc>
          <w:tcPr>
            <w:tcW w:w="1360" w:type="dxa"/>
            <w:vAlign w:val="bottom"/>
            <w:vMerge w:val="restart"/>
          </w:tcPr>
          <w:p>
            <w:pPr>
              <w:jc w:val="right"/>
              <w:ind w:right="83"/>
              <w:spacing w:after="0" w:line="127" w:lineRule="exact"/>
              <w:rPr>
                <w:sz w:val="20"/>
                <w:szCs w:val="20"/>
                <w:color w:val="auto"/>
              </w:rPr>
            </w:pPr>
            <w:r>
              <w:rPr>
                <w:rFonts w:ascii="Times New Roman" w:cs="Times New Roman" w:eastAsia="Times New Roman" w:hAnsi="Times New Roman"/>
                <w:sz w:val="11"/>
                <w:szCs w:val="11"/>
                <w:color w:val="auto"/>
              </w:rPr>
              <w:t xml:space="preserve">Yes </w:t>
            </w:r>
            <w:r>
              <w:rPr>
                <w:rFonts w:ascii="MS PGothic" w:cs="MS PGothic" w:eastAsia="MS PGothic" w:hAnsi="MS PGothic"/>
                <w:sz w:val="11"/>
                <w:szCs w:val="11"/>
                <w:color w:val="auto"/>
              </w:rPr>
              <w:t>☒</w:t>
            </w:r>
          </w:p>
        </w:tc>
        <w:tc>
          <w:tcPr>
            <w:tcW w:w="340" w:type="dxa"/>
            <w:vAlign w:val="bottom"/>
            <w:vMerge w:val="restart"/>
          </w:tcPr>
          <w:p>
            <w:pPr>
              <w:ind w:left="60"/>
              <w:spacing w:after="0" w:line="127" w:lineRule="exact"/>
              <w:rPr>
                <w:sz w:val="20"/>
                <w:szCs w:val="20"/>
                <w:color w:val="auto"/>
              </w:rPr>
            </w:pPr>
            <w:r>
              <w:rPr>
                <w:rFonts w:ascii="Times New Roman" w:cs="Times New Roman" w:eastAsia="Times New Roman" w:hAnsi="Times New Roman"/>
                <w:sz w:val="11"/>
                <w:szCs w:val="11"/>
                <w:color w:val="auto"/>
                <w:w w:val="95"/>
              </w:rPr>
              <w:t xml:space="preserve">No </w:t>
            </w:r>
            <w:r>
              <w:rPr>
                <w:rFonts w:ascii="MS PGothic" w:cs="MS PGothic" w:eastAsia="MS PGothic" w:hAnsi="MS PGothic"/>
                <w:sz w:val="11"/>
                <w:szCs w:val="11"/>
                <w:color w:val="auto"/>
                <w:w w:val="95"/>
              </w:rPr>
              <w:t>☐</w:t>
            </w:r>
          </w:p>
        </w:tc>
        <w:tc>
          <w:tcPr>
            <w:tcW w:w="0" w:type="dxa"/>
            <w:vAlign w:val="bottom"/>
          </w:tcPr>
          <w:p>
            <w:pPr>
              <w:spacing w:after="0"/>
              <w:rPr>
                <w:sz w:val="1"/>
                <w:szCs w:val="1"/>
                <w:color w:val="auto"/>
              </w:rPr>
            </w:pPr>
          </w:p>
        </w:tc>
      </w:tr>
      <w:tr>
        <w:trPr>
          <w:trHeight w:val="160"/>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such shorter period that the registrant was required to file such reports), and (2) has been subject to such filing requirements for the past 90 days.</w:t>
            </w:r>
          </w:p>
        </w:tc>
        <w:tc>
          <w:tcPr>
            <w:tcW w:w="280" w:type="dxa"/>
            <w:vAlign w:val="bottom"/>
          </w:tcPr>
          <w:p>
            <w:pPr>
              <w:spacing w:after="0"/>
              <w:rPr>
                <w:sz w:val="13"/>
                <w:szCs w:val="13"/>
                <w:color w:val="auto"/>
              </w:rPr>
            </w:pPr>
          </w:p>
        </w:tc>
        <w:tc>
          <w:tcPr>
            <w:tcW w:w="1360" w:type="dxa"/>
            <w:vAlign w:val="bottom"/>
            <w:vMerge w:val="continue"/>
          </w:tcPr>
          <w:p>
            <w:pPr>
              <w:spacing w:after="0"/>
              <w:rPr>
                <w:sz w:val="13"/>
                <w:szCs w:val="13"/>
                <w:color w:val="auto"/>
              </w:rPr>
            </w:pPr>
          </w:p>
        </w:tc>
        <w:tc>
          <w:tcPr>
            <w:tcW w:w="340" w:type="dxa"/>
            <w:vAlign w:val="bottom"/>
            <w:vMerge w:val="continue"/>
          </w:tcPr>
          <w:p>
            <w:pPr>
              <w:spacing w:after="0"/>
              <w:rPr>
                <w:sz w:val="13"/>
                <w:szCs w:val="13"/>
                <w:color w:val="auto"/>
              </w:rPr>
            </w:pPr>
          </w:p>
        </w:tc>
        <w:tc>
          <w:tcPr>
            <w:tcW w:w="0" w:type="dxa"/>
            <w:vAlign w:val="bottom"/>
          </w:tcPr>
          <w:p>
            <w:pPr>
              <w:spacing w:after="0"/>
              <w:rPr>
                <w:sz w:val="1"/>
                <w:szCs w:val="1"/>
                <w:color w:val="auto"/>
              </w:rPr>
            </w:pPr>
          </w:p>
        </w:tc>
      </w:tr>
      <w:tr>
        <w:trPr>
          <w:trHeight w:val="153"/>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Indicate by check mark whether the registrant has submitted electronically every Interactive Data File required to be submitted pursuant to Rule 405 of Regulation S-T</w:t>
            </w:r>
          </w:p>
        </w:tc>
        <w:tc>
          <w:tcPr>
            <w:tcW w:w="280" w:type="dxa"/>
            <w:vAlign w:val="bottom"/>
          </w:tcPr>
          <w:p>
            <w:pPr>
              <w:spacing w:after="0"/>
              <w:rPr>
                <w:sz w:val="13"/>
                <w:szCs w:val="13"/>
                <w:color w:val="auto"/>
              </w:rPr>
            </w:pPr>
          </w:p>
        </w:tc>
        <w:tc>
          <w:tcPr>
            <w:tcW w:w="1360" w:type="dxa"/>
            <w:vAlign w:val="bottom"/>
            <w:vMerge w:val="restart"/>
          </w:tcPr>
          <w:p>
            <w:pPr>
              <w:jc w:val="right"/>
              <w:ind w:right="83"/>
              <w:spacing w:after="0" w:line="127" w:lineRule="exact"/>
              <w:rPr>
                <w:sz w:val="20"/>
                <w:szCs w:val="20"/>
                <w:color w:val="auto"/>
              </w:rPr>
            </w:pPr>
            <w:r>
              <w:rPr>
                <w:rFonts w:ascii="Times New Roman" w:cs="Times New Roman" w:eastAsia="Times New Roman" w:hAnsi="Times New Roman"/>
                <w:sz w:val="11"/>
                <w:szCs w:val="11"/>
                <w:color w:val="auto"/>
              </w:rPr>
              <w:t xml:space="preserve">Yes </w:t>
            </w:r>
            <w:r>
              <w:rPr>
                <w:rFonts w:ascii="MS PGothic" w:cs="MS PGothic" w:eastAsia="MS PGothic" w:hAnsi="MS PGothic"/>
                <w:sz w:val="11"/>
                <w:szCs w:val="11"/>
                <w:color w:val="auto"/>
              </w:rPr>
              <w:t>☒</w:t>
            </w:r>
          </w:p>
        </w:tc>
        <w:tc>
          <w:tcPr>
            <w:tcW w:w="340" w:type="dxa"/>
            <w:vAlign w:val="bottom"/>
            <w:vMerge w:val="restart"/>
          </w:tcPr>
          <w:p>
            <w:pPr>
              <w:ind w:left="60"/>
              <w:spacing w:after="0" w:line="127" w:lineRule="exact"/>
              <w:rPr>
                <w:sz w:val="20"/>
                <w:szCs w:val="20"/>
                <w:color w:val="auto"/>
              </w:rPr>
            </w:pPr>
            <w:r>
              <w:rPr>
                <w:rFonts w:ascii="Times New Roman" w:cs="Times New Roman" w:eastAsia="Times New Roman" w:hAnsi="Times New Roman"/>
                <w:sz w:val="11"/>
                <w:szCs w:val="11"/>
                <w:color w:val="auto"/>
                <w:w w:val="95"/>
              </w:rPr>
              <w:t xml:space="preserve">No </w:t>
            </w:r>
            <w:r>
              <w:rPr>
                <w:rFonts w:ascii="MS PGothic" w:cs="MS PGothic" w:eastAsia="MS PGothic" w:hAnsi="MS PGothic"/>
                <w:sz w:val="11"/>
                <w:szCs w:val="11"/>
                <w:color w:val="auto"/>
                <w:w w:val="95"/>
              </w:rPr>
              <w:t>☐</w:t>
            </w:r>
          </w:p>
        </w:tc>
        <w:tc>
          <w:tcPr>
            <w:tcW w:w="0" w:type="dxa"/>
            <w:vAlign w:val="bottom"/>
          </w:tcPr>
          <w:p>
            <w:pPr>
              <w:spacing w:after="0"/>
              <w:rPr>
                <w:sz w:val="1"/>
                <w:szCs w:val="1"/>
                <w:color w:val="auto"/>
              </w:rPr>
            </w:pPr>
          </w:p>
        </w:tc>
      </w:tr>
      <w:tr>
        <w:trPr>
          <w:trHeight w:val="160"/>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(§232.405 of this chapter) during the preceding 12 months (or for such shorter period that the registrant was required to submit such files).</w:t>
            </w:r>
          </w:p>
        </w:tc>
        <w:tc>
          <w:tcPr>
            <w:tcW w:w="280" w:type="dxa"/>
            <w:vAlign w:val="bottom"/>
          </w:tcPr>
          <w:p>
            <w:pPr>
              <w:spacing w:after="0"/>
              <w:rPr>
                <w:sz w:val="13"/>
                <w:szCs w:val="13"/>
                <w:color w:val="auto"/>
              </w:rPr>
            </w:pPr>
          </w:p>
        </w:tc>
        <w:tc>
          <w:tcPr>
            <w:tcW w:w="1360" w:type="dxa"/>
            <w:vAlign w:val="bottom"/>
            <w:vMerge w:val="continue"/>
          </w:tcPr>
          <w:p>
            <w:pPr>
              <w:spacing w:after="0"/>
              <w:rPr>
                <w:sz w:val="13"/>
                <w:szCs w:val="13"/>
                <w:color w:val="auto"/>
              </w:rPr>
            </w:pPr>
          </w:p>
        </w:tc>
        <w:tc>
          <w:tcPr>
            <w:tcW w:w="340" w:type="dxa"/>
            <w:vAlign w:val="bottom"/>
            <w:vMerge w:val="continue"/>
          </w:tcPr>
          <w:p>
            <w:pPr>
              <w:spacing w:after="0"/>
              <w:rPr>
                <w:sz w:val="13"/>
                <w:szCs w:val="13"/>
                <w:color w:val="auto"/>
              </w:rPr>
            </w:pPr>
          </w:p>
        </w:tc>
        <w:tc>
          <w:tcPr>
            <w:tcW w:w="0" w:type="dxa"/>
            <w:vAlign w:val="bottom"/>
          </w:tcPr>
          <w:p>
            <w:pPr>
              <w:spacing w:after="0"/>
              <w:rPr>
                <w:sz w:val="1"/>
                <w:szCs w:val="1"/>
                <w:color w:val="auto"/>
              </w:rPr>
            </w:pPr>
          </w:p>
        </w:tc>
      </w:tr>
      <w:tr>
        <w:trPr>
          <w:trHeight w:val="153"/>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Indicate by check mark whether the registrant is a large accelerated filer, an accelerated filer, a non-accelerated filer, a smaller reporting company, or an emerging growth</w:t>
            </w:r>
          </w:p>
        </w:tc>
        <w:tc>
          <w:tcPr>
            <w:tcW w:w="280" w:type="dxa"/>
            <w:vAlign w:val="bottom"/>
          </w:tcPr>
          <w:p>
            <w:pPr>
              <w:spacing w:after="0"/>
              <w:rPr>
                <w:sz w:val="13"/>
                <w:szCs w:val="13"/>
                <w:color w:val="auto"/>
              </w:rPr>
            </w:pPr>
          </w:p>
        </w:tc>
        <w:tc>
          <w:tcPr>
            <w:tcW w:w="1360" w:type="dxa"/>
            <w:vAlign w:val="bottom"/>
          </w:tcPr>
          <w:p>
            <w:pPr>
              <w:spacing w:after="0"/>
              <w:rPr>
                <w:sz w:val="13"/>
                <w:szCs w:val="13"/>
                <w:color w:val="auto"/>
              </w:rPr>
            </w:pPr>
          </w:p>
        </w:tc>
        <w:tc>
          <w:tcPr>
            <w:tcW w:w="34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42"/>
        </w:trPr>
        <w:tc>
          <w:tcPr>
            <w:tcW w:w="8000" w:type="dxa"/>
            <w:vAlign w:val="bottom"/>
            <w:gridSpan w:val="3"/>
          </w:tcPr>
          <w:p>
            <w:pPr>
              <w:spacing w:after="0"/>
              <w:rPr>
                <w:sz w:val="20"/>
                <w:szCs w:val="20"/>
                <w:color w:val="auto"/>
              </w:rPr>
            </w:pPr>
            <w:r>
              <w:rPr>
                <w:rFonts w:ascii="Times New Roman" w:cs="Times New Roman" w:eastAsia="Times New Roman" w:hAnsi="Times New Roman"/>
                <w:sz w:val="11"/>
                <w:szCs w:val="11"/>
                <w:color w:val="0D0D0D"/>
              </w:rPr>
              <w:t>company. See the definitions of “large accelerated filer,” “accelerated filer,” “smaller reporting company” or “emerging growth company” in Rule 12b-2 of the Exchange Act.</w:t>
            </w:r>
          </w:p>
        </w:tc>
        <w:tc>
          <w:tcPr>
            <w:tcW w:w="280" w:type="dxa"/>
            <w:vAlign w:val="bottom"/>
          </w:tcPr>
          <w:p>
            <w:pPr>
              <w:spacing w:after="0"/>
              <w:rPr>
                <w:sz w:val="12"/>
                <w:szCs w:val="12"/>
                <w:color w:val="auto"/>
              </w:rPr>
            </w:pPr>
          </w:p>
        </w:tc>
        <w:tc>
          <w:tcPr>
            <w:tcW w:w="136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3300" w:type="dxa"/>
            <w:vAlign w:val="bottom"/>
          </w:tcPr>
          <w:p>
            <w:pPr>
              <w:spacing w:after="0"/>
              <w:rPr>
                <w:sz w:val="20"/>
                <w:szCs w:val="20"/>
                <w:color w:val="auto"/>
              </w:rPr>
            </w:pPr>
            <w:r>
              <w:rPr>
                <w:rFonts w:ascii="Times New Roman" w:cs="Times New Roman" w:eastAsia="Times New Roman" w:hAnsi="Times New Roman"/>
                <w:sz w:val="11"/>
                <w:szCs w:val="11"/>
                <w:color w:val="0D0D0D"/>
              </w:rPr>
              <w:t>(Check one):</w:t>
            </w:r>
          </w:p>
        </w:tc>
        <w:tc>
          <w:tcPr>
            <w:tcW w:w="1440" w:type="dxa"/>
            <w:vAlign w:val="bottom"/>
          </w:tcPr>
          <w:p>
            <w:pPr>
              <w:spacing w:after="0"/>
              <w:rPr>
                <w:sz w:val="12"/>
                <w:szCs w:val="12"/>
                <w:color w:val="auto"/>
              </w:rPr>
            </w:pPr>
          </w:p>
        </w:tc>
        <w:tc>
          <w:tcPr>
            <w:tcW w:w="326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136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38"/>
        </w:trPr>
        <w:tc>
          <w:tcPr>
            <w:tcW w:w="3300" w:type="dxa"/>
            <w:vAlign w:val="bottom"/>
          </w:tcPr>
          <w:p>
            <w:pPr>
              <w:spacing w:after="0"/>
              <w:rPr>
                <w:sz w:val="20"/>
                <w:szCs w:val="20"/>
                <w:color w:val="auto"/>
              </w:rPr>
            </w:pPr>
          </w:p>
        </w:tc>
        <w:tc>
          <w:tcPr>
            <w:tcW w:w="1440" w:type="dxa"/>
            <w:vAlign w:val="bottom"/>
          </w:tcPr>
          <w:p>
            <w:pPr>
              <w:spacing w:after="0"/>
              <w:rPr>
                <w:sz w:val="20"/>
                <w:szCs w:val="20"/>
                <w:color w:val="auto"/>
              </w:rPr>
            </w:pPr>
          </w:p>
        </w:tc>
        <w:tc>
          <w:tcPr>
            <w:tcW w:w="3260" w:type="dxa"/>
            <w:vAlign w:val="bottom"/>
          </w:tcPr>
          <w:p>
            <w:pPr>
              <w:jc w:val="right"/>
              <w:ind w:right="103"/>
              <w:spacing w:after="0"/>
              <w:rPr>
                <w:sz w:val="20"/>
                <w:szCs w:val="20"/>
                <w:color w:val="auto"/>
              </w:rPr>
            </w:pPr>
            <w:r>
              <w:rPr>
                <w:rFonts w:ascii="Times New Roman" w:cs="Times New Roman" w:eastAsia="Times New Roman" w:hAnsi="Times New Roman"/>
                <w:sz w:val="11"/>
                <w:szCs w:val="11"/>
                <w:color w:val="auto"/>
              </w:rPr>
              <w:t>Large accelerated filer</w:t>
            </w:r>
          </w:p>
        </w:tc>
        <w:tc>
          <w:tcPr>
            <w:tcW w:w="280" w:type="dxa"/>
            <w:vAlign w:val="bottom"/>
          </w:tcPr>
          <w:p>
            <w:pPr>
              <w:spacing w:after="0" w:line="111" w:lineRule="exact"/>
              <w:rPr>
                <w:sz w:val="20"/>
                <w:szCs w:val="20"/>
                <w:color w:val="auto"/>
              </w:rPr>
            </w:pPr>
            <w:r>
              <w:rPr>
                <w:rFonts w:ascii="MS PGothic" w:cs="MS PGothic" w:eastAsia="MS PGothic" w:hAnsi="MS PGothic"/>
                <w:sz w:val="11"/>
                <w:szCs w:val="11"/>
                <w:color w:val="auto"/>
              </w:rPr>
              <w:t>☒</w:t>
            </w:r>
          </w:p>
        </w:tc>
        <w:tc>
          <w:tcPr>
            <w:tcW w:w="1700" w:type="dxa"/>
            <w:vAlign w:val="bottom"/>
            <w:gridSpan w:val="2"/>
          </w:tcPr>
          <w:p>
            <w:pPr>
              <w:ind w:left="740"/>
              <w:spacing w:after="0" w:line="127" w:lineRule="exact"/>
              <w:rPr>
                <w:sz w:val="20"/>
                <w:szCs w:val="20"/>
                <w:color w:val="auto"/>
              </w:rPr>
            </w:pPr>
            <w:r>
              <w:rPr>
                <w:rFonts w:ascii="Times New Roman" w:cs="Times New Roman" w:eastAsia="Times New Roman" w:hAnsi="Times New Roman"/>
                <w:sz w:val="11"/>
                <w:szCs w:val="11"/>
                <w:color w:val="auto"/>
              </w:rPr>
              <w:t xml:space="preserve">Accelerated filer </w:t>
            </w:r>
            <w:r>
              <w:rPr>
                <w:rFonts w:ascii="MS PGothic" w:cs="MS PGothic" w:eastAsia="MS PGothic" w:hAnsi="MS PGothic"/>
                <w:sz w:val="11"/>
                <w:szCs w:val="11"/>
                <w:color w:val="auto"/>
              </w:rPr>
              <w:t>☐</w:t>
            </w:r>
          </w:p>
        </w:tc>
        <w:tc>
          <w:tcPr>
            <w:tcW w:w="0" w:type="dxa"/>
            <w:vAlign w:val="bottom"/>
          </w:tcPr>
          <w:p>
            <w:pPr>
              <w:spacing w:after="0"/>
              <w:rPr>
                <w:sz w:val="1"/>
                <w:szCs w:val="1"/>
                <w:color w:val="auto"/>
              </w:rPr>
            </w:pPr>
          </w:p>
        </w:tc>
      </w:tr>
      <w:tr>
        <w:trPr>
          <w:trHeight w:val="172"/>
        </w:trPr>
        <w:tc>
          <w:tcPr>
            <w:tcW w:w="3300" w:type="dxa"/>
            <w:vAlign w:val="bottom"/>
          </w:tcPr>
          <w:p>
            <w:pPr>
              <w:spacing w:after="0"/>
              <w:rPr>
                <w:sz w:val="14"/>
                <w:szCs w:val="14"/>
                <w:color w:val="auto"/>
              </w:rPr>
            </w:pPr>
          </w:p>
        </w:tc>
        <w:tc>
          <w:tcPr>
            <w:tcW w:w="1440" w:type="dxa"/>
            <w:vAlign w:val="bottom"/>
          </w:tcPr>
          <w:p>
            <w:pPr>
              <w:spacing w:after="0"/>
              <w:rPr>
                <w:sz w:val="14"/>
                <w:szCs w:val="14"/>
                <w:color w:val="auto"/>
              </w:rPr>
            </w:pPr>
          </w:p>
        </w:tc>
        <w:tc>
          <w:tcPr>
            <w:tcW w:w="3260" w:type="dxa"/>
            <w:vAlign w:val="bottom"/>
          </w:tcPr>
          <w:p>
            <w:pPr>
              <w:jc w:val="right"/>
              <w:ind w:right="63"/>
              <w:spacing w:after="0"/>
              <w:rPr>
                <w:sz w:val="20"/>
                <w:szCs w:val="20"/>
                <w:color w:val="auto"/>
              </w:rPr>
            </w:pPr>
            <w:r>
              <w:rPr>
                <w:rFonts w:ascii="Times New Roman" w:cs="Times New Roman" w:eastAsia="Times New Roman" w:hAnsi="Times New Roman"/>
                <w:sz w:val="11"/>
                <w:szCs w:val="11"/>
                <w:color w:val="auto"/>
              </w:rPr>
              <w:t>Non-accelerated filer</w:t>
            </w:r>
          </w:p>
        </w:tc>
        <w:tc>
          <w:tcPr>
            <w:tcW w:w="280" w:type="dxa"/>
            <w:vAlign w:val="bottom"/>
          </w:tcPr>
          <w:p>
            <w:pPr>
              <w:spacing w:after="0" w:line="111" w:lineRule="exact"/>
              <w:rPr>
                <w:sz w:val="20"/>
                <w:szCs w:val="20"/>
                <w:color w:val="auto"/>
              </w:rPr>
            </w:pPr>
            <w:r>
              <w:rPr>
                <w:rFonts w:ascii="MS PGothic" w:cs="MS PGothic" w:eastAsia="MS PGothic" w:hAnsi="MS PGothic"/>
                <w:sz w:val="11"/>
                <w:szCs w:val="11"/>
                <w:color w:val="auto"/>
              </w:rPr>
              <w:t>☐</w:t>
            </w:r>
          </w:p>
        </w:tc>
        <w:tc>
          <w:tcPr>
            <w:tcW w:w="1700" w:type="dxa"/>
            <w:vAlign w:val="bottom"/>
            <w:gridSpan w:val="2"/>
          </w:tcPr>
          <w:p>
            <w:pPr>
              <w:ind w:left="200"/>
              <w:spacing w:after="0" w:line="127" w:lineRule="exact"/>
              <w:rPr>
                <w:sz w:val="20"/>
                <w:szCs w:val="20"/>
                <w:color w:val="auto"/>
              </w:rPr>
            </w:pPr>
            <w:r>
              <w:rPr>
                <w:rFonts w:ascii="Times New Roman" w:cs="Times New Roman" w:eastAsia="Times New Roman" w:hAnsi="Times New Roman"/>
                <w:sz w:val="11"/>
                <w:szCs w:val="11"/>
                <w:color w:val="auto"/>
              </w:rPr>
              <w:t xml:space="preserve">Smaller reporting company </w:t>
            </w:r>
            <w:r>
              <w:rPr>
                <w:rFonts w:ascii="MS PGothic" w:cs="MS PGothic" w:eastAsia="MS PGothic" w:hAnsi="MS PGothic"/>
                <w:sz w:val="11"/>
                <w:szCs w:val="11"/>
                <w:color w:val="auto"/>
              </w:rPr>
              <w:t>☐</w:t>
            </w:r>
          </w:p>
        </w:tc>
        <w:tc>
          <w:tcPr>
            <w:tcW w:w="0" w:type="dxa"/>
            <w:vAlign w:val="bottom"/>
          </w:tcPr>
          <w:p>
            <w:pPr>
              <w:spacing w:after="0"/>
              <w:rPr>
                <w:sz w:val="1"/>
                <w:szCs w:val="1"/>
                <w:color w:val="auto"/>
              </w:rPr>
            </w:pPr>
          </w:p>
        </w:tc>
      </w:tr>
      <w:tr>
        <w:trPr>
          <w:trHeight w:val="178"/>
        </w:trPr>
        <w:tc>
          <w:tcPr>
            <w:tcW w:w="3300" w:type="dxa"/>
            <w:vAlign w:val="bottom"/>
          </w:tcPr>
          <w:p>
            <w:pPr>
              <w:spacing w:after="0"/>
              <w:rPr>
                <w:sz w:val="15"/>
                <w:szCs w:val="15"/>
                <w:color w:val="auto"/>
              </w:rPr>
            </w:pPr>
          </w:p>
        </w:tc>
        <w:tc>
          <w:tcPr>
            <w:tcW w:w="1440" w:type="dxa"/>
            <w:vAlign w:val="bottom"/>
          </w:tcPr>
          <w:p>
            <w:pPr>
              <w:spacing w:after="0"/>
              <w:rPr>
                <w:sz w:val="15"/>
                <w:szCs w:val="15"/>
                <w:color w:val="auto"/>
              </w:rPr>
            </w:pPr>
          </w:p>
        </w:tc>
        <w:tc>
          <w:tcPr>
            <w:tcW w:w="3260" w:type="dxa"/>
            <w:vAlign w:val="bottom"/>
          </w:tcPr>
          <w:p>
            <w:pPr>
              <w:jc w:val="right"/>
              <w:ind w:right="83"/>
              <w:spacing w:after="0"/>
              <w:rPr>
                <w:sz w:val="20"/>
                <w:szCs w:val="20"/>
                <w:color w:val="auto"/>
              </w:rPr>
            </w:pPr>
            <w:r>
              <w:rPr>
                <w:rFonts w:ascii="Times New Roman" w:cs="Times New Roman" w:eastAsia="Times New Roman" w:hAnsi="Times New Roman"/>
                <w:sz w:val="11"/>
                <w:szCs w:val="11"/>
                <w:color w:val="auto"/>
              </w:rPr>
              <w:t>Emerging growth company</w:t>
            </w:r>
          </w:p>
        </w:tc>
        <w:tc>
          <w:tcPr>
            <w:tcW w:w="280" w:type="dxa"/>
            <w:vAlign w:val="bottom"/>
          </w:tcPr>
          <w:p>
            <w:pPr>
              <w:spacing w:after="0" w:line="111" w:lineRule="exact"/>
              <w:rPr>
                <w:sz w:val="20"/>
                <w:szCs w:val="20"/>
                <w:color w:val="auto"/>
              </w:rPr>
            </w:pPr>
            <w:r>
              <w:rPr>
                <w:rFonts w:ascii="MS PGothic" w:cs="MS PGothic" w:eastAsia="MS PGothic" w:hAnsi="MS PGothic"/>
                <w:sz w:val="11"/>
                <w:szCs w:val="11"/>
                <w:color w:val="auto"/>
              </w:rPr>
              <w:t>☐</w:t>
            </w:r>
          </w:p>
        </w:tc>
        <w:tc>
          <w:tcPr>
            <w:tcW w:w="1360" w:type="dxa"/>
            <w:vAlign w:val="bottom"/>
          </w:tcPr>
          <w:p>
            <w:pPr>
              <w:spacing w:after="0"/>
              <w:rPr>
                <w:sz w:val="15"/>
                <w:szCs w:val="15"/>
                <w:color w:val="auto"/>
              </w:rPr>
            </w:pPr>
          </w:p>
        </w:tc>
        <w:tc>
          <w:tcPr>
            <w:tcW w:w="340" w:type="dxa"/>
            <w:vAlign w:val="bottom"/>
          </w:tcPr>
          <w:p>
            <w:pPr>
              <w:spacing w:after="0"/>
              <w:rPr>
                <w:sz w:val="15"/>
                <w:szCs w:val="15"/>
                <w:color w:val="auto"/>
              </w:rPr>
            </w:pPr>
          </w:p>
        </w:tc>
        <w:tc>
          <w:tcPr>
            <w:tcW w:w="0" w:type="dxa"/>
            <w:vAlign w:val="bottom"/>
          </w:tcPr>
          <w:p>
            <w:pPr>
              <w:spacing w:after="0"/>
              <w:rPr>
                <w:sz w:val="1"/>
                <w:szCs w:val="1"/>
                <w:color w:val="auto"/>
              </w:rPr>
            </w:pPr>
          </w:p>
        </w:tc>
      </w:tr>
    </w:tbl>
    <w:p>
      <w:pPr>
        <w:sectPr>
          <w:pgSz w:w="11900" w:h="16838" w:orient="portrait"/>
          <w:cols w:equalWidth="0" w:num="1">
            <w:col w:w="9980"/>
          </w:cols>
          <w:pgMar w:left="1000" w:top="612" w:right="919" w:bottom="1440" w:gutter="0" w:footer="0" w:header="0"/>
          <w:type w:val="continuous"/>
        </w:sectPr>
      </w:pPr>
    </w:p>
    <w:bookmarkStart w:id="2" w:name="page3"/>
    <w:bookmarkEnd w:id="2"/>
    <w:p>
      <w:pPr>
        <w:spacing w:after="0" w:line="1" w:lineRule="exact"/>
        <w:rPr>
          <w:sz w:val="20"/>
          <w:szCs w:val="20"/>
          <w:color w:val="auto"/>
        </w:rPr>
      </w:pPr>
    </w:p>
    <w:tbl>
      <w:tblPr>
        <w:tblLayout w:type="fixed"/>
        <w:tblInd w:w="10" w:type="dxa"/>
        <w:tblCellMar>
          <w:top w:w="0" w:type="dxa"/>
          <w:left w:w="0" w:type="dxa"/>
          <w:bottom w:w="0" w:type="dxa"/>
          <w:right w:w="0" w:type="dxa"/>
        </w:tblCellMar>
      </w:tblPr>
      <w:tr>
        <w:trPr>
          <w:trHeight w:val="548"/>
        </w:trPr>
        <w:tc>
          <w:tcPr>
            <w:tcW w:w="9140" w:type="dxa"/>
            <w:vAlign w:val="bottom"/>
            <w:tcBorders>
              <w:top w:val="single" w:sz="8" w:color="CCCCCC"/>
              <w:left w:val="single" w:sz="8" w:color="CCCCCC"/>
            </w:tcBorders>
            <w:gridSpan w:val="2"/>
          </w:tcPr>
          <w:p>
            <w:pPr>
              <w:ind w:left="700"/>
              <w:spacing w:after="0"/>
              <w:rPr>
                <w:sz w:val="20"/>
                <w:szCs w:val="20"/>
                <w:color w:val="auto"/>
              </w:rPr>
            </w:pPr>
            <w:r>
              <w:rPr>
                <w:rFonts w:ascii="Times New Roman" w:cs="Times New Roman" w:eastAsia="Times New Roman" w:hAnsi="Times New Roman"/>
                <w:sz w:val="11"/>
                <w:szCs w:val="11"/>
                <w:color w:val="auto"/>
              </w:rPr>
              <w:t>Indicate by check mark whether the registrant has filed a report on and attestation to its management’s assessment of the effectiveness of its internal control over financial reporting</w:t>
            </w:r>
          </w:p>
        </w:tc>
        <w:tc>
          <w:tcPr>
            <w:tcW w:w="760" w:type="dxa"/>
            <w:vAlign w:val="bottom"/>
            <w:tcBorders>
              <w:top w:val="single" w:sz="8" w:color="CCCCCC"/>
            </w:tcBorders>
          </w:tcPr>
          <w:p>
            <w:pPr>
              <w:spacing w:after="0"/>
              <w:rPr>
                <w:sz w:val="24"/>
                <w:szCs w:val="24"/>
                <w:color w:val="auto"/>
              </w:rPr>
            </w:pPr>
          </w:p>
        </w:tc>
        <w:tc>
          <w:tcPr>
            <w:tcW w:w="1480" w:type="dxa"/>
            <w:vAlign w:val="bottom"/>
            <w:tcBorders>
              <w:top w:val="single" w:sz="8" w:color="CCCCCC"/>
              <w:right w:val="single" w:sz="8" w:color="CCCCCC"/>
            </w:tcBorders>
            <w:vMerge w:val="restart"/>
          </w:tcPr>
          <w:p>
            <w:pPr>
              <w:jc w:val="right"/>
              <w:ind w:right="643"/>
              <w:spacing w:after="0" w:line="111" w:lineRule="exact"/>
              <w:rPr>
                <w:sz w:val="20"/>
                <w:szCs w:val="20"/>
                <w:color w:val="auto"/>
              </w:rPr>
            </w:pP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60"/>
        </w:trPr>
        <w:tc>
          <w:tcPr>
            <w:tcW w:w="7540" w:type="dxa"/>
            <w:vAlign w:val="bottom"/>
            <w:tcBorders>
              <w:left w:val="single" w:sz="8" w:color="CCCCCC"/>
            </w:tcBorders>
          </w:tcPr>
          <w:p>
            <w:pPr>
              <w:ind w:left="700"/>
              <w:spacing w:after="0"/>
              <w:rPr>
                <w:sz w:val="20"/>
                <w:szCs w:val="20"/>
                <w:color w:val="auto"/>
              </w:rPr>
            </w:pPr>
            <w:r>
              <w:rPr>
                <w:rFonts w:ascii="Times New Roman" w:cs="Times New Roman" w:eastAsia="Times New Roman" w:hAnsi="Times New Roman"/>
                <w:sz w:val="11"/>
                <w:szCs w:val="11"/>
                <w:color w:val="auto"/>
              </w:rPr>
              <w:t>under Section 404(b) of the Sarbanes Oxley Act (15 U.S.C. 7262(b)) by the registered public accounting firm that prepared or issued its audit report.</w:t>
            </w:r>
          </w:p>
        </w:tc>
        <w:tc>
          <w:tcPr>
            <w:tcW w:w="160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1480" w:type="dxa"/>
            <w:vAlign w:val="bottom"/>
            <w:tcBorders>
              <w:right w:val="single" w:sz="8" w:color="CCCCCC"/>
            </w:tcBorders>
            <w:vMerge w:val="continue"/>
          </w:tcPr>
          <w:p>
            <w:pPr>
              <w:spacing w:after="0"/>
              <w:rPr>
                <w:sz w:val="13"/>
                <w:szCs w:val="13"/>
                <w:color w:val="auto"/>
              </w:rPr>
            </w:pPr>
          </w:p>
        </w:tc>
        <w:tc>
          <w:tcPr>
            <w:tcW w:w="0" w:type="dxa"/>
            <w:vAlign w:val="bottom"/>
          </w:tcPr>
          <w:p>
            <w:pPr>
              <w:spacing w:after="0"/>
              <w:rPr>
                <w:sz w:val="1"/>
                <w:szCs w:val="1"/>
                <w:color w:val="auto"/>
              </w:rPr>
            </w:pPr>
          </w:p>
        </w:tc>
      </w:tr>
      <w:tr>
        <w:trPr>
          <w:trHeight w:val="153"/>
        </w:trPr>
        <w:tc>
          <w:tcPr>
            <w:tcW w:w="9140" w:type="dxa"/>
            <w:vAlign w:val="bottom"/>
            <w:tcBorders>
              <w:left w:val="single" w:sz="8" w:color="CCCCCC"/>
            </w:tcBorders>
            <w:gridSpan w:val="2"/>
          </w:tcPr>
          <w:p>
            <w:pPr>
              <w:ind w:left="700"/>
              <w:spacing w:after="0"/>
              <w:rPr>
                <w:sz w:val="20"/>
                <w:szCs w:val="20"/>
                <w:color w:val="auto"/>
              </w:rPr>
            </w:pPr>
            <w:r>
              <w:rPr>
                <w:rFonts w:ascii="Times New Roman" w:cs="Times New Roman" w:eastAsia="Times New Roman" w:hAnsi="Times New Roman"/>
                <w:sz w:val="11"/>
                <w:szCs w:val="11"/>
                <w:color w:val="auto"/>
              </w:rPr>
              <w:t>If securities are registered pursuant to Section 12(b) of the Act, indicate by check mark whether the financial statements of the registrant included in the filing reflect the correction of</w:t>
            </w:r>
          </w:p>
        </w:tc>
        <w:tc>
          <w:tcPr>
            <w:tcW w:w="760" w:type="dxa"/>
            <w:vAlign w:val="bottom"/>
          </w:tcPr>
          <w:p>
            <w:pPr>
              <w:spacing w:after="0"/>
              <w:rPr>
                <w:sz w:val="13"/>
                <w:szCs w:val="13"/>
                <w:color w:val="auto"/>
              </w:rPr>
            </w:pPr>
          </w:p>
        </w:tc>
        <w:tc>
          <w:tcPr>
            <w:tcW w:w="1480" w:type="dxa"/>
            <w:vAlign w:val="bottom"/>
            <w:tcBorders>
              <w:right w:val="single" w:sz="8" w:color="CCCCCC"/>
            </w:tcBorders>
            <w:vMerge w:val="restart"/>
          </w:tcPr>
          <w:p>
            <w:pPr>
              <w:jc w:val="right"/>
              <w:ind w:right="643"/>
              <w:spacing w:after="0" w:line="111" w:lineRule="exact"/>
              <w:rPr>
                <w:sz w:val="20"/>
                <w:szCs w:val="20"/>
                <w:color w:val="auto"/>
              </w:rPr>
            </w:pP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60"/>
        </w:trPr>
        <w:tc>
          <w:tcPr>
            <w:tcW w:w="7540" w:type="dxa"/>
            <w:vAlign w:val="bottom"/>
            <w:tcBorders>
              <w:left w:val="single" w:sz="8" w:color="CCCCCC"/>
            </w:tcBorders>
          </w:tcPr>
          <w:p>
            <w:pPr>
              <w:ind w:left="700"/>
              <w:spacing w:after="0"/>
              <w:rPr>
                <w:sz w:val="20"/>
                <w:szCs w:val="20"/>
                <w:color w:val="auto"/>
              </w:rPr>
            </w:pPr>
            <w:r>
              <w:rPr>
                <w:rFonts w:ascii="Times New Roman" w:cs="Times New Roman" w:eastAsia="Times New Roman" w:hAnsi="Times New Roman"/>
                <w:sz w:val="11"/>
                <w:szCs w:val="11"/>
                <w:color w:val="auto"/>
              </w:rPr>
              <w:t>an error to previously issued financial statements.</w:t>
            </w:r>
          </w:p>
        </w:tc>
        <w:tc>
          <w:tcPr>
            <w:tcW w:w="160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1480" w:type="dxa"/>
            <w:vAlign w:val="bottom"/>
            <w:tcBorders>
              <w:right w:val="single" w:sz="8" w:color="CCCCCC"/>
            </w:tcBorders>
            <w:vMerge w:val="continue"/>
          </w:tcPr>
          <w:p>
            <w:pPr>
              <w:spacing w:after="0"/>
              <w:rPr>
                <w:sz w:val="13"/>
                <w:szCs w:val="13"/>
                <w:color w:val="auto"/>
              </w:rPr>
            </w:pPr>
          </w:p>
        </w:tc>
        <w:tc>
          <w:tcPr>
            <w:tcW w:w="0" w:type="dxa"/>
            <w:vAlign w:val="bottom"/>
          </w:tcPr>
          <w:p>
            <w:pPr>
              <w:spacing w:after="0"/>
              <w:rPr>
                <w:sz w:val="1"/>
                <w:szCs w:val="1"/>
                <w:color w:val="auto"/>
              </w:rPr>
            </w:pPr>
          </w:p>
        </w:tc>
      </w:tr>
      <w:tr>
        <w:trPr>
          <w:trHeight w:val="153"/>
        </w:trPr>
        <w:tc>
          <w:tcPr>
            <w:tcW w:w="9140" w:type="dxa"/>
            <w:vAlign w:val="bottom"/>
            <w:tcBorders>
              <w:left w:val="single" w:sz="8" w:color="CCCCCC"/>
            </w:tcBorders>
            <w:gridSpan w:val="2"/>
          </w:tcPr>
          <w:p>
            <w:pPr>
              <w:ind w:left="700"/>
              <w:spacing w:after="0"/>
              <w:rPr>
                <w:sz w:val="20"/>
                <w:szCs w:val="20"/>
                <w:color w:val="auto"/>
              </w:rPr>
            </w:pPr>
            <w:r>
              <w:rPr>
                <w:rFonts w:ascii="Times New Roman" w:cs="Times New Roman" w:eastAsia="Times New Roman" w:hAnsi="Times New Roman"/>
                <w:sz w:val="11"/>
                <w:szCs w:val="11"/>
                <w:color w:val="auto"/>
              </w:rPr>
              <w:t>Indicate by check mark whether any of those error corrections are restatements that required a recovery analysis of incentive-based compensation received by any of the registrant’s</w:t>
            </w:r>
          </w:p>
        </w:tc>
        <w:tc>
          <w:tcPr>
            <w:tcW w:w="760" w:type="dxa"/>
            <w:vAlign w:val="bottom"/>
          </w:tcPr>
          <w:p>
            <w:pPr>
              <w:spacing w:after="0"/>
              <w:rPr>
                <w:sz w:val="13"/>
                <w:szCs w:val="13"/>
                <w:color w:val="auto"/>
              </w:rPr>
            </w:pPr>
          </w:p>
        </w:tc>
        <w:tc>
          <w:tcPr>
            <w:tcW w:w="1480" w:type="dxa"/>
            <w:vAlign w:val="bottom"/>
            <w:tcBorders>
              <w:right w:val="single" w:sz="8" w:color="CCCCCC"/>
            </w:tcBorders>
            <w:vMerge w:val="restart"/>
          </w:tcPr>
          <w:p>
            <w:pPr>
              <w:jc w:val="right"/>
              <w:ind w:right="643"/>
              <w:spacing w:after="0" w:line="111" w:lineRule="exact"/>
              <w:rPr>
                <w:sz w:val="20"/>
                <w:szCs w:val="20"/>
                <w:color w:val="auto"/>
              </w:rPr>
            </w:pP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60"/>
        </w:trPr>
        <w:tc>
          <w:tcPr>
            <w:tcW w:w="7540" w:type="dxa"/>
            <w:vAlign w:val="bottom"/>
            <w:tcBorders>
              <w:left w:val="single" w:sz="8" w:color="CCCCCC"/>
            </w:tcBorders>
          </w:tcPr>
          <w:p>
            <w:pPr>
              <w:ind w:left="700"/>
              <w:spacing w:after="0"/>
              <w:rPr>
                <w:sz w:val="20"/>
                <w:szCs w:val="20"/>
                <w:color w:val="auto"/>
              </w:rPr>
            </w:pPr>
            <w:r>
              <w:rPr>
                <w:rFonts w:ascii="Times New Roman" w:cs="Times New Roman" w:eastAsia="Times New Roman" w:hAnsi="Times New Roman"/>
                <w:sz w:val="11"/>
                <w:szCs w:val="11"/>
                <w:color w:val="auto"/>
              </w:rPr>
              <w:t>executive officers during the relevant recovery period pursuant to §240.10D-1(b).</w:t>
            </w:r>
          </w:p>
        </w:tc>
        <w:tc>
          <w:tcPr>
            <w:tcW w:w="160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1480" w:type="dxa"/>
            <w:vAlign w:val="bottom"/>
            <w:tcBorders>
              <w:right w:val="single" w:sz="8" w:color="CCCCCC"/>
            </w:tcBorders>
            <w:vMerge w:val="continue"/>
          </w:tcPr>
          <w:p>
            <w:pPr>
              <w:spacing w:after="0"/>
              <w:rPr>
                <w:sz w:val="13"/>
                <w:szCs w:val="13"/>
                <w:color w:val="auto"/>
              </w:rPr>
            </w:pPr>
          </w:p>
        </w:tc>
        <w:tc>
          <w:tcPr>
            <w:tcW w:w="0" w:type="dxa"/>
            <w:vAlign w:val="bottom"/>
          </w:tcPr>
          <w:p>
            <w:pPr>
              <w:spacing w:after="0"/>
              <w:rPr>
                <w:sz w:val="1"/>
                <w:szCs w:val="1"/>
                <w:color w:val="auto"/>
              </w:rPr>
            </w:pPr>
          </w:p>
        </w:tc>
      </w:tr>
      <w:tr>
        <w:trPr>
          <w:trHeight w:val="160"/>
        </w:trPr>
        <w:tc>
          <w:tcPr>
            <w:tcW w:w="7540" w:type="dxa"/>
            <w:vAlign w:val="bottom"/>
            <w:tcBorders>
              <w:left w:val="single" w:sz="8" w:color="CCCCCC"/>
            </w:tcBorders>
          </w:tcPr>
          <w:p>
            <w:pPr>
              <w:ind w:left="700"/>
              <w:spacing w:after="0"/>
              <w:rPr>
                <w:sz w:val="20"/>
                <w:szCs w:val="20"/>
                <w:color w:val="auto"/>
              </w:rPr>
            </w:pPr>
            <w:r>
              <w:rPr>
                <w:rFonts w:ascii="Times New Roman" w:cs="Times New Roman" w:eastAsia="Times New Roman" w:hAnsi="Times New Roman"/>
                <w:sz w:val="11"/>
                <w:szCs w:val="11"/>
                <w:color w:val="auto"/>
              </w:rPr>
              <w:t>Indicate by check mark which basis of accounting the registrant has used to prepare the financial statements included in this filing:</w:t>
            </w:r>
          </w:p>
        </w:tc>
        <w:tc>
          <w:tcPr>
            <w:tcW w:w="160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1480" w:type="dxa"/>
            <w:vAlign w:val="bottom"/>
            <w:tcBorders>
              <w:right w:val="single" w:sz="8" w:color="CCCCCC"/>
            </w:tcBorders>
          </w:tcPr>
          <w:p>
            <w:pPr>
              <w:spacing w:after="0"/>
              <w:rPr>
                <w:sz w:val="13"/>
                <w:szCs w:val="13"/>
                <w:color w:val="auto"/>
              </w:rPr>
            </w:pPr>
          </w:p>
        </w:tc>
        <w:tc>
          <w:tcPr>
            <w:tcW w:w="0" w:type="dxa"/>
            <w:vAlign w:val="bottom"/>
          </w:tcPr>
          <w:p>
            <w:pPr>
              <w:spacing w:after="0"/>
              <w:rPr>
                <w:sz w:val="1"/>
                <w:szCs w:val="1"/>
                <w:color w:val="auto"/>
              </w:rPr>
            </w:pPr>
          </w:p>
        </w:tc>
      </w:tr>
      <w:tr>
        <w:trPr>
          <w:trHeight w:val="248"/>
        </w:trPr>
        <w:tc>
          <w:tcPr>
            <w:tcW w:w="7540" w:type="dxa"/>
            <w:vAlign w:val="bottom"/>
            <w:tcBorders>
              <w:left w:val="single" w:sz="8" w:color="CCCCCC"/>
            </w:tcBorders>
          </w:tcPr>
          <w:p>
            <w:pPr>
              <w:spacing w:after="0"/>
              <w:rPr>
                <w:sz w:val="21"/>
                <w:szCs w:val="21"/>
                <w:color w:val="auto"/>
              </w:rPr>
            </w:pPr>
          </w:p>
        </w:tc>
        <w:tc>
          <w:tcPr>
            <w:tcW w:w="1600" w:type="dxa"/>
            <w:vAlign w:val="bottom"/>
          </w:tcPr>
          <w:p>
            <w:pPr>
              <w:spacing w:after="0"/>
              <w:rPr>
                <w:sz w:val="21"/>
                <w:szCs w:val="21"/>
                <w:color w:val="auto"/>
              </w:rPr>
            </w:pPr>
          </w:p>
        </w:tc>
        <w:tc>
          <w:tcPr>
            <w:tcW w:w="760" w:type="dxa"/>
            <w:vAlign w:val="bottom"/>
          </w:tcPr>
          <w:p>
            <w:pPr>
              <w:spacing w:after="0"/>
              <w:rPr>
                <w:sz w:val="21"/>
                <w:szCs w:val="21"/>
                <w:color w:val="auto"/>
              </w:rPr>
            </w:pPr>
          </w:p>
        </w:tc>
        <w:tc>
          <w:tcPr>
            <w:tcW w:w="1480" w:type="dxa"/>
            <w:vAlign w:val="bottom"/>
            <w:tcBorders>
              <w:right w:val="single" w:sz="8" w:color="CCCCCC"/>
            </w:tcBorders>
          </w:tcPr>
          <w:p>
            <w:pPr>
              <w:jc w:val="right"/>
              <w:ind w:right="603"/>
              <w:spacing w:after="0" w:line="127" w:lineRule="exact"/>
              <w:rPr>
                <w:sz w:val="20"/>
                <w:szCs w:val="20"/>
                <w:color w:val="auto"/>
              </w:rPr>
            </w:pPr>
            <w:r>
              <w:rPr>
                <w:rFonts w:ascii="Times New Roman" w:cs="Times New Roman" w:eastAsia="Times New Roman" w:hAnsi="Times New Roman"/>
                <w:sz w:val="11"/>
                <w:szCs w:val="11"/>
                <w:color w:val="0D0D0D"/>
              </w:rPr>
              <w:t xml:space="preserve">U.S. GAAP </w:t>
            </w: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72"/>
        </w:trPr>
        <w:tc>
          <w:tcPr>
            <w:tcW w:w="7540" w:type="dxa"/>
            <w:vAlign w:val="bottom"/>
            <w:tcBorders>
              <w:left w:val="single" w:sz="8" w:color="CCCCCC"/>
            </w:tcBorders>
          </w:tcPr>
          <w:p>
            <w:pPr>
              <w:ind w:left="5340"/>
              <w:spacing w:after="0"/>
              <w:rPr>
                <w:sz w:val="20"/>
                <w:szCs w:val="20"/>
                <w:color w:val="auto"/>
              </w:rPr>
            </w:pPr>
            <w:r>
              <w:rPr>
                <w:rFonts w:ascii="Times New Roman" w:cs="Times New Roman" w:eastAsia="Times New Roman" w:hAnsi="Times New Roman"/>
                <w:sz w:val="11"/>
                <w:szCs w:val="11"/>
                <w:color w:val="0D0D0D"/>
              </w:rPr>
              <w:t>International Financial Reporting Standards</w:t>
            </w:r>
          </w:p>
        </w:tc>
        <w:tc>
          <w:tcPr>
            <w:tcW w:w="3840" w:type="dxa"/>
            <w:vAlign w:val="bottom"/>
            <w:tcBorders>
              <w:right w:val="single" w:sz="8" w:color="CCCCCC"/>
            </w:tcBorders>
            <w:gridSpan w:val="3"/>
          </w:tcPr>
          <w:p>
            <w:pPr>
              <w:jc w:val="right"/>
              <w:ind w:right="943"/>
              <w:spacing w:after="0" w:line="127" w:lineRule="exact"/>
              <w:rPr>
                <w:sz w:val="20"/>
                <w:szCs w:val="20"/>
                <w:color w:val="auto"/>
              </w:rPr>
            </w:pPr>
            <w:r>
              <w:rPr>
                <w:rFonts w:ascii="Times New Roman" w:cs="Times New Roman" w:eastAsia="Times New Roman" w:hAnsi="Times New Roman"/>
                <w:sz w:val="11"/>
                <w:szCs w:val="11"/>
                <w:color w:val="0D0D0D"/>
              </w:rPr>
              <w:t xml:space="preserve">as issued by the International Accounting Standards Board </w:t>
            </w: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78"/>
        </w:trPr>
        <w:tc>
          <w:tcPr>
            <w:tcW w:w="7540" w:type="dxa"/>
            <w:vAlign w:val="bottom"/>
            <w:tcBorders>
              <w:left w:val="single" w:sz="8" w:color="CCCCCC"/>
            </w:tcBorders>
          </w:tcPr>
          <w:p>
            <w:pPr>
              <w:spacing w:after="0"/>
              <w:rPr>
                <w:sz w:val="15"/>
                <w:szCs w:val="15"/>
                <w:color w:val="auto"/>
              </w:rPr>
            </w:pPr>
          </w:p>
        </w:tc>
        <w:tc>
          <w:tcPr>
            <w:tcW w:w="1600" w:type="dxa"/>
            <w:vAlign w:val="bottom"/>
          </w:tcPr>
          <w:p>
            <w:pPr>
              <w:spacing w:after="0"/>
              <w:rPr>
                <w:sz w:val="15"/>
                <w:szCs w:val="15"/>
                <w:color w:val="auto"/>
              </w:rPr>
            </w:pPr>
          </w:p>
        </w:tc>
        <w:tc>
          <w:tcPr>
            <w:tcW w:w="760" w:type="dxa"/>
            <w:vAlign w:val="bottom"/>
          </w:tcPr>
          <w:p>
            <w:pPr>
              <w:spacing w:after="0"/>
              <w:rPr>
                <w:sz w:val="15"/>
                <w:szCs w:val="15"/>
                <w:color w:val="auto"/>
              </w:rPr>
            </w:pPr>
          </w:p>
        </w:tc>
        <w:tc>
          <w:tcPr>
            <w:tcW w:w="1480" w:type="dxa"/>
            <w:vAlign w:val="bottom"/>
            <w:tcBorders>
              <w:right w:val="single" w:sz="8" w:color="CCCCCC"/>
            </w:tcBorders>
          </w:tcPr>
          <w:p>
            <w:pPr>
              <w:jc w:val="right"/>
              <w:ind w:right="683"/>
              <w:spacing w:after="0" w:line="127" w:lineRule="exact"/>
              <w:rPr>
                <w:sz w:val="20"/>
                <w:szCs w:val="20"/>
                <w:color w:val="auto"/>
              </w:rPr>
            </w:pPr>
            <w:r>
              <w:rPr>
                <w:rFonts w:ascii="Times New Roman" w:cs="Times New Roman" w:eastAsia="Times New Roman" w:hAnsi="Times New Roman"/>
                <w:sz w:val="11"/>
                <w:szCs w:val="11"/>
                <w:color w:val="0D0D0D"/>
              </w:rPr>
              <w:t xml:space="preserve">Other </w:t>
            </w: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236"/>
        </w:trPr>
        <w:tc>
          <w:tcPr>
            <w:tcW w:w="9140" w:type="dxa"/>
            <w:vAlign w:val="bottom"/>
            <w:tcBorders>
              <w:left w:val="single" w:sz="8" w:color="CCCCCC"/>
            </w:tcBorders>
            <w:gridSpan w:val="2"/>
          </w:tcPr>
          <w:p>
            <w:pPr>
              <w:ind w:left="700"/>
              <w:spacing w:after="0"/>
              <w:rPr>
                <w:sz w:val="20"/>
                <w:szCs w:val="20"/>
                <w:color w:val="auto"/>
              </w:rPr>
            </w:pPr>
            <w:r>
              <w:rPr>
                <w:rFonts w:ascii="Times New Roman" w:cs="Times New Roman" w:eastAsia="Times New Roman" w:hAnsi="Times New Roman"/>
                <w:sz w:val="11"/>
                <w:szCs w:val="11"/>
                <w:color w:val="0D0D0D"/>
              </w:rPr>
              <w:t>If “Other” has been checked in response to the previous question, indicate by check mark which financial statement item the registrant has elected to follow.</w:t>
            </w:r>
          </w:p>
        </w:tc>
        <w:tc>
          <w:tcPr>
            <w:tcW w:w="760" w:type="dxa"/>
            <w:vAlign w:val="bottom"/>
          </w:tcPr>
          <w:p>
            <w:pPr>
              <w:ind w:left="80"/>
              <w:spacing w:after="0" w:line="127" w:lineRule="exact"/>
              <w:rPr>
                <w:sz w:val="20"/>
                <w:szCs w:val="20"/>
                <w:color w:val="auto"/>
              </w:rPr>
            </w:pPr>
            <w:r>
              <w:rPr>
                <w:rFonts w:ascii="Times New Roman" w:cs="Times New Roman" w:eastAsia="Times New Roman" w:hAnsi="Times New Roman"/>
                <w:sz w:val="11"/>
                <w:szCs w:val="11"/>
                <w:color w:val="0D0D0D"/>
              </w:rPr>
              <w:t xml:space="preserve">Item 17 </w:t>
            </w:r>
            <w:r>
              <w:rPr>
                <w:rFonts w:ascii="MS PGothic" w:cs="MS PGothic" w:eastAsia="MS PGothic" w:hAnsi="MS PGothic"/>
                <w:sz w:val="11"/>
                <w:szCs w:val="11"/>
                <w:color w:val="0D0D0D"/>
              </w:rPr>
              <w:t>☐</w:t>
            </w:r>
          </w:p>
        </w:tc>
        <w:tc>
          <w:tcPr>
            <w:tcW w:w="1480" w:type="dxa"/>
            <w:vAlign w:val="bottom"/>
            <w:tcBorders>
              <w:right w:val="single" w:sz="8" w:color="CCCCCC"/>
            </w:tcBorders>
          </w:tcPr>
          <w:p>
            <w:pPr>
              <w:jc w:val="right"/>
              <w:ind w:right="683"/>
              <w:spacing w:after="0" w:line="127" w:lineRule="exact"/>
              <w:rPr>
                <w:sz w:val="20"/>
                <w:szCs w:val="20"/>
                <w:color w:val="auto"/>
              </w:rPr>
            </w:pPr>
            <w:r>
              <w:rPr>
                <w:rFonts w:ascii="Times New Roman" w:cs="Times New Roman" w:eastAsia="Times New Roman" w:hAnsi="Times New Roman"/>
                <w:sz w:val="11"/>
                <w:szCs w:val="11"/>
                <w:color w:val="0D0D0D"/>
              </w:rPr>
              <w:t xml:space="preserve">Item 18 </w:t>
            </w: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178"/>
        </w:trPr>
        <w:tc>
          <w:tcPr>
            <w:tcW w:w="7540" w:type="dxa"/>
            <w:vAlign w:val="bottom"/>
            <w:tcBorders>
              <w:left w:val="single" w:sz="8" w:color="CCCCCC"/>
            </w:tcBorders>
          </w:tcPr>
          <w:p>
            <w:pPr>
              <w:ind w:left="700"/>
              <w:spacing w:after="0"/>
              <w:rPr>
                <w:sz w:val="20"/>
                <w:szCs w:val="20"/>
                <w:color w:val="auto"/>
              </w:rPr>
            </w:pPr>
            <w:r>
              <w:rPr>
                <w:rFonts w:ascii="Times New Roman" w:cs="Times New Roman" w:eastAsia="Times New Roman" w:hAnsi="Times New Roman"/>
                <w:sz w:val="11"/>
                <w:szCs w:val="11"/>
                <w:color w:val="0D0D0D"/>
              </w:rPr>
              <w:t>If this is an annual report, indicate by check mark whether the registrant is a shell company (as defined in Rule 12b-2 of the Exchange Act).</w:t>
            </w:r>
          </w:p>
        </w:tc>
        <w:tc>
          <w:tcPr>
            <w:tcW w:w="1600" w:type="dxa"/>
            <w:vAlign w:val="bottom"/>
          </w:tcPr>
          <w:p>
            <w:pPr>
              <w:spacing w:after="0"/>
              <w:rPr>
                <w:sz w:val="15"/>
                <w:szCs w:val="15"/>
                <w:color w:val="auto"/>
              </w:rPr>
            </w:pPr>
          </w:p>
        </w:tc>
        <w:tc>
          <w:tcPr>
            <w:tcW w:w="760" w:type="dxa"/>
            <w:vAlign w:val="bottom"/>
          </w:tcPr>
          <w:p>
            <w:pPr>
              <w:ind w:left="280"/>
              <w:spacing w:after="0" w:line="127" w:lineRule="exact"/>
              <w:rPr>
                <w:sz w:val="20"/>
                <w:szCs w:val="20"/>
                <w:color w:val="auto"/>
              </w:rPr>
            </w:pPr>
            <w:r>
              <w:rPr>
                <w:rFonts w:ascii="Times New Roman" w:cs="Times New Roman" w:eastAsia="Times New Roman" w:hAnsi="Times New Roman"/>
                <w:sz w:val="11"/>
                <w:szCs w:val="11"/>
                <w:color w:val="0D0D0D"/>
              </w:rPr>
              <w:t xml:space="preserve">Yes </w:t>
            </w:r>
            <w:r>
              <w:rPr>
                <w:rFonts w:ascii="MS PGothic" w:cs="MS PGothic" w:eastAsia="MS PGothic" w:hAnsi="MS PGothic"/>
                <w:sz w:val="11"/>
                <w:szCs w:val="11"/>
                <w:color w:val="0D0D0D"/>
              </w:rPr>
              <w:t>☐</w:t>
            </w:r>
          </w:p>
        </w:tc>
        <w:tc>
          <w:tcPr>
            <w:tcW w:w="1480" w:type="dxa"/>
            <w:vAlign w:val="bottom"/>
            <w:tcBorders>
              <w:right w:val="single" w:sz="8" w:color="CCCCCC"/>
            </w:tcBorders>
          </w:tcPr>
          <w:p>
            <w:pPr>
              <w:jc w:val="right"/>
              <w:ind w:right="643"/>
              <w:spacing w:after="0" w:line="127" w:lineRule="exact"/>
              <w:rPr>
                <w:sz w:val="20"/>
                <w:szCs w:val="20"/>
                <w:color w:val="auto"/>
              </w:rPr>
            </w:pPr>
            <w:r>
              <w:rPr>
                <w:rFonts w:ascii="Times New Roman" w:cs="Times New Roman" w:eastAsia="Times New Roman" w:hAnsi="Times New Roman"/>
                <w:sz w:val="11"/>
                <w:szCs w:val="11"/>
                <w:color w:val="0D0D0D"/>
              </w:rPr>
              <w:t xml:space="preserve">No </w:t>
            </w:r>
            <w:r>
              <w:rPr>
                <w:rFonts w:ascii="MS PGothic" w:cs="MS PGothic" w:eastAsia="MS PGothic" w:hAnsi="MS PGothic"/>
                <w:sz w:val="11"/>
                <w:szCs w:val="11"/>
                <w:color w:val="0D0D0D"/>
              </w:rPr>
              <w:t>☒</w:t>
            </w:r>
          </w:p>
        </w:tc>
        <w:tc>
          <w:tcPr>
            <w:tcW w:w="0" w:type="dxa"/>
            <w:vAlign w:val="bottom"/>
          </w:tcPr>
          <w:p>
            <w:pPr>
              <w:spacing w:after="0"/>
              <w:rPr>
                <w:sz w:val="1"/>
                <w:szCs w:val="1"/>
                <w:color w:val="auto"/>
              </w:rPr>
            </w:pPr>
          </w:p>
        </w:tc>
      </w:tr>
      <w:tr>
        <w:trPr>
          <w:trHeight w:val="5531"/>
        </w:trPr>
        <w:tc>
          <w:tcPr>
            <w:tcW w:w="7540" w:type="dxa"/>
            <w:vAlign w:val="bottom"/>
            <w:tcBorders>
              <w:left w:val="single" w:sz="8" w:color="CCCCCC"/>
              <w:bottom w:val="single" w:sz="8" w:color="CCCCCC"/>
            </w:tcBorders>
          </w:tcPr>
          <w:p>
            <w:pPr>
              <w:spacing w:after="0"/>
              <w:rPr>
                <w:sz w:val="24"/>
                <w:szCs w:val="24"/>
                <w:color w:val="auto"/>
              </w:rPr>
            </w:pPr>
          </w:p>
        </w:tc>
        <w:tc>
          <w:tcPr>
            <w:tcW w:w="1600" w:type="dxa"/>
            <w:vAlign w:val="bottom"/>
            <w:tcBorders>
              <w:bottom w:val="single" w:sz="8" w:color="CCCCCC"/>
            </w:tcBorders>
          </w:tcPr>
          <w:p>
            <w:pPr>
              <w:spacing w:after="0"/>
              <w:rPr>
                <w:sz w:val="24"/>
                <w:szCs w:val="24"/>
                <w:color w:val="auto"/>
              </w:rPr>
            </w:pPr>
          </w:p>
        </w:tc>
        <w:tc>
          <w:tcPr>
            <w:tcW w:w="760" w:type="dxa"/>
            <w:vAlign w:val="bottom"/>
            <w:tcBorders>
              <w:bottom w:val="single" w:sz="8" w:color="CCCCCC"/>
            </w:tcBorders>
          </w:tcPr>
          <w:p>
            <w:pPr>
              <w:spacing w:after="0"/>
              <w:rPr>
                <w:sz w:val="24"/>
                <w:szCs w:val="24"/>
                <w:color w:val="auto"/>
              </w:rPr>
            </w:pPr>
          </w:p>
        </w:tc>
        <w:tc>
          <w:tcPr>
            <w:tcW w:w="1480" w:type="dxa"/>
            <w:vAlign w:val="bottom"/>
            <w:tcBorders>
              <w:bottom w:val="single" w:sz="8" w:color="CCCCCC"/>
              <w:right w:val="single" w:sz="8" w:color="CCCCCC"/>
            </w:tcBorders>
          </w:tcPr>
          <w:p>
            <w:pPr>
              <w:spacing w:after="0"/>
              <w:rPr>
                <w:sz w:val="24"/>
                <w:szCs w:val="24"/>
                <w:color w:val="auto"/>
              </w:rPr>
            </w:pPr>
          </w:p>
        </w:tc>
        <w:tc>
          <w:tcPr>
            <w:tcW w:w="0" w:type="dxa"/>
            <w:vAlign w:val="bottom"/>
          </w:tcPr>
          <w:p>
            <w:pPr>
              <w:spacing w:after="0"/>
              <w:rPr>
                <w:sz w:val="1"/>
                <w:szCs w:val="1"/>
                <w:color w:val="auto"/>
              </w:rPr>
            </w:pPr>
          </w:p>
        </w:tc>
      </w:tr>
    </w:tbl>
    <w:p>
      <w:pPr>
        <w:sectPr>
          <w:pgSz w:w="11900" w:h="16838" w:orient="portrait"/>
          <w:cols w:equalWidth="0" w:num="1">
            <w:col w:w="11360"/>
          </w:cols>
          <w:pgMar w:left="300" w:top="216" w:right="239" w:bottom="1440" w:gutter="0" w:footer="0" w:header="0"/>
        </w:sectPr>
      </w:pPr>
    </w:p>
    <w:bookmarkStart w:id="3" w:name="page4"/>
    <w:bookmarkEnd w:id="3"/>
    <w:p>
      <w:pPr>
        <w:spacing w:after="0"/>
        <w:rPr>
          <w:sz w:val="20"/>
          <w:szCs w:val="20"/>
          <w:color w:val="auto"/>
        </w:rPr>
      </w:pPr>
      <w:r>
        <w:rPr>
          <w:rFonts w:ascii="Times New Roman" w:cs="Times New Roman" w:eastAsia="Times New Roman" w:hAnsi="Times New Roman"/>
          <w:sz w:val="13"/>
          <w:szCs w:val="13"/>
          <w:color w:val="005AFF"/>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Cross-reference table to Form 20-F</w:t>
      </w:r>
    </w:p>
    <w:p>
      <w:pPr>
        <w:spacing w:after="0" w:line="200" w:lineRule="exact"/>
        <w:rPr>
          <w:sz w:val="20"/>
          <w:szCs w:val="20"/>
          <w:color w:val="auto"/>
        </w:rPr>
      </w:pPr>
    </w:p>
    <w:p>
      <w:pPr>
        <w:spacing w:after="0" w:line="289" w:lineRule="exact"/>
        <w:rPr>
          <w:sz w:val="20"/>
          <w:szCs w:val="20"/>
          <w:color w:val="auto"/>
        </w:rPr>
      </w:pPr>
    </w:p>
    <w:tbl>
      <w:tblPr>
        <w:tblLayout w:type="fixed"/>
        <w:tblInd w:w="0" w:type="dxa"/>
        <w:tblCellMar>
          <w:top w:w="0" w:type="dxa"/>
          <w:left w:w="0" w:type="dxa"/>
          <w:bottom w:w="0" w:type="dxa"/>
          <w:right w:w="0" w:type="dxa"/>
        </w:tblCellMar>
      </w:tblPr>
      <w:tr>
        <w:trPr>
          <w:trHeight w:val="121"/>
        </w:trPr>
        <w:tc>
          <w:tcPr>
            <w:tcW w:w="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Form 20-F</w:t>
            </w: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32"/>
        </w:trPr>
        <w:tc>
          <w:tcPr>
            <w:tcW w:w="78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auto"/>
              </w:rPr>
              <w:t>Item Number</w:t>
            </w:r>
          </w:p>
        </w:tc>
        <w:tc>
          <w:tcPr>
            <w:tcW w:w="1960" w:type="dxa"/>
            <w:vAlign w:val="bottom"/>
          </w:tcPr>
          <w:p>
            <w:pPr>
              <w:ind w:left="80"/>
              <w:spacing w:after="0"/>
              <w:rPr>
                <w:sz w:val="20"/>
                <w:szCs w:val="20"/>
                <w:color w:val="auto"/>
              </w:rPr>
            </w:pPr>
            <w:r>
              <w:rPr>
                <w:rFonts w:ascii="Times New Roman" w:cs="Times New Roman" w:eastAsia="Times New Roman" w:hAnsi="Times New Roman"/>
                <w:sz w:val="10"/>
                <w:szCs w:val="10"/>
                <w:b w:val="1"/>
                <w:bCs w:val="1"/>
                <w:color w:val="auto"/>
              </w:rPr>
              <w:t>Form 20-F Heading</w:t>
            </w: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10"/>
                <w:szCs w:val="10"/>
                <w:b w:val="1"/>
                <w:bCs w:val="1"/>
                <w:color w:val="auto"/>
              </w:rPr>
              <w:t>Section in Document</w:t>
            </w:r>
          </w:p>
        </w:tc>
        <w:tc>
          <w:tcPr>
            <w:tcW w:w="120" w:type="dxa"/>
            <w:vAlign w:val="bottom"/>
          </w:tcPr>
          <w:p>
            <w:pPr>
              <w:spacing w:after="0"/>
              <w:rPr>
                <w:sz w:val="11"/>
                <w:szCs w:val="11"/>
                <w:color w:val="auto"/>
              </w:rPr>
            </w:pPr>
          </w:p>
        </w:tc>
        <w:tc>
          <w:tcPr>
            <w:tcW w:w="94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400" w:type="dxa"/>
            <w:vAlign w:val="bottom"/>
          </w:tcPr>
          <w:p>
            <w:pPr>
              <w:spacing w:after="0"/>
              <w:rPr>
                <w:sz w:val="11"/>
                <w:szCs w:val="11"/>
                <w:color w:val="auto"/>
              </w:rPr>
            </w:pPr>
          </w:p>
        </w:tc>
        <w:tc>
          <w:tcPr>
            <w:tcW w:w="1380" w:type="dxa"/>
            <w:vAlign w:val="bottom"/>
          </w:tcPr>
          <w:p>
            <w:pPr>
              <w:spacing w:after="0"/>
              <w:rPr>
                <w:sz w:val="11"/>
                <w:szCs w:val="11"/>
                <w:color w:val="auto"/>
              </w:rPr>
            </w:pPr>
          </w:p>
        </w:tc>
        <w:tc>
          <w:tcPr>
            <w:tcW w:w="900" w:type="dxa"/>
            <w:vAlign w:val="bottom"/>
          </w:tcPr>
          <w:p>
            <w:pPr>
              <w:spacing w:after="0"/>
              <w:rPr>
                <w:sz w:val="11"/>
                <w:szCs w:val="11"/>
                <w:color w:val="auto"/>
              </w:rPr>
            </w:pPr>
          </w:p>
        </w:tc>
      </w:tr>
      <w:tr>
        <w:trPr>
          <w:trHeight w:val="139"/>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IDENTITY OF DIRECTORS, SENIOR</w:t>
            </w: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N/A</w:t>
            </w:r>
          </w:p>
        </w:tc>
        <w:tc>
          <w:tcPr>
            <w:tcW w:w="920" w:type="dxa"/>
            <w:vAlign w:val="bottom"/>
          </w:tcPr>
          <w:p>
            <w:pPr>
              <w:spacing w:after="0"/>
              <w:rPr>
                <w:sz w:val="12"/>
                <w:szCs w:val="12"/>
                <w:color w:val="auto"/>
              </w:rPr>
            </w:pPr>
          </w:p>
        </w:tc>
        <w:tc>
          <w:tcPr>
            <w:tcW w:w="120" w:type="dxa"/>
            <w:vAlign w:val="bottom"/>
          </w:tcPr>
          <w:p>
            <w:pPr>
              <w:spacing w:after="0"/>
              <w:rPr>
                <w:sz w:val="12"/>
                <w:szCs w:val="12"/>
                <w:color w:val="auto"/>
              </w:rPr>
            </w:pPr>
          </w:p>
        </w:tc>
        <w:tc>
          <w:tcPr>
            <w:tcW w:w="9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620" w:type="dxa"/>
            <w:vAlign w:val="bottom"/>
          </w:tcPr>
          <w:p>
            <w:pPr>
              <w:spacing w:after="0"/>
              <w:rPr>
                <w:sz w:val="12"/>
                <w:szCs w:val="12"/>
                <w:color w:val="auto"/>
              </w:rPr>
            </w:pPr>
          </w:p>
        </w:tc>
        <w:tc>
          <w:tcPr>
            <w:tcW w:w="8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1380" w:type="dxa"/>
            <w:vAlign w:val="bottom"/>
          </w:tcPr>
          <w:p>
            <w:pPr>
              <w:spacing w:after="0"/>
              <w:rPr>
                <w:sz w:val="12"/>
                <w:szCs w:val="12"/>
                <w:color w:val="auto"/>
              </w:rPr>
            </w:pPr>
          </w:p>
        </w:tc>
        <w:tc>
          <w:tcPr>
            <w:tcW w:w="900" w:type="dxa"/>
            <w:vAlign w:val="bottom"/>
          </w:tcPr>
          <w:p>
            <w:pPr>
              <w:spacing w:after="0"/>
              <w:rPr>
                <w:sz w:val="12"/>
                <w:szCs w:val="12"/>
                <w:color w:val="auto"/>
              </w:rPr>
            </w:pP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MANAGEMENT AND ADVISERS</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23"/>
        </w:trPr>
        <w:tc>
          <w:tcPr>
            <w:tcW w:w="540" w:type="dxa"/>
            <w:vAlign w:val="bottom"/>
            <w:tcBorders>
              <w:bottom w:val="single" w:sz="8" w:color="auto"/>
            </w:tcBorders>
          </w:tcPr>
          <w:p>
            <w:pPr>
              <w:spacing w:after="0" w:line="20" w:lineRule="exact"/>
              <w:rPr>
                <w:sz w:val="1"/>
                <w:szCs w:val="1"/>
                <w:color w:val="auto"/>
              </w:rPr>
            </w:pPr>
          </w:p>
        </w:tc>
        <w:tc>
          <w:tcPr>
            <w:tcW w:w="240" w:type="dxa"/>
            <w:vAlign w:val="bottom"/>
            <w:tcBorders>
              <w:bottom w:val="single" w:sz="8" w:color="auto"/>
            </w:tcBorders>
          </w:tcPr>
          <w:p>
            <w:pPr>
              <w:spacing w:after="0" w:line="20" w:lineRule="exact"/>
              <w:rPr>
                <w:sz w:val="1"/>
                <w:szCs w:val="1"/>
                <w:color w:val="auto"/>
              </w:rPr>
            </w:pPr>
          </w:p>
        </w:tc>
        <w:tc>
          <w:tcPr>
            <w:tcW w:w="1960" w:type="dxa"/>
            <w:vAlign w:val="bottom"/>
            <w:tcBorders>
              <w:bottom w:val="single" w:sz="8" w:color="auto"/>
            </w:tcBorders>
          </w:tcPr>
          <w:p>
            <w:pPr>
              <w:spacing w:after="0" w:line="20" w:lineRule="exact"/>
              <w:rPr>
                <w:sz w:val="1"/>
                <w:szCs w:val="1"/>
                <w:color w:val="auto"/>
              </w:rPr>
            </w:pPr>
          </w:p>
        </w:tc>
        <w:tc>
          <w:tcPr>
            <w:tcW w:w="800" w:type="dxa"/>
            <w:vAlign w:val="bottom"/>
            <w:tcBorders>
              <w:bottom w:val="single" w:sz="8" w:color="auto"/>
            </w:tcBorders>
          </w:tcPr>
          <w:p>
            <w:pPr>
              <w:spacing w:after="0" w:line="20" w:lineRule="exact"/>
              <w:rPr>
                <w:sz w:val="1"/>
                <w:szCs w:val="1"/>
                <w:color w:val="auto"/>
              </w:rPr>
            </w:pPr>
          </w:p>
        </w:tc>
        <w:tc>
          <w:tcPr>
            <w:tcW w:w="920" w:type="dxa"/>
            <w:vAlign w:val="bottom"/>
            <w:tcBorders>
              <w:bottom w:val="single" w:sz="8" w:color="auto"/>
            </w:tcBorders>
          </w:tcPr>
          <w:p>
            <w:pPr>
              <w:spacing w:after="0" w:line="20" w:lineRule="exact"/>
              <w:rPr>
                <w:sz w:val="1"/>
                <w:szCs w:val="1"/>
                <w:color w:val="auto"/>
              </w:rPr>
            </w:pPr>
          </w:p>
        </w:tc>
        <w:tc>
          <w:tcPr>
            <w:tcW w:w="120" w:type="dxa"/>
            <w:vAlign w:val="bottom"/>
            <w:tcBorders>
              <w:bottom w:val="single" w:sz="8" w:color="auto"/>
            </w:tcBorders>
          </w:tcPr>
          <w:p>
            <w:pPr>
              <w:spacing w:after="0" w:line="20" w:lineRule="exact"/>
              <w:rPr>
                <w:sz w:val="1"/>
                <w:szCs w:val="1"/>
                <w:color w:val="auto"/>
              </w:rPr>
            </w:pPr>
          </w:p>
        </w:tc>
        <w:tc>
          <w:tcPr>
            <w:tcW w:w="940" w:type="dxa"/>
            <w:vAlign w:val="bottom"/>
            <w:tcBorders>
              <w:bottom w:val="single" w:sz="8" w:color="auto"/>
            </w:tcBorders>
          </w:tcPr>
          <w:p>
            <w:pPr>
              <w:spacing w:after="0" w:line="20" w:lineRule="exact"/>
              <w:rPr>
                <w:sz w:val="1"/>
                <w:szCs w:val="1"/>
                <w:color w:val="auto"/>
              </w:rPr>
            </w:pPr>
          </w:p>
        </w:tc>
        <w:tc>
          <w:tcPr>
            <w:tcW w:w="380" w:type="dxa"/>
            <w:vAlign w:val="bottom"/>
            <w:tcBorders>
              <w:bottom w:val="single" w:sz="8" w:color="auto"/>
            </w:tcBorders>
          </w:tcPr>
          <w:p>
            <w:pPr>
              <w:spacing w:after="0" w:line="20" w:lineRule="exact"/>
              <w:rPr>
                <w:sz w:val="1"/>
                <w:szCs w:val="1"/>
                <w:color w:val="auto"/>
              </w:rPr>
            </w:pPr>
          </w:p>
        </w:tc>
        <w:tc>
          <w:tcPr>
            <w:tcW w:w="620" w:type="dxa"/>
            <w:vAlign w:val="bottom"/>
            <w:tcBorders>
              <w:bottom w:val="single" w:sz="8" w:color="auto"/>
            </w:tcBorders>
          </w:tcPr>
          <w:p>
            <w:pPr>
              <w:spacing w:after="0" w:line="20" w:lineRule="exact"/>
              <w:rPr>
                <w:sz w:val="1"/>
                <w:szCs w:val="1"/>
                <w:color w:val="auto"/>
              </w:rPr>
            </w:pPr>
          </w:p>
        </w:tc>
        <w:tc>
          <w:tcPr>
            <w:tcW w:w="840" w:type="dxa"/>
            <w:vAlign w:val="bottom"/>
            <w:tcBorders>
              <w:bottom w:val="single" w:sz="8" w:color="auto"/>
            </w:tcBorders>
          </w:tcPr>
          <w:p>
            <w:pPr>
              <w:spacing w:after="0" w:line="20" w:lineRule="exact"/>
              <w:rPr>
                <w:sz w:val="1"/>
                <w:szCs w:val="1"/>
                <w:color w:val="auto"/>
              </w:rPr>
            </w:pPr>
          </w:p>
        </w:tc>
        <w:tc>
          <w:tcPr>
            <w:tcW w:w="400" w:type="dxa"/>
            <w:vAlign w:val="bottom"/>
            <w:tcBorders>
              <w:bottom w:val="single" w:sz="8" w:color="auto"/>
            </w:tcBorders>
          </w:tcPr>
          <w:p>
            <w:pPr>
              <w:spacing w:after="0" w:line="20" w:lineRule="exact"/>
              <w:rPr>
                <w:sz w:val="1"/>
                <w:szCs w:val="1"/>
                <w:color w:val="auto"/>
              </w:rPr>
            </w:pPr>
          </w:p>
        </w:tc>
        <w:tc>
          <w:tcPr>
            <w:tcW w:w="1380" w:type="dxa"/>
            <w:vAlign w:val="bottom"/>
            <w:tcBorders>
              <w:bottom w:val="single" w:sz="8" w:color="auto"/>
            </w:tcBorders>
          </w:tcPr>
          <w:p>
            <w:pPr>
              <w:spacing w:after="0" w:line="20" w:lineRule="exact"/>
              <w:rPr>
                <w:sz w:val="1"/>
                <w:szCs w:val="1"/>
                <w:color w:val="auto"/>
              </w:rPr>
            </w:pPr>
          </w:p>
        </w:tc>
        <w:tc>
          <w:tcPr>
            <w:tcW w:w="900" w:type="dxa"/>
            <w:vAlign w:val="bottom"/>
            <w:tcBorders>
              <w:bottom w:val="single" w:sz="8" w:color="auto"/>
            </w:tcBorders>
          </w:tcPr>
          <w:p>
            <w:pPr>
              <w:spacing w:after="0" w:line="20" w:lineRule="exact"/>
              <w:rPr>
                <w:sz w:val="1"/>
                <w:szCs w:val="1"/>
                <w:color w:val="auto"/>
              </w:rPr>
            </w:pPr>
          </w:p>
        </w:tc>
      </w:tr>
      <w:tr>
        <w:trPr>
          <w:trHeight w:val="108"/>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2</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OFFER STATISTICS AND EXPECTED</w:t>
            </w: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N/A</w:t>
            </w:r>
          </w:p>
        </w:tc>
        <w:tc>
          <w:tcPr>
            <w:tcW w:w="920" w:type="dxa"/>
            <w:vAlign w:val="bottom"/>
          </w:tcPr>
          <w:p>
            <w:pPr>
              <w:spacing w:after="0"/>
              <w:rPr>
                <w:sz w:val="9"/>
                <w:szCs w:val="9"/>
                <w:color w:val="auto"/>
              </w:rPr>
            </w:pPr>
          </w:p>
        </w:tc>
        <w:tc>
          <w:tcPr>
            <w:tcW w:w="120" w:type="dxa"/>
            <w:vAlign w:val="bottom"/>
          </w:tcPr>
          <w:p>
            <w:pPr>
              <w:spacing w:after="0"/>
              <w:rPr>
                <w:sz w:val="9"/>
                <w:szCs w:val="9"/>
                <w:color w:val="auto"/>
              </w:rPr>
            </w:pPr>
          </w:p>
        </w:tc>
        <w:tc>
          <w:tcPr>
            <w:tcW w:w="940" w:type="dxa"/>
            <w:vAlign w:val="bottom"/>
          </w:tcPr>
          <w:p>
            <w:pPr>
              <w:spacing w:after="0"/>
              <w:rPr>
                <w:sz w:val="9"/>
                <w:szCs w:val="9"/>
                <w:color w:val="auto"/>
              </w:rPr>
            </w:pPr>
          </w:p>
        </w:tc>
        <w:tc>
          <w:tcPr>
            <w:tcW w:w="380" w:type="dxa"/>
            <w:vAlign w:val="bottom"/>
          </w:tcPr>
          <w:p>
            <w:pPr>
              <w:spacing w:after="0"/>
              <w:rPr>
                <w:sz w:val="9"/>
                <w:szCs w:val="9"/>
                <w:color w:val="auto"/>
              </w:rPr>
            </w:pPr>
          </w:p>
        </w:tc>
        <w:tc>
          <w:tcPr>
            <w:tcW w:w="620" w:type="dxa"/>
            <w:vAlign w:val="bottom"/>
          </w:tcPr>
          <w:p>
            <w:pPr>
              <w:spacing w:after="0"/>
              <w:rPr>
                <w:sz w:val="9"/>
                <w:szCs w:val="9"/>
                <w:color w:val="auto"/>
              </w:rPr>
            </w:pPr>
          </w:p>
        </w:tc>
        <w:tc>
          <w:tcPr>
            <w:tcW w:w="840" w:type="dxa"/>
            <w:vAlign w:val="bottom"/>
          </w:tcPr>
          <w:p>
            <w:pPr>
              <w:spacing w:after="0"/>
              <w:rPr>
                <w:sz w:val="9"/>
                <w:szCs w:val="9"/>
                <w:color w:val="auto"/>
              </w:rPr>
            </w:pPr>
          </w:p>
        </w:tc>
        <w:tc>
          <w:tcPr>
            <w:tcW w:w="400" w:type="dxa"/>
            <w:vAlign w:val="bottom"/>
          </w:tcPr>
          <w:p>
            <w:pPr>
              <w:spacing w:after="0"/>
              <w:rPr>
                <w:sz w:val="9"/>
                <w:szCs w:val="9"/>
                <w:color w:val="auto"/>
              </w:rPr>
            </w:pPr>
          </w:p>
        </w:tc>
        <w:tc>
          <w:tcPr>
            <w:tcW w:w="1380" w:type="dxa"/>
            <w:vAlign w:val="bottom"/>
          </w:tcPr>
          <w:p>
            <w:pPr>
              <w:spacing w:after="0"/>
              <w:rPr>
                <w:sz w:val="9"/>
                <w:szCs w:val="9"/>
                <w:color w:val="auto"/>
              </w:rPr>
            </w:pPr>
          </w:p>
        </w:tc>
        <w:tc>
          <w:tcPr>
            <w:tcW w:w="900" w:type="dxa"/>
            <w:vAlign w:val="bottom"/>
          </w:tcPr>
          <w:p>
            <w:pPr>
              <w:spacing w:after="0"/>
              <w:rPr>
                <w:sz w:val="9"/>
                <w:szCs w:val="9"/>
                <w:color w:val="auto"/>
              </w:rPr>
            </w:pP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TIMETABLE</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23"/>
        </w:trPr>
        <w:tc>
          <w:tcPr>
            <w:tcW w:w="540" w:type="dxa"/>
            <w:vAlign w:val="bottom"/>
            <w:tcBorders>
              <w:bottom w:val="single" w:sz="8" w:color="auto"/>
            </w:tcBorders>
          </w:tcPr>
          <w:p>
            <w:pPr>
              <w:spacing w:after="0" w:line="20" w:lineRule="exact"/>
              <w:rPr>
                <w:sz w:val="1"/>
                <w:szCs w:val="1"/>
                <w:color w:val="auto"/>
              </w:rPr>
            </w:pPr>
          </w:p>
        </w:tc>
        <w:tc>
          <w:tcPr>
            <w:tcW w:w="240" w:type="dxa"/>
            <w:vAlign w:val="bottom"/>
            <w:tcBorders>
              <w:bottom w:val="single" w:sz="8" w:color="auto"/>
            </w:tcBorders>
          </w:tcPr>
          <w:p>
            <w:pPr>
              <w:spacing w:after="0" w:line="20" w:lineRule="exact"/>
              <w:rPr>
                <w:sz w:val="1"/>
                <w:szCs w:val="1"/>
                <w:color w:val="auto"/>
              </w:rPr>
            </w:pPr>
          </w:p>
        </w:tc>
        <w:tc>
          <w:tcPr>
            <w:tcW w:w="1960" w:type="dxa"/>
            <w:vAlign w:val="bottom"/>
            <w:tcBorders>
              <w:bottom w:val="single" w:sz="8" w:color="auto"/>
            </w:tcBorders>
          </w:tcPr>
          <w:p>
            <w:pPr>
              <w:spacing w:after="0" w:line="20" w:lineRule="exact"/>
              <w:rPr>
                <w:sz w:val="1"/>
                <w:szCs w:val="1"/>
                <w:color w:val="auto"/>
              </w:rPr>
            </w:pPr>
          </w:p>
        </w:tc>
        <w:tc>
          <w:tcPr>
            <w:tcW w:w="800" w:type="dxa"/>
            <w:vAlign w:val="bottom"/>
            <w:tcBorders>
              <w:bottom w:val="single" w:sz="8" w:color="auto"/>
            </w:tcBorders>
          </w:tcPr>
          <w:p>
            <w:pPr>
              <w:spacing w:after="0" w:line="20" w:lineRule="exact"/>
              <w:rPr>
                <w:sz w:val="1"/>
                <w:szCs w:val="1"/>
                <w:color w:val="auto"/>
              </w:rPr>
            </w:pPr>
          </w:p>
        </w:tc>
        <w:tc>
          <w:tcPr>
            <w:tcW w:w="920" w:type="dxa"/>
            <w:vAlign w:val="bottom"/>
            <w:tcBorders>
              <w:bottom w:val="single" w:sz="8" w:color="auto"/>
            </w:tcBorders>
          </w:tcPr>
          <w:p>
            <w:pPr>
              <w:spacing w:after="0" w:line="20" w:lineRule="exact"/>
              <w:rPr>
                <w:sz w:val="1"/>
                <w:szCs w:val="1"/>
                <w:color w:val="auto"/>
              </w:rPr>
            </w:pPr>
          </w:p>
        </w:tc>
        <w:tc>
          <w:tcPr>
            <w:tcW w:w="120" w:type="dxa"/>
            <w:vAlign w:val="bottom"/>
            <w:tcBorders>
              <w:bottom w:val="single" w:sz="8" w:color="auto"/>
            </w:tcBorders>
          </w:tcPr>
          <w:p>
            <w:pPr>
              <w:spacing w:after="0" w:line="20" w:lineRule="exact"/>
              <w:rPr>
                <w:sz w:val="1"/>
                <w:szCs w:val="1"/>
                <w:color w:val="auto"/>
              </w:rPr>
            </w:pPr>
          </w:p>
        </w:tc>
        <w:tc>
          <w:tcPr>
            <w:tcW w:w="940" w:type="dxa"/>
            <w:vAlign w:val="bottom"/>
            <w:tcBorders>
              <w:bottom w:val="single" w:sz="8" w:color="auto"/>
            </w:tcBorders>
          </w:tcPr>
          <w:p>
            <w:pPr>
              <w:spacing w:after="0" w:line="20" w:lineRule="exact"/>
              <w:rPr>
                <w:sz w:val="1"/>
                <w:szCs w:val="1"/>
                <w:color w:val="auto"/>
              </w:rPr>
            </w:pPr>
          </w:p>
        </w:tc>
        <w:tc>
          <w:tcPr>
            <w:tcW w:w="380" w:type="dxa"/>
            <w:vAlign w:val="bottom"/>
            <w:tcBorders>
              <w:bottom w:val="single" w:sz="8" w:color="auto"/>
            </w:tcBorders>
          </w:tcPr>
          <w:p>
            <w:pPr>
              <w:spacing w:after="0" w:line="20" w:lineRule="exact"/>
              <w:rPr>
                <w:sz w:val="1"/>
                <w:szCs w:val="1"/>
                <w:color w:val="auto"/>
              </w:rPr>
            </w:pPr>
          </w:p>
        </w:tc>
        <w:tc>
          <w:tcPr>
            <w:tcW w:w="620" w:type="dxa"/>
            <w:vAlign w:val="bottom"/>
            <w:tcBorders>
              <w:bottom w:val="single" w:sz="8" w:color="auto"/>
            </w:tcBorders>
          </w:tcPr>
          <w:p>
            <w:pPr>
              <w:spacing w:after="0" w:line="20" w:lineRule="exact"/>
              <w:rPr>
                <w:sz w:val="1"/>
                <w:szCs w:val="1"/>
                <w:color w:val="auto"/>
              </w:rPr>
            </w:pPr>
          </w:p>
        </w:tc>
        <w:tc>
          <w:tcPr>
            <w:tcW w:w="840" w:type="dxa"/>
            <w:vAlign w:val="bottom"/>
            <w:tcBorders>
              <w:bottom w:val="single" w:sz="8" w:color="auto"/>
            </w:tcBorders>
          </w:tcPr>
          <w:p>
            <w:pPr>
              <w:spacing w:after="0" w:line="20" w:lineRule="exact"/>
              <w:rPr>
                <w:sz w:val="1"/>
                <w:szCs w:val="1"/>
                <w:color w:val="auto"/>
              </w:rPr>
            </w:pPr>
          </w:p>
        </w:tc>
        <w:tc>
          <w:tcPr>
            <w:tcW w:w="400" w:type="dxa"/>
            <w:vAlign w:val="bottom"/>
            <w:tcBorders>
              <w:bottom w:val="single" w:sz="8" w:color="auto"/>
            </w:tcBorders>
          </w:tcPr>
          <w:p>
            <w:pPr>
              <w:spacing w:after="0" w:line="20" w:lineRule="exact"/>
              <w:rPr>
                <w:sz w:val="1"/>
                <w:szCs w:val="1"/>
                <w:color w:val="auto"/>
              </w:rPr>
            </w:pPr>
          </w:p>
        </w:tc>
        <w:tc>
          <w:tcPr>
            <w:tcW w:w="1380" w:type="dxa"/>
            <w:vAlign w:val="bottom"/>
            <w:tcBorders>
              <w:bottom w:val="single" w:sz="8" w:color="auto"/>
            </w:tcBorders>
          </w:tcPr>
          <w:p>
            <w:pPr>
              <w:spacing w:after="0" w:line="20" w:lineRule="exact"/>
              <w:rPr>
                <w:sz w:val="1"/>
                <w:szCs w:val="1"/>
                <w:color w:val="auto"/>
              </w:rPr>
            </w:pPr>
          </w:p>
        </w:tc>
        <w:tc>
          <w:tcPr>
            <w:tcW w:w="900" w:type="dxa"/>
            <w:vAlign w:val="bottom"/>
            <w:tcBorders>
              <w:bottom w:val="single" w:sz="8" w:color="auto"/>
            </w:tcBorders>
          </w:tcPr>
          <w:p>
            <w:pPr>
              <w:spacing w:after="0" w:line="20" w:lineRule="exact"/>
              <w:rPr>
                <w:sz w:val="1"/>
                <w:szCs w:val="1"/>
                <w:color w:val="auto"/>
              </w:rPr>
            </w:pPr>
          </w:p>
        </w:tc>
      </w:tr>
      <w:tr>
        <w:trPr>
          <w:trHeight w:val="119"/>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3</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KEY INFORMATION</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52"/>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3A</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[Reserved]</w:t>
            </w:r>
          </w:p>
        </w:tc>
        <w:tc>
          <w:tcPr>
            <w:tcW w:w="800" w:type="dxa"/>
            <w:vAlign w:val="bottom"/>
          </w:tcPr>
          <w:p>
            <w:pPr>
              <w:spacing w:after="0"/>
              <w:rPr>
                <w:sz w:val="13"/>
                <w:szCs w:val="13"/>
                <w:color w:val="auto"/>
              </w:rPr>
            </w:pPr>
          </w:p>
        </w:tc>
        <w:tc>
          <w:tcPr>
            <w:tcW w:w="92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940" w:type="dxa"/>
            <w:vAlign w:val="bottom"/>
          </w:tcPr>
          <w:p>
            <w:pPr>
              <w:spacing w:after="0"/>
              <w:rPr>
                <w:sz w:val="13"/>
                <w:szCs w:val="13"/>
                <w:color w:val="auto"/>
              </w:rPr>
            </w:pPr>
          </w:p>
        </w:tc>
        <w:tc>
          <w:tcPr>
            <w:tcW w:w="38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400" w:type="dxa"/>
            <w:vAlign w:val="bottom"/>
          </w:tcPr>
          <w:p>
            <w:pPr>
              <w:spacing w:after="0"/>
              <w:rPr>
                <w:sz w:val="13"/>
                <w:szCs w:val="13"/>
                <w:color w:val="auto"/>
              </w:rPr>
            </w:pPr>
          </w:p>
        </w:tc>
        <w:tc>
          <w:tcPr>
            <w:tcW w:w="1380" w:type="dxa"/>
            <w:vAlign w:val="bottom"/>
          </w:tcPr>
          <w:p>
            <w:pPr>
              <w:spacing w:after="0"/>
              <w:rPr>
                <w:sz w:val="13"/>
                <w:szCs w:val="13"/>
                <w:color w:val="auto"/>
              </w:rPr>
            </w:pPr>
          </w:p>
        </w:tc>
        <w:tc>
          <w:tcPr>
            <w:tcW w:w="900" w:type="dxa"/>
            <w:vAlign w:val="bottom"/>
          </w:tcPr>
          <w:p>
            <w:pPr>
              <w:spacing w:after="0"/>
              <w:rPr>
                <w:sz w:val="13"/>
                <w:szCs w:val="13"/>
                <w:color w:val="auto"/>
              </w:rPr>
            </w:pPr>
          </w:p>
        </w:tc>
      </w:tr>
      <w:tr>
        <w:trPr>
          <w:trHeight w:val="152"/>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3B</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Capitalization and Indebtedness</w:t>
            </w: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N/A</w:t>
            </w:r>
          </w:p>
        </w:tc>
        <w:tc>
          <w:tcPr>
            <w:tcW w:w="92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940" w:type="dxa"/>
            <w:vAlign w:val="bottom"/>
          </w:tcPr>
          <w:p>
            <w:pPr>
              <w:spacing w:after="0"/>
              <w:rPr>
                <w:sz w:val="13"/>
                <w:szCs w:val="13"/>
                <w:color w:val="auto"/>
              </w:rPr>
            </w:pPr>
          </w:p>
        </w:tc>
        <w:tc>
          <w:tcPr>
            <w:tcW w:w="38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400" w:type="dxa"/>
            <w:vAlign w:val="bottom"/>
          </w:tcPr>
          <w:p>
            <w:pPr>
              <w:spacing w:after="0"/>
              <w:rPr>
                <w:sz w:val="13"/>
                <w:szCs w:val="13"/>
                <w:color w:val="auto"/>
              </w:rPr>
            </w:pPr>
          </w:p>
        </w:tc>
        <w:tc>
          <w:tcPr>
            <w:tcW w:w="1380" w:type="dxa"/>
            <w:vAlign w:val="bottom"/>
          </w:tcPr>
          <w:p>
            <w:pPr>
              <w:spacing w:after="0"/>
              <w:rPr>
                <w:sz w:val="13"/>
                <w:szCs w:val="13"/>
                <w:color w:val="auto"/>
              </w:rPr>
            </w:pPr>
          </w:p>
        </w:tc>
        <w:tc>
          <w:tcPr>
            <w:tcW w:w="900" w:type="dxa"/>
            <w:vAlign w:val="bottom"/>
          </w:tcPr>
          <w:p>
            <w:pPr>
              <w:spacing w:after="0"/>
              <w:rPr>
                <w:sz w:val="13"/>
                <w:szCs w:val="13"/>
                <w:color w:val="auto"/>
              </w:rPr>
            </w:pPr>
          </w:p>
        </w:tc>
      </w:tr>
      <w:tr>
        <w:trPr>
          <w:trHeight w:val="152"/>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3C</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Reasons for the Offer and Use of Proceeds</w:t>
            </w: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N/A</w:t>
            </w:r>
          </w:p>
        </w:tc>
        <w:tc>
          <w:tcPr>
            <w:tcW w:w="92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940" w:type="dxa"/>
            <w:vAlign w:val="bottom"/>
          </w:tcPr>
          <w:p>
            <w:pPr>
              <w:spacing w:after="0"/>
              <w:rPr>
                <w:sz w:val="13"/>
                <w:szCs w:val="13"/>
                <w:color w:val="auto"/>
              </w:rPr>
            </w:pPr>
          </w:p>
        </w:tc>
        <w:tc>
          <w:tcPr>
            <w:tcW w:w="38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400" w:type="dxa"/>
            <w:vAlign w:val="bottom"/>
          </w:tcPr>
          <w:p>
            <w:pPr>
              <w:spacing w:after="0"/>
              <w:rPr>
                <w:sz w:val="13"/>
                <w:szCs w:val="13"/>
                <w:color w:val="auto"/>
              </w:rPr>
            </w:pPr>
          </w:p>
        </w:tc>
        <w:tc>
          <w:tcPr>
            <w:tcW w:w="1380" w:type="dxa"/>
            <w:vAlign w:val="bottom"/>
          </w:tcPr>
          <w:p>
            <w:pPr>
              <w:spacing w:after="0"/>
              <w:rPr>
                <w:sz w:val="13"/>
                <w:szCs w:val="13"/>
                <w:color w:val="auto"/>
              </w:rPr>
            </w:pPr>
          </w:p>
        </w:tc>
        <w:tc>
          <w:tcPr>
            <w:tcW w:w="900" w:type="dxa"/>
            <w:vAlign w:val="bottom"/>
          </w:tcPr>
          <w:p>
            <w:pPr>
              <w:spacing w:after="0"/>
              <w:rPr>
                <w:sz w:val="13"/>
                <w:szCs w:val="13"/>
                <w:color w:val="auto"/>
              </w:rPr>
            </w:pPr>
          </w:p>
        </w:tc>
      </w:tr>
      <w:tr>
        <w:trPr>
          <w:trHeight w:val="158"/>
        </w:trPr>
        <w:tc>
          <w:tcPr>
            <w:tcW w:w="540" w:type="dxa"/>
            <w:vAlign w:val="bottom"/>
            <w:tcBorders>
              <w:bottom w:val="single" w:sz="8" w:color="auto"/>
            </w:tcBorders>
          </w:tcPr>
          <w:p>
            <w:pPr>
              <w:spacing w:after="0"/>
              <w:rPr>
                <w:sz w:val="13"/>
                <w:szCs w:val="13"/>
                <w:color w:val="auto"/>
              </w:rPr>
            </w:pPr>
          </w:p>
        </w:tc>
        <w:tc>
          <w:tcPr>
            <w:tcW w:w="24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3D</w:t>
            </w:r>
          </w:p>
        </w:tc>
        <w:tc>
          <w:tcPr>
            <w:tcW w:w="1960" w:type="dxa"/>
            <w:vAlign w:val="bottom"/>
            <w:tcBorders>
              <w:bottom w:val="single" w:sz="8" w:color="auto"/>
            </w:tcBorders>
          </w:tcPr>
          <w:p>
            <w:pPr>
              <w:ind w:left="80"/>
              <w:spacing w:after="0"/>
              <w:rPr>
                <w:sz w:val="20"/>
                <w:szCs w:val="20"/>
                <w:color w:val="auto"/>
              </w:rPr>
            </w:pPr>
            <w:r>
              <w:rPr>
                <w:rFonts w:ascii="Times New Roman" w:cs="Times New Roman" w:eastAsia="Times New Roman" w:hAnsi="Times New Roman"/>
                <w:sz w:val="9"/>
                <w:szCs w:val="9"/>
                <w:color w:val="0D0D0D"/>
              </w:rPr>
              <w:t>Risk Factors</w:t>
            </w:r>
          </w:p>
        </w:tc>
        <w:tc>
          <w:tcPr>
            <w:tcW w:w="2780" w:type="dxa"/>
            <w:vAlign w:val="bottom"/>
            <w:tcBorders>
              <w:bottom w:val="single" w:sz="8" w:color="auto"/>
            </w:tcBorders>
            <w:gridSpan w:val="4"/>
          </w:tcPr>
          <w:p>
            <w:pPr>
              <w:ind w:left="20"/>
              <w:spacing w:after="0"/>
              <w:rPr>
                <w:sz w:val="20"/>
                <w:szCs w:val="20"/>
                <w:color w:val="auto"/>
              </w:rPr>
            </w:pPr>
            <w:r>
              <w:rPr>
                <w:rFonts w:ascii="Times New Roman" w:cs="Times New Roman" w:eastAsia="Times New Roman" w:hAnsi="Times New Roman"/>
                <w:sz w:val="9"/>
                <w:szCs w:val="9"/>
                <w:color w:val="0D0D0D"/>
              </w:rPr>
              <w:t>Operating and financial review and prospects—Risk factors</w:t>
            </w:r>
          </w:p>
        </w:tc>
        <w:tc>
          <w:tcPr>
            <w:tcW w:w="380" w:type="dxa"/>
            <w:vAlign w:val="bottom"/>
            <w:tcBorders>
              <w:bottom w:val="single" w:sz="8" w:color="auto"/>
            </w:tcBorders>
          </w:tcPr>
          <w:p>
            <w:pPr>
              <w:spacing w:after="0"/>
              <w:rPr>
                <w:sz w:val="13"/>
                <w:szCs w:val="13"/>
                <w:color w:val="auto"/>
              </w:rPr>
            </w:pPr>
          </w:p>
        </w:tc>
        <w:tc>
          <w:tcPr>
            <w:tcW w:w="620" w:type="dxa"/>
            <w:vAlign w:val="bottom"/>
            <w:tcBorders>
              <w:bottom w:val="single" w:sz="8" w:color="auto"/>
            </w:tcBorders>
          </w:tcPr>
          <w:p>
            <w:pPr>
              <w:spacing w:after="0"/>
              <w:rPr>
                <w:sz w:val="13"/>
                <w:szCs w:val="13"/>
                <w:color w:val="auto"/>
              </w:rPr>
            </w:pPr>
          </w:p>
        </w:tc>
        <w:tc>
          <w:tcPr>
            <w:tcW w:w="840" w:type="dxa"/>
            <w:vAlign w:val="bottom"/>
            <w:tcBorders>
              <w:bottom w:val="single" w:sz="8" w:color="auto"/>
            </w:tcBorders>
          </w:tcPr>
          <w:p>
            <w:pPr>
              <w:spacing w:after="0"/>
              <w:rPr>
                <w:sz w:val="13"/>
                <w:szCs w:val="13"/>
                <w:color w:val="auto"/>
              </w:rPr>
            </w:pPr>
          </w:p>
        </w:tc>
        <w:tc>
          <w:tcPr>
            <w:tcW w:w="400" w:type="dxa"/>
            <w:vAlign w:val="bottom"/>
            <w:tcBorders>
              <w:bottom w:val="single" w:sz="8" w:color="auto"/>
            </w:tcBorders>
          </w:tcPr>
          <w:p>
            <w:pPr>
              <w:spacing w:after="0"/>
              <w:rPr>
                <w:sz w:val="13"/>
                <w:szCs w:val="13"/>
                <w:color w:val="auto"/>
              </w:rPr>
            </w:pPr>
          </w:p>
        </w:tc>
        <w:tc>
          <w:tcPr>
            <w:tcW w:w="1380" w:type="dxa"/>
            <w:vAlign w:val="bottom"/>
            <w:tcBorders>
              <w:bottom w:val="single" w:sz="8" w:color="auto"/>
            </w:tcBorders>
          </w:tcPr>
          <w:p>
            <w:pPr>
              <w:spacing w:after="0"/>
              <w:rPr>
                <w:sz w:val="13"/>
                <w:szCs w:val="13"/>
                <w:color w:val="auto"/>
              </w:rPr>
            </w:pPr>
          </w:p>
        </w:tc>
        <w:tc>
          <w:tcPr>
            <w:tcW w:w="900" w:type="dxa"/>
            <w:vAlign w:val="bottom"/>
            <w:tcBorders>
              <w:bottom w:val="single" w:sz="8" w:color="auto"/>
            </w:tcBorders>
          </w:tcPr>
          <w:p>
            <w:pPr>
              <w:spacing w:after="0"/>
              <w:rPr>
                <w:sz w:val="13"/>
                <w:szCs w:val="13"/>
                <w:color w:val="auto"/>
              </w:rPr>
            </w:pPr>
          </w:p>
        </w:tc>
      </w:tr>
      <w:tr>
        <w:trPr>
          <w:trHeight w:val="125"/>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4</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INFORMATION ON THE COMPANY</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41"/>
        </w:trPr>
        <w:tc>
          <w:tcPr>
            <w:tcW w:w="540" w:type="dxa"/>
            <w:vAlign w:val="bottom"/>
          </w:tcPr>
          <w:p>
            <w:pPr>
              <w:spacing w:after="0"/>
              <w:rPr>
                <w:sz w:val="12"/>
                <w:szCs w:val="12"/>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4A</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History and Development of the Company</w:t>
            </w: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Cover page; Business overview; Introduction and use of certain terms; Business overview—Our history; Operating and financial review and prospects—Liquidity and capital</w:t>
            </w:r>
          </w:p>
        </w:tc>
      </w:tr>
      <w:tr>
        <w:trPr>
          <w:trHeight w:val="111"/>
        </w:trPr>
        <w:tc>
          <w:tcPr>
            <w:tcW w:w="540" w:type="dxa"/>
            <w:vAlign w:val="bottom"/>
          </w:tcPr>
          <w:p>
            <w:pPr>
              <w:spacing w:after="0"/>
              <w:rPr>
                <w:sz w:val="9"/>
                <w:szCs w:val="9"/>
                <w:color w:val="auto"/>
              </w:rPr>
            </w:pPr>
          </w:p>
        </w:tc>
        <w:tc>
          <w:tcPr>
            <w:tcW w:w="240" w:type="dxa"/>
            <w:vAlign w:val="bottom"/>
          </w:tcPr>
          <w:p>
            <w:pPr>
              <w:spacing w:after="0"/>
              <w:rPr>
                <w:sz w:val="9"/>
                <w:szCs w:val="9"/>
                <w:color w:val="auto"/>
              </w:rPr>
            </w:pPr>
          </w:p>
        </w:tc>
        <w:tc>
          <w:tcPr>
            <w:tcW w:w="1960" w:type="dxa"/>
            <w:vAlign w:val="bottom"/>
          </w:tcPr>
          <w:p>
            <w:pPr>
              <w:spacing w:after="0"/>
              <w:rPr>
                <w:sz w:val="9"/>
                <w:szCs w:val="9"/>
                <w:color w:val="auto"/>
              </w:rPr>
            </w:pP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resources; General Facts on Nokia—Alternative performance measures; Operating and financial review and prospects—Significant subsequent events; Other information—</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Investor information</w:t>
            </w: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1"/>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4B</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Business Overview</w:t>
            </w: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Business overview—Nokia in 2023; Business overview—Our strategy; Business Overview—Our business groups; Financial statements—Notes to the consolidated financial</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statements—Note</w:t>
            </w:r>
          </w:p>
        </w:tc>
        <w:tc>
          <w:tcPr>
            <w:tcW w:w="1040" w:type="dxa"/>
            <w:vAlign w:val="bottom"/>
            <w:gridSpan w:val="2"/>
          </w:tcPr>
          <w:p>
            <w:pPr>
              <w:spacing w:after="0"/>
              <w:rPr>
                <w:sz w:val="20"/>
                <w:szCs w:val="20"/>
                <w:color w:val="auto"/>
              </w:rPr>
            </w:pPr>
            <w:r>
              <w:rPr>
                <w:rFonts w:ascii="Times New Roman" w:cs="Times New Roman" w:eastAsia="Times New Roman" w:hAnsi="Times New Roman"/>
                <w:sz w:val="9"/>
                <w:szCs w:val="9"/>
                <w:color w:val="0D0D0D"/>
              </w:rPr>
              <w:t>2.2. Segment information</w:t>
            </w:r>
          </w:p>
        </w:tc>
        <w:tc>
          <w:tcPr>
            <w:tcW w:w="1940" w:type="dxa"/>
            <w:vAlign w:val="bottom"/>
            <w:gridSpan w:val="3"/>
          </w:tcPr>
          <w:p>
            <w:pPr>
              <w:jc w:val="right"/>
              <w:spacing w:after="0"/>
              <w:rPr>
                <w:sz w:val="20"/>
                <w:szCs w:val="20"/>
                <w:color w:val="auto"/>
              </w:rPr>
            </w:pPr>
            <w:r>
              <w:rPr>
                <w:rFonts w:ascii="Times New Roman" w:cs="Times New Roman" w:eastAsia="Times New Roman" w:hAnsi="Times New Roman"/>
                <w:sz w:val="9"/>
                <w:szCs w:val="9"/>
                <w:color w:val="0D0D0D"/>
              </w:rPr>
              <w:t>; General facts on Nokia—Government regulation</w:t>
            </w: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51"/>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4C</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Organizational Structure</w:t>
            </w:r>
          </w:p>
        </w:tc>
        <w:tc>
          <w:tcPr>
            <w:tcW w:w="4620" w:type="dxa"/>
            <w:vAlign w:val="bottom"/>
            <w:gridSpan w:val="7"/>
          </w:tcPr>
          <w:p>
            <w:pPr>
              <w:ind w:left="20"/>
              <w:spacing w:after="0"/>
              <w:rPr>
                <w:sz w:val="20"/>
                <w:szCs w:val="20"/>
                <w:color w:val="auto"/>
              </w:rPr>
            </w:pPr>
            <w:r>
              <w:rPr>
                <w:rFonts w:ascii="Times New Roman" w:cs="Times New Roman" w:eastAsia="Times New Roman" w:hAnsi="Times New Roman"/>
                <w:sz w:val="9"/>
                <w:szCs w:val="9"/>
                <w:color w:val="0D0D0D"/>
              </w:rPr>
              <w:t>Business overview—Nokia in 2023; Financial statements—Notes to the consolidated financial statements—Note</w:t>
            </w:r>
          </w:p>
        </w:tc>
        <w:tc>
          <w:tcPr>
            <w:tcW w:w="2680" w:type="dxa"/>
            <w:vAlign w:val="bottom"/>
            <w:gridSpan w:val="3"/>
          </w:tcPr>
          <w:p>
            <w:pPr>
              <w:jc w:val="right"/>
              <w:ind w:right="233"/>
              <w:spacing w:after="0"/>
              <w:rPr>
                <w:sz w:val="20"/>
                <w:szCs w:val="20"/>
                <w:color w:val="auto"/>
              </w:rPr>
            </w:pPr>
            <w:r>
              <w:rPr>
                <w:rFonts w:ascii="Times New Roman" w:cs="Times New Roman" w:eastAsia="Times New Roman" w:hAnsi="Times New Roman"/>
                <w:sz w:val="9"/>
                <w:szCs w:val="9"/>
                <w:color w:val="0D0D0D"/>
              </w:rPr>
              <w:t>2.2. Segment information   ; Financial statements—Notes to</w:t>
            </w:r>
          </w:p>
        </w:tc>
      </w:tr>
      <w:tr>
        <w:trPr>
          <w:trHeight w:val="111"/>
        </w:trPr>
        <w:tc>
          <w:tcPr>
            <w:tcW w:w="540" w:type="dxa"/>
            <w:vAlign w:val="bottom"/>
          </w:tcPr>
          <w:p>
            <w:pPr>
              <w:spacing w:after="0"/>
              <w:rPr>
                <w:sz w:val="9"/>
                <w:szCs w:val="9"/>
                <w:color w:val="auto"/>
              </w:rPr>
            </w:pPr>
          </w:p>
        </w:tc>
        <w:tc>
          <w:tcPr>
            <w:tcW w:w="240" w:type="dxa"/>
            <w:vAlign w:val="bottom"/>
          </w:tcPr>
          <w:p>
            <w:pPr>
              <w:spacing w:after="0"/>
              <w:rPr>
                <w:sz w:val="9"/>
                <w:szCs w:val="9"/>
                <w:color w:val="auto"/>
              </w:rPr>
            </w:pPr>
          </w:p>
        </w:tc>
        <w:tc>
          <w:tcPr>
            <w:tcW w:w="1960" w:type="dxa"/>
            <w:vAlign w:val="bottom"/>
          </w:tcPr>
          <w:p>
            <w:pPr>
              <w:spacing w:after="0"/>
              <w:rPr>
                <w:sz w:val="9"/>
                <w:szCs w:val="9"/>
                <w:color w:val="auto"/>
              </w:rPr>
            </w:pP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D0D0D"/>
              </w:rPr>
              <w:t>the consolidated financial statements—Note</w:t>
            </w:r>
          </w:p>
        </w:tc>
        <w:tc>
          <w:tcPr>
            <w:tcW w:w="120" w:type="dxa"/>
            <w:vAlign w:val="bottom"/>
          </w:tcPr>
          <w:p>
            <w:pPr>
              <w:spacing w:after="0"/>
              <w:rPr>
                <w:sz w:val="9"/>
                <w:szCs w:val="9"/>
                <w:color w:val="auto"/>
              </w:rPr>
            </w:pPr>
          </w:p>
        </w:tc>
        <w:tc>
          <w:tcPr>
            <w:tcW w:w="132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6.2. Principal Group companies</w:t>
            </w:r>
          </w:p>
        </w:tc>
        <w:tc>
          <w:tcPr>
            <w:tcW w:w="3240" w:type="dxa"/>
            <w:vAlign w:val="bottom"/>
            <w:gridSpan w:val="4"/>
          </w:tcPr>
          <w:p>
            <w:pPr>
              <w:ind w:left="40"/>
              <w:spacing w:after="0"/>
              <w:rPr>
                <w:sz w:val="20"/>
                <w:szCs w:val="20"/>
                <w:color w:val="auto"/>
              </w:rPr>
            </w:pPr>
            <w:r>
              <w:rPr>
                <w:rFonts w:ascii="Times New Roman" w:cs="Times New Roman" w:eastAsia="Times New Roman" w:hAnsi="Times New Roman"/>
                <w:sz w:val="9"/>
                <w:szCs w:val="9"/>
                <w:color w:val="0D0D0D"/>
              </w:rPr>
              <w:t>; Financial statements—Notes to the consolidated financial statements—Note</w:t>
            </w:r>
          </w:p>
        </w:tc>
        <w:tc>
          <w:tcPr>
            <w:tcW w:w="900" w:type="dxa"/>
            <w:vAlign w:val="bottom"/>
          </w:tcPr>
          <w:p>
            <w:pPr>
              <w:jc w:val="right"/>
              <w:ind w:right="193"/>
              <w:spacing w:after="0"/>
              <w:rPr>
                <w:sz w:val="20"/>
                <w:szCs w:val="20"/>
                <w:color w:val="auto"/>
              </w:rPr>
            </w:pPr>
            <w:r>
              <w:rPr>
                <w:rFonts w:ascii="Times New Roman" w:cs="Times New Roman" w:eastAsia="Times New Roman" w:hAnsi="Times New Roman"/>
                <w:sz w:val="9"/>
                <w:szCs w:val="9"/>
                <w:color w:val="0D0D0D"/>
              </w:rPr>
              <w:t>6.3. Significant</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D0D0D"/>
              </w:rPr>
              <w:t>partly-owned subsidiaries</w:t>
            </w: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1"/>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4D</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Property, Plants and Equipment</w:t>
            </w:r>
          </w:p>
        </w:tc>
        <w:tc>
          <w:tcPr>
            <w:tcW w:w="3160" w:type="dxa"/>
            <w:vAlign w:val="bottom"/>
            <w:gridSpan w:val="5"/>
          </w:tcPr>
          <w:p>
            <w:pPr>
              <w:ind w:left="20"/>
              <w:spacing w:after="0"/>
              <w:rPr>
                <w:sz w:val="20"/>
                <w:szCs w:val="20"/>
                <w:color w:val="auto"/>
              </w:rPr>
            </w:pPr>
            <w:r>
              <w:rPr>
                <w:rFonts w:ascii="Times New Roman" w:cs="Times New Roman" w:eastAsia="Times New Roman" w:hAnsi="Times New Roman"/>
                <w:sz w:val="9"/>
                <w:szCs w:val="9"/>
                <w:color w:val="0D0D0D"/>
              </w:rPr>
              <w:t>Financial statements—Notes to the consolidated financial statements—Note</w:t>
            </w:r>
          </w:p>
        </w:tc>
        <w:tc>
          <w:tcPr>
            <w:tcW w:w="1460" w:type="dxa"/>
            <w:vAlign w:val="bottom"/>
            <w:gridSpan w:val="2"/>
          </w:tcPr>
          <w:p>
            <w:pPr>
              <w:ind w:left="80"/>
              <w:spacing w:after="0"/>
              <w:rPr>
                <w:sz w:val="20"/>
                <w:szCs w:val="20"/>
                <w:color w:val="auto"/>
              </w:rPr>
            </w:pPr>
            <w:r>
              <w:rPr>
                <w:rFonts w:ascii="Times New Roman" w:cs="Times New Roman" w:eastAsia="Times New Roman" w:hAnsi="Times New Roman"/>
                <w:sz w:val="9"/>
                <w:szCs w:val="9"/>
                <w:color w:val="0D0D0D"/>
              </w:rPr>
              <w:t>4.2. Property, plant and equipment</w:t>
            </w:r>
          </w:p>
        </w:tc>
        <w:tc>
          <w:tcPr>
            <w:tcW w:w="2680" w:type="dxa"/>
            <w:vAlign w:val="bottom"/>
            <w:gridSpan w:val="3"/>
          </w:tcPr>
          <w:p>
            <w:pPr>
              <w:jc w:val="right"/>
              <w:ind w:right="313"/>
              <w:spacing w:after="0"/>
              <w:rPr>
                <w:sz w:val="20"/>
                <w:szCs w:val="20"/>
                <w:color w:val="auto"/>
              </w:rPr>
            </w:pPr>
            <w:r>
              <w:rPr>
                <w:rFonts w:ascii="Times New Roman" w:cs="Times New Roman" w:eastAsia="Times New Roman" w:hAnsi="Times New Roman"/>
                <w:sz w:val="9"/>
                <w:szCs w:val="9"/>
                <w:color w:val="0D0D0D"/>
              </w:rPr>
              <w:t>; Financial statements—Notes to the consolidated financial</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statements—Note</w:t>
            </w:r>
          </w:p>
        </w:tc>
        <w:tc>
          <w:tcPr>
            <w:tcW w:w="2980" w:type="dxa"/>
            <w:vAlign w:val="bottom"/>
            <w:gridSpan w:val="5"/>
          </w:tcPr>
          <w:p>
            <w:pPr>
              <w:spacing w:after="0"/>
              <w:rPr>
                <w:sz w:val="20"/>
                <w:szCs w:val="20"/>
                <w:color w:val="auto"/>
              </w:rPr>
            </w:pPr>
            <w:r>
              <w:rPr>
                <w:rFonts w:ascii="Times New Roman" w:cs="Times New Roman" w:eastAsia="Times New Roman" w:hAnsi="Times New Roman"/>
                <w:sz w:val="9"/>
                <w:szCs w:val="9"/>
                <w:color w:val="0D0D0D"/>
              </w:rPr>
              <w:t>4.3. Leases ; Business overview—Supply chain, sourcing and manufacturing</w:t>
            </w: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8"/>
        </w:trPr>
        <w:tc>
          <w:tcPr>
            <w:tcW w:w="540" w:type="dxa"/>
            <w:vAlign w:val="bottom"/>
            <w:tcBorders>
              <w:bottom w:val="single" w:sz="8" w:color="auto"/>
            </w:tcBorders>
          </w:tcPr>
          <w:p>
            <w:pPr>
              <w:spacing w:after="0"/>
              <w:rPr>
                <w:sz w:val="14"/>
                <w:szCs w:val="14"/>
                <w:color w:val="auto"/>
              </w:rPr>
            </w:pPr>
          </w:p>
        </w:tc>
        <w:tc>
          <w:tcPr>
            <w:tcW w:w="24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4A</w:t>
            </w:r>
          </w:p>
        </w:tc>
        <w:tc>
          <w:tcPr>
            <w:tcW w:w="1960" w:type="dxa"/>
            <w:vAlign w:val="bottom"/>
            <w:tcBorders>
              <w:bottom w:val="single" w:sz="8" w:color="auto"/>
            </w:tcBorders>
          </w:tcPr>
          <w:p>
            <w:pPr>
              <w:ind w:left="80"/>
              <w:spacing w:after="0"/>
              <w:rPr>
                <w:sz w:val="20"/>
                <w:szCs w:val="20"/>
                <w:color w:val="auto"/>
              </w:rPr>
            </w:pPr>
            <w:r>
              <w:rPr>
                <w:rFonts w:ascii="Times New Roman" w:cs="Times New Roman" w:eastAsia="Times New Roman" w:hAnsi="Times New Roman"/>
                <w:sz w:val="9"/>
                <w:szCs w:val="9"/>
                <w:color w:val="0D0D0D"/>
              </w:rPr>
              <w:t>UNRESOLVED STAFF COMMENTS</w:t>
            </w:r>
          </w:p>
        </w:tc>
        <w:tc>
          <w:tcPr>
            <w:tcW w:w="800" w:type="dxa"/>
            <w:vAlign w:val="bottom"/>
            <w:tcBorders>
              <w:bottom w:val="single" w:sz="8" w:color="auto"/>
            </w:tcBorders>
          </w:tcPr>
          <w:p>
            <w:pPr>
              <w:ind w:left="20"/>
              <w:spacing w:after="0"/>
              <w:rPr>
                <w:sz w:val="20"/>
                <w:szCs w:val="20"/>
                <w:color w:val="auto"/>
              </w:rPr>
            </w:pPr>
            <w:r>
              <w:rPr>
                <w:rFonts w:ascii="Times New Roman" w:cs="Times New Roman" w:eastAsia="Times New Roman" w:hAnsi="Times New Roman"/>
                <w:sz w:val="9"/>
                <w:szCs w:val="9"/>
                <w:color w:val="0D0D0D"/>
              </w:rPr>
              <w:t>None</w:t>
            </w:r>
          </w:p>
        </w:tc>
        <w:tc>
          <w:tcPr>
            <w:tcW w:w="920" w:type="dxa"/>
            <w:vAlign w:val="bottom"/>
            <w:tcBorders>
              <w:bottom w:val="single" w:sz="8" w:color="auto"/>
            </w:tcBorders>
          </w:tcPr>
          <w:p>
            <w:pPr>
              <w:spacing w:after="0"/>
              <w:rPr>
                <w:sz w:val="14"/>
                <w:szCs w:val="14"/>
                <w:color w:val="auto"/>
              </w:rPr>
            </w:pPr>
          </w:p>
        </w:tc>
        <w:tc>
          <w:tcPr>
            <w:tcW w:w="120" w:type="dxa"/>
            <w:vAlign w:val="bottom"/>
            <w:tcBorders>
              <w:bottom w:val="single" w:sz="8" w:color="auto"/>
            </w:tcBorders>
          </w:tcPr>
          <w:p>
            <w:pPr>
              <w:spacing w:after="0"/>
              <w:rPr>
                <w:sz w:val="14"/>
                <w:szCs w:val="14"/>
                <w:color w:val="auto"/>
              </w:rPr>
            </w:pPr>
          </w:p>
        </w:tc>
        <w:tc>
          <w:tcPr>
            <w:tcW w:w="940" w:type="dxa"/>
            <w:vAlign w:val="bottom"/>
            <w:tcBorders>
              <w:bottom w:val="single" w:sz="8" w:color="auto"/>
            </w:tcBorders>
          </w:tcPr>
          <w:p>
            <w:pPr>
              <w:spacing w:after="0"/>
              <w:rPr>
                <w:sz w:val="14"/>
                <w:szCs w:val="14"/>
                <w:color w:val="auto"/>
              </w:rPr>
            </w:pPr>
          </w:p>
        </w:tc>
        <w:tc>
          <w:tcPr>
            <w:tcW w:w="380" w:type="dxa"/>
            <w:vAlign w:val="bottom"/>
            <w:tcBorders>
              <w:bottom w:val="single" w:sz="8" w:color="auto"/>
            </w:tcBorders>
          </w:tcPr>
          <w:p>
            <w:pPr>
              <w:spacing w:after="0"/>
              <w:rPr>
                <w:sz w:val="14"/>
                <w:szCs w:val="14"/>
                <w:color w:val="auto"/>
              </w:rPr>
            </w:pPr>
          </w:p>
        </w:tc>
        <w:tc>
          <w:tcPr>
            <w:tcW w:w="620" w:type="dxa"/>
            <w:vAlign w:val="bottom"/>
            <w:tcBorders>
              <w:bottom w:val="single" w:sz="8" w:color="auto"/>
            </w:tcBorders>
          </w:tcPr>
          <w:p>
            <w:pPr>
              <w:spacing w:after="0"/>
              <w:rPr>
                <w:sz w:val="14"/>
                <w:szCs w:val="14"/>
                <w:color w:val="auto"/>
              </w:rPr>
            </w:pPr>
          </w:p>
        </w:tc>
        <w:tc>
          <w:tcPr>
            <w:tcW w:w="840" w:type="dxa"/>
            <w:vAlign w:val="bottom"/>
            <w:tcBorders>
              <w:bottom w:val="single" w:sz="8" w:color="auto"/>
            </w:tcBorders>
          </w:tcPr>
          <w:p>
            <w:pPr>
              <w:spacing w:after="0"/>
              <w:rPr>
                <w:sz w:val="14"/>
                <w:szCs w:val="14"/>
                <w:color w:val="auto"/>
              </w:rPr>
            </w:pPr>
          </w:p>
        </w:tc>
        <w:tc>
          <w:tcPr>
            <w:tcW w:w="400" w:type="dxa"/>
            <w:vAlign w:val="bottom"/>
            <w:tcBorders>
              <w:bottom w:val="single" w:sz="8" w:color="auto"/>
            </w:tcBorders>
          </w:tcPr>
          <w:p>
            <w:pPr>
              <w:spacing w:after="0"/>
              <w:rPr>
                <w:sz w:val="14"/>
                <w:szCs w:val="14"/>
                <w:color w:val="auto"/>
              </w:rPr>
            </w:pPr>
          </w:p>
        </w:tc>
        <w:tc>
          <w:tcPr>
            <w:tcW w:w="1380" w:type="dxa"/>
            <w:vAlign w:val="bottom"/>
            <w:tcBorders>
              <w:bottom w:val="single" w:sz="8" w:color="auto"/>
            </w:tcBorders>
          </w:tcPr>
          <w:p>
            <w:pPr>
              <w:spacing w:after="0"/>
              <w:rPr>
                <w:sz w:val="14"/>
                <w:szCs w:val="14"/>
                <w:color w:val="auto"/>
              </w:rPr>
            </w:pPr>
          </w:p>
        </w:tc>
        <w:tc>
          <w:tcPr>
            <w:tcW w:w="900" w:type="dxa"/>
            <w:vAlign w:val="bottom"/>
            <w:tcBorders>
              <w:bottom w:val="single" w:sz="8" w:color="auto"/>
            </w:tcBorders>
          </w:tcPr>
          <w:p>
            <w:pPr>
              <w:spacing w:after="0"/>
              <w:rPr>
                <w:sz w:val="14"/>
                <w:szCs w:val="14"/>
                <w:color w:val="auto"/>
              </w:rPr>
            </w:pPr>
          </w:p>
        </w:tc>
      </w:tr>
      <w:tr>
        <w:trPr>
          <w:trHeight w:val="115"/>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5</w:t>
            </w:r>
          </w:p>
        </w:tc>
        <w:tc>
          <w:tcPr>
            <w:tcW w:w="2760" w:type="dxa"/>
            <w:vAlign w:val="bottom"/>
            <w:gridSpan w:val="2"/>
          </w:tcPr>
          <w:p>
            <w:pPr>
              <w:ind w:left="80"/>
              <w:spacing w:after="0"/>
              <w:rPr>
                <w:sz w:val="20"/>
                <w:szCs w:val="20"/>
                <w:color w:val="auto"/>
              </w:rPr>
            </w:pPr>
            <w:r>
              <w:rPr>
                <w:rFonts w:ascii="Times New Roman" w:cs="Times New Roman" w:eastAsia="Times New Roman" w:hAnsi="Times New Roman"/>
                <w:sz w:val="9"/>
                <w:szCs w:val="9"/>
                <w:color w:val="0D0D0D"/>
              </w:rPr>
              <w:t>OPERATING AND FINANCIAL REVIEW AND</w:t>
            </w:r>
          </w:p>
        </w:tc>
        <w:tc>
          <w:tcPr>
            <w:tcW w:w="920" w:type="dxa"/>
            <w:vAlign w:val="bottom"/>
          </w:tcPr>
          <w:p>
            <w:pPr>
              <w:spacing w:after="0"/>
              <w:rPr>
                <w:sz w:val="9"/>
                <w:szCs w:val="9"/>
                <w:color w:val="auto"/>
              </w:rPr>
            </w:pPr>
          </w:p>
        </w:tc>
        <w:tc>
          <w:tcPr>
            <w:tcW w:w="120" w:type="dxa"/>
            <w:vAlign w:val="bottom"/>
          </w:tcPr>
          <w:p>
            <w:pPr>
              <w:spacing w:after="0"/>
              <w:rPr>
                <w:sz w:val="9"/>
                <w:szCs w:val="9"/>
                <w:color w:val="auto"/>
              </w:rPr>
            </w:pPr>
          </w:p>
        </w:tc>
        <w:tc>
          <w:tcPr>
            <w:tcW w:w="940" w:type="dxa"/>
            <w:vAlign w:val="bottom"/>
          </w:tcPr>
          <w:p>
            <w:pPr>
              <w:spacing w:after="0"/>
              <w:rPr>
                <w:sz w:val="9"/>
                <w:szCs w:val="9"/>
                <w:color w:val="auto"/>
              </w:rPr>
            </w:pPr>
          </w:p>
        </w:tc>
        <w:tc>
          <w:tcPr>
            <w:tcW w:w="380" w:type="dxa"/>
            <w:vAlign w:val="bottom"/>
          </w:tcPr>
          <w:p>
            <w:pPr>
              <w:spacing w:after="0"/>
              <w:rPr>
                <w:sz w:val="9"/>
                <w:szCs w:val="9"/>
                <w:color w:val="auto"/>
              </w:rPr>
            </w:pPr>
          </w:p>
        </w:tc>
        <w:tc>
          <w:tcPr>
            <w:tcW w:w="620" w:type="dxa"/>
            <w:vAlign w:val="bottom"/>
          </w:tcPr>
          <w:p>
            <w:pPr>
              <w:spacing w:after="0"/>
              <w:rPr>
                <w:sz w:val="9"/>
                <w:szCs w:val="9"/>
                <w:color w:val="auto"/>
              </w:rPr>
            </w:pPr>
          </w:p>
        </w:tc>
        <w:tc>
          <w:tcPr>
            <w:tcW w:w="840" w:type="dxa"/>
            <w:vAlign w:val="bottom"/>
          </w:tcPr>
          <w:p>
            <w:pPr>
              <w:spacing w:after="0"/>
              <w:rPr>
                <w:sz w:val="9"/>
                <w:szCs w:val="9"/>
                <w:color w:val="auto"/>
              </w:rPr>
            </w:pPr>
          </w:p>
        </w:tc>
        <w:tc>
          <w:tcPr>
            <w:tcW w:w="400" w:type="dxa"/>
            <w:vAlign w:val="bottom"/>
          </w:tcPr>
          <w:p>
            <w:pPr>
              <w:spacing w:after="0"/>
              <w:rPr>
                <w:sz w:val="9"/>
                <w:szCs w:val="9"/>
                <w:color w:val="auto"/>
              </w:rPr>
            </w:pPr>
          </w:p>
        </w:tc>
        <w:tc>
          <w:tcPr>
            <w:tcW w:w="1380" w:type="dxa"/>
            <w:vAlign w:val="bottom"/>
          </w:tcPr>
          <w:p>
            <w:pPr>
              <w:spacing w:after="0"/>
              <w:rPr>
                <w:sz w:val="9"/>
                <w:szCs w:val="9"/>
                <w:color w:val="auto"/>
              </w:rPr>
            </w:pPr>
          </w:p>
        </w:tc>
        <w:tc>
          <w:tcPr>
            <w:tcW w:w="900" w:type="dxa"/>
            <w:vAlign w:val="bottom"/>
          </w:tcPr>
          <w:p>
            <w:pPr>
              <w:spacing w:after="0"/>
              <w:rPr>
                <w:sz w:val="9"/>
                <w:szCs w:val="9"/>
                <w:color w:val="auto"/>
              </w:rPr>
            </w:pP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PROSPECTS</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51"/>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5A</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Operating Results</w:t>
            </w: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Business overview—Our strategy; General facts on Nokia—Government regulation; Financial statements—Notes to the consolidated financial statements—Section 2. Results</w:t>
            </w:r>
          </w:p>
        </w:tc>
      </w:tr>
      <w:tr>
        <w:trPr>
          <w:trHeight w:val="111"/>
        </w:trPr>
        <w:tc>
          <w:tcPr>
            <w:tcW w:w="540" w:type="dxa"/>
            <w:vAlign w:val="bottom"/>
          </w:tcPr>
          <w:p>
            <w:pPr>
              <w:spacing w:after="0"/>
              <w:rPr>
                <w:sz w:val="9"/>
                <w:szCs w:val="9"/>
                <w:color w:val="auto"/>
              </w:rPr>
            </w:pPr>
          </w:p>
        </w:tc>
        <w:tc>
          <w:tcPr>
            <w:tcW w:w="240" w:type="dxa"/>
            <w:vAlign w:val="bottom"/>
          </w:tcPr>
          <w:p>
            <w:pPr>
              <w:spacing w:after="0"/>
              <w:rPr>
                <w:sz w:val="9"/>
                <w:szCs w:val="9"/>
                <w:color w:val="auto"/>
              </w:rPr>
            </w:pPr>
          </w:p>
        </w:tc>
        <w:tc>
          <w:tcPr>
            <w:tcW w:w="1960" w:type="dxa"/>
            <w:vAlign w:val="bottom"/>
          </w:tcPr>
          <w:p>
            <w:pPr>
              <w:spacing w:after="0"/>
              <w:rPr>
                <w:sz w:val="9"/>
                <w:szCs w:val="9"/>
                <w:color w:val="auto"/>
              </w:rPr>
            </w:pPr>
          </w:p>
        </w:tc>
        <w:tc>
          <w:tcPr>
            <w:tcW w:w="3780" w:type="dxa"/>
            <w:vAlign w:val="bottom"/>
            <w:gridSpan w:val="6"/>
          </w:tcPr>
          <w:p>
            <w:pPr>
              <w:ind w:left="20"/>
              <w:spacing w:after="0"/>
              <w:rPr>
                <w:sz w:val="20"/>
                <w:szCs w:val="20"/>
                <w:color w:val="auto"/>
              </w:rPr>
            </w:pPr>
            <w:r>
              <w:rPr>
                <w:rFonts w:ascii="Times New Roman" w:cs="Times New Roman" w:eastAsia="Times New Roman" w:hAnsi="Times New Roman"/>
                <w:sz w:val="9"/>
                <w:szCs w:val="9"/>
                <w:color w:val="0D0D0D"/>
              </w:rPr>
              <w:t>for the year; Financial statements—Notes to the consolidated financial statements—Note</w:t>
            </w:r>
          </w:p>
        </w:tc>
        <w:tc>
          <w:tcPr>
            <w:tcW w:w="1240" w:type="dxa"/>
            <w:vAlign w:val="bottom"/>
            <w:gridSpan w:val="2"/>
          </w:tcPr>
          <w:p>
            <w:pPr>
              <w:spacing w:after="0"/>
              <w:rPr>
                <w:sz w:val="20"/>
                <w:szCs w:val="20"/>
                <w:color w:val="auto"/>
              </w:rPr>
            </w:pPr>
            <w:r>
              <w:rPr>
                <w:rFonts w:ascii="Times New Roman" w:cs="Times New Roman" w:eastAsia="Times New Roman" w:hAnsi="Times New Roman"/>
                <w:sz w:val="9"/>
                <w:szCs w:val="9"/>
                <w:color w:val="0D0D0D"/>
              </w:rPr>
              <w:t>5.4. Financial risk management</w:t>
            </w:r>
          </w:p>
        </w:tc>
        <w:tc>
          <w:tcPr>
            <w:tcW w:w="2280" w:type="dxa"/>
            <w:vAlign w:val="bottom"/>
            <w:gridSpan w:val="2"/>
          </w:tcPr>
          <w:p>
            <w:pPr>
              <w:jc w:val="right"/>
              <w:ind w:right="313"/>
              <w:spacing w:after="0"/>
              <w:rPr>
                <w:sz w:val="20"/>
                <w:szCs w:val="20"/>
                <w:color w:val="auto"/>
              </w:rPr>
            </w:pPr>
            <w:r>
              <w:rPr>
                <w:rFonts w:ascii="Times New Roman" w:cs="Times New Roman" w:eastAsia="Times New Roman" w:hAnsi="Times New Roman"/>
                <w:sz w:val="9"/>
                <w:szCs w:val="9"/>
                <w:color w:val="0D0D0D"/>
              </w:rPr>
              <w:t>; Operating and financial review and prospects—</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D0D0D"/>
              </w:rPr>
              <w:t>Operating and financial review</w:t>
            </w: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1"/>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5B</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Liquidity and Capital Resources</w:t>
            </w:r>
          </w:p>
        </w:tc>
        <w:tc>
          <w:tcPr>
            <w:tcW w:w="6400" w:type="dxa"/>
            <w:vAlign w:val="bottom"/>
            <w:gridSpan w:val="9"/>
          </w:tcPr>
          <w:p>
            <w:pPr>
              <w:ind w:left="20"/>
              <w:spacing w:after="0"/>
              <w:rPr>
                <w:sz w:val="20"/>
                <w:szCs w:val="20"/>
                <w:color w:val="auto"/>
              </w:rPr>
            </w:pPr>
            <w:r>
              <w:rPr>
                <w:rFonts w:ascii="Times New Roman" w:cs="Times New Roman" w:eastAsia="Times New Roman" w:hAnsi="Times New Roman"/>
                <w:sz w:val="9"/>
                <w:szCs w:val="9"/>
                <w:color w:val="0D0D0D"/>
              </w:rPr>
              <w:t>Operating and financial review and prospects—Liquidity and capital resources; Financial statements—Notes to the consolidated financial statements—Note</w:t>
            </w:r>
          </w:p>
        </w:tc>
        <w:tc>
          <w:tcPr>
            <w:tcW w:w="900" w:type="dxa"/>
            <w:vAlign w:val="bottom"/>
          </w:tcPr>
          <w:p>
            <w:pPr>
              <w:jc w:val="right"/>
              <w:ind w:right="193"/>
              <w:spacing w:after="0"/>
              <w:rPr>
                <w:sz w:val="20"/>
                <w:szCs w:val="20"/>
                <w:color w:val="auto"/>
              </w:rPr>
            </w:pPr>
            <w:r>
              <w:rPr>
                <w:rFonts w:ascii="Times New Roman" w:cs="Times New Roman" w:eastAsia="Times New Roman" w:hAnsi="Times New Roman"/>
                <w:sz w:val="9"/>
                <w:szCs w:val="9"/>
                <w:color w:val="0D0D0D"/>
              </w:rPr>
              <w:t>5.2. Financial</w:t>
            </w:r>
          </w:p>
        </w:tc>
      </w:tr>
      <w:tr>
        <w:trPr>
          <w:trHeight w:val="111"/>
        </w:trPr>
        <w:tc>
          <w:tcPr>
            <w:tcW w:w="540" w:type="dxa"/>
            <w:vAlign w:val="bottom"/>
          </w:tcPr>
          <w:p>
            <w:pPr>
              <w:spacing w:after="0"/>
              <w:rPr>
                <w:sz w:val="9"/>
                <w:szCs w:val="9"/>
                <w:color w:val="auto"/>
              </w:rPr>
            </w:pPr>
          </w:p>
        </w:tc>
        <w:tc>
          <w:tcPr>
            <w:tcW w:w="240" w:type="dxa"/>
            <w:vAlign w:val="bottom"/>
          </w:tcPr>
          <w:p>
            <w:pPr>
              <w:spacing w:after="0"/>
              <w:rPr>
                <w:sz w:val="9"/>
                <w:szCs w:val="9"/>
                <w:color w:val="auto"/>
              </w:rPr>
            </w:pPr>
          </w:p>
        </w:tc>
        <w:tc>
          <w:tcPr>
            <w:tcW w:w="1960" w:type="dxa"/>
            <w:vAlign w:val="bottom"/>
          </w:tcPr>
          <w:p>
            <w:pPr>
              <w:spacing w:after="0"/>
              <w:rPr>
                <w:sz w:val="9"/>
                <w:szCs w:val="9"/>
                <w:color w:val="auto"/>
              </w:rPr>
            </w:pPr>
          </w:p>
        </w:tc>
        <w:tc>
          <w:tcPr>
            <w:tcW w:w="800" w:type="dxa"/>
            <w:vAlign w:val="bottom"/>
          </w:tcPr>
          <w:p>
            <w:pPr>
              <w:ind w:left="20"/>
              <w:spacing w:after="0"/>
              <w:rPr>
                <w:sz w:val="20"/>
                <w:szCs w:val="20"/>
                <w:color w:val="auto"/>
              </w:rPr>
            </w:pPr>
            <w:r>
              <w:rPr>
                <w:rFonts w:ascii="Times New Roman" w:cs="Times New Roman" w:eastAsia="Times New Roman" w:hAnsi="Times New Roman"/>
                <w:sz w:val="9"/>
                <w:szCs w:val="9"/>
                <w:color w:val="0D0D0D"/>
              </w:rPr>
              <w:t>assets and liabilities</w:t>
            </w:r>
          </w:p>
        </w:tc>
        <w:tc>
          <w:tcPr>
            <w:tcW w:w="2980" w:type="dxa"/>
            <w:vAlign w:val="bottom"/>
            <w:gridSpan w:val="5"/>
          </w:tcPr>
          <w:p>
            <w:pPr>
              <w:jc w:val="right"/>
              <w:spacing w:after="0"/>
              <w:rPr>
                <w:sz w:val="20"/>
                <w:szCs w:val="20"/>
                <w:color w:val="auto"/>
              </w:rPr>
            </w:pPr>
            <w:r>
              <w:rPr>
                <w:rFonts w:ascii="Times New Roman" w:cs="Times New Roman" w:eastAsia="Times New Roman" w:hAnsi="Times New Roman"/>
                <w:sz w:val="9"/>
                <w:szCs w:val="9"/>
                <w:color w:val="0D0D0D"/>
              </w:rPr>
              <w:t>; Financial statements—Notes to the consolidated financial statements—Note</w:t>
            </w:r>
          </w:p>
        </w:tc>
        <w:tc>
          <w:tcPr>
            <w:tcW w:w="2620" w:type="dxa"/>
            <w:vAlign w:val="bottom"/>
            <w:gridSpan w:val="3"/>
          </w:tcPr>
          <w:p>
            <w:pPr>
              <w:ind w:left="340"/>
              <w:spacing w:after="0"/>
              <w:rPr>
                <w:sz w:val="20"/>
                <w:szCs w:val="20"/>
                <w:color w:val="auto"/>
              </w:rPr>
            </w:pPr>
            <w:r>
              <w:rPr>
                <w:rFonts w:ascii="Times New Roman" w:cs="Times New Roman" w:eastAsia="Times New Roman" w:hAnsi="Times New Roman"/>
                <w:sz w:val="9"/>
                <w:szCs w:val="9"/>
                <w:color w:val="0D0D0D"/>
              </w:rPr>
              <w:t>5.3. Derivative and firm commitment assets and liabilities</w:t>
            </w:r>
          </w:p>
        </w:tc>
        <w:tc>
          <w:tcPr>
            <w:tcW w:w="900" w:type="dxa"/>
            <w:vAlign w:val="bottom"/>
          </w:tcPr>
          <w:p>
            <w:pPr>
              <w:jc w:val="right"/>
              <w:ind w:right="313"/>
              <w:spacing w:after="0"/>
              <w:rPr>
                <w:sz w:val="20"/>
                <w:szCs w:val="20"/>
                <w:color w:val="auto"/>
              </w:rPr>
            </w:pPr>
            <w:r>
              <w:rPr>
                <w:rFonts w:ascii="Times New Roman" w:cs="Times New Roman" w:eastAsia="Times New Roman" w:hAnsi="Times New Roman"/>
                <w:sz w:val="9"/>
                <w:szCs w:val="9"/>
                <w:color w:val="0D0D0D"/>
              </w:rPr>
              <w:t>; Financial</w:t>
            </w:r>
          </w:p>
        </w:tc>
      </w:tr>
      <w:tr>
        <w:trPr>
          <w:trHeight w:val="121"/>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278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D0D0D"/>
              </w:rPr>
              <w:t>statements—Notes to the consolidated financial statements—Note</w:t>
            </w:r>
          </w:p>
        </w:tc>
        <w:tc>
          <w:tcPr>
            <w:tcW w:w="2240" w:type="dxa"/>
            <w:vAlign w:val="bottom"/>
            <w:gridSpan w:val="4"/>
          </w:tcPr>
          <w:p>
            <w:pPr>
              <w:ind w:left="80"/>
              <w:spacing w:after="0"/>
              <w:rPr>
                <w:sz w:val="20"/>
                <w:szCs w:val="20"/>
                <w:color w:val="auto"/>
              </w:rPr>
            </w:pPr>
            <w:r>
              <w:rPr>
                <w:rFonts w:ascii="Times New Roman" w:cs="Times New Roman" w:eastAsia="Times New Roman" w:hAnsi="Times New Roman"/>
                <w:sz w:val="9"/>
                <w:szCs w:val="9"/>
                <w:color w:val="0D0D0D"/>
              </w:rPr>
              <w:t>6.1. Commitments, contingencies and legal proceedings</w:t>
            </w:r>
          </w:p>
        </w:tc>
        <w:tc>
          <w:tcPr>
            <w:tcW w:w="2280" w:type="dxa"/>
            <w:vAlign w:val="bottom"/>
            <w:gridSpan w:val="2"/>
          </w:tcPr>
          <w:p>
            <w:pPr>
              <w:jc w:val="right"/>
              <w:ind w:right="673"/>
              <w:spacing w:after="0"/>
              <w:rPr>
                <w:sz w:val="20"/>
                <w:szCs w:val="20"/>
                <w:color w:val="auto"/>
              </w:rPr>
            </w:pPr>
            <w:r>
              <w:rPr>
                <w:rFonts w:ascii="Times New Roman" w:cs="Times New Roman" w:eastAsia="Times New Roman" w:hAnsi="Times New Roman"/>
                <w:sz w:val="9"/>
                <w:szCs w:val="9"/>
                <w:color w:val="0D0D0D"/>
              </w:rPr>
              <w:t>; Financial statements—Notes to the</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D0D0D"/>
              </w:rPr>
              <w:t>consolidated financial statements—Note</w:t>
            </w:r>
          </w:p>
        </w:tc>
        <w:tc>
          <w:tcPr>
            <w:tcW w:w="144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D0D0D"/>
              </w:rPr>
              <w:t>5.4. Financial risk management</w:t>
            </w: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41"/>
        </w:trPr>
        <w:tc>
          <w:tcPr>
            <w:tcW w:w="540" w:type="dxa"/>
            <w:vAlign w:val="bottom"/>
          </w:tcPr>
          <w:p>
            <w:pPr>
              <w:spacing w:after="0"/>
              <w:rPr>
                <w:sz w:val="12"/>
                <w:szCs w:val="12"/>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5C</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Research and Development, Patents and</w:t>
            </w: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Business overview—Our strategy; Business overview—Nokia Technologies; Operating and financial review and prospects—Results of operations; Operating and financial</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Licenses etc.</w:t>
            </w:r>
          </w:p>
        </w:tc>
        <w:tc>
          <w:tcPr>
            <w:tcW w:w="17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D0D0D"/>
              </w:rPr>
              <w:t>review and prospects—Results of segments</w:t>
            </w: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2"/>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5D</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Trend Information</w:t>
            </w:r>
          </w:p>
        </w:tc>
        <w:tc>
          <w:tcPr>
            <w:tcW w:w="278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D0D0D"/>
              </w:rPr>
              <w:t>Business overview—Nokia in 2023; Business overview—Our strategy</w:t>
            </w:r>
          </w:p>
        </w:tc>
        <w:tc>
          <w:tcPr>
            <w:tcW w:w="38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8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1380" w:type="dxa"/>
            <w:vAlign w:val="bottom"/>
          </w:tcPr>
          <w:p>
            <w:pPr>
              <w:spacing w:after="0"/>
              <w:rPr>
                <w:sz w:val="14"/>
                <w:szCs w:val="14"/>
                <w:color w:val="auto"/>
              </w:rPr>
            </w:pPr>
          </w:p>
        </w:tc>
        <w:tc>
          <w:tcPr>
            <w:tcW w:w="900" w:type="dxa"/>
            <w:vAlign w:val="bottom"/>
          </w:tcPr>
          <w:p>
            <w:pPr>
              <w:spacing w:after="0"/>
              <w:rPr>
                <w:sz w:val="14"/>
                <w:szCs w:val="14"/>
                <w:color w:val="auto"/>
              </w:rPr>
            </w:pPr>
          </w:p>
        </w:tc>
      </w:tr>
      <w:tr>
        <w:trPr>
          <w:trHeight w:val="158"/>
        </w:trPr>
        <w:tc>
          <w:tcPr>
            <w:tcW w:w="540" w:type="dxa"/>
            <w:vAlign w:val="bottom"/>
            <w:tcBorders>
              <w:bottom w:val="single" w:sz="8" w:color="auto"/>
            </w:tcBorders>
          </w:tcPr>
          <w:p>
            <w:pPr>
              <w:spacing w:after="0"/>
              <w:rPr>
                <w:sz w:val="13"/>
                <w:szCs w:val="13"/>
                <w:color w:val="auto"/>
              </w:rPr>
            </w:pPr>
          </w:p>
        </w:tc>
        <w:tc>
          <w:tcPr>
            <w:tcW w:w="24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5E</w:t>
            </w:r>
          </w:p>
        </w:tc>
        <w:tc>
          <w:tcPr>
            <w:tcW w:w="1960" w:type="dxa"/>
            <w:vAlign w:val="bottom"/>
            <w:tcBorders>
              <w:bottom w:val="single" w:sz="8" w:color="auto"/>
            </w:tcBorders>
          </w:tcPr>
          <w:p>
            <w:pPr>
              <w:ind w:left="80"/>
              <w:spacing w:after="0"/>
              <w:rPr>
                <w:sz w:val="20"/>
                <w:szCs w:val="20"/>
                <w:color w:val="auto"/>
              </w:rPr>
            </w:pPr>
            <w:r>
              <w:rPr>
                <w:rFonts w:ascii="Times New Roman" w:cs="Times New Roman" w:eastAsia="Times New Roman" w:hAnsi="Times New Roman"/>
                <w:sz w:val="9"/>
                <w:szCs w:val="9"/>
                <w:color w:val="0D0D0D"/>
              </w:rPr>
              <w:t>Critical Accounting Estimates</w:t>
            </w:r>
          </w:p>
        </w:tc>
        <w:tc>
          <w:tcPr>
            <w:tcW w:w="800" w:type="dxa"/>
            <w:vAlign w:val="bottom"/>
            <w:tcBorders>
              <w:bottom w:val="single" w:sz="8" w:color="auto"/>
            </w:tcBorders>
          </w:tcPr>
          <w:p>
            <w:pPr>
              <w:ind w:left="20"/>
              <w:spacing w:after="0"/>
              <w:rPr>
                <w:sz w:val="20"/>
                <w:szCs w:val="20"/>
                <w:color w:val="auto"/>
              </w:rPr>
            </w:pPr>
            <w:r>
              <w:rPr>
                <w:rFonts w:ascii="Times New Roman" w:cs="Times New Roman" w:eastAsia="Times New Roman" w:hAnsi="Times New Roman"/>
                <w:sz w:val="9"/>
                <w:szCs w:val="9"/>
                <w:color w:val="0D0D0D"/>
              </w:rPr>
              <w:t>N/A</w:t>
            </w:r>
          </w:p>
        </w:tc>
        <w:tc>
          <w:tcPr>
            <w:tcW w:w="920" w:type="dxa"/>
            <w:vAlign w:val="bottom"/>
            <w:tcBorders>
              <w:bottom w:val="single" w:sz="8" w:color="auto"/>
            </w:tcBorders>
          </w:tcPr>
          <w:p>
            <w:pPr>
              <w:spacing w:after="0"/>
              <w:rPr>
                <w:sz w:val="13"/>
                <w:szCs w:val="13"/>
                <w:color w:val="auto"/>
              </w:rPr>
            </w:pPr>
          </w:p>
        </w:tc>
        <w:tc>
          <w:tcPr>
            <w:tcW w:w="120" w:type="dxa"/>
            <w:vAlign w:val="bottom"/>
            <w:tcBorders>
              <w:bottom w:val="single" w:sz="8" w:color="auto"/>
            </w:tcBorders>
          </w:tcPr>
          <w:p>
            <w:pPr>
              <w:spacing w:after="0"/>
              <w:rPr>
                <w:sz w:val="13"/>
                <w:szCs w:val="13"/>
                <w:color w:val="auto"/>
              </w:rPr>
            </w:pPr>
          </w:p>
        </w:tc>
        <w:tc>
          <w:tcPr>
            <w:tcW w:w="940" w:type="dxa"/>
            <w:vAlign w:val="bottom"/>
            <w:tcBorders>
              <w:bottom w:val="single" w:sz="8" w:color="auto"/>
            </w:tcBorders>
          </w:tcPr>
          <w:p>
            <w:pPr>
              <w:spacing w:after="0"/>
              <w:rPr>
                <w:sz w:val="13"/>
                <w:szCs w:val="13"/>
                <w:color w:val="auto"/>
              </w:rPr>
            </w:pPr>
          </w:p>
        </w:tc>
        <w:tc>
          <w:tcPr>
            <w:tcW w:w="380" w:type="dxa"/>
            <w:vAlign w:val="bottom"/>
            <w:tcBorders>
              <w:bottom w:val="single" w:sz="8" w:color="auto"/>
            </w:tcBorders>
          </w:tcPr>
          <w:p>
            <w:pPr>
              <w:spacing w:after="0"/>
              <w:rPr>
                <w:sz w:val="13"/>
                <w:szCs w:val="13"/>
                <w:color w:val="auto"/>
              </w:rPr>
            </w:pPr>
          </w:p>
        </w:tc>
        <w:tc>
          <w:tcPr>
            <w:tcW w:w="620" w:type="dxa"/>
            <w:vAlign w:val="bottom"/>
            <w:tcBorders>
              <w:bottom w:val="single" w:sz="8" w:color="auto"/>
            </w:tcBorders>
          </w:tcPr>
          <w:p>
            <w:pPr>
              <w:spacing w:after="0"/>
              <w:rPr>
                <w:sz w:val="13"/>
                <w:szCs w:val="13"/>
                <w:color w:val="auto"/>
              </w:rPr>
            </w:pPr>
          </w:p>
        </w:tc>
        <w:tc>
          <w:tcPr>
            <w:tcW w:w="840" w:type="dxa"/>
            <w:vAlign w:val="bottom"/>
            <w:tcBorders>
              <w:bottom w:val="single" w:sz="8" w:color="auto"/>
            </w:tcBorders>
          </w:tcPr>
          <w:p>
            <w:pPr>
              <w:spacing w:after="0"/>
              <w:rPr>
                <w:sz w:val="13"/>
                <w:szCs w:val="13"/>
                <w:color w:val="auto"/>
              </w:rPr>
            </w:pPr>
          </w:p>
        </w:tc>
        <w:tc>
          <w:tcPr>
            <w:tcW w:w="400" w:type="dxa"/>
            <w:vAlign w:val="bottom"/>
            <w:tcBorders>
              <w:bottom w:val="single" w:sz="8" w:color="auto"/>
            </w:tcBorders>
          </w:tcPr>
          <w:p>
            <w:pPr>
              <w:spacing w:after="0"/>
              <w:rPr>
                <w:sz w:val="13"/>
                <w:szCs w:val="13"/>
                <w:color w:val="auto"/>
              </w:rPr>
            </w:pPr>
          </w:p>
        </w:tc>
        <w:tc>
          <w:tcPr>
            <w:tcW w:w="1380" w:type="dxa"/>
            <w:vAlign w:val="bottom"/>
            <w:tcBorders>
              <w:bottom w:val="single" w:sz="8" w:color="auto"/>
            </w:tcBorders>
          </w:tcPr>
          <w:p>
            <w:pPr>
              <w:spacing w:after="0"/>
              <w:rPr>
                <w:sz w:val="13"/>
                <w:szCs w:val="13"/>
                <w:color w:val="auto"/>
              </w:rPr>
            </w:pPr>
          </w:p>
        </w:tc>
        <w:tc>
          <w:tcPr>
            <w:tcW w:w="900" w:type="dxa"/>
            <w:vAlign w:val="bottom"/>
            <w:tcBorders>
              <w:bottom w:val="single" w:sz="8" w:color="auto"/>
            </w:tcBorders>
          </w:tcPr>
          <w:p>
            <w:pPr>
              <w:spacing w:after="0"/>
              <w:rPr>
                <w:sz w:val="13"/>
                <w:szCs w:val="13"/>
                <w:color w:val="auto"/>
              </w:rPr>
            </w:pPr>
          </w:p>
        </w:tc>
      </w:tr>
      <w:tr>
        <w:trPr>
          <w:trHeight w:val="115"/>
        </w:trPr>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DIRECTORS, SENIOR MANAGEMENT AND</w:t>
            </w:r>
          </w:p>
        </w:tc>
        <w:tc>
          <w:tcPr>
            <w:tcW w:w="800" w:type="dxa"/>
            <w:vAlign w:val="bottom"/>
          </w:tcPr>
          <w:p>
            <w:pPr>
              <w:spacing w:after="0"/>
              <w:rPr>
                <w:sz w:val="9"/>
                <w:szCs w:val="9"/>
                <w:color w:val="auto"/>
              </w:rPr>
            </w:pPr>
          </w:p>
        </w:tc>
        <w:tc>
          <w:tcPr>
            <w:tcW w:w="920" w:type="dxa"/>
            <w:vAlign w:val="bottom"/>
          </w:tcPr>
          <w:p>
            <w:pPr>
              <w:spacing w:after="0"/>
              <w:rPr>
                <w:sz w:val="9"/>
                <w:szCs w:val="9"/>
                <w:color w:val="auto"/>
              </w:rPr>
            </w:pPr>
          </w:p>
        </w:tc>
        <w:tc>
          <w:tcPr>
            <w:tcW w:w="120" w:type="dxa"/>
            <w:vAlign w:val="bottom"/>
          </w:tcPr>
          <w:p>
            <w:pPr>
              <w:spacing w:after="0"/>
              <w:rPr>
                <w:sz w:val="9"/>
                <w:szCs w:val="9"/>
                <w:color w:val="auto"/>
              </w:rPr>
            </w:pPr>
          </w:p>
        </w:tc>
        <w:tc>
          <w:tcPr>
            <w:tcW w:w="940" w:type="dxa"/>
            <w:vAlign w:val="bottom"/>
          </w:tcPr>
          <w:p>
            <w:pPr>
              <w:spacing w:after="0"/>
              <w:rPr>
                <w:sz w:val="9"/>
                <w:szCs w:val="9"/>
                <w:color w:val="auto"/>
              </w:rPr>
            </w:pPr>
          </w:p>
        </w:tc>
        <w:tc>
          <w:tcPr>
            <w:tcW w:w="380" w:type="dxa"/>
            <w:vAlign w:val="bottom"/>
          </w:tcPr>
          <w:p>
            <w:pPr>
              <w:spacing w:after="0"/>
              <w:rPr>
                <w:sz w:val="9"/>
                <w:szCs w:val="9"/>
                <w:color w:val="auto"/>
              </w:rPr>
            </w:pPr>
          </w:p>
        </w:tc>
        <w:tc>
          <w:tcPr>
            <w:tcW w:w="620" w:type="dxa"/>
            <w:vAlign w:val="bottom"/>
          </w:tcPr>
          <w:p>
            <w:pPr>
              <w:spacing w:after="0"/>
              <w:rPr>
                <w:sz w:val="9"/>
                <w:szCs w:val="9"/>
                <w:color w:val="auto"/>
              </w:rPr>
            </w:pPr>
          </w:p>
        </w:tc>
        <w:tc>
          <w:tcPr>
            <w:tcW w:w="840" w:type="dxa"/>
            <w:vAlign w:val="bottom"/>
          </w:tcPr>
          <w:p>
            <w:pPr>
              <w:spacing w:after="0"/>
              <w:rPr>
                <w:sz w:val="9"/>
                <w:szCs w:val="9"/>
                <w:color w:val="auto"/>
              </w:rPr>
            </w:pPr>
          </w:p>
        </w:tc>
        <w:tc>
          <w:tcPr>
            <w:tcW w:w="400" w:type="dxa"/>
            <w:vAlign w:val="bottom"/>
          </w:tcPr>
          <w:p>
            <w:pPr>
              <w:spacing w:after="0"/>
              <w:rPr>
                <w:sz w:val="9"/>
                <w:szCs w:val="9"/>
                <w:color w:val="auto"/>
              </w:rPr>
            </w:pPr>
          </w:p>
        </w:tc>
        <w:tc>
          <w:tcPr>
            <w:tcW w:w="1380" w:type="dxa"/>
            <w:vAlign w:val="bottom"/>
          </w:tcPr>
          <w:p>
            <w:pPr>
              <w:spacing w:after="0"/>
              <w:rPr>
                <w:sz w:val="9"/>
                <w:szCs w:val="9"/>
                <w:color w:val="auto"/>
              </w:rPr>
            </w:pPr>
          </w:p>
        </w:tc>
        <w:tc>
          <w:tcPr>
            <w:tcW w:w="900" w:type="dxa"/>
            <w:vAlign w:val="bottom"/>
          </w:tcPr>
          <w:p>
            <w:pPr>
              <w:spacing w:after="0"/>
              <w:rPr>
                <w:sz w:val="9"/>
                <w:szCs w:val="9"/>
                <w:color w:val="auto"/>
              </w:rPr>
            </w:pP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EMPLOYEES</w:t>
            </w:r>
          </w:p>
        </w:tc>
        <w:tc>
          <w:tcPr>
            <w:tcW w:w="800" w:type="dxa"/>
            <w:vAlign w:val="bottom"/>
          </w:tcPr>
          <w:p>
            <w:pPr>
              <w:spacing w:after="0"/>
              <w:rPr>
                <w:sz w:val="10"/>
                <w:szCs w:val="10"/>
                <w:color w:val="auto"/>
              </w:rPr>
            </w:pPr>
          </w:p>
        </w:tc>
        <w:tc>
          <w:tcPr>
            <w:tcW w:w="9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9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r>
        <w:trPr>
          <w:trHeight w:val="162"/>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6A</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Directors and senior management</w:t>
            </w:r>
          </w:p>
        </w:tc>
        <w:tc>
          <w:tcPr>
            <w:tcW w:w="278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D0D0D"/>
              </w:rPr>
              <w:t>Corporate governance—Corporate Governance Statement</w:t>
            </w:r>
          </w:p>
        </w:tc>
        <w:tc>
          <w:tcPr>
            <w:tcW w:w="38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8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1380" w:type="dxa"/>
            <w:vAlign w:val="bottom"/>
          </w:tcPr>
          <w:p>
            <w:pPr>
              <w:spacing w:after="0"/>
              <w:rPr>
                <w:sz w:val="14"/>
                <w:szCs w:val="14"/>
                <w:color w:val="auto"/>
              </w:rPr>
            </w:pPr>
          </w:p>
        </w:tc>
        <w:tc>
          <w:tcPr>
            <w:tcW w:w="900" w:type="dxa"/>
            <w:vAlign w:val="bottom"/>
          </w:tcPr>
          <w:p>
            <w:pPr>
              <w:spacing w:after="0"/>
              <w:rPr>
                <w:sz w:val="14"/>
                <w:szCs w:val="14"/>
                <w:color w:val="auto"/>
              </w:rPr>
            </w:pPr>
          </w:p>
        </w:tc>
      </w:tr>
      <w:tr>
        <w:trPr>
          <w:trHeight w:val="141"/>
        </w:trPr>
        <w:tc>
          <w:tcPr>
            <w:tcW w:w="540" w:type="dxa"/>
            <w:vAlign w:val="bottom"/>
          </w:tcPr>
          <w:p>
            <w:pPr>
              <w:spacing w:after="0"/>
              <w:rPr>
                <w:sz w:val="12"/>
                <w:szCs w:val="12"/>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6B</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Compensation</w:t>
            </w:r>
          </w:p>
        </w:tc>
        <w:tc>
          <w:tcPr>
            <w:tcW w:w="4620" w:type="dxa"/>
            <w:vAlign w:val="bottom"/>
            <w:gridSpan w:val="7"/>
          </w:tcPr>
          <w:p>
            <w:pPr>
              <w:ind w:left="20"/>
              <w:spacing w:after="0"/>
              <w:rPr>
                <w:sz w:val="20"/>
                <w:szCs w:val="20"/>
                <w:color w:val="auto"/>
              </w:rPr>
            </w:pPr>
            <w:r>
              <w:rPr>
                <w:rFonts w:ascii="Times New Roman" w:cs="Times New Roman" w:eastAsia="Times New Roman" w:hAnsi="Times New Roman"/>
                <w:sz w:val="9"/>
                <w:szCs w:val="9"/>
                <w:color w:val="0D0D0D"/>
              </w:rPr>
              <w:t>Corporate governance—Compensation; Financial statements—Notes to the consolidated financial statements—Note</w:t>
            </w:r>
          </w:p>
        </w:tc>
        <w:tc>
          <w:tcPr>
            <w:tcW w:w="2680" w:type="dxa"/>
            <w:vAlign w:val="bottom"/>
            <w:gridSpan w:val="3"/>
          </w:tcPr>
          <w:p>
            <w:pPr>
              <w:jc w:val="right"/>
              <w:ind w:right="133"/>
              <w:spacing w:after="0"/>
              <w:rPr>
                <w:sz w:val="20"/>
                <w:szCs w:val="20"/>
                <w:color w:val="auto"/>
              </w:rPr>
            </w:pPr>
            <w:r>
              <w:rPr>
                <w:rFonts w:ascii="Times New Roman" w:cs="Times New Roman" w:eastAsia="Times New Roman" w:hAnsi="Times New Roman"/>
                <w:sz w:val="9"/>
                <w:szCs w:val="9"/>
                <w:color w:val="0D0D0D"/>
              </w:rPr>
              <w:t>6.4. Related party transactions   ; Corporate Governance</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3780" w:type="dxa"/>
            <w:vAlign w:val="bottom"/>
            <w:gridSpan w:val="6"/>
          </w:tcPr>
          <w:p>
            <w:pPr>
              <w:ind w:left="20"/>
              <w:spacing w:after="0"/>
              <w:rPr>
                <w:sz w:val="20"/>
                <w:szCs w:val="20"/>
                <w:color w:val="auto"/>
              </w:rPr>
            </w:pPr>
            <w:r>
              <w:rPr>
                <w:rFonts w:ascii="Times New Roman" w:cs="Times New Roman" w:eastAsia="Times New Roman" w:hAnsi="Times New Roman"/>
                <w:sz w:val="9"/>
                <w:szCs w:val="9"/>
                <w:color w:val="0D0D0D"/>
              </w:rPr>
              <w:t>—Remuneration; Financial Statements—Notes to the consolidated financial statements—Note</w:t>
            </w:r>
          </w:p>
        </w:tc>
        <w:tc>
          <w:tcPr>
            <w:tcW w:w="2620" w:type="dxa"/>
            <w:vAlign w:val="bottom"/>
            <w:gridSpan w:val="3"/>
          </w:tcPr>
          <w:p>
            <w:pPr>
              <w:ind w:left="200"/>
              <w:spacing w:after="0"/>
              <w:rPr>
                <w:sz w:val="20"/>
                <w:szCs w:val="20"/>
                <w:color w:val="auto"/>
              </w:rPr>
            </w:pPr>
            <w:r>
              <w:rPr>
                <w:rFonts w:ascii="Times New Roman" w:cs="Times New Roman" w:eastAsia="Times New Roman" w:hAnsi="Times New Roman"/>
                <w:sz w:val="9"/>
                <w:szCs w:val="9"/>
                <w:color w:val="0D0D0D"/>
              </w:rPr>
              <w:t>3.2. Remuneration of key management</w:t>
            </w:r>
          </w:p>
        </w:tc>
        <w:tc>
          <w:tcPr>
            <w:tcW w:w="900" w:type="dxa"/>
            <w:vAlign w:val="bottom"/>
          </w:tcPr>
          <w:p>
            <w:pPr>
              <w:spacing w:after="0"/>
              <w:rPr>
                <w:sz w:val="10"/>
                <w:szCs w:val="10"/>
                <w:color w:val="auto"/>
              </w:rPr>
            </w:pPr>
          </w:p>
        </w:tc>
      </w:tr>
      <w:tr>
        <w:trPr>
          <w:trHeight w:val="162"/>
        </w:trPr>
        <w:tc>
          <w:tcPr>
            <w:tcW w:w="540" w:type="dxa"/>
            <w:vAlign w:val="bottom"/>
          </w:tcPr>
          <w:p>
            <w:pPr>
              <w:spacing w:after="0"/>
              <w:rPr>
                <w:sz w:val="14"/>
                <w:szCs w:val="14"/>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6C</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Board Practices</w:t>
            </w:r>
          </w:p>
        </w:tc>
        <w:tc>
          <w:tcPr>
            <w:tcW w:w="5020" w:type="dxa"/>
            <w:vAlign w:val="bottom"/>
            <w:gridSpan w:val="8"/>
          </w:tcPr>
          <w:p>
            <w:pPr>
              <w:ind w:left="20"/>
              <w:spacing w:after="0"/>
              <w:rPr>
                <w:sz w:val="20"/>
                <w:szCs w:val="20"/>
                <w:color w:val="auto"/>
              </w:rPr>
            </w:pPr>
            <w:r>
              <w:rPr>
                <w:rFonts w:ascii="Times New Roman" w:cs="Times New Roman" w:eastAsia="Times New Roman" w:hAnsi="Times New Roman"/>
                <w:sz w:val="9"/>
                <w:szCs w:val="9"/>
                <w:color w:val="0D0D0D"/>
              </w:rPr>
              <w:t>Corporate governance—Corporate governance statement; Corporate governance—Remuneration—Remuneration governance</w:t>
            </w:r>
          </w:p>
        </w:tc>
        <w:tc>
          <w:tcPr>
            <w:tcW w:w="1380" w:type="dxa"/>
            <w:vAlign w:val="bottom"/>
          </w:tcPr>
          <w:p>
            <w:pPr>
              <w:spacing w:after="0"/>
              <w:rPr>
                <w:sz w:val="14"/>
                <w:szCs w:val="14"/>
                <w:color w:val="auto"/>
              </w:rPr>
            </w:pPr>
          </w:p>
        </w:tc>
        <w:tc>
          <w:tcPr>
            <w:tcW w:w="900" w:type="dxa"/>
            <w:vAlign w:val="bottom"/>
          </w:tcPr>
          <w:p>
            <w:pPr>
              <w:spacing w:after="0"/>
              <w:rPr>
                <w:sz w:val="14"/>
                <w:szCs w:val="14"/>
                <w:color w:val="auto"/>
              </w:rPr>
            </w:pPr>
          </w:p>
        </w:tc>
      </w:tr>
      <w:tr>
        <w:trPr>
          <w:trHeight w:val="152"/>
        </w:trPr>
        <w:tc>
          <w:tcPr>
            <w:tcW w:w="540" w:type="dxa"/>
            <w:vAlign w:val="bottom"/>
          </w:tcPr>
          <w:p>
            <w:pPr>
              <w:spacing w:after="0"/>
              <w:rPr>
                <w:sz w:val="13"/>
                <w:szCs w:val="13"/>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6D</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Employees</w:t>
            </w:r>
          </w:p>
        </w:tc>
        <w:tc>
          <w:tcPr>
            <w:tcW w:w="3780" w:type="dxa"/>
            <w:vAlign w:val="bottom"/>
            <w:gridSpan w:val="6"/>
          </w:tcPr>
          <w:p>
            <w:pPr>
              <w:ind w:left="20"/>
              <w:spacing w:after="0"/>
              <w:rPr>
                <w:sz w:val="20"/>
                <w:szCs w:val="20"/>
                <w:color w:val="auto"/>
              </w:rPr>
            </w:pPr>
            <w:r>
              <w:rPr>
                <w:rFonts w:ascii="Times New Roman" w:cs="Times New Roman" w:eastAsia="Times New Roman" w:hAnsi="Times New Roman"/>
                <w:sz w:val="9"/>
                <w:szCs w:val="9"/>
                <w:color w:val="0D0D0D"/>
              </w:rPr>
              <w:t>Operating and financial review and prospects—Sustainability and corporate responsibility</w:t>
            </w:r>
          </w:p>
        </w:tc>
        <w:tc>
          <w:tcPr>
            <w:tcW w:w="840" w:type="dxa"/>
            <w:vAlign w:val="bottom"/>
          </w:tcPr>
          <w:p>
            <w:pPr>
              <w:spacing w:after="0"/>
              <w:rPr>
                <w:sz w:val="13"/>
                <w:szCs w:val="13"/>
                <w:color w:val="auto"/>
              </w:rPr>
            </w:pPr>
          </w:p>
        </w:tc>
        <w:tc>
          <w:tcPr>
            <w:tcW w:w="400" w:type="dxa"/>
            <w:vAlign w:val="bottom"/>
          </w:tcPr>
          <w:p>
            <w:pPr>
              <w:spacing w:after="0"/>
              <w:rPr>
                <w:sz w:val="13"/>
                <w:szCs w:val="13"/>
                <w:color w:val="auto"/>
              </w:rPr>
            </w:pPr>
          </w:p>
        </w:tc>
        <w:tc>
          <w:tcPr>
            <w:tcW w:w="1380" w:type="dxa"/>
            <w:vAlign w:val="bottom"/>
          </w:tcPr>
          <w:p>
            <w:pPr>
              <w:spacing w:after="0"/>
              <w:rPr>
                <w:sz w:val="13"/>
                <w:szCs w:val="13"/>
                <w:color w:val="auto"/>
              </w:rPr>
            </w:pPr>
          </w:p>
        </w:tc>
        <w:tc>
          <w:tcPr>
            <w:tcW w:w="900" w:type="dxa"/>
            <w:vAlign w:val="bottom"/>
          </w:tcPr>
          <w:p>
            <w:pPr>
              <w:spacing w:after="0"/>
              <w:rPr>
                <w:sz w:val="13"/>
                <w:szCs w:val="13"/>
                <w:color w:val="auto"/>
              </w:rPr>
            </w:pPr>
          </w:p>
        </w:tc>
      </w:tr>
      <w:tr>
        <w:trPr>
          <w:trHeight w:val="141"/>
        </w:trPr>
        <w:tc>
          <w:tcPr>
            <w:tcW w:w="540" w:type="dxa"/>
            <w:vAlign w:val="bottom"/>
          </w:tcPr>
          <w:p>
            <w:pPr>
              <w:spacing w:after="0"/>
              <w:rPr>
                <w:sz w:val="12"/>
                <w:szCs w:val="12"/>
                <w:color w:val="auto"/>
              </w:rPr>
            </w:pPr>
          </w:p>
        </w:tc>
        <w:tc>
          <w:tcPr>
            <w:tcW w:w="2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6E</w:t>
            </w:r>
          </w:p>
        </w:tc>
        <w:tc>
          <w:tcPr>
            <w:tcW w:w="1960" w:type="dxa"/>
            <w:vAlign w:val="bottom"/>
          </w:tcPr>
          <w:p>
            <w:pPr>
              <w:ind w:left="80"/>
              <w:spacing w:after="0"/>
              <w:rPr>
                <w:sz w:val="20"/>
                <w:szCs w:val="20"/>
                <w:color w:val="auto"/>
              </w:rPr>
            </w:pPr>
            <w:r>
              <w:rPr>
                <w:rFonts w:ascii="Times New Roman" w:cs="Times New Roman" w:eastAsia="Times New Roman" w:hAnsi="Times New Roman"/>
                <w:sz w:val="9"/>
                <w:szCs w:val="9"/>
                <w:color w:val="0D0D0D"/>
              </w:rPr>
              <w:t>Share Ownership</w:t>
            </w:r>
          </w:p>
        </w:tc>
        <w:tc>
          <w:tcPr>
            <w:tcW w:w="7300" w:type="dxa"/>
            <w:vAlign w:val="bottom"/>
            <w:gridSpan w:val="10"/>
          </w:tcPr>
          <w:p>
            <w:pPr>
              <w:ind w:left="20"/>
              <w:spacing w:after="0"/>
              <w:rPr>
                <w:sz w:val="20"/>
                <w:szCs w:val="20"/>
                <w:color w:val="auto"/>
              </w:rPr>
            </w:pPr>
            <w:r>
              <w:rPr>
                <w:rFonts w:ascii="Times New Roman" w:cs="Times New Roman" w:eastAsia="Times New Roman" w:hAnsi="Times New Roman"/>
                <w:sz w:val="9"/>
                <w:szCs w:val="9"/>
                <w:color w:val="0D0D0D"/>
              </w:rPr>
              <w:t>Business Overview—Nokia in 2023; Corporate governance—Remuneration—Remuneration Report 2023; Corporate governance—Corporate governance statement; Financial</w:t>
            </w:r>
          </w:p>
        </w:tc>
      </w:tr>
      <w:tr>
        <w:trPr>
          <w:trHeight w:val="122"/>
        </w:trPr>
        <w:tc>
          <w:tcPr>
            <w:tcW w:w="54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960" w:type="dxa"/>
            <w:vAlign w:val="bottom"/>
          </w:tcPr>
          <w:p>
            <w:pPr>
              <w:spacing w:after="0"/>
              <w:rPr>
                <w:sz w:val="10"/>
                <w:szCs w:val="10"/>
                <w:color w:val="auto"/>
              </w:rPr>
            </w:pPr>
          </w:p>
        </w:tc>
        <w:tc>
          <w:tcPr>
            <w:tcW w:w="278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D0D0D"/>
              </w:rPr>
              <w:t>statements—Notes to the consolidated financial statements—Note</w:t>
            </w:r>
          </w:p>
        </w:tc>
        <w:tc>
          <w:tcPr>
            <w:tcW w:w="1840" w:type="dxa"/>
            <w:vAlign w:val="bottom"/>
            <w:gridSpan w:val="3"/>
          </w:tcPr>
          <w:p>
            <w:pPr>
              <w:ind w:left="80"/>
              <w:spacing w:after="0"/>
              <w:rPr>
                <w:sz w:val="20"/>
                <w:szCs w:val="20"/>
                <w:color w:val="auto"/>
              </w:rPr>
            </w:pPr>
            <w:r>
              <w:rPr>
                <w:rFonts w:ascii="Times New Roman" w:cs="Times New Roman" w:eastAsia="Times New Roman" w:hAnsi="Times New Roman"/>
                <w:sz w:val="9"/>
                <w:szCs w:val="9"/>
                <w:color w:val="0D0D0D"/>
              </w:rPr>
              <w:t>3.3. Share-based payments</w:t>
            </w:r>
          </w:p>
        </w:tc>
        <w:tc>
          <w:tcPr>
            <w:tcW w:w="40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900" w:type="dxa"/>
            <w:vAlign w:val="bottom"/>
          </w:tcPr>
          <w:p>
            <w:pPr>
              <w:spacing w:after="0"/>
              <w:rPr>
                <w:sz w:val="10"/>
                <w:szCs w:val="10"/>
                <w:color w:val="auto"/>
              </w:rPr>
            </w:pPr>
          </w:p>
        </w:tc>
      </w:tr>
    </w:tbl>
    <w:p>
      <w:pPr>
        <w:sectPr>
          <w:pgSz w:w="11900" w:h="16838" w:orient="portrait"/>
          <w:cols w:equalWidth="0" w:num="1">
            <w:col w:w="10040"/>
          </w:cols>
          <w:pgMar w:left="960" w:top="774" w:right="899" w:bottom="1440" w:gutter="0" w:footer="0" w:header="0"/>
        </w:sectPr>
      </w:pPr>
    </w:p>
    <w:bookmarkStart w:id="4" w:name="page5"/>
    <w:bookmarkEnd w:id="4"/>
    <w:p>
      <w:pPr>
        <w:spacing w:after="0" w:line="1" w:lineRule="exact"/>
        <w:rPr>
          <w:sz w:val="20"/>
          <w:szCs w:val="20"/>
          <w:color w:val="auto"/>
        </w:rPr>
      </w:pPr>
    </w:p>
    <w:tbl>
      <w:tblPr>
        <w:tblLayout w:type="fixed"/>
        <w:tblInd w:w="10" w:type="dxa"/>
        <w:tblCellMar>
          <w:top w:w="0" w:type="dxa"/>
          <w:left w:w="0" w:type="dxa"/>
          <w:bottom w:w="0" w:type="dxa"/>
          <w:right w:w="0" w:type="dxa"/>
        </w:tblCellMar>
      </w:tblPr>
      <w:tr>
        <w:trPr>
          <w:trHeight w:val="1298"/>
        </w:trPr>
        <w:tc>
          <w:tcPr>
            <w:tcW w:w="660" w:type="dxa"/>
            <w:vAlign w:val="bottom"/>
            <w:tcBorders>
              <w:top w:val="single" w:sz="8" w:color="CCCCCC"/>
              <w:left w:val="single" w:sz="8" w:color="CCCCCC"/>
            </w:tcBorders>
          </w:tcPr>
          <w:p>
            <w:pPr>
              <w:spacing w:after="0"/>
              <w:rPr>
                <w:sz w:val="24"/>
                <w:szCs w:val="24"/>
                <w:color w:val="auto"/>
              </w:rPr>
            </w:pPr>
          </w:p>
        </w:tc>
        <w:tc>
          <w:tcPr>
            <w:tcW w:w="540" w:type="dxa"/>
            <w:vAlign w:val="bottom"/>
            <w:tcBorders>
              <w:top w:val="single" w:sz="8" w:color="CCCCCC"/>
            </w:tcBorders>
          </w:tcPr>
          <w:p>
            <w:pPr>
              <w:ind w:left="40"/>
              <w:spacing w:after="0"/>
              <w:rPr>
                <w:sz w:val="20"/>
                <w:szCs w:val="20"/>
                <w:color w:val="auto"/>
              </w:rPr>
            </w:pPr>
            <w:r>
              <w:rPr>
                <w:rFonts w:ascii="Times New Roman" w:cs="Times New Roman" w:eastAsia="Times New Roman" w:hAnsi="Times New Roman"/>
                <w:sz w:val="10"/>
                <w:szCs w:val="10"/>
                <w:b w:val="1"/>
                <w:bCs w:val="1"/>
                <w:color w:val="auto"/>
              </w:rPr>
              <w:t>Form 20-F</w:t>
            </w:r>
          </w:p>
        </w:tc>
        <w:tc>
          <w:tcPr>
            <w:tcW w:w="260" w:type="dxa"/>
            <w:vAlign w:val="bottom"/>
            <w:tcBorders>
              <w:top w:val="single" w:sz="8" w:color="CCCCCC"/>
            </w:tcBorders>
          </w:tcPr>
          <w:p>
            <w:pPr>
              <w:spacing w:after="0"/>
              <w:rPr>
                <w:sz w:val="24"/>
                <w:szCs w:val="24"/>
                <w:color w:val="auto"/>
              </w:rPr>
            </w:pPr>
          </w:p>
        </w:tc>
        <w:tc>
          <w:tcPr>
            <w:tcW w:w="1900" w:type="dxa"/>
            <w:vAlign w:val="bottom"/>
            <w:tcBorders>
              <w:top w:val="single" w:sz="8" w:color="CCCCCC"/>
            </w:tcBorders>
          </w:tcPr>
          <w:p>
            <w:pPr>
              <w:spacing w:after="0"/>
              <w:rPr>
                <w:sz w:val="24"/>
                <w:szCs w:val="24"/>
                <w:color w:val="auto"/>
              </w:rPr>
            </w:pPr>
          </w:p>
        </w:tc>
        <w:tc>
          <w:tcPr>
            <w:tcW w:w="1680" w:type="dxa"/>
            <w:vAlign w:val="bottom"/>
            <w:tcBorders>
              <w:top w:val="single" w:sz="8" w:color="CCCCCC"/>
            </w:tcBorders>
          </w:tcPr>
          <w:p>
            <w:pPr>
              <w:spacing w:after="0"/>
              <w:rPr>
                <w:sz w:val="24"/>
                <w:szCs w:val="24"/>
                <w:color w:val="auto"/>
              </w:rPr>
            </w:pPr>
          </w:p>
        </w:tc>
        <w:tc>
          <w:tcPr>
            <w:tcW w:w="1340" w:type="dxa"/>
            <w:vAlign w:val="bottom"/>
            <w:tcBorders>
              <w:top w:val="single" w:sz="8" w:color="CCCCCC"/>
            </w:tcBorders>
          </w:tcPr>
          <w:p>
            <w:pPr>
              <w:spacing w:after="0"/>
              <w:rPr>
                <w:sz w:val="24"/>
                <w:szCs w:val="24"/>
                <w:color w:val="auto"/>
              </w:rPr>
            </w:pPr>
          </w:p>
        </w:tc>
        <w:tc>
          <w:tcPr>
            <w:tcW w:w="900" w:type="dxa"/>
            <w:vAlign w:val="bottom"/>
            <w:tcBorders>
              <w:top w:val="single" w:sz="8" w:color="CCCCCC"/>
            </w:tcBorders>
          </w:tcPr>
          <w:p>
            <w:pPr>
              <w:spacing w:after="0"/>
              <w:rPr>
                <w:sz w:val="24"/>
                <w:szCs w:val="24"/>
                <w:color w:val="auto"/>
              </w:rPr>
            </w:pPr>
          </w:p>
        </w:tc>
        <w:tc>
          <w:tcPr>
            <w:tcW w:w="2300" w:type="dxa"/>
            <w:vAlign w:val="bottom"/>
            <w:tcBorders>
              <w:top w:val="single" w:sz="8" w:color="CCCCCC"/>
            </w:tcBorders>
          </w:tcPr>
          <w:p>
            <w:pPr>
              <w:spacing w:after="0"/>
              <w:rPr>
                <w:sz w:val="24"/>
                <w:szCs w:val="24"/>
                <w:color w:val="auto"/>
              </w:rPr>
            </w:pPr>
          </w:p>
        </w:tc>
        <w:tc>
          <w:tcPr>
            <w:tcW w:w="1120" w:type="dxa"/>
            <w:vAlign w:val="bottom"/>
            <w:tcBorders>
              <w:top w:val="single" w:sz="8" w:color="CCCCCC"/>
            </w:tcBorders>
          </w:tcPr>
          <w:p>
            <w:pPr>
              <w:spacing w:after="0"/>
              <w:rPr>
                <w:sz w:val="24"/>
                <w:szCs w:val="24"/>
                <w:color w:val="auto"/>
              </w:rPr>
            </w:pPr>
          </w:p>
        </w:tc>
        <w:tc>
          <w:tcPr>
            <w:tcW w:w="680" w:type="dxa"/>
            <w:vAlign w:val="bottom"/>
            <w:tcBorders>
              <w:top w:val="single" w:sz="8" w:color="CCCCCC"/>
              <w:right w:val="single" w:sz="8" w:color="CCCCCC"/>
            </w:tcBorders>
          </w:tcPr>
          <w:p>
            <w:pPr>
              <w:spacing w:after="0"/>
              <w:rPr>
                <w:sz w:val="24"/>
                <w:szCs w:val="24"/>
                <w:color w:val="auto"/>
              </w:rPr>
            </w:pPr>
          </w:p>
        </w:tc>
      </w:tr>
      <w:tr>
        <w:trPr>
          <w:trHeight w:val="132"/>
        </w:trPr>
        <w:tc>
          <w:tcPr>
            <w:tcW w:w="660" w:type="dxa"/>
            <w:vAlign w:val="bottom"/>
            <w:tcBorders>
              <w:left w:val="single" w:sz="8" w:color="CCCCCC"/>
            </w:tcBorders>
          </w:tcPr>
          <w:p>
            <w:pPr>
              <w:spacing w:after="0"/>
              <w:rPr>
                <w:sz w:val="11"/>
                <w:szCs w:val="11"/>
                <w:color w:val="auto"/>
              </w:rPr>
            </w:pPr>
          </w:p>
        </w:tc>
        <w:tc>
          <w:tcPr>
            <w:tcW w:w="80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auto"/>
              </w:rPr>
              <w:t>Item Number</w:t>
            </w:r>
          </w:p>
        </w:tc>
        <w:tc>
          <w:tcPr>
            <w:tcW w:w="1900" w:type="dxa"/>
            <w:vAlign w:val="bottom"/>
          </w:tcPr>
          <w:p>
            <w:pPr>
              <w:ind w:left="60"/>
              <w:spacing w:after="0"/>
              <w:rPr>
                <w:sz w:val="20"/>
                <w:szCs w:val="20"/>
                <w:color w:val="auto"/>
              </w:rPr>
            </w:pPr>
            <w:r>
              <w:rPr>
                <w:rFonts w:ascii="Times New Roman" w:cs="Times New Roman" w:eastAsia="Times New Roman" w:hAnsi="Times New Roman"/>
                <w:sz w:val="10"/>
                <w:szCs w:val="10"/>
                <w:b w:val="1"/>
                <w:bCs w:val="1"/>
                <w:color w:val="auto"/>
              </w:rPr>
              <w:t>Form 20-F Heading</w:t>
            </w:r>
          </w:p>
        </w:tc>
        <w:tc>
          <w:tcPr>
            <w:tcW w:w="1680" w:type="dxa"/>
            <w:vAlign w:val="bottom"/>
          </w:tcPr>
          <w:p>
            <w:pPr>
              <w:ind w:left="60"/>
              <w:spacing w:after="0"/>
              <w:rPr>
                <w:sz w:val="20"/>
                <w:szCs w:val="20"/>
                <w:color w:val="auto"/>
              </w:rPr>
            </w:pPr>
            <w:r>
              <w:rPr>
                <w:rFonts w:ascii="Times New Roman" w:cs="Times New Roman" w:eastAsia="Times New Roman" w:hAnsi="Times New Roman"/>
                <w:sz w:val="10"/>
                <w:szCs w:val="10"/>
                <w:b w:val="1"/>
                <w:bCs w:val="1"/>
                <w:color w:val="auto"/>
              </w:rPr>
              <w:t>Section in Document</w:t>
            </w:r>
          </w:p>
        </w:tc>
        <w:tc>
          <w:tcPr>
            <w:tcW w:w="1340" w:type="dxa"/>
            <w:vAlign w:val="bottom"/>
          </w:tcPr>
          <w:p>
            <w:pPr>
              <w:spacing w:after="0"/>
              <w:rPr>
                <w:sz w:val="11"/>
                <w:szCs w:val="11"/>
                <w:color w:val="auto"/>
              </w:rPr>
            </w:pPr>
          </w:p>
        </w:tc>
        <w:tc>
          <w:tcPr>
            <w:tcW w:w="900" w:type="dxa"/>
            <w:vAlign w:val="bottom"/>
          </w:tcPr>
          <w:p>
            <w:pPr>
              <w:spacing w:after="0"/>
              <w:rPr>
                <w:sz w:val="11"/>
                <w:szCs w:val="11"/>
                <w:color w:val="auto"/>
              </w:rPr>
            </w:pPr>
          </w:p>
        </w:tc>
        <w:tc>
          <w:tcPr>
            <w:tcW w:w="23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680" w:type="dxa"/>
            <w:vAlign w:val="bottom"/>
            <w:tcBorders>
              <w:right w:val="single" w:sz="8" w:color="CCCCCC"/>
            </w:tcBorders>
          </w:tcPr>
          <w:p>
            <w:pPr>
              <w:spacing w:after="0"/>
              <w:rPr>
                <w:sz w:val="11"/>
                <w:szCs w:val="11"/>
                <w:color w:val="auto"/>
              </w:rPr>
            </w:pPr>
          </w:p>
        </w:tc>
      </w:tr>
      <w:tr>
        <w:trPr>
          <w:trHeight w:val="139"/>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6F</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Disclosure of a registrant’s action to</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2"/>
                <w:szCs w:val="12"/>
                <w:color w:val="auto"/>
              </w:rPr>
            </w:pPr>
          </w:p>
        </w:tc>
        <w:tc>
          <w:tcPr>
            <w:tcW w:w="900" w:type="dxa"/>
            <w:vAlign w:val="bottom"/>
          </w:tcPr>
          <w:p>
            <w:pPr>
              <w:spacing w:after="0"/>
              <w:rPr>
                <w:sz w:val="12"/>
                <w:szCs w:val="12"/>
                <w:color w:val="auto"/>
              </w:rPr>
            </w:pPr>
          </w:p>
        </w:tc>
        <w:tc>
          <w:tcPr>
            <w:tcW w:w="2300" w:type="dxa"/>
            <w:vAlign w:val="bottom"/>
          </w:tcPr>
          <w:p>
            <w:pPr>
              <w:spacing w:after="0"/>
              <w:rPr>
                <w:sz w:val="12"/>
                <w:szCs w:val="12"/>
                <w:color w:val="auto"/>
              </w:rPr>
            </w:pPr>
          </w:p>
        </w:tc>
        <w:tc>
          <w:tcPr>
            <w:tcW w:w="1120" w:type="dxa"/>
            <w:vAlign w:val="bottom"/>
          </w:tcPr>
          <w:p>
            <w:pPr>
              <w:spacing w:after="0"/>
              <w:rPr>
                <w:sz w:val="12"/>
                <w:szCs w:val="12"/>
                <w:color w:val="auto"/>
              </w:rPr>
            </w:pPr>
          </w:p>
        </w:tc>
        <w:tc>
          <w:tcPr>
            <w:tcW w:w="680" w:type="dxa"/>
            <w:vAlign w:val="bottom"/>
            <w:tcBorders>
              <w:right w:val="single" w:sz="8" w:color="CCCCCC"/>
            </w:tcBorders>
          </w:tcPr>
          <w:p>
            <w:pPr>
              <w:spacing w:after="0"/>
              <w:rPr>
                <w:sz w:val="12"/>
                <w:szCs w:val="12"/>
                <w:color w:val="auto"/>
              </w:rPr>
            </w:pPr>
          </w:p>
        </w:tc>
      </w:tr>
      <w:tr>
        <w:trPr>
          <w:trHeight w:val="111"/>
        </w:trPr>
        <w:tc>
          <w:tcPr>
            <w:tcW w:w="660" w:type="dxa"/>
            <w:vAlign w:val="bottom"/>
            <w:tcBorders>
              <w:left w:val="single" w:sz="8" w:color="CCCCCC"/>
            </w:tcBorders>
          </w:tcPr>
          <w:p>
            <w:pPr>
              <w:spacing w:after="0"/>
              <w:rPr>
                <w:sz w:val="9"/>
                <w:szCs w:val="9"/>
                <w:color w:val="auto"/>
              </w:rPr>
            </w:pPr>
          </w:p>
        </w:tc>
        <w:tc>
          <w:tcPr>
            <w:tcW w:w="540" w:type="dxa"/>
            <w:vAlign w:val="bottom"/>
          </w:tcPr>
          <w:p>
            <w:pPr>
              <w:spacing w:after="0"/>
              <w:rPr>
                <w:sz w:val="9"/>
                <w:szCs w:val="9"/>
                <w:color w:val="auto"/>
              </w:rPr>
            </w:pPr>
          </w:p>
        </w:tc>
        <w:tc>
          <w:tcPr>
            <w:tcW w:w="260" w:type="dxa"/>
            <w:vAlign w:val="bottom"/>
          </w:tcPr>
          <w:p>
            <w:pPr>
              <w:spacing w:after="0"/>
              <w:rPr>
                <w:sz w:val="9"/>
                <w:szCs w:val="9"/>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recover erroneously awarded</w:t>
            </w:r>
          </w:p>
        </w:tc>
        <w:tc>
          <w:tcPr>
            <w:tcW w:w="1680" w:type="dxa"/>
            <w:vAlign w:val="bottom"/>
          </w:tcPr>
          <w:p>
            <w:pPr>
              <w:spacing w:after="0"/>
              <w:rPr>
                <w:sz w:val="9"/>
                <w:szCs w:val="9"/>
                <w:color w:val="auto"/>
              </w:rPr>
            </w:pPr>
          </w:p>
        </w:tc>
        <w:tc>
          <w:tcPr>
            <w:tcW w:w="1340" w:type="dxa"/>
            <w:vAlign w:val="bottom"/>
          </w:tcPr>
          <w:p>
            <w:pPr>
              <w:spacing w:after="0"/>
              <w:rPr>
                <w:sz w:val="9"/>
                <w:szCs w:val="9"/>
                <w:color w:val="auto"/>
              </w:rPr>
            </w:pPr>
          </w:p>
        </w:tc>
        <w:tc>
          <w:tcPr>
            <w:tcW w:w="900" w:type="dxa"/>
            <w:vAlign w:val="bottom"/>
          </w:tcPr>
          <w:p>
            <w:pPr>
              <w:spacing w:after="0"/>
              <w:rPr>
                <w:sz w:val="9"/>
                <w:szCs w:val="9"/>
                <w:color w:val="auto"/>
              </w:rPr>
            </w:pPr>
          </w:p>
        </w:tc>
        <w:tc>
          <w:tcPr>
            <w:tcW w:w="2300" w:type="dxa"/>
            <w:vAlign w:val="bottom"/>
          </w:tcPr>
          <w:p>
            <w:pPr>
              <w:spacing w:after="0"/>
              <w:rPr>
                <w:sz w:val="9"/>
                <w:szCs w:val="9"/>
                <w:color w:val="auto"/>
              </w:rPr>
            </w:pPr>
          </w:p>
        </w:tc>
        <w:tc>
          <w:tcPr>
            <w:tcW w:w="112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compensation</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33"/>
        </w:trPr>
        <w:tc>
          <w:tcPr>
            <w:tcW w:w="660" w:type="dxa"/>
            <w:vAlign w:val="bottom"/>
            <w:tcBorders>
              <w:left w:val="single" w:sz="8" w:color="CCCCCC"/>
            </w:tcBorders>
          </w:tcPr>
          <w:p>
            <w:pPr>
              <w:spacing w:after="0"/>
              <w:rPr>
                <w:sz w:val="2"/>
                <w:szCs w:val="2"/>
                <w:color w:val="auto"/>
              </w:rPr>
            </w:pPr>
          </w:p>
        </w:tc>
        <w:tc>
          <w:tcPr>
            <w:tcW w:w="540" w:type="dxa"/>
            <w:vAlign w:val="bottom"/>
            <w:tcBorders>
              <w:bottom w:val="single" w:sz="8" w:color="auto"/>
            </w:tcBorders>
          </w:tcPr>
          <w:p>
            <w:pPr>
              <w:spacing w:after="0"/>
              <w:rPr>
                <w:sz w:val="2"/>
                <w:szCs w:val="2"/>
                <w:color w:val="auto"/>
              </w:rPr>
            </w:pPr>
          </w:p>
        </w:tc>
        <w:tc>
          <w:tcPr>
            <w:tcW w:w="260" w:type="dxa"/>
            <w:vAlign w:val="bottom"/>
            <w:tcBorders>
              <w:bottom w:val="single" w:sz="8" w:color="auto"/>
            </w:tcBorders>
          </w:tcPr>
          <w:p>
            <w:pPr>
              <w:spacing w:after="0"/>
              <w:rPr>
                <w:sz w:val="2"/>
                <w:szCs w:val="2"/>
                <w:color w:val="auto"/>
              </w:rPr>
            </w:pPr>
          </w:p>
        </w:tc>
        <w:tc>
          <w:tcPr>
            <w:tcW w:w="1900" w:type="dxa"/>
            <w:vAlign w:val="bottom"/>
            <w:tcBorders>
              <w:bottom w:val="single" w:sz="8" w:color="auto"/>
            </w:tcBorders>
          </w:tcPr>
          <w:p>
            <w:pPr>
              <w:spacing w:after="0"/>
              <w:rPr>
                <w:sz w:val="2"/>
                <w:szCs w:val="2"/>
                <w:color w:val="auto"/>
              </w:rPr>
            </w:pPr>
          </w:p>
        </w:tc>
        <w:tc>
          <w:tcPr>
            <w:tcW w:w="1680" w:type="dxa"/>
            <w:vAlign w:val="bottom"/>
            <w:tcBorders>
              <w:bottom w:val="single" w:sz="8" w:color="auto"/>
            </w:tcBorders>
          </w:tcPr>
          <w:p>
            <w:pPr>
              <w:spacing w:after="0"/>
              <w:rPr>
                <w:sz w:val="2"/>
                <w:szCs w:val="2"/>
                <w:color w:val="auto"/>
              </w:rPr>
            </w:pPr>
          </w:p>
        </w:tc>
        <w:tc>
          <w:tcPr>
            <w:tcW w:w="1340" w:type="dxa"/>
            <w:vAlign w:val="bottom"/>
            <w:tcBorders>
              <w:bottom w:val="single" w:sz="8" w:color="auto"/>
            </w:tcBorders>
          </w:tcPr>
          <w:p>
            <w:pPr>
              <w:spacing w:after="0"/>
              <w:rPr>
                <w:sz w:val="2"/>
                <w:szCs w:val="2"/>
                <w:color w:val="auto"/>
              </w:rPr>
            </w:pPr>
          </w:p>
        </w:tc>
        <w:tc>
          <w:tcPr>
            <w:tcW w:w="900" w:type="dxa"/>
            <w:vAlign w:val="bottom"/>
            <w:tcBorders>
              <w:bottom w:val="single" w:sz="8" w:color="auto"/>
            </w:tcBorders>
          </w:tcPr>
          <w:p>
            <w:pPr>
              <w:spacing w:after="0"/>
              <w:rPr>
                <w:sz w:val="2"/>
                <w:szCs w:val="2"/>
                <w:color w:val="auto"/>
              </w:rPr>
            </w:pPr>
          </w:p>
        </w:tc>
        <w:tc>
          <w:tcPr>
            <w:tcW w:w="2300" w:type="dxa"/>
            <w:vAlign w:val="bottom"/>
            <w:tcBorders>
              <w:bottom w:val="single" w:sz="8" w:color="auto"/>
            </w:tcBorders>
          </w:tcPr>
          <w:p>
            <w:pPr>
              <w:spacing w:after="0"/>
              <w:rPr>
                <w:sz w:val="2"/>
                <w:szCs w:val="2"/>
                <w:color w:val="auto"/>
              </w:rPr>
            </w:pPr>
          </w:p>
        </w:tc>
        <w:tc>
          <w:tcPr>
            <w:tcW w:w="1120" w:type="dxa"/>
            <w:vAlign w:val="bottom"/>
            <w:tcBorders>
              <w:bottom w:val="single" w:sz="8" w:color="auto"/>
            </w:tcBorders>
          </w:tcPr>
          <w:p>
            <w:pPr>
              <w:spacing w:after="0"/>
              <w:rPr>
                <w:sz w:val="2"/>
                <w:szCs w:val="2"/>
                <w:color w:val="auto"/>
              </w:rPr>
            </w:pPr>
          </w:p>
        </w:tc>
        <w:tc>
          <w:tcPr>
            <w:tcW w:w="680" w:type="dxa"/>
            <w:vAlign w:val="bottom"/>
            <w:tcBorders>
              <w:right w:val="single" w:sz="8" w:color="CCCCCC"/>
            </w:tcBorders>
          </w:tcPr>
          <w:p>
            <w:pPr>
              <w:spacing w:after="0"/>
              <w:rPr>
                <w:sz w:val="2"/>
                <w:szCs w:val="2"/>
                <w:color w:val="auto"/>
              </w:rPr>
            </w:pPr>
          </w:p>
        </w:tc>
      </w:tr>
      <w:tr>
        <w:trPr>
          <w:trHeight w:val="108"/>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7</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MAJOR SHAREHOLDERS AND RELATED</w:t>
            </w:r>
          </w:p>
        </w:tc>
        <w:tc>
          <w:tcPr>
            <w:tcW w:w="1680" w:type="dxa"/>
            <w:vAlign w:val="bottom"/>
          </w:tcPr>
          <w:p>
            <w:pPr>
              <w:spacing w:after="0"/>
              <w:rPr>
                <w:sz w:val="9"/>
                <w:szCs w:val="9"/>
                <w:color w:val="auto"/>
              </w:rPr>
            </w:pPr>
          </w:p>
        </w:tc>
        <w:tc>
          <w:tcPr>
            <w:tcW w:w="1340" w:type="dxa"/>
            <w:vAlign w:val="bottom"/>
          </w:tcPr>
          <w:p>
            <w:pPr>
              <w:spacing w:after="0"/>
              <w:rPr>
                <w:sz w:val="9"/>
                <w:szCs w:val="9"/>
                <w:color w:val="auto"/>
              </w:rPr>
            </w:pPr>
          </w:p>
        </w:tc>
        <w:tc>
          <w:tcPr>
            <w:tcW w:w="900" w:type="dxa"/>
            <w:vAlign w:val="bottom"/>
          </w:tcPr>
          <w:p>
            <w:pPr>
              <w:spacing w:after="0"/>
              <w:rPr>
                <w:sz w:val="9"/>
                <w:szCs w:val="9"/>
                <w:color w:val="auto"/>
              </w:rPr>
            </w:pPr>
          </w:p>
        </w:tc>
        <w:tc>
          <w:tcPr>
            <w:tcW w:w="2300" w:type="dxa"/>
            <w:vAlign w:val="bottom"/>
          </w:tcPr>
          <w:p>
            <w:pPr>
              <w:spacing w:after="0"/>
              <w:rPr>
                <w:sz w:val="9"/>
                <w:szCs w:val="9"/>
                <w:color w:val="auto"/>
              </w:rPr>
            </w:pPr>
          </w:p>
        </w:tc>
        <w:tc>
          <w:tcPr>
            <w:tcW w:w="112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PARTY TRANSACTIONS</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62"/>
        </w:trPr>
        <w:tc>
          <w:tcPr>
            <w:tcW w:w="660" w:type="dxa"/>
            <w:vAlign w:val="bottom"/>
            <w:tcBorders>
              <w:left w:val="single" w:sz="8" w:color="CCCCCC"/>
            </w:tcBorders>
          </w:tcPr>
          <w:p>
            <w:pPr>
              <w:spacing w:after="0"/>
              <w:rPr>
                <w:sz w:val="14"/>
                <w:szCs w:val="14"/>
                <w:color w:val="auto"/>
              </w:rPr>
            </w:pPr>
          </w:p>
        </w:tc>
        <w:tc>
          <w:tcPr>
            <w:tcW w:w="540" w:type="dxa"/>
            <w:vAlign w:val="bottom"/>
          </w:tcPr>
          <w:p>
            <w:pPr>
              <w:spacing w:after="0"/>
              <w:rPr>
                <w:sz w:val="14"/>
                <w:szCs w:val="14"/>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7A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Major Shareholders</w:t>
            </w:r>
          </w:p>
        </w:tc>
        <w:tc>
          <w:tcPr>
            <w:tcW w:w="302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Operating and financial review and prospects—Shares and shareholders</w:t>
            </w:r>
          </w:p>
        </w:tc>
        <w:tc>
          <w:tcPr>
            <w:tcW w:w="900" w:type="dxa"/>
            <w:vAlign w:val="bottom"/>
          </w:tcPr>
          <w:p>
            <w:pPr>
              <w:spacing w:after="0"/>
              <w:rPr>
                <w:sz w:val="14"/>
                <w:szCs w:val="14"/>
                <w:color w:val="auto"/>
              </w:rPr>
            </w:pPr>
          </w:p>
        </w:tc>
        <w:tc>
          <w:tcPr>
            <w:tcW w:w="2300" w:type="dxa"/>
            <w:vAlign w:val="bottom"/>
          </w:tcPr>
          <w:p>
            <w:pPr>
              <w:spacing w:after="0"/>
              <w:rPr>
                <w:sz w:val="14"/>
                <w:szCs w:val="14"/>
                <w:color w:val="auto"/>
              </w:rPr>
            </w:pPr>
          </w:p>
        </w:tc>
        <w:tc>
          <w:tcPr>
            <w:tcW w:w="1120" w:type="dxa"/>
            <w:vAlign w:val="bottom"/>
          </w:tcPr>
          <w:p>
            <w:pPr>
              <w:spacing w:after="0"/>
              <w:rPr>
                <w:sz w:val="14"/>
                <w:szCs w:val="14"/>
                <w:color w:val="auto"/>
              </w:rPr>
            </w:pPr>
          </w:p>
        </w:tc>
        <w:tc>
          <w:tcPr>
            <w:tcW w:w="680" w:type="dxa"/>
            <w:vAlign w:val="bottom"/>
            <w:tcBorders>
              <w:right w:val="single" w:sz="8" w:color="CCCCCC"/>
            </w:tcBorders>
          </w:tcPr>
          <w:p>
            <w:pPr>
              <w:spacing w:after="0"/>
              <w:rPr>
                <w:sz w:val="14"/>
                <w:szCs w:val="14"/>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7B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Related Party Transactions</w:t>
            </w:r>
          </w:p>
        </w:tc>
        <w:tc>
          <w:tcPr>
            <w:tcW w:w="302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Financial statements—Notes to the consolidated financial statements—Note</w:t>
            </w:r>
          </w:p>
        </w:tc>
        <w:tc>
          <w:tcPr>
            <w:tcW w:w="3200" w:type="dxa"/>
            <w:vAlign w:val="bottom"/>
            <w:gridSpan w:val="2"/>
          </w:tcPr>
          <w:p>
            <w:pPr>
              <w:ind w:left="260"/>
              <w:spacing w:after="0"/>
              <w:rPr>
                <w:sz w:val="20"/>
                <w:szCs w:val="20"/>
                <w:color w:val="auto"/>
              </w:rPr>
            </w:pPr>
            <w:r>
              <w:rPr>
                <w:rFonts w:ascii="Times New Roman" w:cs="Times New Roman" w:eastAsia="Times New Roman" w:hAnsi="Times New Roman"/>
                <w:sz w:val="9"/>
                <w:szCs w:val="9"/>
                <w:color w:val="0D0D0D"/>
              </w:rPr>
              <w:t>6.4. Related party transactions</w:t>
            </w: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8"/>
        </w:trPr>
        <w:tc>
          <w:tcPr>
            <w:tcW w:w="660" w:type="dxa"/>
            <w:vAlign w:val="bottom"/>
            <w:tcBorders>
              <w:left w:val="single" w:sz="8" w:color="CCCCCC"/>
            </w:tcBorders>
          </w:tcPr>
          <w:p>
            <w:pPr>
              <w:spacing w:after="0"/>
              <w:rPr>
                <w:sz w:val="13"/>
                <w:szCs w:val="13"/>
                <w:color w:val="auto"/>
              </w:rPr>
            </w:pPr>
          </w:p>
        </w:tc>
        <w:tc>
          <w:tcPr>
            <w:tcW w:w="540" w:type="dxa"/>
            <w:vAlign w:val="bottom"/>
            <w:tcBorders>
              <w:bottom w:val="single" w:sz="8" w:color="auto"/>
            </w:tcBorders>
          </w:tcPr>
          <w:p>
            <w:pPr>
              <w:spacing w:after="0"/>
              <w:rPr>
                <w:sz w:val="13"/>
                <w:szCs w:val="13"/>
                <w:color w:val="auto"/>
              </w:rPr>
            </w:pP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7C</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Interests of Experts and Counsel</w:t>
            </w:r>
          </w:p>
        </w:tc>
        <w:tc>
          <w:tcPr>
            <w:tcW w:w="168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Borders>
              <w:bottom w:val="single" w:sz="8" w:color="auto"/>
            </w:tcBorders>
          </w:tcPr>
          <w:p>
            <w:pPr>
              <w:spacing w:after="0"/>
              <w:rPr>
                <w:sz w:val="13"/>
                <w:szCs w:val="13"/>
                <w:color w:val="auto"/>
              </w:rPr>
            </w:pPr>
          </w:p>
        </w:tc>
        <w:tc>
          <w:tcPr>
            <w:tcW w:w="900" w:type="dxa"/>
            <w:vAlign w:val="bottom"/>
            <w:tcBorders>
              <w:bottom w:val="single" w:sz="8" w:color="auto"/>
            </w:tcBorders>
          </w:tcPr>
          <w:p>
            <w:pPr>
              <w:spacing w:after="0"/>
              <w:rPr>
                <w:sz w:val="13"/>
                <w:szCs w:val="13"/>
                <w:color w:val="auto"/>
              </w:rPr>
            </w:pPr>
          </w:p>
        </w:tc>
        <w:tc>
          <w:tcPr>
            <w:tcW w:w="2300" w:type="dxa"/>
            <w:vAlign w:val="bottom"/>
            <w:tcBorders>
              <w:bottom w:val="single" w:sz="8" w:color="auto"/>
            </w:tcBorders>
          </w:tcPr>
          <w:p>
            <w:pPr>
              <w:spacing w:after="0"/>
              <w:rPr>
                <w:sz w:val="13"/>
                <w:szCs w:val="13"/>
                <w:color w:val="auto"/>
              </w:rPr>
            </w:pPr>
          </w:p>
        </w:tc>
        <w:tc>
          <w:tcPr>
            <w:tcW w:w="1120" w:type="dxa"/>
            <w:vAlign w:val="bottom"/>
            <w:tcBorders>
              <w:bottom w:val="single" w:sz="8" w:color="auto"/>
            </w:tcBorders>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25"/>
        </w:trPr>
        <w:tc>
          <w:tcPr>
            <w:tcW w:w="660" w:type="dxa"/>
            <w:vAlign w:val="bottom"/>
            <w:tcBorders>
              <w:left w:val="single" w:sz="8" w:color="CCCCCC"/>
            </w:tcBorders>
          </w:tcPr>
          <w:p>
            <w:pPr>
              <w:spacing w:after="0"/>
              <w:rPr>
                <w:sz w:val="10"/>
                <w:szCs w:val="10"/>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8</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FINANCIAL INFORMATION</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8A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Consolidated Statements and Other</w:t>
            </w:r>
          </w:p>
        </w:tc>
        <w:tc>
          <w:tcPr>
            <w:tcW w:w="8020" w:type="dxa"/>
            <w:vAlign w:val="bottom"/>
            <w:tcBorders>
              <w:right w:val="single" w:sz="8" w:color="CCCCCC"/>
            </w:tcBorders>
            <w:gridSpan w:val="6"/>
          </w:tcPr>
          <w:p>
            <w:pPr>
              <w:ind w:left="60"/>
              <w:spacing w:after="0"/>
              <w:rPr>
                <w:sz w:val="20"/>
                <w:szCs w:val="20"/>
                <w:color w:val="auto"/>
              </w:rPr>
            </w:pPr>
            <w:r>
              <w:rPr>
                <w:rFonts w:ascii="Times New Roman" w:cs="Times New Roman" w:eastAsia="Times New Roman" w:hAnsi="Times New Roman"/>
                <w:sz w:val="9"/>
                <w:szCs w:val="9"/>
                <w:color w:val="0D0D0D"/>
              </w:rPr>
              <w:t>Financial statements; Reports of independent registered public accounting firm; Operating and financial review and prospects—Shares and shareholders—Dividend and</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Financial Information</w:t>
            </w:r>
          </w:p>
        </w:tc>
        <w:tc>
          <w:tcPr>
            <w:tcW w:w="3920" w:type="dxa"/>
            <w:vAlign w:val="bottom"/>
            <w:gridSpan w:val="3"/>
          </w:tcPr>
          <w:p>
            <w:pPr>
              <w:ind w:left="60"/>
              <w:spacing w:after="0"/>
              <w:rPr>
                <w:sz w:val="20"/>
                <w:szCs w:val="20"/>
                <w:color w:val="auto"/>
              </w:rPr>
            </w:pPr>
            <w:r>
              <w:rPr>
                <w:rFonts w:ascii="Times New Roman" w:cs="Times New Roman" w:eastAsia="Times New Roman" w:hAnsi="Times New Roman"/>
                <w:sz w:val="9"/>
                <w:szCs w:val="9"/>
                <w:color w:val="0D0D0D"/>
              </w:rPr>
              <w:t>share buybacks; Financial statements—Notes to the consolidated financial statements—Note</w:t>
            </w:r>
          </w:p>
        </w:tc>
        <w:tc>
          <w:tcPr>
            <w:tcW w:w="23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6.1. Commitments, contingencies and legal proceedings</w:t>
            </w: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51"/>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8B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Significant Changes</w:t>
            </w:r>
          </w:p>
        </w:tc>
        <w:tc>
          <w:tcPr>
            <w:tcW w:w="6220" w:type="dxa"/>
            <w:vAlign w:val="bottom"/>
            <w:gridSpan w:val="4"/>
          </w:tcPr>
          <w:p>
            <w:pPr>
              <w:ind w:left="60"/>
              <w:spacing w:after="0"/>
              <w:rPr>
                <w:sz w:val="20"/>
                <w:szCs w:val="20"/>
                <w:color w:val="auto"/>
              </w:rPr>
            </w:pPr>
            <w:r>
              <w:rPr>
                <w:rFonts w:ascii="Times New Roman" w:cs="Times New Roman" w:eastAsia="Times New Roman" w:hAnsi="Times New Roman"/>
                <w:sz w:val="9"/>
                <w:szCs w:val="9"/>
                <w:color w:val="0D0D0D"/>
              </w:rPr>
              <w:t>Operating and financial review and prospects—Significant subsequent events; Financial statements—Notes to the consolidated financial statements—Notes</w:t>
            </w:r>
          </w:p>
        </w:tc>
        <w:tc>
          <w:tcPr>
            <w:tcW w:w="1800" w:type="dxa"/>
            <w:vAlign w:val="bottom"/>
            <w:tcBorders>
              <w:right w:val="single" w:sz="8" w:color="CCCCCC"/>
            </w:tcBorders>
            <w:gridSpan w:val="2"/>
          </w:tcPr>
          <w:p>
            <w:pPr>
              <w:ind w:left="380"/>
              <w:spacing w:after="0"/>
              <w:rPr>
                <w:sz w:val="20"/>
                <w:szCs w:val="20"/>
                <w:color w:val="auto"/>
              </w:rPr>
            </w:pPr>
            <w:r>
              <w:rPr>
                <w:rFonts w:ascii="Times New Roman" w:cs="Times New Roman" w:eastAsia="Times New Roman" w:hAnsi="Times New Roman"/>
                <w:sz w:val="9"/>
                <w:szCs w:val="9"/>
                <w:color w:val="0D0D0D"/>
              </w:rPr>
              <w:t>6.5. Subsequent</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events</w:t>
            </w: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23"/>
        </w:trPr>
        <w:tc>
          <w:tcPr>
            <w:tcW w:w="660" w:type="dxa"/>
            <w:vAlign w:val="bottom"/>
            <w:tcBorders>
              <w:left w:val="single" w:sz="8" w:color="CCCCCC"/>
            </w:tcBorders>
          </w:tcPr>
          <w:p>
            <w:pPr>
              <w:spacing w:after="0" w:line="20" w:lineRule="exact"/>
              <w:rPr>
                <w:sz w:val="1"/>
                <w:szCs w:val="1"/>
                <w:color w:val="auto"/>
              </w:rPr>
            </w:pPr>
          </w:p>
        </w:tc>
        <w:tc>
          <w:tcPr>
            <w:tcW w:w="540" w:type="dxa"/>
            <w:vAlign w:val="bottom"/>
            <w:tcBorders>
              <w:bottom w:val="single" w:sz="8" w:color="auto"/>
            </w:tcBorders>
          </w:tcPr>
          <w:p>
            <w:pPr>
              <w:spacing w:after="0" w:line="20" w:lineRule="exact"/>
              <w:rPr>
                <w:sz w:val="1"/>
                <w:szCs w:val="1"/>
                <w:color w:val="auto"/>
              </w:rPr>
            </w:pPr>
          </w:p>
        </w:tc>
        <w:tc>
          <w:tcPr>
            <w:tcW w:w="260" w:type="dxa"/>
            <w:vAlign w:val="bottom"/>
            <w:tcBorders>
              <w:bottom w:val="single" w:sz="8" w:color="auto"/>
            </w:tcBorders>
          </w:tcPr>
          <w:p>
            <w:pPr>
              <w:spacing w:after="0" w:line="20" w:lineRule="exact"/>
              <w:rPr>
                <w:sz w:val="1"/>
                <w:szCs w:val="1"/>
                <w:color w:val="auto"/>
              </w:rPr>
            </w:pPr>
          </w:p>
        </w:tc>
        <w:tc>
          <w:tcPr>
            <w:tcW w:w="1900" w:type="dxa"/>
            <w:vAlign w:val="bottom"/>
            <w:tcBorders>
              <w:bottom w:val="single" w:sz="8" w:color="auto"/>
            </w:tcBorders>
          </w:tcPr>
          <w:p>
            <w:pPr>
              <w:spacing w:after="0" w:line="20" w:lineRule="exact"/>
              <w:rPr>
                <w:sz w:val="1"/>
                <w:szCs w:val="1"/>
                <w:color w:val="auto"/>
              </w:rPr>
            </w:pPr>
          </w:p>
        </w:tc>
        <w:tc>
          <w:tcPr>
            <w:tcW w:w="1680" w:type="dxa"/>
            <w:vAlign w:val="bottom"/>
            <w:tcBorders>
              <w:bottom w:val="single" w:sz="8" w:color="auto"/>
            </w:tcBorders>
          </w:tcPr>
          <w:p>
            <w:pPr>
              <w:spacing w:after="0" w:line="20" w:lineRule="exact"/>
              <w:rPr>
                <w:sz w:val="1"/>
                <w:szCs w:val="1"/>
                <w:color w:val="auto"/>
              </w:rPr>
            </w:pPr>
          </w:p>
        </w:tc>
        <w:tc>
          <w:tcPr>
            <w:tcW w:w="1340" w:type="dxa"/>
            <w:vAlign w:val="bottom"/>
            <w:tcBorders>
              <w:bottom w:val="single" w:sz="8" w:color="auto"/>
            </w:tcBorders>
          </w:tcPr>
          <w:p>
            <w:pPr>
              <w:spacing w:after="0" w:line="20" w:lineRule="exact"/>
              <w:rPr>
                <w:sz w:val="1"/>
                <w:szCs w:val="1"/>
                <w:color w:val="auto"/>
              </w:rPr>
            </w:pPr>
          </w:p>
        </w:tc>
        <w:tc>
          <w:tcPr>
            <w:tcW w:w="900" w:type="dxa"/>
            <w:vAlign w:val="bottom"/>
            <w:tcBorders>
              <w:bottom w:val="single" w:sz="8" w:color="auto"/>
            </w:tcBorders>
          </w:tcPr>
          <w:p>
            <w:pPr>
              <w:spacing w:after="0" w:line="20" w:lineRule="exact"/>
              <w:rPr>
                <w:sz w:val="1"/>
                <w:szCs w:val="1"/>
                <w:color w:val="auto"/>
              </w:rPr>
            </w:pPr>
          </w:p>
        </w:tc>
        <w:tc>
          <w:tcPr>
            <w:tcW w:w="2300" w:type="dxa"/>
            <w:vAlign w:val="bottom"/>
            <w:tcBorders>
              <w:bottom w:val="single" w:sz="8" w:color="auto"/>
            </w:tcBorders>
          </w:tcPr>
          <w:p>
            <w:pPr>
              <w:spacing w:after="0" w:line="20" w:lineRule="exact"/>
              <w:rPr>
                <w:sz w:val="1"/>
                <w:szCs w:val="1"/>
                <w:color w:val="auto"/>
              </w:rPr>
            </w:pPr>
          </w:p>
        </w:tc>
        <w:tc>
          <w:tcPr>
            <w:tcW w:w="1120" w:type="dxa"/>
            <w:vAlign w:val="bottom"/>
            <w:tcBorders>
              <w:bottom w:val="single" w:sz="8" w:color="auto"/>
            </w:tcBorders>
          </w:tcPr>
          <w:p>
            <w:pPr>
              <w:spacing w:after="0" w:line="20" w:lineRule="exact"/>
              <w:rPr>
                <w:sz w:val="1"/>
                <w:szCs w:val="1"/>
                <w:color w:val="auto"/>
              </w:rPr>
            </w:pPr>
          </w:p>
        </w:tc>
        <w:tc>
          <w:tcPr>
            <w:tcW w:w="680" w:type="dxa"/>
            <w:vAlign w:val="bottom"/>
            <w:tcBorders>
              <w:right w:val="single" w:sz="8" w:color="CCCCCC"/>
            </w:tcBorders>
          </w:tcPr>
          <w:p>
            <w:pPr>
              <w:spacing w:after="0" w:line="20" w:lineRule="exact"/>
              <w:rPr>
                <w:sz w:val="1"/>
                <w:szCs w:val="1"/>
                <w:color w:val="auto"/>
              </w:rPr>
            </w:pPr>
          </w:p>
        </w:tc>
      </w:tr>
      <w:tr>
        <w:trPr>
          <w:trHeight w:val="119"/>
        </w:trPr>
        <w:tc>
          <w:tcPr>
            <w:tcW w:w="660" w:type="dxa"/>
            <w:vAlign w:val="bottom"/>
            <w:tcBorders>
              <w:left w:val="single" w:sz="8" w:color="CCCCCC"/>
            </w:tcBorders>
          </w:tcPr>
          <w:p>
            <w:pPr>
              <w:spacing w:after="0"/>
              <w:rPr>
                <w:sz w:val="10"/>
                <w:szCs w:val="10"/>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THE OFFER AND LISTING</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Offer and Listing Details</w:t>
            </w:r>
          </w:p>
        </w:tc>
        <w:tc>
          <w:tcPr>
            <w:tcW w:w="6220" w:type="dxa"/>
            <w:vAlign w:val="bottom"/>
            <w:gridSpan w:val="4"/>
          </w:tcPr>
          <w:p>
            <w:pPr>
              <w:ind w:left="60"/>
              <w:spacing w:after="0"/>
              <w:rPr>
                <w:sz w:val="20"/>
                <w:szCs w:val="20"/>
                <w:color w:val="auto"/>
              </w:rPr>
            </w:pPr>
            <w:r>
              <w:rPr>
                <w:rFonts w:ascii="Times New Roman" w:cs="Times New Roman" w:eastAsia="Times New Roman" w:hAnsi="Times New Roman"/>
                <w:sz w:val="9"/>
                <w:szCs w:val="9"/>
                <w:color w:val="0D0D0D"/>
              </w:rPr>
              <w:t>Operating and financial review and prospects—Shares and shareholders; Other information—Investor information—Stock exchanges</w:t>
            </w: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Plan of Distribution</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9C</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Markets</w:t>
            </w:r>
          </w:p>
        </w:tc>
        <w:tc>
          <w:tcPr>
            <w:tcW w:w="6220" w:type="dxa"/>
            <w:vAlign w:val="bottom"/>
            <w:gridSpan w:val="4"/>
          </w:tcPr>
          <w:p>
            <w:pPr>
              <w:ind w:left="60"/>
              <w:spacing w:after="0"/>
              <w:rPr>
                <w:sz w:val="20"/>
                <w:szCs w:val="20"/>
                <w:color w:val="auto"/>
              </w:rPr>
            </w:pPr>
            <w:r>
              <w:rPr>
                <w:rFonts w:ascii="Times New Roman" w:cs="Times New Roman" w:eastAsia="Times New Roman" w:hAnsi="Times New Roman"/>
                <w:sz w:val="9"/>
                <w:szCs w:val="9"/>
                <w:color w:val="0D0D0D"/>
              </w:rPr>
              <w:t>Operating and financial review and prospects—Shares and shareholders; Financial statements—Notes to the consolidated financial statements—Note</w:t>
            </w:r>
          </w:p>
        </w:tc>
        <w:tc>
          <w:tcPr>
            <w:tcW w:w="1800" w:type="dxa"/>
            <w:vAlign w:val="bottom"/>
            <w:tcBorders>
              <w:right w:val="single" w:sz="8" w:color="CCCCCC"/>
            </w:tcBorders>
            <w:gridSpan w:val="2"/>
          </w:tcPr>
          <w:p>
            <w:pPr>
              <w:ind w:left="120"/>
              <w:spacing w:after="0"/>
              <w:rPr>
                <w:sz w:val="20"/>
                <w:szCs w:val="20"/>
                <w:color w:val="auto"/>
              </w:rPr>
            </w:pPr>
            <w:r>
              <w:rPr>
                <w:rFonts w:ascii="Times New Roman" w:cs="Times New Roman" w:eastAsia="Times New Roman" w:hAnsi="Times New Roman"/>
                <w:sz w:val="9"/>
                <w:szCs w:val="9"/>
                <w:color w:val="0D0D0D"/>
              </w:rPr>
              <w:t>1.1. Corporate</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3920" w:type="dxa"/>
            <w:vAlign w:val="bottom"/>
            <w:gridSpan w:val="3"/>
          </w:tcPr>
          <w:p>
            <w:pPr>
              <w:ind w:left="60"/>
              <w:spacing w:after="0"/>
              <w:rPr>
                <w:sz w:val="20"/>
                <w:szCs w:val="20"/>
                <w:color w:val="auto"/>
              </w:rPr>
            </w:pPr>
            <w:r>
              <w:rPr>
                <w:rFonts w:ascii="Times New Roman" w:cs="Times New Roman" w:eastAsia="Times New Roman" w:hAnsi="Times New Roman"/>
                <w:sz w:val="9"/>
                <w:szCs w:val="9"/>
                <w:color w:val="0D0D0D"/>
              </w:rPr>
              <w:t>information ; Investor information; Other information—Investor information—Stock exchanges</w:t>
            </w: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62"/>
        </w:trPr>
        <w:tc>
          <w:tcPr>
            <w:tcW w:w="660" w:type="dxa"/>
            <w:vAlign w:val="bottom"/>
            <w:tcBorders>
              <w:left w:val="single" w:sz="8" w:color="CCCCCC"/>
            </w:tcBorders>
          </w:tcPr>
          <w:p>
            <w:pPr>
              <w:spacing w:after="0"/>
              <w:rPr>
                <w:sz w:val="14"/>
                <w:szCs w:val="14"/>
                <w:color w:val="auto"/>
              </w:rPr>
            </w:pPr>
          </w:p>
        </w:tc>
        <w:tc>
          <w:tcPr>
            <w:tcW w:w="540" w:type="dxa"/>
            <w:vAlign w:val="bottom"/>
          </w:tcPr>
          <w:p>
            <w:pPr>
              <w:spacing w:after="0"/>
              <w:rPr>
                <w:sz w:val="14"/>
                <w:szCs w:val="14"/>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9D</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Selling Shareholders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4"/>
                <w:szCs w:val="14"/>
                <w:color w:val="auto"/>
              </w:rPr>
            </w:pPr>
          </w:p>
        </w:tc>
        <w:tc>
          <w:tcPr>
            <w:tcW w:w="900" w:type="dxa"/>
            <w:vAlign w:val="bottom"/>
          </w:tcPr>
          <w:p>
            <w:pPr>
              <w:spacing w:after="0"/>
              <w:rPr>
                <w:sz w:val="14"/>
                <w:szCs w:val="14"/>
                <w:color w:val="auto"/>
              </w:rPr>
            </w:pPr>
          </w:p>
        </w:tc>
        <w:tc>
          <w:tcPr>
            <w:tcW w:w="2300" w:type="dxa"/>
            <w:vAlign w:val="bottom"/>
          </w:tcPr>
          <w:p>
            <w:pPr>
              <w:spacing w:after="0"/>
              <w:rPr>
                <w:sz w:val="14"/>
                <w:szCs w:val="14"/>
                <w:color w:val="auto"/>
              </w:rPr>
            </w:pPr>
          </w:p>
        </w:tc>
        <w:tc>
          <w:tcPr>
            <w:tcW w:w="1120" w:type="dxa"/>
            <w:vAlign w:val="bottom"/>
          </w:tcPr>
          <w:p>
            <w:pPr>
              <w:spacing w:after="0"/>
              <w:rPr>
                <w:sz w:val="14"/>
                <w:szCs w:val="14"/>
                <w:color w:val="auto"/>
              </w:rPr>
            </w:pPr>
          </w:p>
        </w:tc>
        <w:tc>
          <w:tcPr>
            <w:tcW w:w="680" w:type="dxa"/>
            <w:vAlign w:val="bottom"/>
            <w:tcBorders>
              <w:right w:val="single" w:sz="8" w:color="CCCCCC"/>
            </w:tcBorders>
          </w:tcPr>
          <w:p>
            <w:pPr>
              <w:spacing w:after="0"/>
              <w:rPr>
                <w:sz w:val="14"/>
                <w:szCs w:val="14"/>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9E</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Dilution</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8"/>
        </w:trPr>
        <w:tc>
          <w:tcPr>
            <w:tcW w:w="660" w:type="dxa"/>
            <w:vAlign w:val="bottom"/>
            <w:tcBorders>
              <w:left w:val="single" w:sz="8" w:color="CCCCCC"/>
            </w:tcBorders>
          </w:tcPr>
          <w:p>
            <w:pPr>
              <w:spacing w:after="0"/>
              <w:rPr>
                <w:sz w:val="13"/>
                <w:szCs w:val="13"/>
                <w:color w:val="auto"/>
              </w:rPr>
            </w:pPr>
          </w:p>
        </w:tc>
        <w:tc>
          <w:tcPr>
            <w:tcW w:w="540" w:type="dxa"/>
            <w:vAlign w:val="bottom"/>
            <w:tcBorders>
              <w:bottom w:val="single" w:sz="8" w:color="auto"/>
            </w:tcBorders>
          </w:tcPr>
          <w:p>
            <w:pPr>
              <w:spacing w:after="0"/>
              <w:rPr>
                <w:sz w:val="13"/>
                <w:szCs w:val="13"/>
                <w:color w:val="auto"/>
              </w:rPr>
            </w:pP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9F</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Expenses of the Issue</w:t>
            </w:r>
          </w:p>
        </w:tc>
        <w:tc>
          <w:tcPr>
            <w:tcW w:w="168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Borders>
              <w:bottom w:val="single" w:sz="8" w:color="auto"/>
            </w:tcBorders>
          </w:tcPr>
          <w:p>
            <w:pPr>
              <w:spacing w:after="0"/>
              <w:rPr>
                <w:sz w:val="13"/>
                <w:szCs w:val="13"/>
                <w:color w:val="auto"/>
              </w:rPr>
            </w:pPr>
          </w:p>
        </w:tc>
        <w:tc>
          <w:tcPr>
            <w:tcW w:w="900" w:type="dxa"/>
            <w:vAlign w:val="bottom"/>
            <w:tcBorders>
              <w:bottom w:val="single" w:sz="8" w:color="auto"/>
            </w:tcBorders>
          </w:tcPr>
          <w:p>
            <w:pPr>
              <w:spacing w:after="0"/>
              <w:rPr>
                <w:sz w:val="13"/>
                <w:szCs w:val="13"/>
                <w:color w:val="auto"/>
              </w:rPr>
            </w:pPr>
          </w:p>
        </w:tc>
        <w:tc>
          <w:tcPr>
            <w:tcW w:w="2300" w:type="dxa"/>
            <w:vAlign w:val="bottom"/>
            <w:tcBorders>
              <w:bottom w:val="single" w:sz="8" w:color="auto"/>
            </w:tcBorders>
          </w:tcPr>
          <w:p>
            <w:pPr>
              <w:spacing w:after="0"/>
              <w:rPr>
                <w:sz w:val="13"/>
                <w:szCs w:val="13"/>
                <w:color w:val="auto"/>
              </w:rPr>
            </w:pPr>
          </w:p>
        </w:tc>
        <w:tc>
          <w:tcPr>
            <w:tcW w:w="1120" w:type="dxa"/>
            <w:vAlign w:val="bottom"/>
            <w:tcBorders>
              <w:bottom w:val="single" w:sz="8" w:color="auto"/>
            </w:tcBorders>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25"/>
        </w:trPr>
        <w:tc>
          <w:tcPr>
            <w:tcW w:w="660" w:type="dxa"/>
            <w:vAlign w:val="bottom"/>
            <w:tcBorders>
              <w:left w:val="single" w:sz="8" w:color="CCCCCC"/>
            </w:tcBorders>
          </w:tcPr>
          <w:p>
            <w:pPr>
              <w:spacing w:after="0"/>
              <w:rPr>
                <w:sz w:val="10"/>
                <w:szCs w:val="10"/>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ADDITIONAL INFORMATION</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Share capital</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Memorandum and Articles of Association</w:t>
            </w:r>
          </w:p>
        </w:tc>
        <w:tc>
          <w:tcPr>
            <w:tcW w:w="3920" w:type="dxa"/>
            <w:vAlign w:val="bottom"/>
            <w:gridSpan w:val="3"/>
          </w:tcPr>
          <w:p>
            <w:pPr>
              <w:ind w:left="60"/>
              <w:spacing w:after="0"/>
              <w:rPr>
                <w:sz w:val="20"/>
                <w:szCs w:val="20"/>
                <w:color w:val="auto"/>
              </w:rPr>
            </w:pPr>
            <w:r>
              <w:rPr>
                <w:rFonts w:ascii="Times New Roman" w:cs="Times New Roman" w:eastAsia="Times New Roman" w:hAnsi="Times New Roman"/>
                <w:sz w:val="9"/>
                <w:szCs w:val="9"/>
                <w:color w:val="0D0D0D"/>
              </w:rPr>
              <w:t>Operating and financial review and prospects—Articles of Association; Other information—Exhibits</w:t>
            </w: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10C</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Material Contracts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10D</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Exchange Controls</w:t>
            </w:r>
          </w:p>
        </w:tc>
        <w:tc>
          <w:tcPr>
            <w:tcW w:w="302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General facts on Nokia—Controls and procedures—Exchange controls</w:t>
            </w: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10E</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Taxation</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General facts on Nokia—Taxation</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10F</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Dividends and Paying Agents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10G</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Statement by Experts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10H</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Documents on Display</w:t>
            </w:r>
          </w:p>
        </w:tc>
        <w:tc>
          <w:tcPr>
            <w:tcW w:w="302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Other information—Investor information—Documents on display</w:t>
            </w: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8"/>
        </w:trPr>
        <w:tc>
          <w:tcPr>
            <w:tcW w:w="660" w:type="dxa"/>
            <w:vAlign w:val="bottom"/>
            <w:tcBorders>
              <w:left w:val="single" w:sz="8" w:color="CCCCCC"/>
            </w:tcBorders>
          </w:tcPr>
          <w:p>
            <w:pPr>
              <w:spacing w:after="0"/>
              <w:rPr>
                <w:sz w:val="13"/>
                <w:szCs w:val="13"/>
                <w:color w:val="auto"/>
              </w:rPr>
            </w:pPr>
          </w:p>
        </w:tc>
        <w:tc>
          <w:tcPr>
            <w:tcW w:w="540" w:type="dxa"/>
            <w:vAlign w:val="bottom"/>
            <w:tcBorders>
              <w:bottom w:val="single" w:sz="8" w:color="auto"/>
            </w:tcBorders>
          </w:tcPr>
          <w:p>
            <w:pPr>
              <w:spacing w:after="0"/>
              <w:rPr>
                <w:sz w:val="13"/>
                <w:szCs w:val="13"/>
                <w:color w:val="auto"/>
              </w:rPr>
            </w:pP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10I</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Subsidiary Information</w:t>
            </w:r>
          </w:p>
        </w:tc>
        <w:tc>
          <w:tcPr>
            <w:tcW w:w="168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Borders>
              <w:bottom w:val="single" w:sz="8" w:color="auto"/>
            </w:tcBorders>
          </w:tcPr>
          <w:p>
            <w:pPr>
              <w:spacing w:after="0"/>
              <w:rPr>
                <w:sz w:val="13"/>
                <w:szCs w:val="13"/>
                <w:color w:val="auto"/>
              </w:rPr>
            </w:pPr>
          </w:p>
        </w:tc>
        <w:tc>
          <w:tcPr>
            <w:tcW w:w="900" w:type="dxa"/>
            <w:vAlign w:val="bottom"/>
            <w:tcBorders>
              <w:bottom w:val="single" w:sz="8" w:color="auto"/>
            </w:tcBorders>
          </w:tcPr>
          <w:p>
            <w:pPr>
              <w:spacing w:after="0"/>
              <w:rPr>
                <w:sz w:val="13"/>
                <w:szCs w:val="13"/>
                <w:color w:val="auto"/>
              </w:rPr>
            </w:pPr>
          </w:p>
        </w:tc>
        <w:tc>
          <w:tcPr>
            <w:tcW w:w="2300" w:type="dxa"/>
            <w:vAlign w:val="bottom"/>
            <w:tcBorders>
              <w:bottom w:val="single" w:sz="8" w:color="auto"/>
            </w:tcBorders>
          </w:tcPr>
          <w:p>
            <w:pPr>
              <w:spacing w:after="0"/>
              <w:rPr>
                <w:sz w:val="13"/>
                <w:szCs w:val="13"/>
                <w:color w:val="auto"/>
              </w:rPr>
            </w:pPr>
          </w:p>
        </w:tc>
        <w:tc>
          <w:tcPr>
            <w:tcW w:w="1120" w:type="dxa"/>
            <w:vAlign w:val="bottom"/>
            <w:tcBorders>
              <w:bottom w:val="single" w:sz="8" w:color="auto"/>
            </w:tcBorders>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15"/>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11</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QUANTITATIVE AND QUALITATIVE</w:t>
            </w:r>
          </w:p>
        </w:tc>
        <w:tc>
          <w:tcPr>
            <w:tcW w:w="8020" w:type="dxa"/>
            <w:vAlign w:val="bottom"/>
            <w:tcBorders>
              <w:right w:val="single" w:sz="8" w:color="CCCCCC"/>
            </w:tcBorders>
            <w:gridSpan w:val="6"/>
          </w:tcPr>
          <w:p>
            <w:pPr>
              <w:ind w:left="60"/>
              <w:spacing w:after="0"/>
              <w:rPr>
                <w:sz w:val="20"/>
                <w:szCs w:val="20"/>
                <w:color w:val="auto"/>
              </w:rPr>
            </w:pPr>
            <w:r>
              <w:rPr>
                <w:rFonts w:ascii="Times New Roman" w:cs="Times New Roman" w:eastAsia="Times New Roman" w:hAnsi="Times New Roman"/>
                <w:sz w:val="9"/>
                <w:szCs w:val="9"/>
                <w:color w:val="0D0D0D"/>
              </w:rPr>
              <w:t>Business overview—Our strategy; Operating and financial review and prospects—Risk factors—Financial and tax-related uncertainties; Financial statements—Notes to the</w:t>
            </w:r>
          </w:p>
        </w:tc>
      </w:tr>
      <w:tr>
        <w:trPr>
          <w:trHeight w:val="111"/>
        </w:trPr>
        <w:tc>
          <w:tcPr>
            <w:tcW w:w="660" w:type="dxa"/>
            <w:vAlign w:val="bottom"/>
            <w:tcBorders>
              <w:left w:val="single" w:sz="8" w:color="CCCCCC"/>
            </w:tcBorders>
          </w:tcPr>
          <w:p>
            <w:pPr>
              <w:spacing w:after="0"/>
              <w:rPr>
                <w:sz w:val="9"/>
                <w:szCs w:val="9"/>
                <w:color w:val="auto"/>
              </w:rPr>
            </w:pPr>
          </w:p>
        </w:tc>
        <w:tc>
          <w:tcPr>
            <w:tcW w:w="540" w:type="dxa"/>
            <w:vAlign w:val="bottom"/>
          </w:tcPr>
          <w:p>
            <w:pPr>
              <w:spacing w:after="0"/>
              <w:rPr>
                <w:sz w:val="9"/>
                <w:szCs w:val="9"/>
                <w:color w:val="auto"/>
              </w:rPr>
            </w:pPr>
          </w:p>
        </w:tc>
        <w:tc>
          <w:tcPr>
            <w:tcW w:w="260" w:type="dxa"/>
            <w:vAlign w:val="bottom"/>
          </w:tcPr>
          <w:p>
            <w:pPr>
              <w:spacing w:after="0"/>
              <w:rPr>
                <w:sz w:val="9"/>
                <w:szCs w:val="9"/>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DISCLOSURES ABOUT MARKET RISK</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consolidated financial statements—Note</w:t>
            </w:r>
          </w:p>
        </w:tc>
        <w:tc>
          <w:tcPr>
            <w:tcW w:w="1340" w:type="dxa"/>
            <w:vAlign w:val="bottom"/>
          </w:tcPr>
          <w:p>
            <w:pPr>
              <w:ind w:left="100"/>
              <w:spacing w:after="0"/>
              <w:rPr>
                <w:sz w:val="20"/>
                <w:szCs w:val="20"/>
                <w:color w:val="auto"/>
              </w:rPr>
            </w:pPr>
            <w:r>
              <w:rPr>
                <w:rFonts w:ascii="Times New Roman" w:cs="Times New Roman" w:eastAsia="Times New Roman" w:hAnsi="Times New Roman"/>
                <w:sz w:val="9"/>
                <w:szCs w:val="9"/>
                <w:color w:val="0D0D0D"/>
              </w:rPr>
              <w:t>5.4. Financial risk management</w:t>
            </w:r>
          </w:p>
        </w:tc>
        <w:tc>
          <w:tcPr>
            <w:tcW w:w="320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 Financial statements—Notes to the consolidated financial statements—Note</w:t>
            </w:r>
          </w:p>
        </w:tc>
        <w:tc>
          <w:tcPr>
            <w:tcW w:w="1800" w:type="dxa"/>
            <w:vAlign w:val="bottom"/>
            <w:tcBorders>
              <w:right w:val="single" w:sz="8" w:color="CCCCCC"/>
            </w:tcBorders>
            <w:gridSpan w:val="2"/>
          </w:tcPr>
          <w:p>
            <w:pPr>
              <w:ind w:left="140"/>
              <w:spacing w:after="0"/>
              <w:rPr>
                <w:sz w:val="20"/>
                <w:szCs w:val="20"/>
                <w:color w:val="auto"/>
              </w:rPr>
            </w:pPr>
            <w:r>
              <w:rPr>
                <w:rFonts w:ascii="Times New Roman" w:cs="Times New Roman" w:eastAsia="Times New Roman" w:hAnsi="Times New Roman"/>
                <w:sz w:val="9"/>
                <w:szCs w:val="9"/>
                <w:color w:val="0D0D0D"/>
              </w:rPr>
              <w:t>4.5. Trade receivables</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and other customer-related balances</w:t>
            </w: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33"/>
        </w:trPr>
        <w:tc>
          <w:tcPr>
            <w:tcW w:w="660" w:type="dxa"/>
            <w:vAlign w:val="bottom"/>
            <w:tcBorders>
              <w:left w:val="single" w:sz="8" w:color="CCCCCC"/>
            </w:tcBorders>
          </w:tcPr>
          <w:p>
            <w:pPr>
              <w:spacing w:after="0"/>
              <w:rPr>
                <w:sz w:val="2"/>
                <w:szCs w:val="2"/>
                <w:color w:val="auto"/>
              </w:rPr>
            </w:pPr>
          </w:p>
        </w:tc>
        <w:tc>
          <w:tcPr>
            <w:tcW w:w="540" w:type="dxa"/>
            <w:vAlign w:val="bottom"/>
            <w:tcBorders>
              <w:bottom w:val="single" w:sz="8" w:color="auto"/>
            </w:tcBorders>
          </w:tcPr>
          <w:p>
            <w:pPr>
              <w:spacing w:after="0"/>
              <w:rPr>
                <w:sz w:val="2"/>
                <w:szCs w:val="2"/>
                <w:color w:val="auto"/>
              </w:rPr>
            </w:pPr>
          </w:p>
        </w:tc>
        <w:tc>
          <w:tcPr>
            <w:tcW w:w="260" w:type="dxa"/>
            <w:vAlign w:val="bottom"/>
            <w:tcBorders>
              <w:bottom w:val="single" w:sz="8" w:color="auto"/>
            </w:tcBorders>
          </w:tcPr>
          <w:p>
            <w:pPr>
              <w:spacing w:after="0"/>
              <w:rPr>
                <w:sz w:val="2"/>
                <w:szCs w:val="2"/>
                <w:color w:val="auto"/>
              </w:rPr>
            </w:pPr>
          </w:p>
        </w:tc>
        <w:tc>
          <w:tcPr>
            <w:tcW w:w="3580" w:type="dxa"/>
            <w:vAlign w:val="bottom"/>
            <w:tcBorders>
              <w:bottom w:val="single" w:sz="8" w:color="auto"/>
            </w:tcBorders>
            <w:gridSpan w:val="2"/>
          </w:tcPr>
          <w:p>
            <w:pPr>
              <w:spacing w:after="0"/>
              <w:rPr>
                <w:sz w:val="2"/>
                <w:szCs w:val="2"/>
                <w:color w:val="auto"/>
              </w:rPr>
            </w:pPr>
          </w:p>
        </w:tc>
        <w:tc>
          <w:tcPr>
            <w:tcW w:w="1340" w:type="dxa"/>
            <w:vAlign w:val="bottom"/>
            <w:tcBorders>
              <w:bottom w:val="single" w:sz="8" w:color="auto"/>
            </w:tcBorders>
          </w:tcPr>
          <w:p>
            <w:pPr>
              <w:spacing w:after="0"/>
              <w:rPr>
                <w:sz w:val="2"/>
                <w:szCs w:val="2"/>
                <w:color w:val="auto"/>
              </w:rPr>
            </w:pPr>
          </w:p>
        </w:tc>
        <w:tc>
          <w:tcPr>
            <w:tcW w:w="900" w:type="dxa"/>
            <w:vAlign w:val="bottom"/>
            <w:tcBorders>
              <w:bottom w:val="single" w:sz="8" w:color="auto"/>
            </w:tcBorders>
          </w:tcPr>
          <w:p>
            <w:pPr>
              <w:spacing w:after="0"/>
              <w:rPr>
                <w:sz w:val="2"/>
                <w:szCs w:val="2"/>
                <w:color w:val="auto"/>
              </w:rPr>
            </w:pPr>
          </w:p>
        </w:tc>
        <w:tc>
          <w:tcPr>
            <w:tcW w:w="2300" w:type="dxa"/>
            <w:vAlign w:val="bottom"/>
            <w:tcBorders>
              <w:bottom w:val="single" w:sz="8" w:color="auto"/>
            </w:tcBorders>
          </w:tcPr>
          <w:p>
            <w:pPr>
              <w:spacing w:after="0"/>
              <w:rPr>
                <w:sz w:val="2"/>
                <w:szCs w:val="2"/>
                <w:color w:val="auto"/>
              </w:rPr>
            </w:pPr>
          </w:p>
        </w:tc>
        <w:tc>
          <w:tcPr>
            <w:tcW w:w="1120" w:type="dxa"/>
            <w:vAlign w:val="bottom"/>
            <w:tcBorders>
              <w:bottom w:val="single" w:sz="8" w:color="auto"/>
            </w:tcBorders>
          </w:tcPr>
          <w:p>
            <w:pPr>
              <w:spacing w:after="0"/>
              <w:rPr>
                <w:sz w:val="2"/>
                <w:szCs w:val="2"/>
                <w:color w:val="auto"/>
              </w:rPr>
            </w:pPr>
          </w:p>
        </w:tc>
        <w:tc>
          <w:tcPr>
            <w:tcW w:w="680" w:type="dxa"/>
            <w:vAlign w:val="bottom"/>
            <w:tcBorders>
              <w:right w:val="single" w:sz="8" w:color="CCCCCC"/>
            </w:tcBorders>
          </w:tcPr>
          <w:p>
            <w:pPr>
              <w:spacing w:after="0"/>
              <w:rPr>
                <w:sz w:val="2"/>
                <w:szCs w:val="2"/>
                <w:color w:val="auto"/>
              </w:rPr>
            </w:pPr>
          </w:p>
        </w:tc>
      </w:tr>
      <w:tr>
        <w:trPr>
          <w:trHeight w:val="108"/>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12</w:t>
            </w:r>
          </w:p>
        </w:tc>
        <w:tc>
          <w:tcPr>
            <w:tcW w:w="358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DESCRIPTION OF SECURITIES OTHER THAN</w:t>
            </w:r>
          </w:p>
        </w:tc>
        <w:tc>
          <w:tcPr>
            <w:tcW w:w="1340" w:type="dxa"/>
            <w:vAlign w:val="bottom"/>
          </w:tcPr>
          <w:p>
            <w:pPr>
              <w:spacing w:after="0"/>
              <w:rPr>
                <w:sz w:val="9"/>
                <w:szCs w:val="9"/>
                <w:color w:val="auto"/>
              </w:rPr>
            </w:pPr>
          </w:p>
        </w:tc>
        <w:tc>
          <w:tcPr>
            <w:tcW w:w="900" w:type="dxa"/>
            <w:vAlign w:val="bottom"/>
          </w:tcPr>
          <w:p>
            <w:pPr>
              <w:spacing w:after="0"/>
              <w:rPr>
                <w:sz w:val="9"/>
                <w:szCs w:val="9"/>
                <w:color w:val="auto"/>
              </w:rPr>
            </w:pPr>
          </w:p>
        </w:tc>
        <w:tc>
          <w:tcPr>
            <w:tcW w:w="2300" w:type="dxa"/>
            <w:vAlign w:val="bottom"/>
          </w:tcPr>
          <w:p>
            <w:pPr>
              <w:spacing w:after="0"/>
              <w:rPr>
                <w:sz w:val="9"/>
                <w:szCs w:val="9"/>
                <w:color w:val="auto"/>
              </w:rPr>
            </w:pPr>
          </w:p>
        </w:tc>
        <w:tc>
          <w:tcPr>
            <w:tcW w:w="112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EQUITY SECURITIES</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62"/>
        </w:trPr>
        <w:tc>
          <w:tcPr>
            <w:tcW w:w="660" w:type="dxa"/>
            <w:vAlign w:val="bottom"/>
            <w:tcBorders>
              <w:left w:val="single" w:sz="8" w:color="CCCCCC"/>
            </w:tcBorders>
          </w:tcPr>
          <w:p>
            <w:pPr>
              <w:spacing w:after="0"/>
              <w:rPr>
                <w:sz w:val="14"/>
                <w:szCs w:val="14"/>
                <w:color w:val="auto"/>
              </w:rPr>
            </w:pPr>
          </w:p>
        </w:tc>
        <w:tc>
          <w:tcPr>
            <w:tcW w:w="540" w:type="dxa"/>
            <w:vAlign w:val="bottom"/>
          </w:tcPr>
          <w:p>
            <w:pPr>
              <w:spacing w:after="0"/>
              <w:rPr>
                <w:sz w:val="14"/>
                <w:szCs w:val="14"/>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12A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Debt Securities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4"/>
                <w:szCs w:val="14"/>
                <w:color w:val="auto"/>
              </w:rPr>
            </w:pPr>
          </w:p>
        </w:tc>
        <w:tc>
          <w:tcPr>
            <w:tcW w:w="900" w:type="dxa"/>
            <w:vAlign w:val="bottom"/>
          </w:tcPr>
          <w:p>
            <w:pPr>
              <w:spacing w:after="0"/>
              <w:rPr>
                <w:sz w:val="14"/>
                <w:szCs w:val="14"/>
                <w:color w:val="auto"/>
              </w:rPr>
            </w:pPr>
          </w:p>
        </w:tc>
        <w:tc>
          <w:tcPr>
            <w:tcW w:w="2300" w:type="dxa"/>
            <w:vAlign w:val="bottom"/>
          </w:tcPr>
          <w:p>
            <w:pPr>
              <w:spacing w:after="0"/>
              <w:rPr>
                <w:sz w:val="14"/>
                <w:szCs w:val="14"/>
                <w:color w:val="auto"/>
              </w:rPr>
            </w:pPr>
          </w:p>
        </w:tc>
        <w:tc>
          <w:tcPr>
            <w:tcW w:w="1120" w:type="dxa"/>
            <w:vAlign w:val="bottom"/>
          </w:tcPr>
          <w:p>
            <w:pPr>
              <w:spacing w:after="0"/>
              <w:rPr>
                <w:sz w:val="14"/>
                <w:szCs w:val="14"/>
                <w:color w:val="auto"/>
              </w:rPr>
            </w:pPr>
          </w:p>
        </w:tc>
        <w:tc>
          <w:tcPr>
            <w:tcW w:w="680" w:type="dxa"/>
            <w:vAlign w:val="bottom"/>
            <w:tcBorders>
              <w:right w:val="single" w:sz="8" w:color="CCCCCC"/>
            </w:tcBorders>
          </w:tcPr>
          <w:p>
            <w:pPr>
              <w:spacing w:after="0"/>
              <w:rPr>
                <w:sz w:val="14"/>
                <w:szCs w:val="14"/>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12B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Warrants and Rights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12C</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Other Securities</w:t>
            </w:r>
          </w:p>
        </w:tc>
        <w:tc>
          <w:tcPr>
            <w:tcW w:w="168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N/A</w:t>
            </w:r>
          </w:p>
        </w:tc>
        <w:tc>
          <w:tcPr>
            <w:tcW w:w="1340" w:type="dxa"/>
            <w:vAlign w:val="bottom"/>
          </w:tcPr>
          <w:p>
            <w:pPr>
              <w:spacing w:after="0"/>
              <w:rPr>
                <w:sz w:val="13"/>
                <w:szCs w:val="13"/>
                <w:color w:val="auto"/>
              </w:rPr>
            </w:pPr>
          </w:p>
        </w:tc>
        <w:tc>
          <w:tcPr>
            <w:tcW w:w="900" w:type="dxa"/>
            <w:vAlign w:val="bottom"/>
          </w:tcPr>
          <w:p>
            <w:pPr>
              <w:spacing w:after="0"/>
              <w:rPr>
                <w:sz w:val="13"/>
                <w:szCs w:val="13"/>
                <w:color w:val="auto"/>
              </w:rPr>
            </w:pPr>
          </w:p>
        </w:tc>
        <w:tc>
          <w:tcPr>
            <w:tcW w:w="23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58"/>
        </w:trPr>
        <w:tc>
          <w:tcPr>
            <w:tcW w:w="660" w:type="dxa"/>
            <w:vAlign w:val="bottom"/>
            <w:tcBorders>
              <w:left w:val="single" w:sz="8" w:color="CCCCCC"/>
            </w:tcBorders>
          </w:tcPr>
          <w:p>
            <w:pPr>
              <w:spacing w:after="0"/>
              <w:rPr>
                <w:sz w:val="13"/>
                <w:szCs w:val="13"/>
                <w:color w:val="auto"/>
              </w:rPr>
            </w:pPr>
          </w:p>
        </w:tc>
        <w:tc>
          <w:tcPr>
            <w:tcW w:w="540" w:type="dxa"/>
            <w:vAlign w:val="bottom"/>
            <w:tcBorders>
              <w:bottom w:val="single" w:sz="8" w:color="auto"/>
            </w:tcBorders>
          </w:tcPr>
          <w:p>
            <w:pPr>
              <w:spacing w:after="0"/>
              <w:rPr>
                <w:sz w:val="13"/>
                <w:szCs w:val="13"/>
                <w:color w:val="auto"/>
              </w:rPr>
            </w:pP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12D</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American Depositary Shares</w:t>
            </w:r>
          </w:p>
        </w:tc>
        <w:tc>
          <w:tcPr>
            <w:tcW w:w="3920" w:type="dxa"/>
            <w:vAlign w:val="bottom"/>
            <w:tcBorders>
              <w:bottom w:val="single" w:sz="8" w:color="auto"/>
            </w:tcBorders>
            <w:gridSpan w:val="3"/>
          </w:tcPr>
          <w:p>
            <w:pPr>
              <w:ind w:left="60"/>
              <w:spacing w:after="0"/>
              <w:rPr>
                <w:sz w:val="20"/>
                <w:szCs w:val="20"/>
                <w:color w:val="auto"/>
              </w:rPr>
            </w:pPr>
            <w:r>
              <w:rPr>
                <w:rFonts w:ascii="Times New Roman" w:cs="Times New Roman" w:eastAsia="Times New Roman" w:hAnsi="Times New Roman"/>
                <w:sz w:val="9"/>
                <w:szCs w:val="9"/>
                <w:color w:val="0D0D0D"/>
              </w:rPr>
              <w:t>General facts on Nokia—American Depositary Shares; Introduction and use of certain terms</w:t>
            </w:r>
          </w:p>
        </w:tc>
        <w:tc>
          <w:tcPr>
            <w:tcW w:w="2300" w:type="dxa"/>
            <w:vAlign w:val="bottom"/>
            <w:tcBorders>
              <w:bottom w:val="single" w:sz="8" w:color="auto"/>
            </w:tcBorders>
          </w:tcPr>
          <w:p>
            <w:pPr>
              <w:spacing w:after="0"/>
              <w:rPr>
                <w:sz w:val="13"/>
                <w:szCs w:val="13"/>
                <w:color w:val="auto"/>
              </w:rPr>
            </w:pPr>
          </w:p>
        </w:tc>
        <w:tc>
          <w:tcPr>
            <w:tcW w:w="1120" w:type="dxa"/>
            <w:vAlign w:val="bottom"/>
            <w:tcBorders>
              <w:bottom w:val="single" w:sz="8" w:color="auto"/>
            </w:tcBorders>
          </w:tcPr>
          <w:p>
            <w:pPr>
              <w:spacing w:after="0"/>
              <w:rPr>
                <w:sz w:val="13"/>
                <w:szCs w:val="13"/>
                <w:color w:val="auto"/>
              </w:rPr>
            </w:pPr>
          </w:p>
        </w:tc>
        <w:tc>
          <w:tcPr>
            <w:tcW w:w="680" w:type="dxa"/>
            <w:vAlign w:val="bottom"/>
            <w:tcBorders>
              <w:right w:val="single" w:sz="8" w:color="CCCCCC"/>
            </w:tcBorders>
          </w:tcPr>
          <w:p>
            <w:pPr>
              <w:spacing w:after="0"/>
              <w:rPr>
                <w:sz w:val="13"/>
                <w:szCs w:val="13"/>
                <w:color w:val="auto"/>
              </w:rPr>
            </w:pPr>
          </w:p>
        </w:tc>
      </w:tr>
      <w:tr>
        <w:trPr>
          <w:trHeight w:val="115"/>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13</w:t>
            </w:r>
          </w:p>
        </w:tc>
        <w:tc>
          <w:tcPr>
            <w:tcW w:w="358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0D0D0D"/>
              </w:rPr>
              <w:t>DEFAULTS, DIVIDEND ARREARAGES AND None</w:t>
            </w:r>
          </w:p>
        </w:tc>
        <w:tc>
          <w:tcPr>
            <w:tcW w:w="1340" w:type="dxa"/>
            <w:vAlign w:val="bottom"/>
          </w:tcPr>
          <w:p>
            <w:pPr>
              <w:spacing w:after="0"/>
              <w:rPr>
                <w:sz w:val="9"/>
                <w:szCs w:val="9"/>
                <w:color w:val="auto"/>
              </w:rPr>
            </w:pPr>
          </w:p>
        </w:tc>
        <w:tc>
          <w:tcPr>
            <w:tcW w:w="900" w:type="dxa"/>
            <w:vAlign w:val="bottom"/>
          </w:tcPr>
          <w:p>
            <w:pPr>
              <w:spacing w:after="0"/>
              <w:rPr>
                <w:sz w:val="9"/>
                <w:szCs w:val="9"/>
                <w:color w:val="auto"/>
              </w:rPr>
            </w:pPr>
          </w:p>
        </w:tc>
        <w:tc>
          <w:tcPr>
            <w:tcW w:w="2300" w:type="dxa"/>
            <w:vAlign w:val="bottom"/>
          </w:tcPr>
          <w:p>
            <w:pPr>
              <w:spacing w:after="0"/>
              <w:rPr>
                <w:sz w:val="9"/>
                <w:szCs w:val="9"/>
                <w:color w:val="auto"/>
              </w:rPr>
            </w:pPr>
          </w:p>
        </w:tc>
        <w:tc>
          <w:tcPr>
            <w:tcW w:w="112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DELINQUENCIES</w:t>
            </w:r>
          </w:p>
        </w:tc>
        <w:tc>
          <w:tcPr>
            <w:tcW w:w="168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2300" w:type="dxa"/>
            <w:vAlign w:val="bottom"/>
          </w:tcPr>
          <w:p>
            <w:pPr>
              <w:spacing w:after="0"/>
              <w:rPr>
                <w:sz w:val="10"/>
                <w:szCs w:val="10"/>
                <w:color w:val="auto"/>
              </w:rPr>
            </w:pPr>
          </w:p>
        </w:tc>
        <w:tc>
          <w:tcPr>
            <w:tcW w:w="112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23"/>
        </w:trPr>
        <w:tc>
          <w:tcPr>
            <w:tcW w:w="660" w:type="dxa"/>
            <w:vAlign w:val="bottom"/>
            <w:tcBorders>
              <w:left w:val="single" w:sz="8" w:color="CCCCCC"/>
            </w:tcBorders>
          </w:tcPr>
          <w:p>
            <w:pPr>
              <w:spacing w:after="0" w:line="20" w:lineRule="exact"/>
              <w:rPr>
                <w:sz w:val="1"/>
                <w:szCs w:val="1"/>
                <w:color w:val="auto"/>
              </w:rPr>
            </w:pPr>
          </w:p>
        </w:tc>
        <w:tc>
          <w:tcPr>
            <w:tcW w:w="540" w:type="dxa"/>
            <w:vAlign w:val="bottom"/>
            <w:tcBorders>
              <w:bottom w:val="single" w:sz="8" w:color="auto"/>
            </w:tcBorders>
          </w:tcPr>
          <w:p>
            <w:pPr>
              <w:spacing w:after="0" w:line="20" w:lineRule="exact"/>
              <w:rPr>
                <w:sz w:val="1"/>
                <w:szCs w:val="1"/>
                <w:color w:val="auto"/>
              </w:rPr>
            </w:pPr>
          </w:p>
        </w:tc>
        <w:tc>
          <w:tcPr>
            <w:tcW w:w="260" w:type="dxa"/>
            <w:vAlign w:val="bottom"/>
            <w:tcBorders>
              <w:bottom w:val="single" w:sz="8" w:color="auto"/>
            </w:tcBorders>
          </w:tcPr>
          <w:p>
            <w:pPr>
              <w:spacing w:after="0" w:line="20" w:lineRule="exact"/>
              <w:rPr>
                <w:sz w:val="1"/>
                <w:szCs w:val="1"/>
                <w:color w:val="auto"/>
              </w:rPr>
            </w:pPr>
          </w:p>
        </w:tc>
        <w:tc>
          <w:tcPr>
            <w:tcW w:w="1900" w:type="dxa"/>
            <w:vAlign w:val="bottom"/>
            <w:tcBorders>
              <w:bottom w:val="single" w:sz="8" w:color="auto"/>
            </w:tcBorders>
          </w:tcPr>
          <w:p>
            <w:pPr>
              <w:spacing w:after="0" w:line="20" w:lineRule="exact"/>
              <w:rPr>
                <w:sz w:val="1"/>
                <w:szCs w:val="1"/>
                <w:color w:val="auto"/>
              </w:rPr>
            </w:pPr>
          </w:p>
        </w:tc>
        <w:tc>
          <w:tcPr>
            <w:tcW w:w="1680" w:type="dxa"/>
            <w:vAlign w:val="bottom"/>
            <w:tcBorders>
              <w:bottom w:val="single" w:sz="8" w:color="auto"/>
            </w:tcBorders>
          </w:tcPr>
          <w:p>
            <w:pPr>
              <w:spacing w:after="0" w:line="20" w:lineRule="exact"/>
              <w:rPr>
                <w:sz w:val="1"/>
                <w:szCs w:val="1"/>
                <w:color w:val="auto"/>
              </w:rPr>
            </w:pPr>
          </w:p>
        </w:tc>
        <w:tc>
          <w:tcPr>
            <w:tcW w:w="1340" w:type="dxa"/>
            <w:vAlign w:val="bottom"/>
            <w:tcBorders>
              <w:bottom w:val="single" w:sz="8" w:color="auto"/>
            </w:tcBorders>
          </w:tcPr>
          <w:p>
            <w:pPr>
              <w:spacing w:after="0" w:line="20" w:lineRule="exact"/>
              <w:rPr>
                <w:sz w:val="1"/>
                <w:szCs w:val="1"/>
                <w:color w:val="auto"/>
              </w:rPr>
            </w:pPr>
          </w:p>
        </w:tc>
        <w:tc>
          <w:tcPr>
            <w:tcW w:w="900" w:type="dxa"/>
            <w:vAlign w:val="bottom"/>
            <w:tcBorders>
              <w:bottom w:val="single" w:sz="8" w:color="auto"/>
            </w:tcBorders>
          </w:tcPr>
          <w:p>
            <w:pPr>
              <w:spacing w:after="0" w:line="20" w:lineRule="exact"/>
              <w:rPr>
                <w:sz w:val="1"/>
                <w:szCs w:val="1"/>
                <w:color w:val="auto"/>
              </w:rPr>
            </w:pPr>
          </w:p>
        </w:tc>
        <w:tc>
          <w:tcPr>
            <w:tcW w:w="2300" w:type="dxa"/>
            <w:vAlign w:val="bottom"/>
            <w:tcBorders>
              <w:bottom w:val="single" w:sz="8" w:color="auto"/>
            </w:tcBorders>
          </w:tcPr>
          <w:p>
            <w:pPr>
              <w:spacing w:after="0" w:line="20" w:lineRule="exact"/>
              <w:rPr>
                <w:sz w:val="1"/>
                <w:szCs w:val="1"/>
                <w:color w:val="auto"/>
              </w:rPr>
            </w:pPr>
          </w:p>
        </w:tc>
        <w:tc>
          <w:tcPr>
            <w:tcW w:w="1120" w:type="dxa"/>
            <w:vAlign w:val="bottom"/>
            <w:tcBorders>
              <w:bottom w:val="single" w:sz="8" w:color="auto"/>
            </w:tcBorders>
          </w:tcPr>
          <w:p>
            <w:pPr>
              <w:spacing w:after="0" w:line="20" w:lineRule="exact"/>
              <w:rPr>
                <w:sz w:val="1"/>
                <w:szCs w:val="1"/>
                <w:color w:val="auto"/>
              </w:rPr>
            </w:pPr>
          </w:p>
        </w:tc>
        <w:tc>
          <w:tcPr>
            <w:tcW w:w="680" w:type="dxa"/>
            <w:vAlign w:val="bottom"/>
            <w:tcBorders>
              <w:right w:val="single" w:sz="8" w:color="CCCCCC"/>
            </w:tcBorders>
          </w:tcPr>
          <w:p>
            <w:pPr>
              <w:spacing w:after="0" w:line="20" w:lineRule="exact"/>
              <w:rPr>
                <w:sz w:val="1"/>
                <w:szCs w:val="1"/>
                <w:color w:val="auto"/>
              </w:rPr>
            </w:pPr>
          </w:p>
        </w:tc>
      </w:tr>
      <w:tr>
        <w:trPr>
          <w:trHeight w:val="511"/>
        </w:trPr>
        <w:tc>
          <w:tcPr>
            <w:tcW w:w="660" w:type="dxa"/>
            <w:vAlign w:val="bottom"/>
            <w:tcBorders>
              <w:left w:val="single" w:sz="8" w:color="CCCCCC"/>
              <w:bottom w:val="single" w:sz="8" w:color="CCCCCC"/>
            </w:tcBorders>
          </w:tcPr>
          <w:p>
            <w:pPr>
              <w:spacing w:after="0"/>
              <w:rPr>
                <w:sz w:val="24"/>
                <w:szCs w:val="24"/>
                <w:color w:val="auto"/>
              </w:rPr>
            </w:pPr>
          </w:p>
        </w:tc>
        <w:tc>
          <w:tcPr>
            <w:tcW w:w="540" w:type="dxa"/>
            <w:vAlign w:val="bottom"/>
            <w:tcBorders>
              <w:bottom w:val="single" w:sz="8" w:color="CCCCCC"/>
            </w:tcBorders>
          </w:tcPr>
          <w:p>
            <w:pPr>
              <w:spacing w:after="0"/>
              <w:rPr>
                <w:sz w:val="24"/>
                <w:szCs w:val="24"/>
                <w:color w:val="auto"/>
              </w:rPr>
            </w:pPr>
          </w:p>
        </w:tc>
        <w:tc>
          <w:tcPr>
            <w:tcW w:w="260" w:type="dxa"/>
            <w:vAlign w:val="bottom"/>
            <w:tcBorders>
              <w:bottom w:val="single" w:sz="8" w:color="CCCCCC"/>
            </w:tcBorders>
          </w:tcPr>
          <w:p>
            <w:pPr>
              <w:spacing w:after="0"/>
              <w:rPr>
                <w:sz w:val="24"/>
                <w:szCs w:val="24"/>
                <w:color w:val="auto"/>
              </w:rPr>
            </w:pPr>
          </w:p>
        </w:tc>
        <w:tc>
          <w:tcPr>
            <w:tcW w:w="1900" w:type="dxa"/>
            <w:vAlign w:val="bottom"/>
            <w:tcBorders>
              <w:bottom w:val="single" w:sz="8" w:color="CCCCCC"/>
            </w:tcBorders>
          </w:tcPr>
          <w:p>
            <w:pPr>
              <w:spacing w:after="0"/>
              <w:rPr>
                <w:sz w:val="24"/>
                <w:szCs w:val="24"/>
                <w:color w:val="auto"/>
              </w:rPr>
            </w:pPr>
          </w:p>
        </w:tc>
        <w:tc>
          <w:tcPr>
            <w:tcW w:w="1680" w:type="dxa"/>
            <w:vAlign w:val="bottom"/>
            <w:tcBorders>
              <w:bottom w:val="single" w:sz="8" w:color="CCCCCC"/>
            </w:tcBorders>
          </w:tcPr>
          <w:p>
            <w:pPr>
              <w:spacing w:after="0"/>
              <w:rPr>
                <w:sz w:val="24"/>
                <w:szCs w:val="24"/>
                <w:color w:val="auto"/>
              </w:rPr>
            </w:pPr>
          </w:p>
        </w:tc>
        <w:tc>
          <w:tcPr>
            <w:tcW w:w="1340" w:type="dxa"/>
            <w:vAlign w:val="bottom"/>
            <w:tcBorders>
              <w:bottom w:val="single" w:sz="8" w:color="CCCCCC"/>
            </w:tcBorders>
          </w:tcPr>
          <w:p>
            <w:pPr>
              <w:spacing w:after="0"/>
              <w:rPr>
                <w:sz w:val="24"/>
                <w:szCs w:val="24"/>
                <w:color w:val="auto"/>
              </w:rPr>
            </w:pPr>
          </w:p>
        </w:tc>
        <w:tc>
          <w:tcPr>
            <w:tcW w:w="900" w:type="dxa"/>
            <w:vAlign w:val="bottom"/>
            <w:tcBorders>
              <w:bottom w:val="single" w:sz="8" w:color="CCCCCC"/>
            </w:tcBorders>
          </w:tcPr>
          <w:p>
            <w:pPr>
              <w:spacing w:after="0"/>
              <w:rPr>
                <w:sz w:val="24"/>
                <w:szCs w:val="24"/>
                <w:color w:val="auto"/>
              </w:rPr>
            </w:pPr>
          </w:p>
        </w:tc>
        <w:tc>
          <w:tcPr>
            <w:tcW w:w="2300" w:type="dxa"/>
            <w:vAlign w:val="bottom"/>
            <w:tcBorders>
              <w:bottom w:val="single" w:sz="8" w:color="CCCCCC"/>
            </w:tcBorders>
          </w:tcPr>
          <w:p>
            <w:pPr>
              <w:spacing w:after="0"/>
              <w:rPr>
                <w:sz w:val="24"/>
                <w:szCs w:val="24"/>
                <w:color w:val="auto"/>
              </w:rPr>
            </w:pPr>
          </w:p>
        </w:tc>
        <w:tc>
          <w:tcPr>
            <w:tcW w:w="1120" w:type="dxa"/>
            <w:vAlign w:val="bottom"/>
            <w:tcBorders>
              <w:bottom w:val="single" w:sz="8" w:color="CCCCCC"/>
            </w:tcBorders>
          </w:tcPr>
          <w:p>
            <w:pPr>
              <w:spacing w:after="0"/>
              <w:rPr>
                <w:sz w:val="24"/>
                <w:szCs w:val="24"/>
                <w:color w:val="auto"/>
              </w:rPr>
            </w:pPr>
          </w:p>
        </w:tc>
        <w:tc>
          <w:tcPr>
            <w:tcW w:w="680" w:type="dxa"/>
            <w:vAlign w:val="bottom"/>
            <w:tcBorders>
              <w:bottom w:val="single" w:sz="8" w:color="CCCCCC"/>
              <w:right w:val="single" w:sz="8" w:color="CCCCCC"/>
            </w:tcBorders>
          </w:tcPr>
          <w:p>
            <w:pPr>
              <w:spacing w:after="0"/>
              <w:rPr>
                <w:sz w:val="24"/>
                <w:szCs w:val="24"/>
                <w:color w:val="auto"/>
              </w:rPr>
            </w:pPr>
          </w:p>
        </w:tc>
      </w:tr>
    </w:tbl>
    <w:p>
      <w:pPr>
        <w:sectPr>
          <w:pgSz w:w="11900" w:h="16838" w:orient="portrait"/>
          <w:cols w:equalWidth="0" w:num="1">
            <w:col w:w="11360"/>
          </w:cols>
          <w:pgMar w:left="300" w:top="216" w:right="239" w:bottom="1440" w:gutter="0" w:footer="0" w:header="0"/>
        </w:sectPr>
      </w:pPr>
    </w:p>
    <w:bookmarkStart w:id="5" w:name="page6"/>
    <w:bookmarkEnd w:id="5"/>
    <w:p>
      <w:pPr>
        <w:spacing w:after="0" w:line="1" w:lineRule="exact"/>
        <w:rPr>
          <w:sz w:val="20"/>
          <w:szCs w:val="20"/>
          <w:color w:val="auto"/>
        </w:rPr>
      </w:pPr>
    </w:p>
    <w:tbl>
      <w:tblPr>
        <w:tblLayout w:type="fixed"/>
        <w:tblInd w:w="10" w:type="dxa"/>
        <w:tblCellMar>
          <w:top w:w="0" w:type="dxa"/>
          <w:left w:w="0" w:type="dxa"/>
          <w:bottom w:w="0" w:type="dxa"/>
          <w:right w:w="0" w:type="dxa"/>
        </w:tblCellMar>
      </w:tblPr>
      <w:tr>
        <w:trPr>
          <w:trHeight w:val="1298"/>
        </w:trPr>
        <w:tc>
          <w:tcPr>
            <w:tcW w:w="660" w:type="dxa"/>
            <w:vAlign w:val="bottom"/>
            <w:tcBorders>
              <w:top w:val="single" w:sz="8" w:color="CCCCCC"/>
              <w:left w:val="single" w:sz="8" w:color="CCCCCC"/>
            </w:tcBorders>
          </w:tcPr>
          <w:p>
            <w:pPr>
              <w:spacing w:after="0"/>
              <w:rPr>
                <w:sz w:val="24"/>
                <w:szCs w:val="24"/>
                <w:color w:val="auto"/>
              </w:rPr>
            </w:pPr>
          </w:p>
        </w:tc>
        <w:tc>
          <w:tcPr>
            <w:tcW w:w="540" w:type="dxa"/>
            <w:vAlign w:val="bottom"/>
            <w:tcBorders>
              <w:top w:val="single" w:sz="8" w:color="CCCCCC"/>
            </w:tcBorders>
          </w:tcPr>
          <w:p>
            <w:pPr>
              <w:ind w:left="40"/>
              <w:spacing w:after="0"/>
              <w:rPr>
                <w:sz w:val="20"/>
                <w:szCs w:val="20"/>
                <w:color w:val="auto"/>
              </w:rPr>
            </w:pPr>
            <w:r>
              <w:rPr>
                <w:rFonts w:ascii="Times New Roman" w:cs="Times New Roman" w:eastAsia="Times New Roman" w:hAnsi="Times New Roman"/>
                <w:sz w:val="10"/>
                <w:szCs w:val="10"/>
                <w:b w:val="1"/>
                <w:bCs w:val="1"/>
                <w:color w:val="auto"/>
              </w:rPr>
              <w:t>Form 20-F</w:t>
            </w:r>
          </w:p>
        </w:tc>
        <w:tc>
          <w:tcPr>
            <w:tcW w:w="260" w:type="dxa"/>
            <w:vAlign w:val="bottom"/>
            <w:tcBorders>
              <w:top w:val="single" w:sz="8" w:color="CCCCCC"/>
            </w:tcBorders>
          </w:tcPr>
          <w:p>
            <w:pPr>
              <w:spacing w:after="0"/>
              <w:rPr>
                <w:sz w:val="24"/>
                <w:szCs w:val="24"/>
                <w:color w:val="auto"/>
              </w:rPr>
            </w:pPr>
          </w:p>
        </w:tc>
        <w:tc>
          <w:tcPr>
            <w:tcW w:w="1900" w:type="dxa"/>
            <w:vAlign w:val="bottom"/>
            <w:tcBorders>
              <w:top w:val="single" w:sz="8" w:color="CCCCCC"/>
            </w:tcBorders>
          </w:tcPr>
          <w:p>
            <w:pPr>
              <w:spacing w:after="0"/>
              <w:rPr>
                <w:sz w:val="24"/>
                <w:szCs w:val="24"/>
                <w:color w:val="auto"/>
              </w:rPr>
            </w:pPr>
          </w:p>
        </w:tc>
        <w:tc>
          <w:tcPr>
            <w:tcW w:w="7340" w:type="dxa"/>
            <w:vAlign w:val="bottom"/>
            <w:tcBorders>
              <w:top w:val="single" w:sz="8" w:color="CCCCCC"/>
            </w:tcBorders>
          </w:tcPr>
          <w:p>
            <w:pPr>
              <w:spacing w:after="0"/>
              <w:rPr>
                <w:sz w:val="24"/>
                <w:szCs w:val="24"/>
                <w:color w:val="auto"/>
              </w:rPr>
            </w:pPr>
          </w:p>
        </w:tc>
        <w:tc>
          <w:tcPr>
            <w:tcW w:w="680" w:type="dxa"/>
            <w:vAlign w:val="bottom"/>
            <w:tcBorders>
              <w:top w:val="single" w:sz="8" w:color="CCCCCC"/>
              <w:right w:val="single" w:sz="8" w:color="CCCCCC"/>
            </w:tcBorders>
          </w:tcPr>
          <w:p>
            <w:pPr>
              <w:spacing w:after="0"/>
              <w:rPr>
                <w:sz w:val="24"/>
                <w:szCs w:val="24"/>
                <w:color w:val="auto"/>
              </w:rPr>
            </w:pPr>
          </w:p>
        </w:tc>
      </w:tr>
      <w:tr>
        <w:trPr>
          <w:trHeight w:val="137"/>
        </w:trPr>
        <w:tc>
          <w:tcPr>
            <w:tcW w:w="660" w:type="dxa"/>
            <w:vAlign w:val="bottom"/>
            <w:tcBorders>
              <w:left w:val="single" w:sz="8" w:color="CCCCCC"/>
            </w:tcBorders>
          </w:tcPr>
          <w:p>
            <w:pPr>
              <w:spacing w:after="0"/>
              <w:rPr>
                <w:sz w:val="11"/>
                <w:szCs w:val="11"/>
                <w:color w:val="auto"/>
              </w:rPr>
            </w:pPr>
          </w:p>
        </w:tc>
        <w:tc>
          <w:tcPr>
            <w:tcW w:w="800" w:type="dxa"/>
            <w:vAlign w:val="bottom"/>
            <w:tcBorders>
              <w:bottom w:val="single" w:sz="8" w:color="auto"/>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auto"/>
              </w:rPr>
              <w:t>Item Number</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10"/>
                <w:szCs w:val="10"/>
                <w:b w:val="1"/>
                <w:bCs w:val="1"/>
                <w:color w:val="auto"/>
              </w:rPr>
              <w:t>Form 20-F Heading</w:t>
            </w:r>
          </w:p>
        </w:tc>
        <w:tc>
          <w:tcPr>
            <w:tcW w:w="734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10"/>
                <w:szCs w:val="10"/>
                <w:b w:val="1"/>
                <w:bCs w:val="1"/>
                <w:color w:val="auto"/>
              </w:rPr>
              <w:t>Section in Document</w:t>
            </w:r>
          </w:p>
        </w:tc>
        <w:tc>
          <w:tcPr>
            <w:tcW w:w="680" w:type="dxa"/>
            <w:vAlign w:val="bottom"/>
            <w:tcBorders>
              <w:right w:val="single" w:sz="8" w:color="CCCCCC"/>
            </w:tcBorders>
          </w:tcPr>
          <w:p>
            <w:pPr>
              <w:spacing w:after="0"/>
              <w:rPr>
                <w:sz w:val="11"/>
                <w:szCs w:val="11"/>
                <w:color w:val="auto"/>
              </w:rPr>
            </w:pPr>
          </w:p>
        </w:tc>
      </w:tr>
      <w:tr>
        <w:trPr>
          <w:trHeight w:val="114"/>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14</w:t>
            </w:r>
          </w:p>
        </w:tc>
        <w:tc>
          <w:tcPr>
            <w:tcW w:w="9920" w:type="dxa"/>
            <w:vAlign w:val="bottom"/>
            <w:tcBorders>
              <w:right w:val="single" w:sz="8" w:color="CCCCCC"/>
            </w:tcBorders>
            <w:gridSpan w:val="3"/>
          </w:tcPr>
          <w:p>
            <w:pPr>
              <w:ind w:left="60"/>
              <w:spacing w:after="0"/>
              <w:rPr>
                <w:sz w:val="20"/>
                <w:szCs w:val="20"/>
                <w:color w:val="auto"/>
              </w:rPr>
            </w:pPr>
            <w:r>
              <w:rPr>
                <w:rFonts w:ascii="Times New Roman" w:cs="Times New Roman" w:eastAsia="Times New Roman" w:hAnsi="Times New Roman"/>
                <w:sz w:val="9"/>
                <w:szCs w:val="9"/>
                <w:color w:val="0D0D0D"/>
              </w:rPr>
              <w:t>MATERIAL MODIFICATIONS TO THE RIGHTSNone</w:t>
            </w:r>
          </w:p>
        </w:tc>
      </w:tr>
      <w:tr>
        <w:trPr>
          <w:trHeight w:val="111"/>
        </w:trPr>
        <w:tc>
          <w:tcPr>
            <w:tcW w:w="660" w:type="dxa"/>
            <w:vAlign w:val="bottom"/>
            <w:tcBorders>
              <w:left w:val="single" w:sz="8" w:color="CCCCCC"/>
            </w:tcBorders>
          </w:tcPr>
          <w:p>
            <w:pPr>
              <w:spacing w:after="0"/>
              <w:rPr>
                <w:sz w:val="9"/>
                <w:szCs w:val="9"/>
                <w:color w:val="auto"/>
              </w:rPr>
            </w:pPr>
          </w:p>
        </w:tc>
        <w:tc>
          <w:tcPr>
            <w:tcW w:w="540" w:type="dxa"/>
            <w:vAlign w:val="bottom"/>
          </w:tcPr>
          <w:p>
            <w:pPr>
              <w:spacing w:after="0"/>
              <w:rPr>
                <w:sz w:val="9"/>
                <w:szCs w:val="9"/>
                <w:color w:val="auto"/>
              </w:rPr>
            </w:pPr>
          </w:p>
        </w:tc>
        <w:tc>
          <w:tcPr>
            <w:tcW w:w="260" w:type="dxa"/>
            <w:vAlign w:val="bottom"/>
          </w:tcPr>
          <w:p>
            <w:pPr>
              <w:spacing w:after="0"/>
              <w:rPr>
                <w:sz w:val="9"/>
                <w:szCs w:val="9"/>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OF SECURITY HOLDERS AND USE OF</w:t>
            </w:r>
          </w:p>
        </w:tc>
        <w:tc>
          <w:tcPr>
            <w:tcW w:w="734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PROCEEDS</w:t>
            </w:r>
          </w:p>
        </w:tc>
        <w:tc>
          <w:tcPr>
            <w:tcW w:w="734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33"/>
        </w:trPr>
        <w:tc>
          <w:tcPr>
            <w:tcW w:w="660" w:type="dxa"/>
            <w:vAlign w:val="bottom"/>
            <w:tcBorders>
              <w:left w:val="single" w:sz="8" w:color="CCCCCC"/>
            </w:tcBorders>
          </w:tcPr>
          <w:p>
            <w:pPr>
              <w:spacing w:after="0"/>
              <w:rPr>
                <w:sz w:val="2"/>
                <w:szCs w:val="2"/>
                <w:color w:val="auto"/>
              </w:rPr>
            </w:pPr>
          </w:p>
        </w:tc>
        <w:tc>
          <w:tcPr>
            <w:tcW w:w="540" w:type="dxa"/>
            <w:vAlign w:val="bottom"/>
            <w:tcBorders>
              <w:bottom w:val="single" w:sz="8" w:color="auto"/>
            </w:tcBorders>
          </w:tcPr>
          <w:p>
            <w:pPr>
              <w:spacing w:after="0"/>
              <w:rPr>
                <w:sz w:val="2"/>
                <w:szCs w:val="2"/>
                <w:color w:val="auto"/>
              </w:rPr>
            </w:pPr>
          </w:p>
        </w:tc>
        <w:tc>
          <w:tcPr>
            <w:tcW w:w="260" w:type="dxa"/>
            <w:vAlign w:val="bottom"/>
            <w:tcBorders>
              <w:bottom w:val="single" w:sz="8" w:color="auto"/>
            </w:tcBorders>
          </w:tcPr>
          <w:p>
            <w:pPr>
              <w:spacing w:after="0"/>
              <w:rPr>
                <w:sz w:val="2"/>
                <w:szCs w:val="2"/>
                <w:color w:val="auto"/>
              </w:rPr>
            </w:pPr>
          </w:p>
        </w:tc>
        <w:tc>
          <w:tcPr>
            <w:tcW w:w="1900" w:type="dxa"/>
            <w:vAlign w:val="bottom"/>
            <w:tcBorders>
              <w:bottom w:val="single" w:sz="8" w:color="auto"/>
            </w:tcBorders>
          </w:tcPr>
          <w:p>
            <w:pPr>
              <w:spacing w:after="0"/>
              <w:rPr>
                <w:sz w:val="2"/>
                <w:szCs w:val="2"/>
                <w:color w:val="auto"/>
              </w:rPr>
            </w:pPr>
          </w:p>
        </w:tc>
        <w:tc>
          <w:tcPr>
            <w:tcW w:w="7340" w:type="dxa"/>
            <w:vAlign w:val="bottom"/>
            <w:tcBorders>
              <w:bottom w:val="single" w:sz="8" w:color="auto"/>
            </w:tcBorders>
          </w:tcPr>
          <w:p>
            <w:pPr>
              <w:spacing w:after="0"/>
              <w:rPr>
                <w:sz w:val="2"/>
                <w:szCs w:val="2"/>
                <w:color w:val="auto"/>
              </w:rPr>
            </w:pPr>
          </w:p>
        </w:tc>
        <w:tc>
          <w:tcPr>
            <w:tcW w:w="680" w:type="dxa"/>
            <w:vAlign w:val="bottom"/>
            <w:tcBorders>
              <w:right w:val="single" w:sz="8" w:color="CCCCCC"/>
            </w:tcBorders>
          </w:tcPr>
          <w:p>
            <w:pPr>
              <w:spacing w:after="0"/>
              <w:rPr>
                <w:sz w:val="2"/>
                <w:szCs w:val="2"/>
                <w:color w:val="auto"/>
              </w:rPr>
            </w:pPr>
          </w:p>
        </w:tc>
      </w:tr>
      <w:tr>
        <w:trPr>
          <w:trHeight w:val="108"/>
        </w:trPr>
        <w:tc>
          <w:tcPr>
            <w:tcW w:w="660" w:type="dxa"/>
            <w:vAlign w:val="bottom"/>
            <w:tcBorders>
              <w:left w:val="single" w:sz="8" w:color="CCCCCC"/>
            </w:tcBorders>
          </w:tcPr>
          <w:p>
            <w:pPr>
              <w:spacing w:after="0"/>
              <w:rPr>
                <w:sz w:val="9"/>
                <w:szCs w:val="9"/>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15</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CONTROLS AND PROCEDURES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statement—Risk management, internal control and internal audit functions at Nokia; General facts on Nokia—Controls and</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procedures</w:t>
            </w:r>
          </w:p>
        </w:tc>
      </w:tr>
      <w:tr>
        <w:trPr>
          <w:trHeight w:val="23"/>
        </w:trPr>
        <w:tc>
          <w:tcPr>
            <w:tcW w:w="660" w:type="dxa"/>
            <w:vAlign w:val="bottom"/>
            <w:tcBorders>
              <w:left w:val="single" w:sz="8" w:color="CCCCCC"/>
            </w:tcBorders>
          </w:tcPr>
          <w:p>
            <w:pPr>
              <w:spacing w:after="0" w:line="20" w:lineRule="exact"/>
              <w:rPr>
                <w:sz w:val="1"/>
                <w:szCs w:val="1"/>
                <w:color w:val="auto"/>
              </w:rPr>
            </w:pPr>
          </w:p>
        </w:tc>
        <w:tc>
          <w:tcPr>
            <w:tcW w:w="540" w:type="dxa"/>
            <w:vAlign w:val="bottom"/>
            <w:tcBorders>
              <w:bottom w:val="single" w:sz="8" w:color="auto"/>
            </w:tcBorders>
          </w:tcPr>
          <w:p>
            <w:pPr>
              <w:spacing w:after="0" w:line="20" w:lineRule="exact"/>
              <w:rPr>
                <w:sz w:val="1"/>
                <w:szCs w:val="1"/>
                <w:color w:val="auto"/>
              </w:rPr>
            </w:pPr>
          </w:p>
        </w:tc>
        <w:tc>
          <w:tcPr>
            <w:tcW w:w="260" w:type="dxa"/>
            <w:vAlign w:val="bottom"/>
            <w:tcBorders>
              <w:bottom w:val="single" w:sz="8" w:color="auto"/>
            </w:tcBorders>
          </w:tcPr>
          <w:p>
            <w:pPr>
              <w:spacing w:after="0" w:line="20" w:lineRule="exact"/>
              <w:rPr>
                <w:sz w:val="1"/>
                <w:szCs w:val="1"/>
                <w:color w:val="auto"/>
              </w:rPr>
            </w:pPr>
          </w:p>
        </w:tc>
        <w:tc>
          <w:tcPr>
            <w:tcW w:w="1900" w:type="dxa"/>
            <w:vAlign w:val="bottom"/>
            <w:tcBorders>
              <w:bottom w:val="single" w:sz="8" w:color="auto"/>
            </w:tcBorders>
          </w:tcPr>
          <w:p>
            <w:pPr>
              <w:spacing w:after="0" w:line="20" w:lineRule="exact"/>
              <w:rPr>
                <w:sz w:val="1"/>
                <w:szCs w:val="1"/>
                <w:color w:val="auto"/>
              </w:rPr>
            </w:pPr>
          </w:p>
        </w:tc>
        <w:tc>
          <w:tcPr>
            <w:tcW w:w="7340" w:type="dxa"/>
            <w:vAlign w:val="bottom"/>
            <w:tcBorders>
              <w:bottom w:val="single" w:sz="8" w:color="auto"/>
            </w:tcBorders>
          </w:tcPr>
          <w:p>
            <w:pPr>
              <w:spacing w:after="0" w:line="20" w:lineRule="exact"/>
              <w:rPr>
                <w:sz w:val="1"/>
                <w:szCs w:val="1"/>
                <w:color w:val="auto"/>
              </w:rPr>
            </w:pPr>
          </w:p>
        </w:tc>
        <w:tc>
          <w:tcPr>
            <w:tcW w:w="680" w:type="dxa"/>
            <w:vAlign w:val="bottom"/>
            <w:tcBorders>
              <w:right w:val="single" w:sz="8" w:color="CCCCCC"/>
            </w:tcBorders>
          </w:tcPr>
          <w:p>
            <w:pPr>
              <w:spacing w:after="0" w:line="20" w:lineRule="exact"/>
              <w:rPr>
                <w:sz w:val="1"/>
                <w:szCs w:val="1"/>
                <w:color w:val="auto"/>
              </w:rPr>
            </w:pPr>
          </w:p>
        </w:tc>
      </w:tr>
      <w:tr>
        <w:trPr>
          <w:trHeight w:val="119"/>
        </w:trPr>
        <w:tc>
          <w:tcPr>
            <w:tcW w:w="660" w:type="dxa"/>
            <w:vAlign w:val="bottom"/>
            <w:tcBorders>
              <w:left w:val="single" w:sz="8" w:color="CCCCCC"/>
            </w:tcBorders>
          </w:tcPr>
          <w:p>
            <w:pPr>
              <w:spacing w:after="0"/>
              <w:rPr>
                <w:sz w:val="10"/>
                <w:szCs w:val="10"/>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[Reserved]</w:t>
            </w:r>
          </w:p>
        </w:tc>
        <w:tc>
          <w:tcPr>
            <w:tcW w:w="734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16A</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AUDIT COMMITTEE FINANCIAL EXPERT</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statement—Board of Directors—Committees of the Board of Directors</w:t>
            </w: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16B</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CODE OF ETHICS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statement—Regulatory Framework; Operating and financial review and prospects—Sustainability and corporate</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responsibility; Other information—Exhibits</w:t>
            </w:r>
          </w:p>
        </w:tc>
      </w:tr>
      <w:tr>
        <w:trPr>
          <w:trHeight w:val="151"/>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16C</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PRINCIPAL ACCOUNTANT FEES AND</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statement—Auditor fees and services; Corporate governance—Corporate governance statement—Audit Committee pre-</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SERVICES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approval policies and procedures</w:t>
            </w:r>
          </w:p>
        </w:tc>
      </w:tr>
      <w:tr>
        <w:trPr>
          <w:trHeight w:val="151"/>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16D</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EXEMPTIONS FROM THE LISTING</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None</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STANDARDS FOR AUDIT COMMITTEES</w:t>
            </w:r>
          </w:p>
        </w:tc>
        <w:tc>
          <w:tcPr>
            <w:tcW w:w="734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51"/>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16E</w:t>
            </w:r>
          </w:p>
        </w:tc>
        <w:tc>
          <w:tcPr>
            <w:tcW w:w="9920" w:type="dxa"/>
            <w:vAlign w:val="bottom"/>
            <w:tcBorders>
              <w:right w:val="single" w:sz="8" w:color="CCCCCC"/>
            </w:tcBorders>
            <w:gridSpan w:val="3"/>
          </w:tcPr>
          <w:p>
            <w:pPr>
              <w:ind w:left="60"/>
              <w:spacing w:after="0"/>
              <w:rPr>
                <w:sz w:val="20"/>
                <w:szCs w:val="20"/>
                <w:color w:val="auto"/>
              </w:rPr>
            </w:pPr>
            <w:r>
              <w:rPr>
                <w:rFonts w:ascii="Times New Roman" w:cs="Times New Roman" w:eastAsia="Times New Roman" w:hAnsi="Times New Roman"/>
                <w:sz w:val="9"/>
                <w:szCs w:val="9"/>
                <w:color w:val="0D0D0D"/>
              </w:rPr>
              <w:t>PURCHASES OF EQUITY SECURITIES BY THEOperating and financial review and prospects—Shares and shareholders—Purchases of equity securities by the Company and affiliated purchasers</w:t>
            </w:r>
          </w:p>
        </w:tc>
      </w:tr>
      <w:tr>
        <w:trPr>
          <w:trHeight w:val="132"/>
        </w:trPr>
        <w:tc>
          <w:tcPr>
            <w:tcW w:w="660" w:type="dxa"/>
            <w:vAlign w:val="bottom"/>
            <w:tcBorders>
              <w:left w:val="single" w:sz="8" w:color="CCCCCC"/>
            </w:tcBorders>
          </w:tcPr>
          <w:p>
            <w:pPr>
              <w:spacing w:after="0"/>
              <w:rPr>
                <w:sz w:val="11"/>
                <w:szCs w:val="11"/>
                <w:color w:val="auto"/>
              </w:rPr>
            </w:pPr>
          </w:p>
        </w:tc>
        <w:tc>
          <w:tcPr>
            <w:tcW w:w="540" w:type="dxa"/>
            <w:vAlign w:val="bottom"/>
          </w:tcPr>
          <w:p>
            <w:pPr>
              <w:spacing w:after="0"/>
              <w:rPr>
                <w:sz w:val="11"/>
                <w:szCs w:val="11"/>
                <w:color w:val="auto"/>
              </w:rPr>
            </w:pPr>
          </w:p>
        </w:tc>
        <w:tc>
          <w:tcPr>
            <w:tcW w:w="260" w:type="dxa"/>
            <w:vAlign w:val="bottom"/>
          </w:tcPr>
          <w:p>
            <w:pPr>
              <w:spacing w:after="0"/>
              <w:rPr>
                <w:sz w:val="11"/>
                <w:szCs w:val="11"/>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ISSUER AND AFFILIATED PURCHASERS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Governance—Compensation</w:t>
            </w: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16F</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CHANGE IN REGISTRANT’S CERTIFYING</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N/A</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ACCOUNTANT</w:t>
            </w:r>
          </w:p>
        </w:tc>
        <w:tc>
          <w:tcPr>
            <w:tcW w:w="734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62"/>
        </w:trPr>
        <w:tc>
          <w:tcPr>
            <w:tcW w:w="660" w:type="dxa"/>
            <w:vAlign w:val="bottom"/>
            <w:tcBorders>
              <w:left w:val="single" w:sz="8" w:color="CCCCCC"/>
            </w:tcBorders>
          </w:tcPr>
          <w:p>
            <w:pPr>
              <w:spacing w:after="0"/>
              <w:rPr>
                <w:sz w:val="14"/>
                <w:szCs w:val="14"/>
                <w:color w:val="auto"/>
              </w:rPr>
            </w:pPr>
          </w:p>
        </w:tc>
        <w:tc>
          <w:tcPr>
            <w:tcW w:w="540" w:type="dxa"/>
            <w:vAlign w:val="bottom"/>
          </w:tcPr>
          <w:p>
            <w:pPr>
              <w:spacing w:after="0"/>
              <w:rPr>
                <w:sz w:val="14"/>
                <w:szCs w:val="14"/>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16G</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CORPORATE GOVERNANCE</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statement—Regulatory framework</w:t>
            </w:r>
          </w:p>
        </w:tc>
      </w:tr>
      <w:tr>
        <w:trPr>
          <w:trHeight w:val="152"/>
        </w:trPr>
        <w:tc>
          <w:tcPr>
            <w:tcW w:w="660" w:type="dxa"/>
            <w:vAlign w:val="bottom"/>
            <w:tcBorders>
              <w:left w:val="single" w:sz="8" w:color="CCCCCC"/>
            </w:tcBorders>
          </w:tcPr>
          <w:p>
            <w:pPr>
              <w:spacing w:after="0"/>
              <w:rPr>
                <w:sz w:val="13"/>
                <w:szCs w:val="13"/>
                <w:color w:val="auto"/>
              </w:rPr>
            </w:pPr>
          </w:p>
        </w:tc>
        <w:tc>
          <w:tcPr>
            <w:tcW w:w="540" w:type="dxa"/>
            <w:vAlign w:val="bottom"/>
          </w:tcPr>
          <w:p>
            <w:pPr>
              <w:spacing w:after="0"/>
              <w:rPr>
                <w:sz w:val="13"/>
                <w:szCs w:val="13"/>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16H</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MINE SAFETY DISCLOSURE</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None</w:t>
            </w: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16I</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DISCLOSURE REGARDING FOREIGN</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N/A</w:t>
            </w:r>
          </w:p>
        </w:tc>
      </w:tr>
      <w:tr>
        <w:trPr>
          <w:trHeight w:val="111"/>
        </w:trPr>
        <w:tc>
          <w:tcPr>
            <w:tcW w:w="660" w:type="dxa"/>
            <w:vAlign w:val="bottom"/>
            <w:tcBorders>
              <w:left w:val="single" w:sz="8" w:color="CCCCCC"/>
            </w:tcBorders>
          </w:tcPr>
          <w:p>
            <w:pPr>
              <w:spacing w:after="0"/>
              <w:rPr>
                <w:sz w:val="9"/>
                <w:szCs w:val="9"/>
                <w:color w:val="auto"/>
              </w:rPr>
            </w:pPr>
          </w:p>
        </w:tc>
        <w:tc>
          <w:tcPr>
            <w:tcW w:w="540" w:type="dxa"/>
            <w:vAlign w:val="bottom"/>
          </w:tcPr>
          <w:p>
            <w:pPr>
              <w:spacing w:after="0"/>
              <w:rPr>
                <w:sz w:val="9"/>
                <w:szCs w:val="9"/>
                <w:color w:val="auto"/>
              </w:rPr>
            </w:pPr>
          </w:p>
        </w:tc>
        <w:tc>
          <w:tcPr>
            <w:tcW w:w="260" w:type="dxa"/>
            <w:vAlign w:val="bottom"/>
          </w:tcPr>
          <w:p>
            <w:pPr>
              <w:spacing w:after="0"/>
              <w:rPr>
                <w:sz w:val="9"/>
                <w:szCs w:val="9"/>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JURISDICTIONS THAT PREVENT</w:t>
            </w:r>
          </w:p>
        </w:tc>
        <w:tc>
          <w:tcPr>
            <w:tcW w:w="7340" w:type="dxa"/>
            <w:vAlign w:val="bottom"/>
          </w:tcPr>
          <w:p>
            <w:pPr>
              <w:spacing w:after="0"/>
              <w:rPr>
                <w:sz w:val="9"/>
                <w:szCs w:val="9"/>
                <w:color w:val="auto"/>
              </w:rPr>
            </w:pPr>
          </w:p>
        </w:tc>
        <w:tc>
          <w:tcPr>
            <w:tcW w:w="680" w:type="dxa"/>
            <w:vAlign w:val="bottom"/>
            <w:tcBorders>
              <w:right w:val="single" w:sz="8" w:color="CCCCCC"/>
            </w:tcBorders>
          </w:tcPr>
          <w:p>
            <w:pPr>
              <w:spacing w:after="0"/>
              <w:rPr>
                <w:sz w:val="9"/>
                <w:szCs w:val="9"/>
                <w:color w:val="auto"/>
              </w:rPr>
            </w:pP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INSPECTIONS</w:t>
            </w:r>
          </w:p>
        </w:tc>
        <w:tc>
          <w:tcPr>
            <w:tcW w:w="7340" w:type="dxa"/>
            <w:vAlign w:val="bottom"/>
          </w:tcPr>
          <w:p>
            <w:pPr>
              <w:spacing w:after="0"/>
              <w:rPr>
                <w:sz w:val="10"/>
                <w:szCs w:val="10"/>
                <w:color w:val="auto"/>
              </w:rPr>
            </w:pPr>
          </w:p>
        </w:tc>
        <w:tc>
          <w:tcPr>
            <w:tcW w:w="680" w:type="dxa"/>
            <w:vAlign w:val="bottom"/>
            <w:tcBorders>
              <w:right w:val="single" w:sz="8" w:color="CCCCCC"/>
            </w:tcBorders>
          </w:tcPr>
          <w:p>
            <w:pPr>
              <w:spacing w:after="0"/>
              <w:rPr>
                <w:sz w:val="10"/>
                <w:szCs w:val="10"/>
                <w:color w:val="auto"/>
              </w:rPr>
            </w:pPr>
          </w:p>
        </w:tc>
      </w:tr>
      <w:tr>
        <w:trPr>
          <w:trHeight w:val="172"/>
        </w:trPr>
        <w:tc>
          <w:tcPr>
            <w:tcW w:w="660" w:type="dxa"/>
            <w:vAlign w:val="bottom"/>
            <w:tcBorders>
              <w:left w:val="single" w:sz="8" w:color="CCCCCC"/>
            </w:tcBorders>
          </w:tcPr>
          <w:p>
            <w:pPr>
              <w:spacing w:after="0"/>
              <w:rPr>
                <w:sz w:val="14"/>
                <w:szCs w:val="14"/>
                <w:color w:val="auto"/>
              </w:rPr>
            </w:pPr>
          </w:p>
        </w:tc>
        <w:tc>
          <w:tcPr>
            <w:tcW w:w="540" w:type="dxa"/>
            <w:vAlign w:val="bottom"/>
          </w:tcPr>
          <w:p>
            <w:pPr>
              <w:spacing w:after="0"/>
              <w:rPr>
                <w:sz w:val="14"/>
                <w:szCs w:val="14"/>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16J</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INSIDER TRADING POLICIES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N/A</w:t>
            </w:r>
          </w:p>
        </w:tc>
      </w:tr>
      <w:tr>
        <w:trPr>
          <w:trHeight w:val="141"/>
        </w:trPr>
        <w:tc>
          <w:tcPr>
            <w:tcW w:w="660" w:type="dxa"/>
            <w:vAlign w:val="bottom"/>
            <w:tcBorders>
              <w:left w:val="single" w:sz="8" w:color="CCCCCC"/>
            </w:tcBorders>
          </w:tcPr>
          <w:p>
            <w:pPr>
              <w:spacing w:after="0"/>
              <w:rPr>
                <w:sz w:val="12"/>
                <w:szCs w:val="12"/>
                <w:color w:val="auto"/>
              </w:rPr>
            </w:pPr>
          </w:p>
        </w:tc>
        <w:tc>
          <w:tcPr>
            <w:tcW w:w="540" w:type="dxa"/>
            <w:vAlign w:val="bottom"/>
          </w:tcPr>
          <w:p>
            <w:pPr>
              <w:spacing w:after="0"/>
              <w:rPr>
                <w:sz w:val="12"/>
                <w:szCs w:val="12"/>
                <w:color w:val="auto"/>
              </w:rPr>
            </w:pP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16K</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CYBERSECURITY</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Corporate governance—Corporate Governance Statement—Risk management, internal control and internal audit functions at Nokia; Operating and financial review and</w:t>
            </w:r>
          </w:p>
        </w:tc>
      </w:tr>
      <w:tr>
        <w:trPr>
          <w:trHeight w:val="122"/>
        </w:trPr>
        <w:tc>
          <w:tcPr>
            <w:tcW w:w="660" w:type="dxa"/>
            <w:vAlign w:val="bottom"/>
            <w:tcBorders>
              <w:left w:val="single" w:sz="8" w:color="CCCCCC"/>
            </w:tcBorders>
          </w:tcPr>
          <w:p>
            <w:pPr>
              <w:spacing w:after="0"/>
              <w:rPr>
                <w:sz w:val="10"/>
                <w:szCs w:val="10"/>
                <w:color w:val="auto"/>
              </w:rPr>
            </w:pPr>
          </w:p>
        </w:tc>
        <w:tc>
          <w:tcPr>
            <w:tcW w:w="54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900" w:type="dxa"/>
            <w:vAlign w:val="bottom"/>
          </w:tcPr>
          <w:p>
            <w:pPr>
              <w:spacing w:after="0"/>
              <w:rPr>
                <w:sz w:val="10"/>
                <w:szCs w:val="10"/>
                <w:color w:val="auto"/>
              </w:rPr>
            </w:pP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prospects—Risk factors—Risks impacting our competitiveness</w:t>
            </w:r>
          </w:p>
        </w:tc>
      </w:tr>
      <w:tr>
        <w:trPr>
          <w:trHeight w:val="23"/>
        </w:trPr>
        <w:tc>
          <w:tcPr>
            <w:tcW w:w="660" w:type="dxa"/>
            <w:vAlign w:val="bottom"/>
            <w:tcBorders>
              <w:left w:val="single" w:sz="8" w:color="CCCCCC"/>
            </w:tcBorders>
          </w:tcPr>
          <w:p>
            <w:pPr>
              <w:spacing w:after="0" w:line="20" w:lineRule="exact"/>
              <w:rPr>
                <w:sz w:val="1"/>
                <w:szCs w:val="1"/>
                <w:color w:val="auto"/>
              </w:rPr>
            </w:pPr>
          </w:p>
        </w:tc>
        <w:tc>
          <w:tcPr>
            <w:tcW w:w="540" w:type="dxa"/>
            <w:vAlign w:val="bottom"/>
            <w:tcBorders>
              <w:bottom w:val="single" w:sz="8" w:color="auto"/>
            </w:tcBorders>
          </w:tcPr>
          <w:p>
            <w:pPr>
              <w:spacing w:after="0" w:line="20" w:lineRule="exact"/>
              <w:rPr>
                <w:sz w:val="1"/>
                <w:szCs w:val="1"/>
                <w:color w:val="auto"/>
              </w:rPr>
            </w:pPr>
          </w:p>
        </w:tc>
        <w:tc>
          <w:tcPr>
            <w:tcW w:w="260" w:type="dxa"/>
            <w:vAlign w:val="bottom"/>
            <w:tcBorders>
              <w:bottom w:val="single" w:sz="8" w:color="auto"/>
            </w:tcBorders>
          </w:tcPr>
          <w:p>
            <w:pPr>
              <w:spacing w:after="0" w:line="20" w:lineRule="exact"/>
              <w:rPr>
                <w:sz w:val="1"/>
                <w:szCs w:val="1"/>
                <w:color w:val="auto"/>
              </w:rPr>
            </w:pPr>
          </w:p>
        </w:tc>
        <w:tc>
          <w:tcPr>
            <w:tcW w:w="1900" w:type="dxa"/>
            <w:vAlign w:val="bottom"/>
            <w:tcBorders>
              <w:bottom w:val="single" w:sz="8" w:color="auto"/>
            </w:tcBorders>
          </w:tcPr>
          <w:p>
            <w:pPr>
              <w:spacing w:after="0" w:line="20" w:lineRule="exact"/>
              <w:rPr>
                <w:sz w:val="1"/>
                <w:szCs w:val="1"/>
                <w:color w:val="auto"/>
              </w:rPr>
            </w:pPr>
          </w:p>
        </w:tc>
        <w:tc>
          <w:tcPr>
            <w:tcW w:w="7340" w:type="dxa"/>
            <w:vAlign w:val="bottom"/>
            <w:tcBorders>
              <w:bottom w:val="single" w:sz="8" w:color="auto"/>
            </w:tcBorders>
          </w:tcPr>
          <w:p>
            <w:pPr>
              <w:spacing w:after="0" w:line="20" w:lineRule="exact"/>
              <w:rPr>
                <w:sz w:val="1"/>
                <w:szCs w:val="1"/>
                <w:color w:val="auto"/>
              </w:rPr>
            </w:pPr>
          </w:p>
        </w:tc>
        <w:tc>
          <w:tcPr>
            <w:tcW w:w="680" w:type="dxa"/>
            <w:vAlign w:val="bottom"/>
            <w:tcBorders>
              <w:right w:val="single" w:sz="8" w:color="CCCCCC"/>
            </w:tcBorders>
          </w:tcPr>
          <w:p>
            <w:pPr>
              <w:spacing w:after="0" w:line="20" w:lineRule="exact"/>
              <w:rPr>
                <w:sz w:val="1"/>
                <w:szCs w:val="1"/>
                <w:color w:val="auto"/>
              </w:rPr>
            </w:pPr>
          </w:p>
        </w:tc>
      </w:tr>
      <w:tr>
        <w:trPr>
          <w:trHeight w:val="125"/>
        </w:trPr>
        <w:tc>
          <w:tcPr>
            <w:tcW w:w="660" w:type="dxa"/>
            <w:vAlign w:val="bottom"/>
            <w:tcBorders>
              <w:left w:val="single" w:sz="8" w:color="CCCCCC"/>
            </w:tcBorders>
          </w:tcPr>
          <w:p>
            <w:pPr>
              <w:spacing w:after="0"/>
              <w:rPr>
                <w:sz w:val="10"/>
                <w:szCs w:val="10"/>
                <w:color w:val="auto"/>
              </w:rPr>
            </w:pPr>
          </w:p>
        </w:tc>
        <w:tc>
          <w:tcPr>
            <w:tcW w:w="54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17</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FINANCIAL STATEMENTS</w:t>
            </w:r>
          </w:p>
        </w:tc>
        <w:tc>
          <w:tcPr>
            <w:tcW w:w="734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Financial statements</w:t>
            </w:r>
          </w:p>
        </w:tc>
        <w:tc>
          <w:tcPr>
            <w:tcW w:w="680" w:type="dxa"/>
            <w:vAlign w:val="bottom"/>
            <w:tcBorders>
              <w:right w:val="single" w:sz="8" w:color="CCCCCC"/>
            </w:tcBorders>
          </w:tcPr>
          <w:p>
            <w:pPr>
              <w:spacing w:after="0"/>
              <w:rPr>
                <w:sz w:val="10"/>
                <w:szCs w:val="10"/>
                <w:color w:val="auto"/>
              </w:rPr>
            </w:pPr>
          </w:p>
        </w:tc>
      </w:tr>
      <w:tr>
        <w:trPr>
          <w:trHeight w:val="132"/>
        </w:trPr>
        <w:tc>
          <w:tcPr>
            <w:tcW w:w="660" w:type="dxa"/>
            <w:vAlign w:val="bottom"/>
            <w:tcBorders>
              <w:left w:val="single" w:sz="8" w:color="CCCCCC"/>
            </w:tcBorders>
          </w:tcPr>
          <w:p>
            <w:pPr>
              <w:spacing w:after="0"/>
              <w:rPr>
                <w:sz w:val="11"/>
                <w:szCs w:val="11"/>
                <w:color w:val="auto"/>
              </w:rPr>
            </w:pPr>
          </w:p>
        </w:tc>
        <w:tc>
          <w:tcPr>
            <w:tcW w:w="54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Borders>
              <w:bottom w:val="single" w:sz="8" w:color="auto"/>
            </w:tcBorders>
          </w:tcPr>
          <w:p>
            <w:pPr>
              <w:ind w:left="40"/>
              <w:spacing w:after="0"/>
              <w:rPr>
                <w:sz w:val="20"/>
                <w:szCs w:val="20"/>
                <w:color w:val="auto"/>
              </w:rPr>
            </w:pPr>
            <w:r>
              <w:rPr>
                <w:rFonts w:ascii="Times New Roman" w:cs="Times New Roman" w:eastAsia="Times New Roman" w:hAnsi="Times New Roman"/>
                <w:sz w:val="9"/>
                <w:szCs w:val="9"/>
                <w:color w:val="0D0D0D"/>
              </w:rPr>
              <w:t>18</w:t>
            </w:r>
          </w:p>
        </w:tc>
        <w:tc>
          <w:tcPr>
            <w:tcW w:w="190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FINANCIAL STATEMENTS</w:t>
            </w:r>
          </w:p>
        </w:tc>
        <w:tc>
          <w:tcPr>
            <w:tcW w:w="7340" w:type="dxa"/>
            <w:vAlign w:val="bottom"/>
            <w:tcBorders>
              <w:bottom w:val="single" w:sz="8" w:color="auto"/>
            </w:tcBorders>
          </w:tcPr>
          <w:p>
            <w:pPr>
              <w:ind w:left="60"/>
              <w:spacing w:after="0"/>
              <w:rPr>
                <w:sz w:val="20"/>
                <w:szCs w:val="20"/>
                <w:color w:val="auto"/>
              </w:rPr>
            </w:pPr>
            <w:r>
              <w:rPr>
                <w:rFonts w:ascii="Times New Roman" w:cs="Times New Roman" w:eastAsia="Times New Roman" w:hAnsi="Times New Roman"/>
                <w:sz w:val="9"/>
                <w:szCs w:val="9"/>
                <w:color w:val="0D0D0D"/>
              </w:rPr>
              <w:t>Financial statements</w:t>
            </w:r>
          </w:p>
        </w:tc>
        <w:tc>
          <w:tcPr>
            <w:tcW w:w="680" w:type="dxa"/>
            <w:vAlign w:val="bottom"/>
            <w:tcBorders>
              <w:right w:val="single" w:sz="8" w:color="CCCCCC"/>
            </w:tcBorders>
          </w:tcPr>
          <w:p>
            <w:pPr>
              <w:spacing w:after="0"/>
              <w:rPr>
                <w:sz w:val="11"/>
                <w:szCs w:val="11"/>
                <w:color w:val="auto"/>
              </w:rPr>
            </w:pPr>
          </w:p>
        </w:tc>
      </w:tr>
      <w:tr>
        <w:trPr>
          <w:trHeight w:val="132"/>
        </w:trPr>
        <w:tc>
          <w:tcPr>
            <w:tcW w:w="660" w:type="dxa"/>
            <w:vAlign w:val="bottom"/>
            <w:tcBorders>
              <w:left w:val="single" w:sz="8" w:color="CCCCCC"/>
            </w:tcBorders>
          </w:tcPr>
          <w:p>
            <w:pPr>
              <w:spacing w:after="0"/>
              <w:rPr>
                <w:sz w:val="11"/>
                <w:szCs w:val="11"/>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ITEM</w:t>
            </w:r>
          </w:p>
        </w:tc>
        <w:tc>
          <w:tcPr>
            <w:tcW w:w="260" w:type="dxa"/>
            <w:vAlign w:val="bottom"/>
          </w:tcPr>
          <w:p>
            <w:pPr>
              <w:ind w:left="40"/>
              <w:spacing w:after="0"/>
              <w:rPr>
                <w:sz w:val="20"/>
                <w:szCs w:val="20"/>
                <w:color w:val="auto"/>
              </w:rPr>
            </w:pPr>
            <w:r>
              <w:rPr>
                <w:rFonts w:ascii="Times New Roman" w:cs="Times New Roman" w:eastAsia="Times New Roman" w:hAnsi="Times New Roman"/>
                <w:sz w:val="9"/>
                <w:szCs w:val="9"/>
                <w:color w:val="0D0D0D"/>
              </w:rPr>
              <w:t>19</w:t>
            </w:r>
          </w:p>
        </w:tc>
        <w:tc>
          <w:tcPr>
            <w:tcW w:w="1900" w:type="dxa"/>
            <w:vAlign w:val="bottom"/>
          </w:tcPr>
          <w:p>
            <w:pPr>
              <w:ind w:left="60"/>
              <w:spacing w:after="0"/>
              <w:rPr>
                <w:sz w:val="20"/>
                <w:szCs w:val="20"/>
                <w:color w:val="auto"/>
              </w:rPr>
            </w:pPr>
            <w:r>
              <w:rPr>
                <w:rFonts w:ascii="Times New Roman" w:cs="Times New Roman" w:eastAsia="Times New Roman" w:hAnsi="Times New Roman"/>
                <w:sz w:val="9"/>
                <w:szCs w:val="9"/>
                <w:color w:val="0D0D0D"/>
              </w:rPr>
              <w:t>EXHIBITS</w:t>
            </w:r>
          </w:p>
        </w:tc>
        <w:tc>
          <w:tcPr>
            <w:tcW w:w="8020" w:type="dxa"/>
            <w:vAlign w:val="bottom"/>
            <w:tcBorders>
              <w:right w:val="single" w:sz="8" w:color="CCCCCC"/>
            </w:tcBorders>
            <w:gridSpan w:val="2"/>
          </w:tcPr>
          <w:p>
            <w:pPr>
              <w:ind w:left="60"/>
              <w:spacing w:after="0"/>
              <w:rPr>
                <w:sz w:val="20"/>
                <w:szCs w:val="20"/>
                <w:color w:val="auto"/>
              </w:rPr>
            </w:pPr>
            <w:r>
              <w:rPr>
                <w:rFonts w:ascii="Times New Roman" w:cs="Times New Roman" w:eastAsia="Times New Roman" w:hAnsi="Times New Roman"/>
                <w:sz w:val="9"/>
                <w:szCs w:val="9"/>
                <w:color w:val="0D0D0D"/>
              </w:rPr>
              <w:t>Other information—Exhibits</w:t>
            </w:r>
          </w:p>
        </w:tc>
      </w:tr>
      <w:tr>
        <w:trPr>
          <w:trHeight w:val="2671"/>
        </w:trPr>
        <w:tc>
          <w:tcPr>
            <w:tcW w:w="660" w:type="dxa"/>
            <w:vAlign w:val="bottom"/>
            <w:tcBorders>
              <w:left w:val="single" w:sz="8" w:color="CCCCCC"/>
              <w:bottom w:val="single" w:sz="8" w:color="CCCCCC"/>
            </w:tcBorders>
          </w:tcPr>
          <w:p>
            <w:pPr>
              <w:spacing w:after="0"/>
              <w:rPr>
                <w:sz w:val="24"/>
                <w:szCs w:val="24"/>
                <w:color w:val="auto"/>
              </w:rPr>
            </w:pPr>
          </w:p>
        </w:tc>
        <w:tc>
          <w:tcPr>
            <w:tcW w:w="540" w:type="dxa"/>
            <w:vAlign w:val="bottom"/>
            <w:tcBorders>
              <w:top w:val="single" w:sz="8" w:color="12233A"/>
              <w:bottom w:val="single" w:sz="8" w:color="CCCCCC"/>
            </w:tcBorders>
          </w:tcPr>
          <w:p>
            <w:pPr>
              <w:spacing w:after="0"/>
              <w:rPr>
                <w:sz w:val="24"/>
                <w:szCs w:val="24"/>
                <w:color w:val="auto"/>
              </w:rPr>
            </w:pPr>
          </w:p>
        </w:tc>
        <w:tc>
          <w:tcPr>
            <w:tcW w:w="260" w:type="dxa"/>
            <w:vAlign w:val="bottom"/>
            <w:tcBorders>
              <w:top w:val="single" w:sz="8" w:color="12233A"/>
              <w:bottom w:val="single" w:sz="8" w:color="CCCCCC"/>
            </w:tcBorders>
          </w:tcPr>
          <w:p>
            <w:pPr>
              <w:spacing w:after="0"/>
              <w:rPr>
                <w:sz w:val="24"/>
                <w:szCs w:val="24"/>
                <w:color w:val="auto"/>
              </w:rPr>
            </w:pPr>
          </w:p>
        </w:tc>
        <w:tc>
          <w:tcPr>
            <w:tcW w:w="1900" w:type="dxa"/>
            <w:vAlign w:val="bottom"/>
            <w:tcBorders>
              <w:top w:val="single" w:sz="8" w:color="12233A"/>
              <w:bottom w:val="single" w:sz="8" w:color="CCCCCC"/>
            </w:tcBorders>
          </w:tcPr>
          <w:p>
            <w:pPr>
              <w:spacing w:after="0"/>
              <w:rPr>
                <w:sz w:val="24"/>
                <w:szCs w:val="24"/>
                <w:color w:val="auto"/>
              </w:rPr>
            </w:pPr>
          </w:p>
        </w:tc>
        <w:tc>
          <w:tcPr>
            <w:tcW w:w="7340" w:type="dxa"/>
            <w:vAlign w:val="bottom"/>
            <w:tcBorders>
              <w:top w:val="single" w:sz="8" w:color="12233A"/>
              <w:bottom w:val="single" w:sz="8" w:color="CCCCCC"/>
            </w:tcBorders>
          </w:tcPr>
          <w:p>
            <w:pPr>
              <w:spacing w:after="0"/>
              <w:rPr>
                <w:sz w:val="24"/>
                <w:szCs w:val="24"/>
                <w:color w:val="auto"/>
              </w:rPr>
            </w:pPr>
          </w:p>
        </w:tc>
        <w:tc>
          <w:tcPr>
            <w:tcW w:w="680" w:type="dxa"/>
            <w:vAlign w:val="bottom"/>
            <w:tcBorders>
              <w:bottom w:val="single" w:sz="8" w:color="CCCCCC"/>
              <w:right w:val="single" w:sz="8" w:color="CCCCCC"/>
            </w:tcBorders>
          </w:tcPr>
          <w:p>
            <w:pPr>
              <w:spacing w:after="0"/>
              <w:rPr>
                <w:sz w:val="24"/>
                <w:szCs w:val="24"/>
                <w:color w:val="auto"/>
              </w:rPr>
            </w:pPr>
          </w:p>
        </w:tc>
      </w:tr>
    </w:tbl>
    <w:p>
      <w:pPr>
        <w:sectPr>
          <w:pgSz w:w="11900" w:h="16838" w:orient="portrait"/>
          <w:cols w:equalWidth="0" w:num="1">
            <w:col w:w="11360"/>
          </w:cols>
          <w:pgMar w:left="300" w:top="216" w:right="239" w:bottom="1440" w:gutter="0" w:footer="0" w:header="0"/>
        </w:sectPr>
      </w:pPr>
    </w:p>
    <w:bookmarkStart w:id="6" w:name="page7"/>
    <w:bookmarkEnd w:id="6"/>
    <w:p>
      <w:pPr>
        <w:spacing w:after="0"/>
        <w:rPr>
          <w:sz w:val="20"/>
          <w:szCs w:val="20"/>
          <w:color w:val="auto"/>
        </w:rPr>
      </w:pPr>
      <w:r>
        <w:rPr>
          <w:rFonts w:ascii="Times New Roman" w:cs="Times New Roman" w:eastAsia="Times New Roman" w:hAnsi="Times New Roman"/>
          <w:sz w:val="13"/>
          <w:szCs w:val="13"/>
          <w:color w:val="005AFF"/>
        </w:rPr>
        <w:t>Forward-looking statements</w:t>
      </w:r>
    </w:p>
    <w:p>
      <w:pPr>
        <w:spacing w:after="0" w:line="200" w:lineRule="exact"/>
        <w:rPr>
          <w:sz w:val="20"/>
          <w:szCs w:val="20"/>
          <w:color w:val="auto"/>
        </w:rPr>
      </w:pPr>
    </w:p>
    <w:p>
      <w:pPr>
        <w:spacing w:after="0" w:line="200" w:lineRule="exact"/>
        <w:rPr>
          <w:sz w:val="20"/>
          <w:szCs w:val="20"/>
          <w:color w:val="auto"/>
        </w:rPr>
      </w:pPr>
    </w:p>
    <w:p>
      <w:pPr>
        <w:spacing w:after="0" w:line="2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Certain statements contained in this report constitute</w:t>
      </w:r>
    </w:p>
    <w:p>
      <w:pPr>
        <w:spacing w:after="0" w:line="17" w:lineRule="exact"/>
        <w:rPr>
          <w:sz w:val="20"/>
          <w:szCs w:val="20"/>
          <w:color w:val="auto"/>
        </w:rPr>
      </w:pPr>
    </w:p>
    <w:p>
      <w:pPr>
        <w:ind w:right="240"/>
        <w:spacing w:after="0" w:line="236" w:lineRule="auto"/>
        <w:rPr>
          <w:sz w:val="20"/>
          <w:szCs w:val="20"/>
          <w:color w:val="auto"/>
        </w:rPr>
      </w:pPr>
      <w:r>
        <w:rPr>
          <w:rFonts w:ascii="Times New Roman" w:cs="Times New Roman" w:eastAsia="Times New Roman" w:hAnsi="Times New Roman"/>
          <w:sz w:val="11"/>
          <w:szCs w:val="11"/>
          <w:color w:val="auto"/>
        </w:rPr>
        <w:t>“forward-looking statements.” Forward-looking statements provide Nokia's current expectations of future events and trends based on certain assumptions and include any</w:t>
      </w:r>
    </w:p>
    <w:p>
      <w:pPr>
        <w:spacing w:after="0" w:line="1" w:lineRule="exact"/>
        <w:rPr>
          <w:sz w:val="20"/>
          <w:szCs w:val="20"/>
          <w:color w:val="auto"/>
        </w:rPr>
      </w:pPr>
    </w:p>
    <w:p>
      <w:pPr>
        <w:ind w:right="60"/>
        <w:spacing w:after="0" w:line="236" w:lineRule="auto"/>
        <w:rPr>
          <w:sz w:val="20"/>
          <w:szCs w:val="20"/>
          <w:color w:val="auto"/>
        </w:rPr>
      </w:pPr>
      <w:r>
        <w:rPr>
          <w:rFonts w:ascii="Times New Roman" w:cs="Times New Roman" w:eastAsia="Times New Roman" w:hAnsi="Times New Roman"/>
          <w:sz w:val="11"/>
          <w:szCs w:val="11"/>
          <w:color w:val="auto"/>
        </w:rPr>
        <w:t>statement that does not directly relate to any current or historical fact. The words “believe,” “expect,” “expectations,” “anticipate,” “foresee,” “see,” “target,” “estimate,” “designed,”</w:t>
      </w:r>
    </w:p>
    <w:p>
      <w:pPr>
        <w:spacing w:after="0" w:line="1" w:lineRule="exact"/>
        <w:rPr>
          <w:sz w:val="20"/>
          <w:szCs w:val="20"/>
          <w:color w:val="auto"/>
        </w:rPr>
      </w:pPr>
    </w:p>
    <w:p>
      <w:pPr>
        <w:ind w:right="60"/>
        <w:spacing w:after="0" w:line="239" w:lineRule="auto"/>
        <w:rPr>
          <w:sz w:val="20"/>
          <w:szCs w:val="20"/>
          <w:color w:val="auto"/>
        </w:rPr>
      </w:pPr>
      <w:r>
        <w:rPr>
          <w:rFonts w:ascii="Times New Roman" w:cs="Times New Roman" w:eastAsia="Times New Roman" w:hAnsi="Times New Roman"/>
          <w:sz w:val="11"/>
          <w:szCs w:val="11"/>
          <w:color w:val="auto"/>
        </w:rPr>
        <w:t>“aim,” “plan,” “intend,” “influence,” “assumption,” “focus,” “continue,” “project,” “should," "is to," "will,” "strive," "may,”</w:t>
      </w:r>
    </w:p>
    <w:p>
      <w:pPr>
        <w:spacing w:after="0" w:line="1" w:lineRule="exact"/>
        <w:rPr>
          <w:sz w:val="20"/>
          <w:szCs w:val="20"/>
          <w:color w:val="auto"/>
        </w:rPr>
      </w:pPr>
    </w:p>
    <w:p>
      <w:pPr>
        <w:ind w:right="140"/>
        <w:spacing w:after="0" w:line="239" w:lineRule="auto"/>
        <w:rPr>
          <w:sz w:val="20"/>
          <w:szCs w:val="20"/>
          <w:color w:val="auto"/>
        </w:rPr>
      </w:pPr>
      <w:r>
        <w:rPr>
          <w:rFonts w:ascii="Times New Roman" w:cs="Times New Roman" w:eastAsia="Times New Roman" w:hAnsi="Times New Roman"/>
          <w:sz w:val="11"/>
          <w:szCs w:val="11"/>
          <w:color w:val="auto"/>
        </w:rPr>
        <w:t>"could,” “forecast,” or similar expressions as they relate to us or our management are intended to identify these forward-looking statements, as well as statements regarding:</w:t>
      </w:r>
    </w:p>
    <w:p>
      <w:pPr>
        <w:spacing w:after="0" w:line="116" w:lineRule="exact"/>
        <w:rPr>
          <w:sz w:val="20"/>
          <w:szCs w:val="20"/>
          <w:color w:val="auto"/>
        </w:rPr>
      </w:pPr>
    </w:p>
    <w:p>
      <w:pPr>
        <w:ind w:left="160" w:right="240" w:hanging="159"/>
        <w:spacing w:after="0" w:line="279"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business strategies, projects, market expansion, growth management, and future industry trends and megatrends and our plans to address them;</w:t>
      </w:r>
    </w:p>
    <w:p>
      <w:pPr>
        <w:spacing w:after="0" w:line="54" w:lineRule="exact"/>
        <w:rPr>
          <w:rFonts w:ascii="Times New Roman" w:cs="Times New Roman" w:eastAsia="Times New Roman" w:hAnsi="Times New Roman"/>
          <w:sz w:val="11"/>
          <w:szCs w:val="11"/>
          <w:color w:val="auto"/>
        </w:rPr>
      </w:pPr>
    </w:p>
    <w:p>
      <w:pPr>
        <w:ind w:left="160" w:right="420" w:hanging="159"/>
        <w:spacing w:after="0" w:line="290"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future performance of our businesses and any future distributions and dividends;</w:t>
      </w:r>
    </w:p>
    <w:p>
      <w:pPr>
        <w:spacing w:after="0" w:line="48" w:lineRule="exact"/>
        <w:rPr>
          <w:rFonts w:ascii="Times New Roman" w:cs="Times New Roman" w:eastAsia="Times New Roman" w:hAnsi="Times New Roman"/>
          <w:sz w:val="11"/>
          <w:szCs w:val="11"/>
          <w:color w:val="auto"/>
        </w:rPr>
      </w:pPr>
    </w:p>
    <w:p>
      <w:pPr>
        <w:ind w:left="160" w:right="80" w:hanging="159"/>
        <w:spacing w:after="0" w:line="269"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expectations and targets regarding financial performance, results, operating expenses, cash flows, taxes, currency exchange rates, hedging, cost savings and competitiveness, as well as results of operations including targeted synergies and those related to market share, prices, net sales, income and margins;</w:t>
      </w:r>
    </w:p>
    <w:p>
      <w:pPr>
        <w:spacing w:after="0" w:line="47" w:lineRule="exact"/>
        <w:rPr>
          <w:rFonts w:ascii="Times New Roman" w:cs="Times New Roman" w:eastAsia="Times New Roman" w:hAnsi="Times New Roman"/>
          <w:sz w:val="11"/>
          <w:szCs w:val="11"/>
          <w:color w:val="auto"/>
        </w:rPr>
      </w:pPr>
    </w:p>
    <w:p>
      <w:pPr>
        <w:ind w:left="160" w:hanging="159"/>
        <w:spacing w:after="0" w:line="313"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i w:val="1"/>
          <w:iCs w:val="1"/>
          <w:color w:val="auto"/>
        </w:rPr>
        <w:t xml:space="preserve">expectations, </w:t>
      </w:r>
      <w:r>
        <w:rPr>
          <w:rFonts w:ascii="Times New Roman" w:cs="Times New Roman" w:eastAsia="Times New Roman" w:hAnsi="Times New Roman"/>
          <w:sz w:val="11"/>
          <w:szCs w:val="11"/>
          <w:color w:val="auto"/>
        </w:rPr>
        <w:t>plans, timelines or benefits related to changes</w:t>
      </w:r>
      <w:r>
        <w:rPr>
          <w:rFonts w:ascii="Times New Roman" w:cs="Times New Roman" w:eastAsia="Times New Roman" w:hAnsi="Times New Roman"/>
          <w:sz w:val="11"/>
          <w:szCs w:val="11"/>
          <w:i w:val="1"/>
          <w:iCs w:val="1"/>
          <w:color w:val="auto"/>
        </w:rPr>
        <w:t xml:space="preserve"> </w:t>
      </w:r>
      <w:r>
        <w:rPr>
          <w:rFonts w:ascii="Times New Roman" w:cs="Times New Roman" w:eastAsia="Times New Roman" w:hAnsi="Times New Roman"/>
          <w:sz w:val="11"/>
          <w:szCs w:val="11"/>
          <w:color w:val="auto"/>
        </w:rPr>
        <w:t>in our organizational and operational structure;</w:t>
      </w:r>
    </w:p>
    <w:p>
      <w:pPr>
        <w:spacing w:after="0" w:line="36" w:lineRule="exact"/>
        <w:rPr>
          <w:rFonts w:ascii="Times New Roman" w:cs="Times New Roman" w:eastAsia="Times New Roman" w:hAnsi="Times New Roman"/>
          <w:sz w:val="11"/>
          <w:szCs w:val="11"/>
          <w:color w:val="auto"/>
        </w:rPr>
      </w:pPr>
    </w:p>
    <w:p>
      <w:pPr>
        <w:ind w:left="160" w:right="60" w:hanging="159"/>
        <w:spacing w:after="0" w:line="266"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market developments in our current and future markets and their seasonality and cyclicality, including the communications service provider market, as well as general economic conditions, future regulatory developments and the expected impact, timing and duration of potential global pandemics and geopolitical conflicts on our businesses, our supply chain, our customers’ businesses and the general market and economic conditions;</w:t>
      </w:r>
    </w:p>
    <w:p>
      <w:pPr>
        <w:spacing w:after="0" w:line="51" w:lineRule="exact"/>
        <w:rPr>
          <w:rFonts w:ascii="Times New Roman" w:cs="Times New Roman" w:eastAsia="Times New Roman" w:hAnsi="Times New Roman"/>
          <w:sz w:val="11"/>
          <w:szCs w:val="11"/>
          <w:color w:val="auto"/>
        </w:rPr>
      </w:pPr>
    </w:p>
    <w:p>
      <w:pPr>
        <w:jc w:val="both"/>
        <w:ind w:left="160" w:right="240" w:hanging="159"/>
        <w:spacing w:after="0" w:line="275"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our position in the market, including product portfolio and geographical reach, and our ability to use the same to develop the relevant business or market and maintain our order pipeline over time;</w:t>
      </w:r>
    </w:p>
    <w:p>
      <w:pPr>
        <w:spacing w:after="0" w:line="57" w:lineRule="exact"/>
        <w:rPr>
          <w:rFonts w:ascii="Times New Roman" w:cs="Times New Roman" w:eastAsia="Times New Roman" w:hAnsi="Times New Roman"/>
          <w:sz w:val="11"/>
          <w:szCs w:val="11"/>
          <w:color w:val="auto"/>
        </w:rPr>
      </w:pPr>
    </w:p>
    <w:p>
      <w:pPr>
        <w:ind w:left="160" w:right="320" w:hanging="159"/>
        <w:spacing w:after="0" w:line="275" w:lineRule="auto"/>
        <w:tabs>
          <w:tab w:leader="none" w:pos="160" w:val="left"/>
        </w:tabs>
        <w:numPr>
          <w:ilvl w:val="0"/>
          <w:numId w:val="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any future collaboration or business collaboration agreements or patent license agreements or arbitration awards, including income from any collaboration or partnership, agreement or award;</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348" w:lineRule="exact"/>
        <w:rPr>
          <w:sz w:val="20"/>
          <w:szCs w:val="20"/>
          <w:color w:val="auto"/>
        </w:rPr>
      </w:pPr>
    </w:p>
    <w:p>
      <w:pPr>
        <w:ind w:left="160" w:right="3399" w:hanging="159"/>
        <w:spacing w:after="0" w:line="309" w:lineRule="auto"/>
        <w:tabs>
          <w:tab w:leader="none" w:pos="160" w:val="left"/>
        </w:tabs>
        <w:numPr>
          <w:ilvl w:val="0"/>
          <w:numId w:val="2"/>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timing of the development and delivery of our products and services;</w:t>
      </w:r>
    </w:p>
    <w:p>
      <w:pPr>
        <w:spacing w:after="0" w:line="38" w:lineRule="exact"/>
        <w:rPr>
          <w:rFonts w:ascii="Times New Roman" w:cs="Times New Roman" w:eastAsia="Times New Roman" w:hAnsi="Times New Roman"/>
          <w:sz w:val="11"/>
          <w:szCs w:val="11"/>
          <w:color w:val="auto"/>
        </w:rPr>
      </w:pPr>
    </w:p>
    <w:p>
      <w:pPr>
        <w:ind w:left="160" w:right="3699" w:hanging="159"/>
        <w:spacing w:after="0" w:line="279" w:lineRule="auto"/>
        <w:tabs>
          <w:tab w:leader="none" w:pos="160" w:val="left"/>
        </w:tabs>
        <w:numPr>
          <w:ilvl w:val="0"/>
          <w:numId w:val="2"/>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the outcome of pending and threatened litigation, arbitration, disputes, regulatory proceedings or investigations by authorities;</w:t>
      </w:r>
    </w:p>
    <w:p>
      <w:pPr>
        <w:spacing w:after="0" w:line="44" w:lineRule="exact"/>
        <w:rPr>
          <w:rFonts w:ascii="Times New Roman" w:cs="Times New Roman" w:eastAsia="Times New Roman" w:hAnsi="Times New Roman"/>
          <w:sz w:val="11"/>
          <w:szCs w:val="11"/>
          <w:color w:val="auto"/>
        </w:rPr>
      </w:pPr>
    </w:p>
    <w:p>
      <w:pPr>
        <w:ind w:left="160" w:right="3259" w:hanging="159"/>
        <w:spacing w:after="0" w:line="269" w:lineRule="auto"/>
        <w:tabs>
          <w:tab w:leader="none" w:pos="160" w:val="left"/>
        </w:tabs>
        <w:numPr>
          <w:ilvl w:val="0"/>
          <w:numId w:val="2"/>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restructurings, investments, capital structure optimization efforts, divestments and our ability to achieve the financial and operational targets set in connection with any such restructurings, investments, and capital structure optimization efforts including our ongoing cost savings program;</w:t>
      </w:r>
    </w:p>
    <w:p>
      <w:pPr>
        <w:spacing w:after="0" w:line="59" w:lineRule="exact"/>
        <w:rPr>
          <w:rFonts w:ascii="Times New Roman" w:cs="Times New Roman" w:eastAsia="Times New Roman" w:hAnsi="Times New Roman"/>
          <w:sz w:val="11"/>
          <w:szCs w:val="11"/>
          <w:color w:val="auto"/>
        </w:rPr>
      </w:pPr>
    </w:p>
    <w:p>
      <w:pPr>
        <w:ind w:left="160" w:right="3439" w:hanging="159"/>
        <w:spacing w:after="0" w:line="279" w:lineRule="auto"/>
        <w:tabs>
          <w:tab w:leader="none" w:pos="160" w:val="left"/>
        </w:tabs>
        <w:numPr>
          <w:ilvl w:val="0"/>
          <w:numId w:val="2"/>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future capital expenditures, temporary incremental expenditures or other R&amp;D expenditures to develop or rollout new products; and</w:t>
      </w:r>
    </w:p>
    <w:p>
      <w:pPr>
        <w:spacing w:after="0" w:line="54" w:lineRule="exact"/>
        <w:rPr>
          <w:rFonts w:ascii="Times New Roman" w:cs="Times New Roman" w:eastAsia="Times New Roman" w:hAnsi="Times New Roman"/>
          <w:sz w:val="11"/>
          <w:szCs w:val="11"/>
          <w:color w:val="auto"/>
        </w:rPr>
      </w:pPr>
    </w:p>
    <w:p>
      <w:pPr>
        <w:ind w:left="160" w:hanging="159"/>
        <w:spacing w:after="0"/>
        <w:tabs>
          <w:tab w:leader="none" w:pos="160" w:val="left"/>
        </w:tabs>
        <w:numPr>
          <w:ilvl w:val="0"/>
          <w:numId w:val="2"/>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sustainability and corporate responsibility.</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-2232025</wp:posOffset>
            </wp:positionV>
            <wp:extent cx="7216140" cy="51181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6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These statements are based on management’s best</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assumptions and beliefs in light of the information currently</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available to it and are subject to a number of risks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uncertainties, many of which are beyond our control, which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could cause actual results to differ materially from such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statements. These statements are only predictions based upon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current expectations and views of future events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developments and are subject to risks and uncertainties that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are difficult to predict because they relate to events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depend on circumstances that will occur in the future. Risks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uncertainties that could affect these statements include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but are not limited to the risk factors specified under the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section “Risk factors” of this report and in our other filings 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documents furnished with the U.S. Securities and Exchange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Commission. Other unknown or unpredictable factors 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underlying assumptions subsequently proven to be incorrect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could cause actual results to differ materially from those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the forward-looking statements. We do not undertake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any obligation to publicly update or revise forward-looking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statements, whether as a result of new information, future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events or otherwise, except to the extent legally required.</w:t>
      </w:r>
    </w:p>
    <w:p>
      <w:pPr>
        <w:sectPr>
          <w:pgSz w:w="11900" w:h="16838" w:orient="portrait"/>
          <w:cols w:equalWidth="0" w:num="2">
            <w:col w:w="2960" w:space="440"/>
            <w:col w:w="6099"/>
          </w:cols>
          <w:pgMar w:left="960" w:top="602" w:right="1440" w:bottom="1440" w:gutter="0" w:footer="0" w:header="0"/>
        </w:sectPr>
      </w:pPr>
    </w:p>
    <w:bookmarkStart w:id="7" w:name="page8"/>
    <w:bookmarkEnd w:id="7"/>
    <w:p>
      <w:pPr>
        <w:spacing w:after="0"/>
        <w:rPr>
          <w:sz w:val="20"/>
          <w:szCs w:val="20"/>
          <w:color w:val="auto"/>
        </w:rPr>
      </w:pPr>
      <w:r>
        <w:rPr>
          <w:rFonts w:ascii="Times New Roman" w:cs="Times New Roman" w:eastAsia="Times New Roman" w:hAnsi="Times New Roman"/>
          <w:sz w:val="13"/>
          <w:szCs w:val="13"/>
          <w:color w:val="005AFF"/>
        </w:rPr>
        <w:t>Introduction and use of certain terms</w:t>
      </w:r>
    </w:p>
    <w:p>
      <w:pPr>
        <w:spacing w:after="0" w:line="200" w:lineRule="exact"/>
        <w:rPr>
          <w:sz w:val="20"/>
          <w:szCs w:val="20"/>
          <w:color w:val="auto"/>
        </w:rPr>
      </w:pPr>
    </w:p>
    <w:p>
      <w:pPr>
        <w:spacing w:after="0" w:line="200" w:lineRule="exact"/>
        <w:rPr>
          <w:sz w:val="20"/>
          <w:szCs w:val="20"/>
          <w:color w:val="auto"/>
        </w:rPr>
      </w:pPr>
    </w:p>
    <w:p>
      <w:pPr>
        <w:spacing w:after="0" w:line="219" w:lineRule="exact"/>
        <w:rPr>
          <w:sz w:val="20"/>
          <w:szCs w:val="20"/>
          <w:color w:val="auto"/>
        </w:rPr>
      </w:pPr>
    </w:p>
    <w:p>
      <w:pPr>
        <w:ind w:right="120"/>
        <w:spacing w:after="0" w:line="265" w:lineRule="auto"/>
        <w:rPr>
          <w:sz w:val="20"/>
          <w:szCs w:val="20"/>
          <w:color w:val="auto"/>
        </w:rPr>
      </w:pPr>
      <w:r>
        <w:rPr>
          <w:rFonts w:ascii="Times New Roman" w:cs="Times New Roman" w:eastAsia="Times New Roman" w:hAnsi="Times New Roman"/>
          <w:sz w:val="11"/>
          <w:szCs w:val="11"/>
          <w:color w:val="auto"/>
        </w:rPr>
        <w:t>Nokia Corporation is a public limited liability company incorporated under the laws of the Republic of Finland and registered to the Finnish Trade Register since 1896. In this Annual Report on Form 20-F, any reference to “we,” “us,” “the Group,” “the company” or “Nokia” means Nokia Corporation and its consolidated subsidiaries and generally Nokia’s continuing operations, except where we separately specify that the term means Nokia Corporation or a particular subsidiary or business segment only or our discontinued operations. References to “our shares,” matters relating to our shares or matters of corporate governance refer to the shares and corporate governance of Nokia Corporation.</w:t>
      </w:r>
    </w:p>
    <w:p>
      <w:pPr>
        <w:spacing w:after="0" w:line="63" w:lineRule="exact"/>
        <w:rPr>
          <w:sz w:val="20"/>
          <w:szCs w:val="20"/>
          <w:color w:val="auto"/>
        </w:rPr>
      </w:pPr>
    </w:p>
    <w:p>
      <w:pPr>
        <w:ind w:right="40"/>
        <w:spacing w:after="0" w:line="264" w:lineRule="auto"/>
        <w:rPr>
          <w:sz w:val="20"/>
          <w:szCs w:val="20"/>
          <w:color w:val="auto"/>
        </w:rPr>
      </w:pPr>
      <w:r>
        <w:rPr>
          <w:rFonts w:ascii="Times New Roman" w:cs="Times New Roman" w:eastAsia="Times New Roman" w:hAnsi="Times New Roman"/>
          <w:sz w:val="11"/>
          <w:szCs w:val="11"/>
          <w:color w:val="auto"/>
        </w:rPr>
        <w:t>Nokia Corporation has published its consolidated financial statements in euro for periods beginning on or after 1 January 1999. In this Annual Report on Form 20-F, references to “EUR,” “euro” or “€” are to the common currency of the European Economic and Monetary Union, references to “dollars,” “US dollars,” “USD” or “$” are to the currency of the United States, and references to “Chinese yuan” or “Chinese yuan renminbi” or “CNY” are to the official currency of the People’s Republic of China.</w:t>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Additional terms are defined in the "Glossary."</w:t>
      </w:r>
    </w:p>
    <w:p>
      <w:pPr>
        <w:spacing w:after="0" w:line="96"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The information contained in, or accessible through, the websites linked throughout this Annual Report on Form 20-F is not incorporated by reference into this document and should not be considered a part of this document.</w:t>
      </w:r>
    </w:p>
    <w:p>
      <w:pPr>
        <w:spacing w:after="0" w:line="60"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Nokia Corporation furnishes Citibank, N.A., as Depositary, with its consolidated financial statements and a related audit opinion of our independent auditors annually. These financial statements are prepared on the basis of International Financial Reporting Standards (IFRS) as issued by the International Accounting Standards Board and in conformity with IFRS as adopted by the European Union. In accordance with the rules and regulations of the SEC, we do not provide a reconciliation of our consolidated financial statements to the generally accepted accounting principles in the US, or US GAAP.</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3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also furnish the Depositary with quarterly reports</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-800100</wp:posOffset>
            </wp:positionV>
            <wp:extent cx="7216140" cy="51181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containing unaudited financial information prepared on the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basis of IFRS, as well as all notices of shareholders’ meetings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other reports and communications that are made available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generally to our shareholders. The Depositary makes these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notices, reports and communications available for inspection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by record holders of American Depositary Receipts (ADRs),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evidencing American Depositary Shares (ADSs), and distributes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all record holders of ADR notices of shareholders’ meetings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received by the Depositary.</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addition to the materials delivered to holders of ADRs by</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Depositary, holders can access our consolidated financial</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statements, and other information included in our annual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reports and proxy materials, at nokia.com/financials. This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Annual Report on Form 20-F is also available at nokia.com/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financials as well as on Citibank’s website at https://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app.irdirect.net/company/49733/hotline/. Holders may also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request a hard copy of this annual report by calling the toll-free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number 1-877-NOKIA-ADR (1-877-665-4223), or by directing a</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written request to Citibank, N.A., Shareholder Services, PO Box</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43077, Providence, RI 02940-3081, United States. With each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annual distribution of our proxy materials, we offer our record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holders of ADRs the option of receiving all of these documents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electronically in the future.</w:t>
      </w:r>
    </w:p>
    <w:p>
      <w:pPr>
        <w:sectPr>
          <w:pgSz w:w="11900" w:h="16838" w:orient="portrait"/>
          <w:cols w:equalWidth="0" w:num="2">
            <w:col w:w="3020" w:space="380"/>
            <w:col w:w="6099"/>
          </w:cols>
          <w:pgMar w:left="960" w:top="602" w:right="1440" w:bottom="1440" w:gutter="0" w:footer="0" w:header="0"/>
        </w:sectPr>
      </w:pPr>
    </w:p>
    <w:bookmarkStart w:id="8" w:name="page9"/>
    <w:bookmarkEnd w:id="8"/>
    <w:tbl>
      <w:tblPr>
        <w:tblLayout w:type="fixed"/>
        <w:tblInd w:w="20" w:type="dxa"/>
        <w:tblCellMar>
          <w:top w:w="0" w:type="dxa"/>
          <w:left w:w="0" w:type="dxa"/>
          <w:bottom w:w="0" w:type="dxa"/>
          <w:right w:w="0" w:type="dxa"/>
        </w:tblCellMar>
      </w:tblPr>
      <w:tr>
        <w:trPr>
          <w:trHeight w:val="158"/>
        </w:trPr>
        <w:tc>
          <w:tcPr>
            <w:tcW w:w="5160" w:type="dxa"/>
            <w:vAlign w:val="bottom"/>
          </w:tcPr>
          <w:p>
            <w:pPr>
              <w:spacing w:after="0"/>
              <w:rPr>
                <w:sz w:val="20"/>
                <w:szCs w:val="20"/>
                <w:color w:val="auto"/>
              </w:rPr>
            </w:pPr>
            <w:r>
              <w:rPr>
                <w:rFonts w:ascii="Times New Roman" w:cs="Times New Roman" w:eastAsia="Times New Roman" w:hAnsi="Times New Roman"/>
                <w:sz w:val="9"/>
                <w:szCs w:val="9"/>
                <w:b w:val="1"/>
                <w:bCs w:val="1"/>
                <w:color w:val="FFFFFF"/>
              </w:rPr>
              <w:t>Contents</w:t>
            </w:r>
          </w:p>
        </w:tc>
        <w:tc>
          <w:tcPr>
            <w:tcW w:w="4860" w:type="dxa"/>
            <w:vAlign w:val="bottom"/>
          </w:tcPr>
          <w:p>
            <w:pPr>
              <w:jc w:val="right"/>
              <w:spacing w:after="0"/>
              <w:rPr>
                <w:sz w:val="20"/>
                <w:szCs w:val="20"/>
                <w:color w:val="auto"/>
              </w:rPr>
            </w:pPr>
            <w:r>
              <w:rPr>
                <w:rFonts w:ascii="Times New Roman" w:cs="Times New Roman" w:eastAsia="Times New Roman" w:hAnsi="Times New Roman"/>
                <w:sz w:val="12"/>
                <w:szCs w:val="12"/>
                <w:color w:val="FFFFFF"/>
              </w:rPr>
              <w:t>1</w:t>
            </w: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60" w:lineRule="exact"/>
        <w:rPr>
          <w:sz w:val="20"/>
          <w:szCs w:val="20"/>
          <w:color w:val="auto"/>
        </w:rPr>
      </w:pPr>
    </w:p>
    <w:p>
      <w:pPr>
        <w:spacing w:after="0"/>
        <w:rPr>
          <w:sz w:val="20"/>
          <w:szCs w:val="20"/>
          <w:color w:val="auto"/>
        </w:rPr>
      </w:pPr>
      <w:r>
        <w:rPr>
          <w:rFonts w:ascii="Times New Roman" w:cs="Times New Roman" w:eastAsia="Times New Roman" w:hAnsi="Times New Roman"/>
          <w:sz w:val="44"/>
          <w:szCs w:val="44"/>
          <w:color w:val="FFFFFF"/>
        </w:rPr>
        <w:t>In this report</w:t>
      </w:r>
    </w:p>
    <w:p>
      <w:pPr>
        <w:sectPr>
          <w:pgSz w:w="11900" w:h="16838" w:orient="portrait"/>
          <w:cols w:equalWidth="0" w:num="1">
            <w:col w:w="10040"/>
          </w:cols>
          <w:pgMar w:left="960" w:top="493" w:right="899" w:bottom="1440" w:gutter="0" w:footer="0" w:header="0"/>
        </w:sectPr>
      </w:pPr>
    </w:p>
    <w:p>
      <w:pPr>
        <w:spacing w:after="0" w:line="200" w:lineRule="exact"/>
        <w:rPr>
          <w:sz w:val="20"/>
          <w:szCs w:val="20"/>
          <w:color w:val="auto"/>
        </w:rPr>
      </w:pPr>
    </w:p>
    <w:p>
      <w:pPr>
        <w:spacing w:after="0" w:line="236" w:lineRule="exact"/>
        <w:rPr>
          <w:sz w:val="20"/>
          <w:szCs w:val="20"/>
          <w:color w:val="auto"/>
        </w:rPr>
      </w:pPr>
    </w:p>
    <w:tbl>
      <w:tblPr>
        <w:tblLayout w:type="fixed"/>
        <w:tblInd w:w="40" w:type="dxa"/>
        <w:tblCellMar>
          <w:top w:w="0" w:type="dxa"/>
          <w:left w:w="0" w:type="dxa"/>
          <w:bottom w:w="0" w:type="dxa"/>
          <w:right w:w="0" w:type="dxa"/>
        </w:tblCellMar>
      </w:tblPr>
      <w:tr>
        <w:trPr>
          <w:trHeight w:val="248"/>
        </w:trPr>
        <w:tc>
          <w:tcPr>
            <w:tcW w:w="2120" w:type="dxa"/>
            <w:vAlign w:val="bottom"/>
          </w:tcPr>
          <w:p>
            <w:pPr>
              <w:spacing w:after="0"/>
              <w:rPr>
                <w:sz w:val="20"/>
                <w:szCs w:val="20"/>
                <w:color w:val="auto"/>
              </w:rPr>
            </w:pPr>
            <w:r>
              <w:rPr>
                <w:rFonts w:ascii="Times New Roman" w:cs="Times New Roman" w:eastAsia="Times New Roman" w:hAnsi="Times New Roman"/>
                <w:sz w:val="19"/>
                <w:szCs w:val="19"/>
                <w:b w:val="1"/>
                <w:bCs w:val="1"/>
                <w:color w:val="FFFFFF"/>
              </w:rPr>
              <w:t>Business overview</w:t>
            </w:r>
          </w:p>
        </w:tc>
        <w:tc>
          <w:tcPr>
            <w:tcW w:w="660" w:type="dxa"/>
            <w:vAlign w:val="bottom"/>
          </w:tcPr>
          <w:p>
            <w:pPr>
              <w:jc w:val="right"/>
              <w:spacing w:after="0"/>
              <w:rPr>
                <w:sz w:val="20"/>
                <w:szCs w:val="20"/>
                <w:color w:val="auto"/>
              </w:rPr>
            </w:pPr>
            <w:r>
              <w:rPr>
                <w:rFonts w:ascii="Times New Roman" w:cs="Times New Roman" w:eastAsia="Times New Roman" w:hAnsi="Times New Roman"/>
                <w:sz w:val="19"/>
                <w:szCs w:val="19"/>
                <w:b w:val="1"/>
                <w:bCs w:val="1"/>
                <w:color w:val="FFFFFF"/>
              </w:rPr>
              <w:t>2</w:t>
            </w:r>
          </w:p>
        </w:tc>
      </w:tr>
      <w:tr>
        <w:trPr>
          <w:trHeight w:val="124"/>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Nokia in 2023</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Letter from our President and CEO</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9</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Our customers</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Our strategy</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15</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Our history</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Business groups</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23</w:t>
            </w:r>
          </w:p>
        </w:tc>
      </w:tr>
      <w:tr>
        <w:trPr>
          <w:trHeight w:val="131"/>
        </w:trPr>
        <w:tc>
          <w:tcPr>
            <w:tcW w:w="212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Network Infrastructure</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23</w:t>
            </w:r>
          </w:p>
        </w:tc>
      </w:tr>
      <w:tr>
        <w:trPr>
          <w:trHeight w:val="131"/>
        </w:trPr>
        <w:tc>
          <w:tcPr>
            <w:tcW w:w="212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Mobile Networks</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25</w:t>
            </w:r>
          </w:p>
        </w:tc>
      </w:tr>
      <w:tr>
        <w:trPr>
          <w:trHeight w:val="131"/>
        </w:trPr>
        <w:tc>
          <w:tcPr>
            <w:tcW w:w="212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Cloud and Network Services</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27</w:t>
            </w:r>
          </w:p>
        </w:tc>
      </w:tr>
      <w:tr>
        <w:trPr>
          <w:trHeight w:val="131"/>
        </w:trPr>
        <w:tc>
          <w:tcPr>
            <w:tcW w:w="212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Nokia Technologies</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29</w:t>
            </w:r>
          </w:p>
        </w:tc>
      </w:tr>
      <w:tr>
        <w:trPr>
          <w:trHeight w:val="131"/>
        </w:trPr>
        <w:tc>
          <w:tcPr>
            <w:tcW w:w="2120" w:type="dxa"/>
            <w:vAlign w:val="bottom"/>
          </w:tcPr>
          <w:p>
            <w:pPr>
              <w:spacing w:after="0"/>
              <w:rPr>
                <w:sz w:val="20"/>
                <w:szCs w:val="20"/>
                <w:color w:val="auto"/>
              </w:rPr>
            </w:pPr>
            <w:r>
              <w:rPr>
                <w:rFonts w:ascii="Times New Roman" w:cs="Times New Roman" w:eastAsia="Times New Roman" w:hAnsi="Times New Roman"/>
                <w:sz w:val="9"/>
                <w:szCs w:val="9"/>
                <w:color w:val="FFFFFF"/>
              </w:rPr>
              <w:t>Supply chain, sourcing and manufacturing</w:t>
            </w:r>
          </w:p>
        </w:tc>
        <w:tc>
          <w:tcPr>
            <w:tcW w:w="66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31</w:t>
            </w:r>
          </w:p>
        </w:tc>
      </w:tr>
    </w:tbl>
    <w:p>
      <w:pPr>
        <w:spacing w:after="0" w:line="275" w:lineRule="exact"/>
        <w:rPr>
          <w:sz w:val="20"/>
          <w:szCs w:val="20"/>
          <w:color w:val="auto"/>
        </w:rPr>
      </w:pPr>
    </w:p>
    <w:tbl>
      <w:tblPr>
        <w:tblLayout w:type="fixed"/>
        <w:tblInd w:w="40" w:type="dxa"/>
        <w:tblCellMar>
          <w:top w:w="0" w:type="dxa"/>
          <w:left w:w="0" w:type="dxa"/>
          <w:bottom w:w="0" w:type="dxa"/>
          <w:right w:w="0" w:type="dxa"/>
        </w:tblCellMar>
      </w:tblPr>
      <w:tr>
        <w:trPr>
          <w:trHeight w:val="248"/>
        </w:trPr>
        <w:tc>
          <w:tcPr>
            <w:tcW w:w="2200" w:type="dxa"/>
            <w:vAlign w:val="bottom"/>
          </w:tcPr>
          <w:p>
            <w:pPr>
              <w:spacing w:after="0"/>
              <w:rPr>
                <w:sz w:val="20"/>
                <w:szCs w:val="20"/>
                <w:color w:val="auto"/>
              </w:rPr>
            </w:pPr>
            <w:r>
              <w:rPr>
                <w:rFonts w:ascii="Times New Roman" w:cs="Times New Roman" w:eastAsia="Times New Roman" w:hAnsi="Times New Roman"/>
                <w:sz w:val="19"/>
                <w:szCs w:val="19"/>
                <w:b w:val="1"/>
                <w:bCs w:val="1"/>
                <w:color w:val="FFFFFF"/>
              </w:rPr>
              <w:t>Corporate governance</w:t>
            </w:r>
          </w:p>
        </w:tc>
        <w:tc>
          <w:tcPr>
            <w:tcW w:w="580" w:type="dxa"/>
            <w:vAlign w:val="bottom"/>
          </w:tcPr>
          <w:p>
            <w:pPr>
              <w:jc w:val="right"/>
              <w:spacing w:after="0"/>
              <w:rPr>
                <w:sz w:val="20"/>
                <w:szCs w:val="20"/>
                <w:color w:val="auto"/>
              </w:rPr>
            </w:pPr>
            <w:r>
              <w:rPr>
                <w:rFonts w:ascii="Times New Roman" w:cs="Times New Roman" w:eastAsia="Times New Roman" w:hAnsi="Times New Roman"/>
                <w:sz w:val="19"/>
                <w:szCs w:val="19"/>
                <w:b w:val="1"/>
                <w:bCs w:val="1"/>
                <w:color w:val="FFFFFF"/>
              </w:rPr>
              <w:t>33</w:t>
            </w:r>
          </w:p>
        </w:tc>
      </w:tr>
      <w:tr>
        <w:trPr>
          <w:trHeight w:val="124"/>
        </w:trPr>
        <w:tc>
          <w:tcPr>
            <w:tcW w:w="2200" w:type="dxa"/>
            <w:vAlign w:val="bottom"/>
          </w:tcPr>
          <w:p>
            <w:pPr>
              <w:spacing w:after="0"/>
              <w:rPr>
                <w:sz w:val="20"/>
                <w:szCs w:val="20"/>
                <w:color w:val="auto"/>
              </w:rPr>
            </w:pPr>
            <w:r>
              <w:rPr>
                <w:rFonts w:ascii="Times New Roman" w:cs="Times New Roman" w:eastAsia="Times New Roman" w:hAnsi="Times New Roman"/>
                <w:sz w:val="9"/>
                <w:szCs w:val="9"/>
                <w:color w:val="FFFFFF"/>
              </w:rPr>
              <w:t>Corporate governance statement</w:t>
            </w:r>
          </w:p>
        </w:tc>
        <w:tc>
          <w:tcPr>
            <w:tcW w:w="5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34</w:t>
            </w:r>
          </w:p>
        </w:tc>
      </w:tr>
      <w:tr>
        <w:trPr>
          <w:trHeight w:val="131"/>
        </w:trPr>
        <w:tc>
          <w:tcPr>
            <w:tcW w:w="2200" w:type="dxa"/>
            <w:vAlign w:val="bottom"/>
          </w:tcPr>
          <w:p>
            <w:pPr>
              <w:spacing w:after="0"/>
              <w:rPr>
                <w:sz w:val="20"/>
                <w:szCs w:val="20"/>
                <w:color w:val="auto"/>
              </w:rPr>
            </w:pPr>
            <w:r>
              <w:rPr>
                <w:rFonts w:ascii="Times New Roman" w:cs="Times New Roman" w:eastAsia="Times New Roman" w:hAnsi="Times New Roman"/>
                <w:sz w:val="9"/>
                <w:szCs w:val="9"/>
                <w:color w:val="FFFFFF"/>
              </w:rPr>
              <w:t>Remuneration</w:t>
            </w:r>
          </w:p>
        </w:tc>
        <w:tc>
          <w:tcPr>
            <w:tcW w:w="5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56</w:t>
            </w: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16"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248"/>
        </w:trPr>
        <w:tc>
          <w:tcPr>
            <w:tcW w:w="2180" w:type="dxa"/>
            <w:vAlign w:val="bottom"/>
          </w:tcPr>
          <w:p>
            <w:pPr>
              <w:spacing w:after="0"/>
              <w:rPr>
                <w:sz w:val="20"/>
                <w:szCs w:val="20"/>
                <w:color w:val="auto"/>
              </w:rPr>
            </w:pPr>
            <w:r>
              <w:rPr>
                <w:rFonts w:ascii="Times New Roman" w:cs="Times New Roman" w:eastAsia="Times New Roman" w:hAnsi="Times New Roman"/>
                <w:sz w:val="19"/>
                <w:szCs w:val="19"/>
                <w:b w:val="1"/>
                <w:bCs w:val="1"/>
                <w:color w:val="FFFFFF"/>
              </w:rPr>
              <w:t>General facts on Nokia</w:t>
            </w:r>
          </w:p>
        </w:tc>
        <w:tc>
          <w:tcPr>
            <w:tcW w:w="600" w:type="dxa"/>
            <w:vAlign w:val="bottom"/>
          </w:tcPr>
          <w:p>
            <w:pPr>
              <w:jc w:val="right"/>
              <w:spacing w:after="0"/>
              <w:rPr>
                <w:sz w:val="20"/>
                <w:szCs w:val="20"/>
                <w:color w:val="auto"/>
              </w:rPr>
            </w:pPr>
            <w:r>
              <w:rPr>
                <w:rFonts w:ascii="Times New Roman" w:cs="Times New Roman" w:eastAsia="Times New Roman" w:hAnsi="Times New Roman"/>
                <w:sz w:val="19"/>
                <w:szCs w:val="19"/>
                <w:b w:val="1"/>
                <w:bCs w:val="1"/>
                <w:color w:val="FFFFFF"/>
              </w:rPr>
              <w:t>131</w:t>
            </w:r>
          </w:p>
        </w:tc>
      </w:tr>
      <w:tr>
        <w:trPr>
          <w:trHeight w:val="124"/>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American Depositary Shares</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132</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Controls and procedures</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132</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Government regulation</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133</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Sales in United States-sanctioned countries</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133</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Taxation</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134</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Key ratios</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137</w:t>
            </w:r>
          </w:p>
        </w:tc>
      </w:tr>
      <w:tr>
        <w:trPr>
          <w:trHeight w:val="131"/>
        </w:trPr>
        <w:tc>
          <w:tcPr>
            <w:tcW w:w="2180" w:type="dxa"/>
            <w:vAlign w:val="bottom"/>
          </w:tcPr>
          <w:p>
            <w:pPr>
              <w:spacing w:after="0"/>
              <w:rPr>
                <w:sz w:val="20"/>
                <w:szCs w:val="20"/>
                <w:color w:val="auto"/>
              </w:rPr>
            </w:pPr>
            <w:r>
              <w:rPr>
                <w:rFonts w:ascii="Times New Roman" w:cs="Times New Roman" w:eastAsia="Times New Roman" w:hAnsi="Times New Roman"/>
                <w:sz w:val="9"/>
                <w:szCs w:val="9"/>
                <w:color w:val="FFFFFF"/>
              </w:rPr>
              <w:t>Alternative performance measures</w:t>
            </w:r>
          </w:p>
        </w:tc>
        <w:tc>
          <w:tcPr>
            <w:tcW w:w="6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138</w:t>
            </w:r>
          </w:p>
        </w:tc>
      </w:tr>
    </w:tbl>
    <w:p>
      <w:pPr>
        <w:spacing w:after="0" w:line="275" w:lineRule="exact"/>
        <w:rPr>
          <w:sz w:val="20"/>
          <w:szCs w:val="20"/>
          <w:color w:val="auto"/>
        </w:rPr>
      </w:pPr>
    </w:p>
    <w:tbl>
      <w:tblPr>
        <w:tblLayout w:type="fixed"/>
        <w:tblInd w:w="0" w:type="dxa"/>
        <w:tblCellMar>
          <w:top w:w="0" w:type="dxa"/>
          <w:left w:w="0" w:type="dxa"/>
          <w:bottom w:w="0" w:type="dxa"/>
          <w:right w:w="0" w:type="dxa"/>
        </w:tblCellMar>
      </w:tblPr>
      <w:tr>
        <w:trPr>
          <w:trHeight w:val="248"/>
        </w:trPr>
        <w:tc>
          <w:tcPr>
            <w:tcW w:w="2300" w:type="dxa"/>
            <w:vAlign w:val="bottom"/>
          </w:tcPr>
          <w:p>
            <w:pPr>
              <w:spacing w:after="0"/>
              <w:rPr>
                <w:sz w:val="20"/>
                <w:szCs w:val="20"/>
                <w:color w:val="auto"/>
              </w:rPr>
            </w:pPr>
            <w:r>
              <w:rPr>
                <w:rFonts w:ascii="Times New Roman" w:cs="Times New Roman" w:eastAsia="Times New Roman" w:hAnsi="Times New Roman"/>
                <w:sz w:val="19"/>
                <w:szCs w:val="19"/>
                <w:b w:val="1"/>
                <w:bCs w:val="1"/>
                <w:color w:val="FFFFFF"/>
              </w:rPr>
              <w:t>Financial statements</w:t>
            </w:r>
          </w:p>
        </w:tc>
        <w:tc>
          <w:tcPr>
            <w:tcW w:w="480" w:type="dxa"/>
            <w:vAlign w:val="bottom"/>
          </w:tcPr>
          <w:p>
            <w:pPr>
              <w:jc w:val="right"/>
              <w:spacing w:after="0"/>
              <w:rPr>
                <w:sz w:val="20"/>
                <w:szCs w:val="20"/>
                <w:color w:val="auto"/>
              </w:rPr>
            </w:pPr>
            <w:r>
              <w:rPr>
                <w:rFonts w:ascii="Times New Roman" w:cs="Times New Roman" w:eastAsia="Times New Roman" w:hAnsi="Times New Roman"/>
                <w:sz w:val="19"/>
                <w:szCs w:val="19"/>
                <w:b w:val="1"/>
                <w:bCs w:val="1"/>
                <w:color w:val="FFFFFF"/>
              </w:rPr>
              <w:t>141</w:t>
            </w:r>
          </w:p>
        </w:tc>
      </w:tr>
      <w:tr>
        <w:trPr>
          <w:trHeight w:val="124"/>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Consolidated financial statements</w:t>
            </w:r>
          </w:p>
        </w:tc>
        <w:tc>
          <w:tcPr>
            <w:tcW w:w="4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142</w:t>
            </w:r>
          </w:p>
        </w:tc>
      </w:tr>
      <w:tr>
        <w:trPr>
          <w:trHeight w:val="13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Notes to the consolidated financial statements</w:t>
            </w:r>
          </w:p>
        </w:tc>
        <w:tc>
          <w:tcPr>
            <w:tcW w:w="4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147</w:t>
            </w:r>
          </w:p>
        </w:tc>
      </w:tr>
      <w:tr>
        <w:trPr>
          <w:trHeight w:val="293"/>
        </w:trPr>
        <w:tc>
          <w:tcPr>
            <w:tcW w:w="2300" w:type="dxa"/>
            <w:vAlign w:val="bottom"/>
          </w:tcPr>
          <w:p>
            <w:pPr>
              <w:spacing w:after="0"/>
              <w:rPr>
                <w:sz w:val="20"/>
                <w:szCs w:val="20"/>
                <w:color w:val="auto"/>
              </w:rPr>
            </w:pPr>
            <w:r>
              <w:rPr>
                <w:rFonts w:ascii="Times New Roman" w:cs="Times New Roman" w:eastAsia="Times New Roman" w:hAnsi="Times New Roman"/>
                <w:sz w:val="12"/>
                <w:szCs w:val="12"/>
                <w:b w:val="1"/>
                <w:bCs w:val="1"/>
                <w:color w:val="FFFFFF"/>
              </w:rPr>
              <w:t>Reports of independent registered public</w:t>
            </w:r>
          </w:p>
        </w:tc>
        <w:tc>
          <w:tcPr>
            <w:tcW w:w="480" w:type="dxa"/>
            <w:vAlign w:val="bottom"/>
          </w:tcPr>
          <w:p>
            <w:pPr>
              <w:spacing w:after="0"/>
              <w:rPr>
                <w:sz w:val="24"/>
                <w:szCs w:val="24"/>
                <w:color w:val="auto"/>
              </w:rPr>
            </w:pPr>
          </w:p>
        </w:tc>
      </w:tr>
      <w:tr>
        <w:trPr>
          <w:trHeight w:val="160"/>
        </w:trPr>
        <w:tc>
          <w:tcPr>
            <w:tcW w:w="2300" w:type="dxa"/>
            <w:vAlign w:val="bottom"/>
          </w:tcPr>
          <w:p>
            <w:pPr>
              <w:spacing w:after="0"/>
              <w:rPr>
                <w:sz w:val="20"/>
                <w:szCs w:val="20"/>
                <w:color w:val="auto"/>
              </w:rPr>
            </w:pPr>
            <w:r>
              <w:rPr>
                <w:rFonts w:ascii="Times New Roman" w:cs="Times New Roman" w:eastAsia="Times New Roman" w:hAnsi="Times New Roman"/>
                <w:sz w:val="12"/>
                <w:szCs w:val="12"/>
                <w:b w:val="1"/>
                <w:bCs w:val="1"/>
                <w:color w:val="FFFFFF"/>
              </w:rPr>
              <w:t>accounting firm</w:t>
            </w:r>
          </w:p>
        </w:tc>
        <w:tc>
          <w:tcPr>
            <w:tcW w:w="480" w:type="dxa"/>
            <w:vAlign w:val="bottom"/>
          </w:tcPr>
          <w:p>
            <w:pPr>
              <w:jc w:val="right"/>
              <w:spacing w:after="0"/>
              <w:rPr>
                <w:sz w:val="20"/>
                <w:szCs w:val="20"/>
                <w:color w:val="auto"/>
              </w:rPr>
            </w:pPr>
            <w:r>
              <w:rPr>
                <w:rFonts w:ascii="Times New Roman" w:cs="Times New Roman" w:eastAsia="Times New Roman" w:hAnsi="Times New Roman"/>
                <w:sz w:val="12"/>
                <w:szCs w:val="12"/>
                <w:b w:val="1"/>
                <w:bCs w:val="1"/>
                <w:color w:val="FFFFFF"/>
              </w:rPr>
              <w:t>204</w:t>
            </w:r>
          </w:p>
        </w:tc>
      </w:tr>
    </w:tbl>
    <w:p>
      <w:pPr>
        <w:spacing w:after="0" w:line="272" w:lineRule="exact"/>
        <w:rPr>
          <w:sz w:val="20"/>
          <w:szCs w:val="20"/>
          <w:color w:val="auto"/>
        </w:rPr>
      </w:pPr>
    </w:p>
    <w:p>
      <w:pPr>
        <w:sectPr>
          <w:pgSz w:w="11900" w:h="16838" w:orient="portrait"/>
          <w:cols w:equalWidth="0" w:num="2">
            <w:col w:w="2820" w:space="260"/>
            <w:col w:w="6960"/>
          </w:cols>
          <w:pgMar w:left="960" w:top="493" w:right="899" w:bottom="1440" w:gutter="0" w:footer="0" w:header="0"/>
          <w:type w:val="continuous"/>
        </w:sectPr>
      </w:pPr>
    </w:p>
    <w:p>
      <w:pPr>
        <w:spacing w:after="0" w:line="5" w:lineRule="exact"/>
        <w:rPr>
          <w:sz w:val="20"/>
          <w:szCs w:val="20"/>
          <w:color w:val="auto"/>
        </w:rPr>
      </w:pPr>
    </w:p>
    <w:tbl>
      <w:tblPr>
        <w:tblLayout w:type="fixed"/>
        <w:tblInd w:w="40" w:type="dxa"/>
        <w:tblCellMar>
          <w:top w:w="0" w:type="dxa"/>
          <w:left w:w="0" w:type="dxa"/>
          <w:bottom w:w="0" w:type="dxa"/>
          <w:right w:w="0" w:type="dxa"/>
        </w:tblCellMar>
      </w:tblPr>
      <w:tr>
        <w:trPr>
          <w:trHeight w:val="253"/>
        </w:trPr>
        <w:tc>
          <w:tcPr>
            <w:tcW w:w="2260" w:type="dxa"/>
            <w:vAlign w:val="bottom"/>
          </w:tcPr>
          <w:p>
            <w:pPr>
              <w:spacing w:after="0"/>
              <w:rPr>
                <w:sz w:val="20"/>
                <w:szCs w:val="20"/>
                <w:color w:val="auto"/>
              </w:rPr>
            </w:pPr>
            <w:r>
              <w:rPr>
                <w:rFonts w:ascii="Times New Roman" w:cs="Times New Roman" w:eastAsia="Times New Roman" w:hAnsi="Times New Roman"/>
                <w:sz w:val="19"/>
                <w:szCs w:val="19"/>
                <w:b w:val="1"/>
                <w:bCs w:val="1"/>
                <w:color w:val="FFFFFF"/>
              </w:rPr>
              <w:t>Operating and financial</w:t>
            </w:r>
          </w:p>
        </w:tc>
        <w:tc>
          <w:tcPr>
            <w:tcW w:w="640" w:type="dxa"/>
            <w:vAlign w:val="bottom"/>
          </w:tcPr>
          <w:p>
            <w:pPr>
              <w:spacing w:after="0"/>
              <w:rPr>
                <w:sz w:val="21"/>
                <w:szCs w:val="21"/>
                <w:color w:val="auto"/>
              </w:rPr>
            </w:pPr>
          </w:p>
        </w:tc>
        <w:tc>
          <w:tcPr>
            <w:tcW w:w="2120" w:type="dxa"/>
            <w:vAlign w:val="bottom"/>
          </w:tcPr>
          <w:p>
            <w:pPr>
              <w:ind w:left="140"/>
              <w:spacing w:after="0"/>
              <w:rPr>
                <w:sz w:val="20"/>
                <w:szCs w:val="20"/>
                <w:color w:val="auto"/>
              </w:rPr>
            </w:pPr>
            <w:r>
              <w:rPr>
                <w:rFonts w:ascii="Times New Roman" w:cs="Times New Roman" w:eastAsia="Times New Roman" w:hAnsi="Times New Roman"/>
                <w:sz w:val="19"/>
                <w:szCs w:val="19"/>
                <w:b w:val="1"/>
                <w:bCs w:val="1"/>
                <w:color w:val="FFFFFF"/>
              </w:rPr>
              <w:t>Other information</w:t>
            </w:r>
          </w:p>
        </w:tc>
        <w:tc>
          <w:tcPr>
            <w:tcW w:w="780" w:type="dxa"/>
            <w:vAlign w:val="bottom"/>
          </w:tcPr>
          <w:p>
            <w:pPr>
              <w:jc w:val="right"/>
              <w:spacing w:after="0"/>
              <w:rPr>
                <w:sz w:val="20"/>
                <w:szCs w:val="20"/>
                <w:color w:val="auto"/>
              </w:rPr>
            </w:pPr>
            <w:r>
              <w:rPr>
                <w:rFonts w:ascii="Times New Roman" w:cs="Times New Roman" w:eastAsia="Times New Roman" w:hAnsi="Times New Roman"/>
                <w:sz w:val="19"/>
                <w:szCs w:val="19"/>
                <w:b w:val="1"/>
                <w:bCs w:val="1"/>
                <w:color w:val="FFFFFF"/>
              </w:rPr>
              <w:t>207</w:t>
            </w:r>
          </w:p>
        </w:tc>
        <w:tc>
          <w:tcPr>
            <w:tcW w:w="0" w:type="dxa"/>
            <w:vAlign w:val="bottom"/>
          </w:tcPr>
          <w:p>
            <w:pPr>
              <w:spacing w:after="0"/>
              <w:rPr>
                <w:sz w:val="1"/>
                <w:szCs w:val="1"/>
                <w:color w:val="auto"/>
              </w:rPr>
            </w:pPr>
          </w:p>
        </w:tc>
      </w:tr>
      <w:tr>
        <w:trPr>
          <w:trHeight w:val="122"/>
        </w:trPr>
        <w:tc>
          <w:tcPr>
            <w:tcW w:w="2260" w:type="dxa"/>
            <w:vAlign w:val="bottom"/>
            <w:vMerge w:val="restart"/>
          </w:tcPr>
          <w:p>
            <w:pPr>
              <w:spacing w:after="0"/>
              <w:rPr>
                <w:sz w:val="20"/>
                <w:szCs w:val="20"/>
                <w:color w:val="auto"/>
              </w:rPr>
            </w:pPr>
            <w:r>
              <w:rPr>
                <w:rFonts w:ascii="Times New Roman" w:cs="Times New Roman" w:eastAsia="Times New Roman" w:hAnsi="Times New Roman"/>
                <w:sz w:val="19"/>
                <w:szCs w:val="19"/>
                <w:b w:val="1"/>
                <w:bCs w:val="1"/>
                <w:color w:val="FFFFFF"/>
              </w:rPr>
              <w:t>review and prospects</w:t>
            </w:r>
          </w:p>
        </w:tc>
        <w:tc>
          <w:tcPr>
            <w:tcW w:w="640" w:type="dxa"/>
            <w:vAlign w:val="bottom"/>
            <w:vMerge w:val="restart"/>
          </w:tcPr>
          <w:p>
            <w:pPr>
              <w:ind w:left="340"/>
              <w:spacing w:after="0"/>
              <w:rPr>
                <w:sz w:val="20"/>
                <w:szCs w:val="20"/>
                <w:color w:val="auto"/>
              </w:rPr>
            </w:pPr>
            <w:r>
              <w:rPr>
                <w:rFonts w:ascii="Times New Roman" w:cs="Times New Roman" w:eastAsia="Times New Roman" w:hAnsi="Times New Roman"/>
                <w:sz w:val="19"/>
                <w:szCs w:val="19"/>
                <w:b w:val="1"/>
                <w:bCs w:val="1"/>
                <w:color w:val="FFFFFF"/>
              </w:rPr>
              <w:t>72</w:t>
            </w:r>
          </w:p>
        </w:tc>
        <w:tc>
          <w:tcPr>
            <w:tcW w:w="2120" w:type="dxa"/>
            <w:vAlign w:val="bottom"/>
          </w:tcPr>
          <w:p>
            <w:pPr>
              <w:ind w:left="140"/>
              <w:spacing w:after="0"/>
              <w:rPr>
                <w:sz w:val="20"/>
                <w:szCs w:val="20"/>
                <w:color w:val="auto"/>
              </w:rPr>
            </w:pPr>
            <w:r>
              <w:rPr>
                <w:rFonts w:ascii="Times New Roman" w:cs="Times New Roman" w:eastAsia="Times New Roman" w:hAnsi="Times New Roman"/>
                <w:sz w:val="9"/>
                <w:szCs w:val="9"/>
                <w:color w:val="FFFFFF"/>
              </w:rPr>
              <w:t>Exhibits</w:t>
            </w:r>
          </w:p>
        </w:tc>
        <w:tc>
          <w:tcPr>
            <w:tcW w:w="7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208</w:t>
            </w:r>
          </w:p>
        </w:tc>
        <w:tc>
          <w:tcPr>
            <w:tcW w:w="0" w:type="dxa"/>
            <w:vAlign w:val="bottom"/>
          </w:tcPr>
          <w:p>
            <w:pPr>
              <w:spacing w:after="0"/>
              <w:rPr>
                <w:sz w:val="1"/>
                <w:szCs w:val="1"/>
                <w:color w:val="auto"/>
              </w:rPr>
            </w:pPr>
          </w:p>
        </w:tc>
      </w:tr>
      <w:tr>
        <w:trPr>
          <w:trHeight w:val="138"/>
        </w:trPr>
        <w:tc>
          <w:tcPr>
            <w:tcW w:w="2260" w:type="dxa"/>
            <w:vAlign w:val="bottom"/>
            <w:vMerge w:val="continue"/>
          </w:tcPr>
          <w:p>
            <w:pPr>
              <w:spacing w:after="0"/>
              <w:rPr>
                <w:sz w:val="11"/>
                <w:szCs w:val="11"/>
                <w:color w:val="auto"/>
              </w:rPr>
            </w:pPr>
          </w:p>
        </w:tc>
        <w:tc>
          <w:tcPr>
            <w:tcW w:w="640" w:type="dxa"/>
            <w:vAlign w:val="bottom"/>
            <w:vMerge w:val="continue"/>
          </w:tcPr>
          <w:p>
            <w:pPr>
              <w:spacing w:after="0"/>
              <w:rPr>
                <w:sz w:val="11"/>
                <w:szCs w:val="11"/>
                <w:color w:val="auto"/>
              </w:rPr>
            </w:pPr>
          </w:p>
        </w:tc>
        <w:tc>
          <w:tcPr>
            <w:tcW w:w="2120" w:type="dxa"/>
            <w:vAlign w:val="bottom"/>
          </w:tcPr>
          <w:p>
            <w:pPr>
              <w:ind w:left="140"/>
              <w:spacing w:after="0"/>
              <w:rPr>
                <w:sz w:val="20"/>
                <w:szCs w:val="20"/>
                <w:color w:val="auto"/>
              </w:rPr>
            </w:pPr>
            <w:r>
              <w:rPr>
                <w:rFonts w:ascii="Times New Roman" w:cs="Times New Roman" w:eastAsia="Times New Roman" w:hAnsi="Times New Roman"/>
                <w:sz w:val="9"/>
                <w:szCs w:val="9"/>
                <w:color w:val="FFFFFF"/>
              </w:rPr>
              <w:t>Glossary</w:t>
            </w:r>
          </w:p>
        </w:tc>
        <w:tc>
          <w:tcPr>
            <w:tcW w:w="7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209</w:t>
            </w: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Selected financial data</w:t>
            </w:r>
          </w:p>
        </w:tc>
        <w:tc>
          <w:tcPr>
            <w:tcW w:w="640" w:type="dxa"/>
            <w:vAlign w:val="bottom"/>
          </w:tcPr>
          <w:p>
            <w:pPr>
              <w:ind w:left="420"/>
              <w:spacing w:after="0"/>
              <w:rPr>
                <w:sz w:val="20"/>
                <w:szCs w:val="20"/>
                <w:color w:val="auto"/>
              </w:rPr>
            </w:pPr>
            <w:r>
              <w:rPr>
                <w:rFonts w:ascii="Times New Roman" w:cs="Times New Roman" w:eastAsia="Times New Roman" w:hAnsi="Times New Roman"/>
                <w:sz w:val="9"/>
                <w:szCs w:val="9"/>
                <w:color w:val="FFFFFF"/>
              </w:rPr>
              <w:t>73</w:t>
            </w:r>
          </w:p>
        </w:tc>
        <w:tc>
          <w:tcPr>
            <w:tcW w:w="2120" w:type="dxa"/>
            <w:vAlign w:val="bottom"/>
          </w:tcPr>
          <w:p>
            <w:pPr>
              <w:ind w:left="140"/>
              <w:spacing w:after="0"/>
              <w:rPr>
                <w:sz w:val="20"/>
                <w:szCs w:val="20"/>
                <w:color w:val="auto"/>
              </w:rPr>
            </w:pPr>
            <w:r>
              <w:rPr>
                <w:rFonts w:ascii="Times New Roman" w:cs="Times New Roman" w:eastAsia="Times New Roman" w:hAnsi="Times New Roman"/>
                <w:sz w:val="9"/>
                <w:szCs w:val="9"/>
                <w:color w:val="FFFFFF"/>
              </w:rPr>
              <w:t>Investor information</w:t>
            </w:r>
          </w:p>
        </w:tc>
        <w:tc>
          <w:tcPr>
            <w:tcW w:w="7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212</w:t>
            </w:r>
          </w:p>
        </w:tc>
        <w:tc>
          <w:tcPr>
            <w:tcW w:w="0" w:type="dxa"/>
            <w:vAlign w:val="bottom"/>
          </w:tcPr>
          <w:p>
            <w:pPr>
              <w:spacing w:after="0"/>
              <w:rPr>
                <w:sz w:val="1"/>
                <w:szCs w:val="1"/>
                <w:color w:val="auto"/>
              </w:rPr>
            </w:pPr>
          </w:p>
        </w:tc>
      </w:tr>
      <w:tr>
        <w:trPr>
          <w:trHeight w:val="152"/>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Operating and financial review</w:t>
            </w:r>
          </w:p>
        </w:tc>
        <w:tc>
          <w:tcPr>
            <w:tcW w:w="640" w:type="dxa"/>
            <w:vAlign w:val="bottom"/>
          </w:tcPr>
          <w:p>
            <w:pPr>
              <w:ind w:left="420"/>
              <w:spacing w:after="0"/>
              <w:rPr>
                <w:sz w:val="20"/>
                <w:szCs w:val="20"/>
                <w:color w:val="auto"/>
              </w:rPr>
            </w:pPr>
            <w:r>
              <w:rPr>
                <w:rFonts w:ascii="Times New Roman" w:cs="Times New Roman" w:eastAsia="Times New Roman" w:hAnsi="Times New Roman"/>
                <w:sz w:val="9"/>
                <w:szCs w:val="9"/>
                <w:color w:val="FFFFFF"/>
              </w:rPr>
              <w:t>74</w:t>
            </w:r>
          </w:p>
        </w:tc>
        <w:tc>
          <w:tcPr>
            <w:tcW w:w="2120" w:type="dxa"/>
            <w:vAlign w:val="bottom"/>
          </w:tcPr>
          <w:p>
            <w:pPr>
              <w:ind w:left="140"/>
              <w:spacing w:after="0"/>
              <w:rPr>
                <w:sz w:val="20"/>
                <w:szCs w:val="20"/>
                <w:color w:val="auto"/>
              </w:rPr>
            </w:pPr>
            <w:r>
              <w:rPr>
                <w:rFonts w:ascii="Times New Roman" w:cs="Times New Roman" w:eastAsia="Times New Roman" w:hAnsi="Times New Roman"/>
                <w:sz w:val="9"/>
                <w:szCs w:val="9"/>
                <w:color w:val="FFFFFF"/>
              </w:rPr>
              <w:t>Signatures</w:t>
            </w:r>
          </w:p>
        </w:tc>
        <w:tc>
          <w:tcPr>
            <w:tcW w:w="78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213</w:t>
            </w: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Sustainability and corporate responsibility</w:t>
            </w:r>
          </w:p>
        </w:tc>
        <w:tc>
          <w:tcPr>
            <w:tcW w:w="640" w:type="dxa"/>
            <w:vAlign w:val="bottom"/>
          </w:tcPr>
          <w:p>
            <w:pPr>
              <w:ind w:left="420"/>
              <w:spacing w:after="0"/>
              <w:rPr>
                <w:sz w:val="20"/>
                <w:szCs w:val="20"/>
                <w:color w:val="auto"/>
              </w:rPr>
            </w:pPr>
            <w:r>
              <w:rPr>
                <w:rFonts w:ascii="Times New Roman" w:cs="Times New Roman" w:eastAsia="Times New Roman" w:hAnsi="Times New Roman"/>
                <w:sz w:val="9"/>
                <w:szCs w:val="9"/>
                <w:color w:val="FFFFFF"/>
              </w:rPr>
              <w:t>85</w:t>
            </w:r>
          </w:p>
        </w:tc>
        <w:tc>
          <w:tcPr>
            <w:tcW w:w="21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Shares and shareholders</w:t>
            </w:r>
          </w:p>
        </w:tc>
        <w:tc>
          <w:tcPr>
            <w:tcW w:w="640" w:type="dxa"/>
            <w:vAlign w:val="bottom"/>
          </w:tcPr>
          <w:p>
            <w:pPr>
              <w:ind w:left="360"/>
              <w:spacing w:after="0"/>
              <w:rPr>
                <w:sz w:val="20"/>
                <w:szCs w:val="20"/>
                <w:color w:val="auto"/>
              </w:rPr>
            </w:pPr>
            <w:r>
              <w:rPr>
                <w:rFonts w:ascii="Times New Roman" w:cs="Times New Roman" w:eastAsia="Times New Roman" w:hAnsi="Times New Roman"/>
                <w:sz w:val="9"/>
                <w:szCs w:val="9"/>
                <w:color w:val="FFFFFF"/>
              </w:rPr>
              <w:t>107</w:t>
            </w:r>
          </w:p>
        </w:tc>
        <w:tc>
          <w:tcPr>
            <w:tcW w:w="21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Articles of Association</w:t>
            </w:r>
          </w:p>
        </w:tc>
        <w:tc>
          <w:tcPr>
            <w:tcW w:w="640" w:type="dxa"/>
            <w:vAlign w:val="bottom"/>
          </w:tcPr>
          <w:p>
            <w:pPr>
              <w:ind w:left="360"/>
              <w:spacing w:after="0"/>
              <w:rPr>
                <w:sz w:val="20"/>
                <w:szCs w:val="20"/>
                <w:color w:val="auto"/>
              </w:rPr>
            </w:pPr>
            <w:r>
              <w:rPr>
                <w:rFonts w:ascii="Times New Roman" w:cs="Times New Roman" w:eastAsia="Times New Roman" w:hAnsi="Times New Roman"/>
                <w:sz w:val="9"/>
                <w:szCs w:val="9"/>
                <w:color w:val="FFFFFF"/>
              </w:rPr>
              <w:t>111</w:t>
            </w:r>
          </w:p>
        </w:tc>
        <w:tc>
          <w:tcPr>
            <w:tcW w:w="21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Risk factors</w:t>
            </w:r>
          </w:p>
        </w:tc>
        <w:tc>
          <w:tcPr>
            <w:tcW w:w="640" w:type="dxa"/>
            <w:vAlign w:val="bottom"/>
          </w:tcPr>
          <w:p>
            <w:pPr>
              <w:ind w:left="360"/>
              <w:spacing w:after="0"/>
              <w:rPr>
                <w:sz w:val="20"/>
                <w:szCs w:val="20"/>
                <w:color w:val="auto"/>
              </w:rPr>
            </w:pPr>
            <w:r>
              <w:rPr>
                <w:rFonts w:ascii="Times New Roman" w:cs="Times New Roman" w:eastAsia="Times New Roman" w:hAnsi="Times New Roman"/>
                <w:sz w:val="9"/>
                <w:szCs w:val="9"/>
                <w:color w:val="FFFFFF"/>
              </w:rPr>
              <w:t>113</w:t>
            </w:r>
          </w:p>
        </w:tc>
        <w:tc>
          <w:tcPr>
            <w:tcW w:w="21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2260" w:type="dxa"/>
            <w:vAlign w:val="bottom"/>
          </w:tcPr>
          <w:p>
            <w:pPr>
              <w:spacing w:after="0"/>
              <w:rPr>
                <w:sz w:val="20"/>
                <w:szCs w:val="20"/>
                <w:color w:val="auto"/>
              </w:rPr>
            </w:pPr>
            <w:r>
              <w:rPr>
                <w:rFonts w:ascii="Times New Roman" w:cs="Times New Roman" w:eastAsia="Times New Roman" w:hAnsi="Times New Roman"/>
                <w:sz w:val="9"/>
                <w:szCs w:val="9"/>
                <w:color w:val="FFFFFF"/>
              </w:rPr>
              <w:t>Significant subsequent events</w:t>
            </w:r>
          </w:p>
        </w:tc>
        <w:tc>
          <w:tcPr>
            <w:tcW w:w="640" w:type="dxa"/>
            <w:vAlign w:val="bottom"/>
          </w:tcPr>
          <w:p>
            <w:pPr>
              <w:ind w:left="360"/>
              <w:spacing w:after="0"/>
              <w:rPr>
                <w:sz w:val="20"/>
                <w:szCs w:val="20"/>
                <w:color w:val="auto"/>
              </w:rPr>
            </w:pPr>
            <w:r>
              <w:rPr>
                <w:rFonts w:ascii="Times New Roman" w:cs="Times New Roman" w:eastAsia="Times New Roman" w:hAnsi="Times New Roman"/>
                <w:sz w:val="9"/>
                <w:szCs w:val="9"/>
                <w:color w:val="FFFFFF"/>
              </w:rPr>
              <w:t>130</w:t>
            </w:r>
          </w:p>
        </w:tc>
        <w:tc>
          <w:tcPr>
            <w:tcW w:w="21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10040"/>
          </w:cols>
          <w:pgMar w:left="960" w:top="493" w:right="899" w:bottom="1440" w:gutter="0" w:footer="0" w:header="0"/>
          <w:type w:val="continuous"/>
        </w:sectPr>
      </w:pPr>
    </w:p>
    <w:bookmarkStart w:id="9" w:name="page10"/>
    <w:bookmarkEnd w:id="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67"/>
          <w:szCs w:val="67"/>
          <w:color w:val="FFFFFF"/>
        </w:rPr>
        <w:t>Business</w:t>
      </w:r>
    </w:p>
    <w:p>
      <w:pPr>
        <w:spacing w:after="0"/>
        <w:rPr>
          <w:sz w:val="20"/>
          <w:szCs w:val="20"/>
          <w:color w:val="auto"/>
        </w:rPr>
      </w:pPr>
      <w:r>
        <w:rPr>
          <w:rFonts w:ascii="Times New Roman" w:cs="Times New Roman" w:eastAsia="Times New Roman" w:hAnsi="Times New Roman"/>
          <w:sz w:val="67"/>
          <w:szCs w:val="67"/>
          <w:color w:val="FFFFFF"/>
        </w:rPr>
        <w:t>overview</w:t>
      </w:r>
    </w:p>
    <w:p>
      <w:pPr>
        <w:spacing w:after="0" w:line="161" w:lineRule="exact"/>
        <w:rPr>
          <w:sz w:val="20"/>
          <w:szCs w:val="20"/>
          <w:color w:val="auto"/>
        </w:rPr>
      </w:pPr>
    </w:p>
    <w:tbl>
      <w:tblPr>
        <w:tblLayout w:type="fixed"/>
        <w:tblInd w:w="40" w:type="dxa"/>
        <w:tblCellMar>
          <w:top w:w="0" w:type="dxa"/>
          <w:left w:w="0" w:type="dxa"/>
          <w:bottom w:w="0" w:type="dxa"/>
          <w:right w:w="0" w:type="dxa"/>
        </w:tblCellMar>
      </w:tblPr>
      <w:tr>
        <w:trPr>
          <w:trHeight w:val="122"/>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Nokia in 2023</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Letter from our President and CEO</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9</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Our customers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Our strategy</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15</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Our history</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Business groups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23</w:t>
            </w:r>
          </w:p>
        </w:tc>
      </w:tr>
      <w:tr>
        <w:trPr>
          <w:trHeight w:val="131"/>
        </w:trPr>
        <w:tc>
          <w:tcPr>
            <w:tcW w:w="198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Network Infrastructure</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23</w:t>
            </w:r>
          </w:p>
        </w:tc>
      </w:tr>
      <w:tr>
        <w:trPr>
          <w:trHeight w:val="131"/>
        </w:trPr>
        <w:tc>
          <w:tcPr>
            <w:tcW w:w="198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Mobile Networks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25</w:t>
            </w:r>
          </w:p>
        </w:tc>
      </w:tr>
      <w:tr>
        <w:trPr>
          <w:trHeight w:val="131"/>
        </w:trPr>
        <w:tc>
          <w:tcPr>
            <w:tcW w:w="198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Cloud and Network Services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27</w:t>
            </w:r>
          </w:p>
        </w:tc>
      </w:tr>
      <w:tr>
        <w:trPr>
          <w:trHeight w:val="131"/>
        </w:trPr>
        <w:tc>
          <w:tcPr>
            <w:tcW w:w="198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Nokia Technologies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29</w:t>
            </w:r>
          </w:p>
        </w:tc>
      </w:tr>
      <w:tr>
        <w:trPr>
          <w:trHeight w:val="131"/>
        </w:trPr>
        <w:tc>
          <w:tcPr>
            <w:tcW w:w="1980" w:type="dxa"/>
            <w:vAlign w:val="bottom"/>
          </w:tcPr>
          <w:p>
            <w:pPr>
              <w:spacing w:after="0"/>
              <w:rPr>
                <w:sz w:val="20"/>
                <w:szCs w:val="20"/>
                <w:color w:val="auto"/>
              </w:rPr>
            </w:pPr>
            <w:r>
              <w:rPr>
                <w:rFonts w:ascii="Times New Roman" w:cs="Times New Roman" w:eastAsia="Times New Roman" w:hAnsi="Times New Roman"/>
                <w:sz w:val="9"/>
                <w:szCs w:val="9"/>
                <w:color w:val="FFFFFF"/>
              </w:rPr>
              <w:t>Supply chain, sourcing and manufacturing</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31</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10000"/>
          </w:cols>
          <w:pgMar w:left="960" w:top="409" w:right="939" w:bottom="1440" w:gutter="0" w:footer="0" w:header="0"/>
        </w:sectPr>
      </w:pPr>
    </w:p>
    <w:bookmarkStart w:id="10" w:name="page11"/>
    <w:bookmarkEnd w:id="10"/>
    <w:tbl>
      <w:tblPr>
        <w:tblLayout w:type="fixed"/>
        <w:tblInd w:w="28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3</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40" w:type="dxa"/>
            <w:vAlign w:val="bottom"/>
          </w:tcPr>
          <w:p>
            <w:pPr>
              <w:spacing w:after="0"/>
              <w:rPr>
                <w:sz w:val="3"/>
                <w:szCs w:val="3"/>
                <w:color w:val="auto"/>
              </w:rPr>
            </w:pPr>
          </w:p>
        </w:tc>
        <w:tc>
          <w:tcPr>
            <w:tcW w:w="206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80"/>
        <w:spacing w:after="0"/>
        <w:rPr>
          <w:sz w:val="20"/>
          <w:szCs w:val="20"/>
          <w:color w:val="auto"/>
        </w:rPr>
      </w:pPr>
      <w:r>
        <w:rPr>
          <w:rFonts w:ascii="Times New Roman" w:cs="Times New Roman" w:eastAsia="Times New Roman" w:hAnsi="Times New Roman"/>
          <w:sz w:val="13"/>
          <w:szCs w:val="13"/>
          <w:color w:val="005AFF"/>
        </w:rPr>
        <w:t>Nokia in 2023</w:t>
      </w:r>
    </w:p>
    <w:p>
      <w:pPr>
        <w:sectPr>
          <w:pgSz w:w="11900" w:h="16838" w:orient="portrait"/>
          <w:cols w:equalWidth="0" w:num="1">
            <w:col w:w="10280"/>
          </w:cols>
          <w:pgMar w:left="680" w:top="410" w:right="939"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4" w:lineRule="exact"/>
        <w:rPr>
          <w:sz w:val="20"/>
          <w:szCs w:val="20"/>
          <w:color w:val="auto"/>
        </w:rPr>
      </w:pPr>
    </w:p>
    <w:p>
      <w:pPr>
        <w:ind w:right="1580"/>
        <w:spacing w:after="0" w:line="246" w:lineRule="auto"/>
        <w:rPr>
          <w:sz w:val="20"/>
          <w:szCs w:val="20"/>
          <w:color w:val="auto"/>
        </w:rPr>
      </w:pPr>
      <w:r>
        <w:rPr>
          <w:rFonts w:ascii="Times New Roman" w:cs="Times New Roman" w:eastAsia="Times New Roman" w:hAnsi="Times New Roman"/>
          <w:sz w:val="67"/>
          <w:szCs w:val="67"/>
          <w:color w:val="auto"/>
        </w:rPr>
        <w:t>The platform for our future</w:t>
      </w:r>
    </w:p>
    <w:p>
      <w:pPr>
        <w:spacing w:after="0" w:line="27" w:lineRule="exact"/>
        <w:rPr>
          <w:sz w:val="20"/>
          <w:szCs w:val="20"/>
          <w:color w:val="auto"/>
        </w:rPr>
      </w:pPr>
    </w:p>
    <w:p>
      <w:pPr>
        <w:ind w:right="2060"/>
        <w:spacing w:after="0" w:line="266" w:lineRule="auto"/>
        <w:rPr>
          <w:sz w:val="20"/>
          <w:szCs w:val="20"/>
          <w:color w:val="auto"/>
        </w:rPr>
      </w:pPr>
      <w:r>
        <w:rPr>
          <w:rFonts w:ascii="Times New Roman" w:cs="Times New Roman" w:eastAsia="Times New Roman" w:hAnsi="Times New Roman"/>
          <w:sz w:val="13"/>
          <w:szCs w:val="13"/>
          <w:color w:val="auto"/>
        </w:rPr>
        <w:t>The Nokia platform guides everything we do across our global organization. Its three elements shape our ambition, our strategy and our culture.</w:t>
      </w:r>
    </w:p>
    <w:p>
      <w:pPr>
        <w:spacing w:after="0" w:line="20" w:lineRule="exact"/>
        <w:rPr>
          <w:sz w:val="20"/>
          <w:szCs w:val="20"/>
          <w:color w:val="auto"/>
        </w:rPr>
      </w:pPr>
      <w:r>
        <w:rPr>
          <w:sz w:val="20"/>
          <w:szCs w:val="20"/>
          <w:color w:val="auto"/>
        </w:rPr>
        <w:br w:type="column"/>
      </w:r>
    </w:p>
    <w:p>
      <w:pPr>
        <w:spacing w:after="0" w:line="29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Our purpose</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At Nokia, we create technology that helps the world act together.</w:t>
      </w:r>
    </w:p>
    <w:p>
      <w:pPr>
        <w:spacing w:after="0" w:line="19" w:lineRule="exact"/>
        <w:rPr>
          <w:sz w:val="20"/>
          <w:szCs w:val="20"/>
          <w:color w:val="auto"/>
        </w:rPr>
      </w:pPr>
    </w:p>
    <w:p>
      <w:pPr>
        <w:ind w:right="500"/>
        <w:spacing w:after="0" w:line="268" w:lineRule="auto"/>
        <w:rPr>
          <w:sz w:val="20"/>
          <w:szCs w:val="20"/>
          <w:color w:val="auto"/>
        </w:rPr>
      </w:pPr>
      <w:r>
        <w:rPr>
          <w:rFonts w:ascii="Times New Roman" w:cs="Times New Roman" w:eastAsia="Times New Roman" w:hAnsi="Times New Roman"/>
          <w:sz w:val="11"/>
          <w:szCs w:val="11"/>
          <w:color w:val="auto"/>
        </w:rPr>
        <w:t>While our lives may be getting longer, healthier and richer, the world is facing fundamental challenges: Productivity is stalling, pressure on the planet is increasing and access to opportunity remains stubbornly unequal.</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Digitalization is central to the solution.</w:t>
      </w:r>
    </w:p>
    <w:p>
      <w:pPr>
        <w:spacing w:after="0" w:line="24" w:lineRule="exact"/>
        <w:rPr>
          <w:sz w:val="20"/>
          <w:szCs w:val="20"/>
          <w:color w:val="auto"/>
        </w:rPr>
      </w:pPr>
    </w:p>
    <w:p>
      <w:pPr>
        <w:ind w:right="500"/>
        <w:spacing w:after="0" w:line="265" w:lineRule="auto"/>
        <w:rPr>
          <w:sz w:val="20"/>
          <w:szCs w:val="20"/>
          <w:color w:val="auto"/>
        </w:rPr>
      </w:pPr>
      <w:r>
        <w:rPr>
          <w:rFonts w:ascii="Times New Roman" w:cs="Times New Roman" w:eastAsia="Times New Roman" w:hAnsi="Times New Roman"/>
          <w:sz w:val="11"/>
          <w:szCs w:val="11"/>
          <w:color w:val="auto"/>
        </w:rPr>
        <w:t>We see the potential of digital to transform business, industry and society. When the world’s organizations, machines and devices are in sync with each other and the people they serve, a new capability unfolds to create a more productive, sustainable and accessible future.</w:t>
      </w:r>
    </w:p>
    <w:p>
      <w:pPr>
        <w:spacing w:after="0" w:line="5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Our commitment</w:t>
      </w:r>
    </w:p>
    <w:p>
      <w:pPr>
        <w:spacing w:after="0" w:line="34" w:lineRule="exact"/>
        <w:rPr>
          <w:sz w:val="20"/>
          <w:szCs w:val="20"/>
          <w:color w:val="auto"/>
        </w:rPr>
      </w:pPr>
    </w:p>
    <w:p>
      <w:pPr>
        <w:ind w:right="520"/>
        <w:spacing w:after="0" w:line="272" w:lineRule="auto"/>
        <w:rPr>
          <w:sz w:val="20"/>
          <w:szCs w:val="20"/>
          <w:color w:val="auto"/>
        </w:rPr>
      </w:pPr>
      <w:r>
        <w:rPr>
          <w:rFonts w:ascii="Times New Roman" w:cs="Times New Roman" w:eastAsia="Times New Roman" w:hAnsi="Times New Roman"/>
          <w:sz w:val="11"/>
          <w:szCs w:val="11"/>
          <w:b w:val="1"/>
          <w:bCs w:val="1"/>
          <w:color w:val="auto"/>
        </w:rPr>
        <w:t>We are delivering the next evolution in critical networking through technology leadership and trusted partnerships.</w:t>
      </w:r>
    </w:p>
    <w:p>
      <w:pPr>
        <w:ind w:right="520"/>
        <w:spacing w:after="0" w:line="286" w:lineRule="auto"/>
        <w:rPr>
          <w:sz w:val="20"/>
          <w:szCs w:val="20"/>
          <w:color w:val="auto"/>
        </w:rPr>
      </w:pPr>
      <w:r>
        <w:rPr>
          <w:rFonts w:ascii="Times New Roman" w:cs="Times New Roman" w:eastAsia="Times New Roman" w:hAnsi="Times New Roman"/>
          <w:sz w:val="11"/>
          <w:szCs w:val="11"/>
          <w:color w:val="auto"/>
        </w:rPr>
        <w:t>We are meeting the new demands placed on networks through the next evolution of networking where networks meet cloud with ‘networks that sense, think and act’.</w:t>
      </w:r>
    </w:p>
    <w:p>
      <w:pPr>
        <w:spacing w:after="0" w:line="51" w:lineRule="exact"/>
        <w:rPr>
          <w:sz w:val="20"/>
          <w:szCs w:val="20"/>
          <w:color w:val="auto"/>
        </w:rPr>
      </w:pPr>
    </w:p>
    <w:p>
      <w:pPr>
        <w:ind w:right="420"/>
        <w:spacing w:after="0" w:line="279" w:lineRule="auto"/>
        <w:rPr>
          <w:sz w:val="20"/>
          <w:szCs w:val="20"/>
          <w:color w:val="auto"/>
        </w:rPr>
      </w:pPr>
      <w:r>
        <w:rPr>
          <w:rFonts w:ascii="Times New Roman" w:cs="Times New Roman" w:eastAsia="Times New Roman" w:hAnsi="Times New Roman"/>
          <w:sz w:val="11"/>
          <w:szCs w:val="11"/>
          <w:color w:val="auto"/>
        </w:rPr>
        <w:t>These networks go beyond connecting people and things, bits and bytes. They’re adaptable, autonomous, and consumable. They’re ‘alive with intelligence’ and enable people, machines and devices to interact in real time, like never before.</w:t>
      </w:r>
    </w:p>
    <w:p>
      <w:pPr>
        <w:spacing w:after="0" w:line="44" w:lineRule="exact"/>
        <w:rPr>
          <w:sz w:val="20"/>
          <w:szCs w:val="20"/>
          <w:color w:val="auto"/>
        </w:rPr>
      </w:pPr>
    </w:p>
    <w:p>
      <w:pPr>
        <w:jc w:val="both"/>
        <w:ind w:right="480"/>
        <w:spacing w:after="0" w:line="289" w:lineRule="auto"/>
        <w:rPr>
          <w:sz w:val="20"/>
          <w:szCs w:val="20"/>
          <w:color w:val="auto"/>
        </w:rPr>
      </w:pPr>
      <w:r>
        <w:rPr>
          <w:rFonts w:ascii="Times New Roman" w:cs="Times New Roman" w:eastAsia="Times New Roman" w:hAnsi="Times New Roman"/>
          <w:sz w:val="11"/>
          <w:szCs w:val="11"/>
          <w:color w:val="auto"/>
        </w:rPr>
        <w:t>Critically, ‘networks that sense, think and act’ are creating new opportunities for our customers and partners, both existing and new, to access and harness the full power of networking like never before. How?</w:t>
      </w:r>
    </w:p>
    <w:p>
      <w:pPr>
        <w:spacing w:after="0" w:line="39" w:lineRule="exact"/>
        <w:rPr>
          <w:sz w:val="20"/>
          <w:szCs w:val="20"/>
          <w:color w:val="auto"/>
        </w:rPr>
      </w:pPr>
    </w:p>
    <w:p>
      <w:pPr>
        <w:ind w:left="160" w:right="740" w:hanging="154"/>
        <w:spacing w:after="0" w:line="309" w:lineRule="auto"/>
        <w:tabs>
          <w:tab w:leader="none" w:pos="160" w:val="left"/>
        </w:tabs>
        <w:numPr>
          <w:ilvl w:val="0"/>
          <w:numId w:val="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By ‘sensing’ and understanding human and machine parameters using next generation mobile and optical technologies</w:t>
      </w:r>
    </w:p>
    <w:p>
      <w:pPr>
        <w:spacing w:after="0" w:line="28" w:lineRule="exact"/>
        <w:rPr>
          <w:rFonts w:ascii="Times New Roman" w:cs="Times New Roman" w:eastAsia="Times New Roman" w:hAnsi="Times New Roman"/>
          <w:sz w:val="11"/>
          <w:szCs w:val="11"/>
          <w:color w:val="005AFF"/>
        </w:rPr>
      </w:pPr>
    </w:p>
    <w:p>
      <w:pPr>
        <w:ind w:left="160" w:right="560" w:hanging="154"/>
        <w:spacing w:after="0" w:line="309" w:lineRule="auto"/>
        <w:tabs>
          <w:tab w:leader="none" w:pos="160" w:val="left"/>
        </w:tabs>
        <w:numPr>
          <w:ilvl w:val="0"/>
          <w:numId w:val="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By ‘thinking’ of actions before a fault occurs in the network or in an enterprise using next generation analytics and AI</w:t>
      </w:r>
    </w:p>
    <w:p>
      <w:pPr>
        <w:spacing w:after="0" w:line="38" w:lineRule="exact"/>
        <w:rPr>
          <w:rFonts w:ascii="Times New Roman" w:cs="Times New Roman" w:eastAsia="Times New Roman" w:hAnsi="Times New Roman"/>
          <w:sz w:val="11"/>
          <w:szCs w:val="11"/>
          <w:color w:val="005AFF"/>
        </w:rPr>
      </w:pPr>
    </w:p>
    <w:p>
      <w:pPr>
        <w:ind w:left="160" w:right="440" w:hanging="154"/>
        <w:spacing w:after="0" w:line="290" w:lineRule="auto"/>
        <w:tabs>
          <w:tab w:leader="none" w:pos="160" w:val="left"/>
        </w:tabs>
        <w:numPr>
          <w:ilvl w:val="0"/>
          <w:numId w:val="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By ‘acting’ to connect humans and machines alike by enabling wide area or local area networks.</w:t>
      </w:r>
    </w:p>
    <w:p>
      <w:pPr>
        <w:spacing w:after="0" w:line="40" w:lineRule="exact"/>
        <w:rPr>
          <w:sz w:val="20"/>
          <w:szCs w:val="20"/>
          <w:color w:val="auto"/>
        </w:rPr>
      </w:pPr>
    </w:p>
    <w:p>
      <w:pPr>
        <w:sectPr>
          <w:pgSz w:w="11900" w:h="16838" w:orient="portrait"/>
          <w:cols w:equalWidth="0" w:num="2">
            <w:col w:w="5220" w:space="720"/>
            <w:col w:w="4340"/>
          </w:cols>
          <w:pgMar w:left="680" w:top="410" w:right="939" w:bottom="1440" w:gutter="0" w:footer="0" w:header="0"/>
          <w:type w:val="continuous"/>
        </w:sectPr>
      </w:pPr>
    </w:p>
    <w:p>
      <w:pPr>
        <w:ind w:left="5940"/>
        <w:spacing w:after="0"/>
        <w:rPr>
          <w:sz w:val="20"/>
          <w:szCs w:val="20"/>
          <w:color w:val="auto"/>
        </w:rPr>
      </w:pPr>
      <w:r>
        <w:rPr>
          <w:rFonts w:ascii="Times New Roman" w:cs="Times New Roman" w:eastAsia="Times New Roman" w:hAnsi="Times New Roman"/>
          <w:sz w:val="16"/>
          <w:szCs w:val="16"/>
          <w:color w:val="005AFF"/>
        </w:rPr>
        <w:t>Essentials</w:t>
      </w:r>
    </w:p>
    <w:p>
      <w:pPr>
        <w:spacing w:after="0" w:line="34" w:lineRule="exact"/>
        <w:rPr>
          <w:sz w:val="20"/>
          <w:szCs w:val="20"/>
          <w:color w:val="auto"/>
        </w:rPr>
      </w:pPr>
    </w:p>
    <w:p>
      <w:pPr>
        <w:ind w:left="5940"/>
        <w:spacing w:after="0"/>
        <w:rPr>
          <w:sz w:val="20"/>
          <w:szCs w:val="20"/>
          <w:color w:val="auto"/>
        </w:rPr>
      </w:pPr>
      <w:r>
        <w:rPr>
          <w:rFonts w:ascii="Times New Roman" w:cs="Times New Roman" w:eastAsia="Times New Roman" w:hAnsi="Times New Roman"/>
          <w:sz w:val="11"/>
          <w:szCs w:val="11"/>
          <w:b w:val="1"/>
          <w:bCs w:val="1"/>
          <w:color w:val="auto"/>
        </w:rPr>
        <w:t>Our essentials highlight the culture we are creating for our people,</w:t>
      </w:r>
    </w:p>
    <w:p>
      <w:pPr>
        <w:spacing w:after="0" w:line="24" w:lineRule="exact"/>
        <w:rPr>
          <w:sz w:val="20"/>
          <w:szCs w:val="20"/>
          <w:color w:val="auto"/>
        </w:rPr>
      </w:pPr>
    </w:p>
    <w:p>
      <w:pPr>
        <w:ind w:left="5940"/>
        <w:spacing w:after="0"/>
        <w:rPr>
          <w:sz w:val="20"/>
          <w:szCs w:val="20"/>
          <w:color w:val="auto"/>
        </w:rPr>
      </w:pPr>
      <w:r>
        <w:rPr>
          <w:rFonts w:ascii="Times New Roman" w:cs="Times New Roman" w:eastAsia="Times New Roman" w:hAnsi="Times New Roman"/>
          <w:sz w:val="11"/>
          <w:szCs w:val="11"/>
          <w:b w:val="1"/>
          <w:bCs w:val="1"/>
          <w:color w:val="auto"/>
        </w:rPr>
        <w:t>customers and partners.</w:t>
      </w:r>
    </w:p>
    <w:p>
      <w:pPr>
        <w:spacing w:after="0" w:line="10" w:lineRule="exact"/>
        <w:rPr>
          <w:sz w:val="20"/>
          <w:szCs w:val="20"/>
          <w:color w:val="auto"/>
        </w:rPr>
      </w:pPr>
    </w:p>
    <w:p>
      <w:pPr>
        <w:ind w:left="5940"/>
        <w:spacing w:after="0"/>
        <w:rPr>
          <w:sz w:val="20"/>
          <w:szCs w:val="20"/>
          <w:color w:val="auto"/>
        </w:rPr>
      </w:pPr>
      <w:r>
        <w:rPr>
          <w:rFonts w:ascii="Times New Roman" w:cs="Times New Roman" w:eastAsia="Times New Roman" w:hAnsi="Times New Roman"/>
          <w:sz w:val="11"/>
          <w:szCs w:val="11"/>
          <w:color w:val="auto"/>
        </w:rPr>
        <w:t>As we seek to realize the full potential of digital in every industry, acting as a</w:t>
      </w:r>
    </w:p>
    <w:p>
      <w:pPr>
        <w:spacing w:after="0" w:line="10" w:lineRule="exact"/>
        <w:rPr>
          <w:sz w:val="20"/>
          <w:szCs w:val="20"/>
          <w:color w:val="auto"/>
        </w:rPr>
      </w:pPr>
    </w:p>
    <w:p>
      <w:pPr>
        <w:ind w:left="5940"/>
        <w:spacing w:after="0"/>
        <w:rPr>
          <w:sz w:val="20"/>
          <w:szCs w:val="20"/>
          <w:color w:val="auto"/>
        </w:rPr>
      </w:pPr>
      <w:r>
        <w:rPr>
          <w:rFonts w:ascii="Times New Roman" w:cs="Times New Roman" w:eastAsia="Times New Roman" w:hAnsi="Times New Roman"/>
          <w:sz w:val="11"/>
          <w:szCs w:val="11"/>
          <w:color w:val="auto"/>
        </w:rPr>
        <w:t>collaborative partner to our customers and pioneering the next evolution of</w:t>
      </w:r>
    </w:p>
    <w:p>
      <w:pPr>
        <w:spacing w:after="0" w:line="10" w:lineRule="exact"/>
        <w:rPr>
          <w:sz w:val="20"/>
          <w:szCs w:val="20"/>
          <w:color w:val="auto"/>
        </w:rPr>
      </w:pPr>
    </w:p>
    <w:p>
      <w:pPr>
        <w:ind w:left="5940"/>
        <w:spacing w:after="0"/>
        <w:rPr>
          <w:sz w:val="20"/>
          <w:szCs w:val="20"/>
          <w:color w:val="auto"/>
        </w:rPr>
      </w:pPr>
      <w:r>
        <w:rPr>
          <w:rFonts w:ascii="Times New Roman" w:cs="Times New Roman" w:eastAsia="Times New Roman" w:hAnsi="Times New Roman"/>
          <w:sz w:val="11"/>
          <w:szCs w:val="11"/>
          <w:color w:val="auto"/>
        </w:rPr>
        <w:t>networks, we are creating the culture needed to drive the future growth of Nokia.</w:t>
      </w:r>
    </w:p>
    <w:p>
      <w:pPr>
        <w:spacing w:after="0" w:line="82" w:lineRule="exact"/>
        <w:rPr>
          <w:sz w:val="20"/>
          <w:szCs w:val="20"/>
          <w:color w:val="auto"/>
        </w:rPr>
      </w:pPr>
    </w:p>
    <w:p>
      <w:pPr>
        <w:ind w:left="5940"/>
        <w:spacing w:after="0"/>
        <w:tabs>
          <w:tab w:leader="none" w:pos="6080" w:val="left"/>
        </w:tabs>
        <w:rPr>
          <w:sz w:val="20"/>
          <w:szCs w:val="20"/>
          <w:color w:val="auto"/>
        </w:rPr>
      </w:pPr>
      <w:r>
        <w:rPr>
          <w:rFonts w:ascii="Times New Roman" w:cs="Times New Roman" w:eastAsia="Times New Roman" w:hAnsi="Times New Roman"/>
          <w:sz w:val="11"/>
          <w:szCs w:val="11"/>
          <w:b w:val="1"/>
          <w:bCs w:val="1"/>
          <w:color w:val="005AFF"/>
        </w:rPr>
        <w:t>■</w:t>
      </w:r>
      <w:r>
        <w:rPr>
          <w:rFonts w:ascii="Times New Roman" w:cs="Times New Roman" w:eastAsia="Times New Roman" w:hAnsi="Times New Roman"/>
          <w:sz w:val="11"/>
          <w:szCs w:val="11"/>
          <w:b w:val="1"/>
          <w:bCs w:val="1"/>
          <w:color w:val="auto"/>
        </w:rPr>
        <w:tab/>
        <w:t xml:space="preserve">Open </w:t>
      </w:r>
      <w:r>
        <w:rPr>
          <w:rFonts w:ascii="Times New Roman" w:cs="Times New Roman" w:eastAsia="Times New Roman" w:hAnsi="Times New Roman"/>
          <w:sz w:val="11"/>
          <w:szCs w:val="11"/>
          <w:color w:val="auto"/>
        </w:rPr>
        <w:t>– in mindset, to opportunity, with transparency</w:t>
      </w:r>
    </w:p>
    <w:p>
      <w:pPr>
        <w:spacing w:after="0" w:line="96" w:lineRule="exact"/>
        <w:rPr>
          <w:sz w:val="20"/>
          <w:szCs w:val="20"/>
          <w:color w:val="auto"/>
        </w:rPr>
      </w:pPr>
    </w:p>
    <w:p>
      <w:pPr>
        <w:ind w:left="5940"/>
        <w:spacing w:after="0"/>
        <w:tabs>
          <w:tab w:leader="none" w:pos="6080" w:val="left"/>
        </w:tabs>
        <w:rPr>
          <w:sz w:val="20"/>
          <w:szCs w:val="20"/>
          <w:color w:val="auto"/>
        </w:rPr>
      </w:pPr>
      <w:r>
        <w:rPr>
          <w:rFonts w:ascii="Times New Roman" w:cs="Times New Roman" w:eastAsia="Times New Roman" w:hAnsi="Times New Roman"/>
          <w:sz w:val="11"/>
          <w:szCs w:val="11"/>
          <w:b w:val="1"/>
          <w:bCs w:val="1"/>
          <w:color w:val="005AFF"/>
        </w:rPr>
        <w:t>■</w:t>
      </w:r>
      <w:r>
        <w:rPr>
          <w:rFonts w:ascii="Times New Roman" w:cs="Times New Roman" w:eastAsia="Times New Roman" w:hAnsi="Times New Roman"/>
          <w:sz w:val="11"/>
          <w:szCs w:val="11"/>
          <w:b w:val="1"/>
          <w:bCs w:val="1"/>
          <w:color w:val="auto"/>
        </w:rPr>
        <w:tab/>
        <w:t xml:space="preserve">Fearless </w:t>
      </w:r>
      <w:r>
        <w:rPr>
          <w:rFonts w:ascii="Times New Roman" w:cs="Times New Roman" w:eastAsia="Times New Roman" w:hAnsi="Times New Roman"/>
          <w:sz w:val="11"/>
          <w:szCs w:val="11"/>
          <w:color w:val="auto"/>
        </w:rPr>
        <w:t>– bringing authenticity, sharing ideas and opinions, embracing collaboration</w:t>
      </w:r>
    </w:p>
    <w:p>
      <w:pPr>
        <w:spacing w:after="0" w:line="86" w:lineRule="exact"/>
        <w:rPr>
          <w:sz w:val="20"/>
          <w:szCs w:val="20"/>
          <w:color w:val="auto"/>
        </w:rPr>
      </w:pPr>
    </w:p>
    <w:p>
      <w:pPr>
        <w:ind w:left="5940"/>
        <w:spacing w:after="0"/>
        <w:tabs>
          <w:tab w:leader="none" w:pos="6080" w:val="left"/>
        </w:tabs>
        <w:rPr>
          <w:sz w:val="20"/>
          <w:szCs w:val="20"/>
          <w:color w:val="auto"/>
        </w:rPr>
      </w:pPr>
      <w:r>
        <w:rPr>
          <w:rFonts w:ascii="Times New Roman" w:cs="Times New Roman" w:eastAsia="Times New Roman" w:hAnsi="Times New Roman"/>
          <w:sz w:val="11"/>
          <w:szCs w:val="11"/>
          <w:b w:val="1"/>
          <w:bCs w:val="1"/>
          <w:color w:val="005AFF"/>
        </w:rPr>
        <w:t>■</w:t>
      </w:r>
      <w:r>
        <w:rPr>
          <w:rFonts w:ascii="Times New Roman" w:cs="Times New Roman" w:eastAsia="Times New Roman" w:hAnsi="Times New Roman"/>
          <w:sz w:val="11"/>
          <w:szCs w:val="11"/>
          <w:b w:val="1"/>
          <w:bCs w:val="1"/>
          <w:color w:val="auto"/>
        </w:rPr>
        <w:tab/>
        <w:t xml:space="preserve">Empowered </w:t>
      </w:r>
      <w:r>
        <w:rPr>
          <w:rFonts w:ascii="Times New Roman" w:cs="Times New Roman" w:eastAsia="Times New Roman" w:hAnsi="Times New Roman"/>
          <w:sz w:val="11"/>
          <w:szCs w:val="11"/>
          <w:color w:val="auto"/>
        </w:rPr>
        <w:t>– to make decisions, to act with clear accountability.</w:t>
      </w:r>
    </w:p>
    <w:p>
      <w:pPr>
        <w:spacing w:after="0" w:line="200" w:lineRule="exact"/>
        <w:rPr>
          <w:sz w:val="20"/>
          <w:szCs w:val="20"/>
          <w:color w:val="auto"/>
        </w:rPr>
      </w:pPr>
    </w:p>
    <w:p>
      <w:pPr>
        <w:spacing w:after="0" w:line="288" w:lineRule="exact"/>
        <w:rPr>
          <w:sz w:val="20"/>
          <w:szCs w:val="20"/>
          <w:color w:val="auto"/>
        </w:rPr>
      </w:pPr>
    </w:p>
    <w:p>
      <w:pPr>
        <w:ind w:left="280"/>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10280"/>
          </w:cols>
          <w:pgMar w:left="680" w:top="410" w:right="939" w:bottom="1440" w:gutter="0" w:footer="0" w:header="0"/>
          <w:type w:val="continuous"/>
        </w:sectPr>
      </w:pPr>
    </w:p>
    <w:bookmarkStart w:id="11" w:name="page12"/>
    <w:bookmarkEnd w:id="11"/>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40" w:type="dxa"/>
            <w:vAlign w:val="bottom"/>
          </w:tcPr>
          <w:p>
            <w:pPr>
              <w:spacing w:after="0"/>
              <w:rPr>
                <w:sz w:val="3"/>
                <w:szCs w:val="3"/>
                <w:color w:val="auto"/>
              </w:rPr>
            </w:pPr>
          </w:p>
        </w:tc>
        <w:tc>
          <w:tcPr>
            <w:tcW w:w="206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Nokia in 2023 continued</w:t>
      </w:r>
    </w:p>
    <w:p>
      <w:pPr>
        <w:sectPr>
          <w:pgSz w:w="11900" w:h="16838" w:orient="portrait"/>
          <w:cols w:equalWidth="0" w:num="1">
            <w:col w:w="10040"/>
          </w:cols>
          <w:pgMar w:left="960" w:top="409" w:right="899" w:bottom="1440" w:gutter="0" w:footer="0" w:header="0"/>
        </w:sectPr>
      </w:pPr>
    </w:p>
    <w:p>
      <w:pPr>
        <w:spacing w:after="0" w:line="251"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Helping</w:t>
      </w:r>
    </w:p>
    <w:p>
      <w:pPr>
        <w:spacing w:after="0" w:line="206" w:lineRule="auto"/>
        <w:rPr>
          <w:sz w:val="20"/>
          <w:szCs w:val="20"/>
          <w:color w:val="auto"/>
        </w:rPr>
      </w:pPr>
      <w:r>
        <w:rPr>
          <w:rFonts w:ascii="Times New Roman" w:cs="Times New Roman" w:eastAsia="Times New Roman" w:hAnsi="Times New Roman"/>
          <w:sz w:val="46"/>
          <w:szCs w:val="46"/>
          <w:color w:val="auto"/>
        </w:rPr>
        <w:t>the world</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act together</w:t>
      </w:r>
    </w:p>
    <w:p>
      <w:pPr>
        <w:spacing w:after="0" w:line="9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At Nokia, we create technology that helps the world act together.</w:t>
      </w:r>
    </w:p>
    <w:p>
      <w:pPr>
        <w:spacing w:after="0" w:line="1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 a B2B technology innovation leader, we are pioneering the future where</w:t>
      </w:r>
    </w:p>
    <w:p>
      <w:pPr>
        <w:spacing w:after="0" w:line="17" w:lineRule="exact"/>
        <w:rPr>
          <w:sz w:val="20"/>
          <w:szCs w:val="20"/>
          <w:color w:val="auto"/>
        </w:rPr>
      </w:pPr>
    </w:p>
    <w:p>
      <w:pPr>
        <w:spacing w:after="0"/>
        <w:tabs>
          <w:tab w:leader="none" w:pos="3780" w:val="left"/>
        </w:tabs>
        <w:rPr>
          <w:sz w:val="20"/>
          <w:szCs w:val="20"/>
          <w:color w:val="auto"/>
        </w:rPr>
      </w:pPr>
      <w:r>
        <w:rPr>
          <w:rFonts w:ascii="Times New Roman" w:cs="Times New Roman" w:eastAsia="Times New Roman" w:hAnsi="Times New Roman"/>
          <w:sz w:val="11"/>
          <w:szCs w:val="11"/>
          <w:color w:val="auto"/>
        </w:rPr>
        <w:t>networks meet cloud to realize the full potential of digital in every industry</w:t>
      </w:r>
      <w:r>
        <w:rPr>
          <w:sz w:val="20"/>
          <w:szCs w:val="20"/>
          <w:color w:val="auto"/>
        </w:rPr>
        <w:tab/>
      </w:r>
      <w:r>
        <w:rPr>
          <w:rFonts w:ascii="Times New Roman" w:cs="Times New Roman" w:eastAsia="Times New Roman" w:hAnsi="Times New Roman"/>
          <w:sz w:val="8"/>
          <w:szCs w:val="8"/>
          <w:color w:val="auto"/>
        </w:rPr>
        <w:t>.</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Through networks that sense, think and act, we work with our</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customers and partners to create the digital services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applications of the future.</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products, solutions and services can drive social,</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environmental, and economic progress. Digitalization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connectivity can have a critical role in solving some of the world’s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greatest challenges including stalled productivity, climate change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unequal access to opportunity. Our products and solutions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bring digitalization to physical industries and cities, helping them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decarbonize and increase efficiency, productivity and safety.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9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6"/>
          <w:szCs w:val="16"/>
          <w:color w:val="005AFF"/>
        </w:rPr>
        <w:t>Shareholder distributions</w:t>
      </w:r>
    </w:p>
    <w:p>
      <w:pPr>
        <w:spacing w:after="0" w:line="76" w:lineRule="exact"/>
        <w:rPr>
          <w:sz w:val="20"/>
          <w:szCs w:val="20"/>
          <w:color w:val="auto"/>
        </w:rPr>
      </w:pPr>
    </w:p>
    <w:tbl>
      <w:tblPr>
        <w:tblLayout w:type="fixed"/>
        <w:tblInd w:w="0" w:type="dxa"/>
        <w:tblCellMar>
          <w:top w:w="0" w:type="dxa"/>
          <w:left w:w="0" w:type="dxa"/>
          <w:bottom w:w="0" w:type="dxa"/>
          <w:right w:w="0" w:type="dxa"/>
        </w:tblCellMar>
      </w:tblPr>
      <w:tr>
        <w:trPr>
          <w:trHeight w:val="141"/>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Dividend proposed in respect</w:t>
            </w:r>
          </w:p>
        </w:tc>
        <w:tc>
          <w:tcPr>
            <w:tcW w:w="1060" w:type="dxa"/>
            <w:vAlign w:val="bottom"/>
          </w:tcPr>
          <w:p>
            <w:pPr>
              <w:spacing w:after="0"/>
              <w:rPr>
                <w:sz w:val="12"/>
                <w:szCs w:val="12"/>
                <w:color w:val="auto"/>
              </w:rPr>
            </w:pPr>
          </w:p>
        </w:tc>
        <w:tc>
          <w:tcPr>
            <w:tcW w:w="1960" w:type="dxa"/>
            <w:vAlign w:val="bottom"/>
            <w:gridSpan w:val="5"/>
          </w:tcPr>
          <w:p>
            <w:pPr>
              <w:ind w:left="60"/>
              <w:spacing w:after="0"/>
              <w:rPr>
                <w:sz w:val="20"/>
                <w:szCs w:val="20"/>
                <w:color w:val="auto"/>
              </w:rPr>
            </w:pPr>
            <w:r>
              <w:rPr>
                <w:rFonts w:ascii="Times New Roman" w:cs="Times New Roman" w:eastAsia="Times New Roman" w:hAnsi="Times New Roman"/>
                <w:sz w:val="11"/>
                <w:szCs w:val="11"/>
                <w:color w:val="auto"/>
              </w:rPr>
              <w:t>Share buyback program announced in</w:t>
            </w:r>
          </w:p>
        </w:tc>
        <w:tc>
          <w:tcPr>
            <w:tcW w:w="5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15"/>
        </w:trPr>
        <w:tc>
          <w:tcPr>
            <w:tcW w:w="1380" w:type="dxa"/>
            <w:vAlign w:val="bottom"/>
          </w:tcPr>
          <w:p>
            <w:pPr>
              <w:ind w:left="40"/>
              <w:spacing w:after="0" w:line="115" w:lineRule="exact"/>
              <w:rPr>
                <w:sz w:val="20"/>
                <w:szCs w:val="20"/>
                <w:color w:val="auto"/>
              </w:rPr>
            </w:pPr>
            <w:r>
              <w:rPr>
                <w:rFonts w:ascii="Times New Roman" w:cs="Times New Roman" w:eastAsia="Times New Roman" w:hAnsi="Times New Roman"/>
                <w:sz w:val="11"/>
                <w:szCs w:val="11"/>
                <w:color w:val="auto"/>
              </w:rPr>
              <w:t xml:space="preserve">of 2023 </w:t>
            </w:r>
            <w:r>
              <w:rPr>
                <w:rFonts w:ascii="Times New Roman" w:cs="Times New Roman" w:eastAsia="Times New Roman" w:hAnsi="Times New Roman"/>
                <w:sz w:val="13"/>
                <w:szCs w:val="13"/>
                <w:color w:val="auto"/>
                <w:vertAlign w:val="superscript"/>
              </w:rPr>
              <w:t>(2)</w:t>
            </w:r>
          </w:p>
        </w:tc>
        <w:tc>
          <w:tcPr>
            <w:tcW w:w="1060" w:type="dxa"/>
            <w:vAlign w:val="bottom"/>
          </w:tcPr>
          <w:p>
            <w:pPr>
              <w:spacing w:after="0"/>
              <w:rPr>
                <w:sz w:val="9"/>
                <w:szCs w:val="9"/>
                <w:color w:val="auto"/>
              </w:rPr>
            </w:pPr>
          </w:p>
        </w:tc>
        <w:tc>
          <w:tcPr>
            <w:tcW w:w="1400" w:type="dxa"/>
            <w:vAlign w:val="bottom"/>
            <w:gridSpan w:val="4"/>
          </w:tcPr>
          <w:p>
            <w:pPr>
              <w:ind w:left="60"/>
              <w:spacing w:after="0" w:line="115" w:lineRule="exact"/>
              <w:rPr>
                <w:sz w:val="20"/>
                <w:szCs w:val="20"/>
                <w:color w:val="auto"/>
              </w:rPr>
            </w:pPr>
            <w:r>
              <w:rPr>
                <w:rFonts w:ascii="Times New Roman" w:cs="Times New Roman" w:eastAsia="Times New Roman" w:hAnsi="Times New Roman"/>
                <w:sz w:val="11"/>
                <w:szCs w:val="11"/>
                <w:color w:val="auto"/>
              </w:rPr>
              <w:t>January 2024 to return up to</w:t>
            </w:r>
          </w:p>
        </w:tc>
        <w:tc>
          <w:tcPr>
            <w:tcW w:w="560" w:type="dxa"/>
            <w:vAlign w:val="bottom"/>
          </w:tcPr>
          <w:p>
            <w:pPr>
              <w:spacing w:after="0"/>
              <w:rPr>
                <w:sz w:val="9"/>
                <w:szCs w:val="9"/>
                <w:color w:val="auto"/>
              </w:rPr>
            </w:pPr>
          </w:p>
        </w:tc>
        <w:tc>
          <w:tcPr>
            <w:tcW w:w="5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74"/>
        </w:trPr>
        <w:tc>
          <w:tcPr>
            <w:tcW w:w="2440" w:type="dxa"/>
            <w:vAlign w:val="bottom"/>
            <w:gridSpan w:val="2"/>
          </w:tcPr>
          <w:p>
            <w:pPr>
              <w:ind w:left="40"/>
              <w:spacing w:after="0" w:line="573" w:lineRule="exact"/>
              <w:rPr>
                <w:sz w:val="20"/>
                <w:szCs w:val="20"/>
                <w:color w:val="auto"/>
              </w:rPr>
            </w:pPr>
            <w:r>
              <w:rPr>
                <w:rFonts w:ascii="Times New Roman" w:cs="Times New Roman" w:eastAsia="Times New Roman" w:hAnsi="Times New Roman"/>
                <w:sz w:val="50"/>
                <w:szCs w:val="50"/>
                <w:color w:val="005AFF"/>
              </w:rPr>
              <w:t>EUR0.13</w:t>
            </w:r>
          </w:p>
        </w:tc>
        <w:tc>
          <w:tcPr>
            <w:tcW w:w="2500" w:type="dxa"/>
            <w:vAlign w:val="bottom"/>
            <w:gridSpan w:val="6"/>
          </w:tcPr>
          <w:p>
            <w:pPr>
              <w:ind w:left="60"/>
              <w:spacing w:after="0" w:line="573" w:lineRule="exact"/>
              <w:rPr>
                <w:sz w:val="20"/>
                <w:szCs w:val="20"/>
                <w:color w:val="auto"/>
              </w:rPr>
            </w:pPr>
            <w:r>
              <w:rPr>
                <w:rFonts w:ascii="Times New Roman" w:cs="Times New Roman" w:eastAsia="Times New Roman" w:hAnsi="Times New Roman"/>
                <w:sz w:val="50"/>
                <w:szCs w:val="50"/>
                <w:color w:val="005AFF"/>
              </w:rPr>
              <w:t>EUR 600m</w:t>
            </w:r>
          </w:p>
        </w:tc>
        <w:tc>
          <w:tcPr>
            <w:tcW w:w="0" w:type="dxa"/>
            <w:vAlign w:val="bottom"/>
          </w:tcPr>
          <w:p>
            <w:pPr>
              <w:spacing w:after="0"/>
              <w:rPr>
                <w:sz w:val="1"/>
                <w:szCs w:val="1"/>
                <w:color w:val="auto"/>
              </w:rPr>
            </w:pPr>
          </w:p>
        </w:tc>
      </w:tr>
      <w:tr>
        <w:trPr>
          <w:trHeight w:val="148"/>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per share</w:t>
            </w:r>
          </w:p>
        </w:tc>
        <w:tc>
          <w:tcPr>
            <w:tcW w:w="1060" w:type="dxa"/>
            <w:vAlign w:val="bottom"/>
          </w:tcPr>
          <w:p>
            <w:pPr>
              <w:spacing w:after="0"/>
              <w:rPr>
                <w:sz w:val="12"/>
                <w:szCs w:val="12"/>
                <w:color w:val="auto"/>
              </w:rPr>
            </w:pPr>
          </w:p>
        </w:tc>
        <w:tc>
          <w:tcPr>
            <w:tcW w:w="70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over 2 years</w:t>
            </w:r>
          </w:p>
        </w:tc>
        <w:tc>
          <w:tcPr>
            <w:tcW w:w="44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56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542"/>
        </w:trPr>
        <w:tc>
          <w:tcPr>
            <w:tcW w:w="1380" w:type="dxa"/>
            <w:vAlign w:val="bottom"/>
            <w:tcBorders>
              <w:bottom w:val="single" w:sz="8" w:color="005AFF"/>
            </w:tcBorders>
          </w:tcPr>
          <w:p>
            <w:pPr>
              <w:spacing w:after="0"/>
              <w:rPr>
                <w:sz w:val="24"/>
                <w:szCs w:val="24"/>
                <w:color w:val="auto"/>
              </w:rPr>
            </w:pPr>
          </w:p>
        </w:tc>
        <w:tc>
          <w:tcPr>
            <w:tcW w:w="1060" w:type="dxa"/>
            <w:vAlign w:val="bottom"/>
            <w:tcBorders>
              <w:bottom w:val="single" w:sz="8" w:color="005AFF"/>
            </w:tcBorders>
          </w:tcPr>
          <w:p>
            <w:pPr>
              <w:spacing w:after="0"/>
              <w:rPr>
                <w:sz w:val="24"/>
                <w:szCs w:val="24"/>
                <w:color w:val="auto"/>
              </w:rPr>
            </w:pPr>
          </w:p>
        </w:tc>
        <w:tc>
          <w:tcPr>
            <w:tcW w:w="460" w:type="dxa"/>
            <w:vAlign w:val="bottom"/>
            <w:tcBorders>
              <w:bottom w:val="single" w:sz="8" w:color="005AFF"/>
            </w:tcBorders>
          </w:tcPr>
          <w:p>
            <w:pPr>
              <w:spacing w:after="0"/>
              <w:rPr>
                <w:sz w:val="24"/>
                <w:szCs w:val="24"/>
                <w:color w:val="auto"/>
              </w:rPr>
            </w:pPr>
          </w:p>
        </w:tc>
        <w:tc>
          <w:tcPr>
            <w:tcW w:w="240" w:type="dxa"/>
            <w:vAlign w:val="bottom"/>
            <w:tcBorders>
              <w:bottom w:val="single" w:sz="8" w:color="005AFF"/>
            </w:tcBorders>
          </w:tcPr>
          <w:p>
            <w:pPr>
              <w:spacing w:after="0"/>
              <w:rPr>
                <w:sz w:val="24"/>
                <w:szCs w:val="24"/>
                <w:color w:val="auto"/>
              </w:rPr>
            </w:pPr>
          </w:p>
        </w:tc>
        <w:tc>
          <w:tcPr>
            <w:tcW w:w="440" w:type="dxa"/>
            <w:vAlign w:val="bottom"/>
            <w:tcBorders>
              <w:bottom w:val="single" w:sz="8" w:color="005AFF"/>
            </w:tcBorders>
          </w:tcPr>
          <w:p>
            <w:pPr>
              <w:spacing w:after="0"/>
              <w:rPr>
                <w:sz w:val="24"/>
                <w:szCs w:val="24"/>
                <w:color w:val="auto"/>
              </w:rPr>
            </w:pPr>
          </w:p>
        </w:tc>
        <w:tc>
          <w:tcPr>
            <w:tcW w:w="260" w:type="dxa"/>
            <w:vAlign w:val="bottom"/>
            <w:tcBorders>
              <w:bottom w:val="single" w:sz="8" w:color="005AFF"/>
            </w:tcBorders>
          </w:tcPr>
          <w:p>
            <w:pPr>
              <w:spacing w:after="0"/>
              <w:rPr>
                <w:sz w:val="24"/>
                <w:szCs w:val="24"/>
                <w:color w:val="auto"/>
              </w:rPr>
            </w:pPr>
          </w:p>
        </w:tc>
        <w:tc>
          <w:tcPr>
            <w:tcW w:w="560" w:type="dxa"/>
            <w:vAlign w:val="bottom"/>
            <w:tcBorders>
              <w:bottom w:val="single" w:sz="8" w:color="005AFF"/>
            </w:tcBorders>
          </w:tcPr>
          <w:p>
            <w:pPr>
              <w:spacing w:after="0"/>
              <w:rPr>
                <w:sz w:val="24"/>
                <w:szCs w:val="24"/>
                <w:color w:val="auto"/>
              </w:rPr>
            </w:pPr>
          </w:p>
        </w:tc>
        <w:tc>
          <w:tcPr>
            <w:tcW w:w="540" w:type="dxa"/>
            <w:vAlign w:val="bottom"/>
            <w:tcBorders>
              <w:bottom w:val="single" w:sz="8" w:color="005AFF"/>
            </w:tcBorders>
          </w:tcPr>
          <w:p>
            <w:pPr>
              <w:spacing w:after="0"/>
              <w:rPr>
                <w:sz w:val="24"/>
                <w:szCs w:val="24"/>
                <w:color w:val="auto"/>
              </w:rPr>
            </w:pPr>
          </w:p>
        </w:tc>
        <w:tc>
          <w:tcPr>
            <w:tcW w:w="0" w:type="dxa"/>
            <w:vAlign w:val="bottom"/>
          </w:tcPr>
          <w:p>
            <w:pPr>
              <w:spacing w:after="0"/>
              <w:rPr>
                <w:sz w:val="1"/>
                <w:szCs w:val="1"/>
                <w:color w:val="auto"/>
              </w:rPr>
            </w:pPr>
          </w:p>
        </w:tc>
      </w:tr>
      <w:tr>
        <w:trPr>
          <w:trHeight w:val="230"/>
        </w:trPr>
        <w:tc>
          <w:tcPr>
            <w:tcW w:w="1380" w:type="dxa"/>
            <w:vAlign w:val="bottom"/>
          </w:tcPr>
          <w:p>
            <w:pPr>
              <w:spacing w:after="0"/>
              <w:rPr>
                <w:sz w:val="20"/>
                <w:szCs w:val="20"/>
                <w:color w:val="auto"/>
              </w:rPr>
            </w:pPr>
            <w:r>
              <w:rPr>
                <w:rFonts w:ascii="Times New Roman" w:cs="Times New Roman" w:eastAsia="Times New Roman" w:hAnsi="Times New Roman"/>
                <w:sz w:val="16"/>
                <w:szCs w:val="16"/>
                <w:color w:val="005AFF"/>
              </w:rPr>
              <w:t>Financial highlights</w:t>
            </w:r>
          </w:p>
        </w:tc>
        <w:tc>
          <w:tcPr>
            <w:tcW w:w="1060" w:type="dxa"/>
            <w:vAlign w:val="bottom"/>
          </w:tcPr>
          <w:p>
            <w:pPr>
              <w:spacing w:after="0"/>
              <w:rPr>
                <w:sz w:val="20"/>
                <w:szCs w:val="20"/>
                <w:color w:val="auto"/>
              </w:rPr>
            </w:pPr>
          </w:p>
        </w:tc>
        <w:tc>
          <w:tcPr>
            <w:tcW w:w="460" w:type="dxa"/>
            <w:vAlign w:val="bottom"/>
          </w:tcPr>
          <w:p>
            <w:pPr>
              <w:spacing w:after="0"/>
              <w:rPr>
                <w:sz w:val="20"/>
                <w:szCs w:val="20"/>
                <w:color w:val="auto"/>
              </w:rPr>
            </w:pPr>
          </w:p>
        </w:tc>
        <w:tc>
          <w:tcPr>
            <w:tcW w:w="240" w:type="dxa"/>
            <w:vAlign w:val="bottom"/>
          </w:tcPr>
          <w:p>
            <w:pPr>
              <w:spacing w:after="0"/>
              <w:rPr>
                <w:sz w:val="20"/>
                <w:szCs w:val="20"/>
                <w:color w:val="auto"/>
              </w:rPr>
            </w:pPr>
          </w:p>
        </w:tc>
        <w:tc>
          <w:tcPr>
            <w:tcW w:w="440" w:type="dxa"/>
            <w:vAlign w:val="bottom"/>
          </w:tcPr>
          <w:p>
            <w:pPr>
              <w:spacing w:after="0"/>
              <w:rPr>
                <w:sz w:val="20"/>
                <w:szCs w:val="20"/>
                <w:color w:val="auto"/>
              </w:rPr>
            </w:pPr>
          </w:p>
        </w:tc>
        <w:tc>
          <w:tcPr>
            <w:tcW w:w="260" w:type="dxa"/>
            <w:vAlign w:val="bottom"/>
          </w:tcPr>
          <w:p>
            <w:pPr>
              <w:spacing w:after="0"/>
              <w:rPr>
                <w:sz w:val="20"/>
                <w:szCs w:val="20"/>
                <w:color w:val="auto"/>
              </w:rPr>
            </w:pPr>
          </w:p>
        </w:tc>
        <w:tc>
          <w:tcPr>
            <w:tcW w:w="560" w:type="dxa"/>
            <w:vAlign w:val="bottom"/>
          </w:tcPr>
          <w:p>
            <w:pPr>
              <w:spacing w:after="0"/>
              <w:rPr>
                <w:sz w:val="20"/>
                <w:szCs w:val="20"/>
                <w:color w:val="auto"/>
              </w:rPr>
            </w:pPr>
          </w:p>
        </w:tc>
        <w:tc>
          <w:tcPr>
            <w:tcW w:w="540" w:type="dxa"/>
            <w:vAlign w:val="bottom"/>
          </w:tcPr>
          <w:p>
            <w:pPr>
              <w:spacing w:after="0"/>
              <w:rPr>
                <w:sz w:val="20"/>
                <w:szCs w:val="20"/>
                <w:color w:val="auto"/>
              </w:rPr>
            </w:pPr>
          </w:p>
        </w:tc>
        <w:tc>
          <w:tcPr>
            <w:tcW w:w="0" w:type="dxa"/>
            <w:vAlign w:val="bottom"/>
          </w:tcPr>
          <w:p>
            <w:pPr>
              <w:spacing w:after="0"/>
              <w:rPr>
                <w:sz w:val="1"/>
                <w:szCs w:val="1"/>
                <w:color w:val="auto"/>
              </w:rPr>
            </w:pPr>
          </w:p>
        </w:tc>
      </w:tr>
      <w:tr>
        <w:trPr>
          <w:trHeight w:val="176"/>
        </w:trPr>
        <w:tc>
          <w:tcPr>
            <w:tcW w:w="24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For the year ended 31 December</w:t>
            </w:r>
          </w:p>
        </w:tc>
        <w:tc>
          <w:tcPr>
            <w:tcW w:w="460" w:type="dxa"/>
            <w:vAlign w:val="bottom"/>
          </w:tcPr>
          <w:p>
            <w:pPr>
              <w:spacing w:after="0"/>
              <w:rPr>
                <w:sz w:val="15"/>
                <w:szCs w:val="15"/>
                <w:color w:val="auto"/>
              </w:rPr>
            </w:pPr>
          </w:p>
        </w:tc>
        <w:tc>
          <w:tcPr>
            <w:tcW w:w="240" w:type="dxa"/>
            <w:vAlign w:val="bottom"/>
          </w:tcPr>
          <w:p>
            <w:pPr>
              <w:spacing w:after="0"/>
              <w:rPr>
                <w:sz w:val="15"/>
                <w:szCs w:val="15"/>
                <w:color w:val="auto"/>
              </w:rPr>
            </w:pPr>
          </w:p>
        </w:tc>
        <w:tc>
          <w:tcPr>
            <w:tcW w:w="440" w:type="dxa"/>
            <w:vAlign w:val="bottom"/>
          </w:tcPr>
          <w:p>
            <w:pPr>
              <w:spacing w:after="0"/>
              <w:rPr>
                <w:sz w:val="15"/>
                <w:szCs w:val="15"/>
                <w:color w:val="auto"/>
              </w:rPr>
            </w:pPr>
          </w:p>
        </w:tc>
        <w:tc>
          <w:tcPr>
            <w:tcW w:w="260" w:type="dxa"/>
            <w:vAlign w:val="bottom"/>
          </w:tcPr>
          <w:p>
            <w:pPr>
              <w:spacing w:after="0"/>
              <w:rPr>
                <w:sz w:val="15"/>
                <w:szCs w:val="15"/>
                <w:color w:val="auto"/>
              </w:rPr>
            </w:pPr>
          </w:p>
        </w:tc>
        <w:tc>
          <w:tcPr>
            <w:tcW w:w="560" w:type="dxa"/>
            <w:vAlign w:val="bottom"/>
          </w:tcPr>
          <w:p>
            <w:pPr>
              <w:spacing w:after="0"/>
              <w:rPr>
                <w:sz w:val="15"/>
                <w:szCs w:val="15"/>
                <w:color w:val="auto"/>
              </w:rPr>
            </w:pPr>
          </w:p>
        </w:tc>
        <w:tc>
          <w:tcPr>
            <w:tcW w:w="540" w:type="dxa"/>
            <w:vAlign w:val="bottom"/>
          </w:tcPr>
          <w:p>
            <w:pPr>
              <w:spacing w:after="0"/>
              <w:rPr>
                <w:sz w:val="15"/>
                <w:szCs w:val="15"/>
                <w:color w:val="auto"/>
              </w:rPr>
            </w:pPr>
          </w:p>
        </w:tc>
        <w:tc>
          <w:tcPr>
            <w:tcW w:w="0" w:type="dxa"/>
            <w:vAlign w:val="bottom"/>
          </w:tcPr>
          <w:p>
            <w:pPr>
              <w:spacing w:after="0"/>
              <w:rPr>
                <w:sz w:val="1"/>
                <w:szCs w:val="1"/>
                <w:color w:val="auto"/>
              </w:rPr>
            </w:pPr>
          </w:p>
        </w:tc>
      </w:tr>
      <w:tr>
        <w:trPr>
          <w:trHeight w:val="137"/>
        </w:trPr>
        <w:tc>
          <w:tcPr>
            <w:tcW w:w="1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060" w:type="dxa"/>
            <w:vAlign w:val="bottom"/>
            <w:tcBorders>
              <w:bottom w:val="single" w:sz="8" w:color="005AFF"/>
            </w:tcBorders>
          </w:tcPr>
          <w:p>
            <w:pPr>
              <w:spacing w:after="0"/>
              <w:rPr>
                <w:sz w:val="11"/>
                <w:szCs w:val="11"/>
                <w:color w:val="auto"/>
              </w:rPr>
            </w:pPr>
          </w:p>
        </w:tc>
        <w:tc>
          <w:tcPr>
            <w:tcW w:w="460" w:type="dxa"/>
            <w:vAlign w:val="bottom"/>
            <w:tcBorders>
              <w:bottom w:val="single" w:sz="8" w:color="005AFF"/>
            </w:tcBorders>
          </w:tcPr>
          <w:p>
            <w:pPr>
              <w:spacing w:after="0"/>
              <w:rPr>
                <w:sz w:val="11"/>
                <w:szCs w:val="11"/>
                <w:color w:val="auto"/>
              </w:rPr>
            </w:pPr>
          </w:p>
        </w:tc>
        <w:tc>
          <w:tcPr>
            <w:tcW w:w="240" w:type="dxa"/>
            <w:vAlign w:val="bottom"/>
            <w:tcBorders>
              <w:bottom w:val="single" w:sz="8" w:color="005AFF"/>
            </w:tcBorders>
          </w:tcPr>
          <w:p>
            <w:pPr>
              <w:spacing w:after="0"/>
              <w:rPr>
                <w:sz w:val="11"/>
                <w:szCs w:val="11"/>
                <w:color w:val="auto"/>
              </w:rPr>
            </w:pPr>
          </w:p>
        </w:tc>
        <w:tc>
          <w:tcPr>
            <w:tcW w:w="440" w:type="dxa"/>
            <w:vAlign w:val="bottom"/>
            <w:tcBorders>
              <w:bottom w:val="single" w:sz="8" w:color="005AFF"/>
            </w:tcBorders>
          </w:tcPr>
          <w:p>
            <w:pPr>
              <w:jc w:val="center"/>
              <w:ind w:left="106"/>
              <w:spacing w:after="0"/>
              <w:rPr>
                <w:sz w:val="20"/>
                <w:szCs w:val="20"/>
                <w:color w:val="auto"/>
              </w:rPr>
            </w:pPr>
            <w:r>
              <w:rPr>
                <w:rFonts w:ascii="Times New Roman" w:cs="Times New Roman" w:eastAsia="Times New Roman" w:hAnsi="Times New Roman"/>
                <w:sz w:val="8"/>
                <w:szCs w:val="8"/>
                <w:b w:val="1"/>
                <w:bCs w:val="1"/>
                <w:color w:val="005AFF"/>
                <w:w w:val="99"/>
              </w:rPr>
              <w:t>2023</w:t>
            </w:r>
          </w:p>
        </w:tc>
        <w:tc>
          <w:tcPr>
            <w:tcW w:w="260" w:type="dxa"/>
            <w:vAlign w:val="bottom"/>
            <w:tcBorders>
              <w:bottom w:val="single" w:sz="8" w:color="005AFF"/>
            </w:tcBorders>
          </w:tcPr>
          <w:p>
            <w:pPr>
              <w:spacing w:after="0"/>
              <w:rPr>
                <w:sz w:val="11"/>
                <w:szCs w:val="11"/>
                <w:color w:val="auto"/>
              </w:rPr>
            </w:pPr>
          </w:p>
        </w:tc>
        <w:tc>
          <w:tcPr>
            <w:tcW w:w="56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8"/>
                <w:szCs w:val="8"/>
                <w:b w:val="1"/>
                <w:bCs w:val="1"/>
                <w:color w:val="005AFF"/>
                <w:w w:val="99"/>
              </w:rPr>
              <w:t>2022</w:t>
            </w:r>
          </w:p>
        </w:tc>
        <w:tc>
          <w:tcPr>
            <w:tcW w:w="540" w:type="dxa"/>
            <w:vAlign w:val="bottom"/>
            <w:tcBorders>
              <w:bottom w:val="single" w:sz="8" w:color="005AFF"/>
            </w:tcBorders>
          </w:tcPr>
          <w:p>
            <w:pPr>
              <w:jc w:val="center"/>
              <w:ind w:left="186"/>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49"/>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Net sales</w:t>
            </w:r>
          </w:p>
        </w:tc>
        <w:tc>
          <w:tcPr>
            <w:tcW w:w="1060" w:type="dxa"/>
            <w:vAlign w:val="bottom"/>
          </w:tcPr>
          <w:p>
            <w:pPr>
              <w:spacing w:after="0"/>
              <w:rPr>
                <w:sz w:val="12"/>
                <w:szCs w:val="12"/>
                <w:color w:val="auto"/>
              </w:rPr>
            </w:pPr>
          </w:p>
        </w:tc>
        <w:tc>
          <w:tcPr>
            <w:tcW w:w="460" w:type="dxa"/>
            <w:vAlign w:val="bottom"/>
          </w:tcPr>
          <w:p>
            <w:pPr>
              <w:spacing w:after="0"/>
              <w:rPr>
                <w:sz w:val="12"/>
                <w:szCs w:val="12"/>
                <w:color w:val="auto"/>
              </w:rPr>
            </w:pPr>
          </w:p>
        </w:tc>
        <w:tc>
          <w:tcPr>
            <w:tcW w:w="240" w:type="dxa"/>
            <w:vAlign w:val="bottom"/>
            <w:shd w:val="clear" w:color="auto" w:fill="F0F5FF"/>
          </w:tcPr>
          <w:p>
            <w:pPr>
              <w:spacing w:after="0"/>
              <w:rPr>
                <w:sz w:val="12"/>
                <w:szCs w:val="12"/>
                <w:color w:val="auto"/>
              </w:rPr>
            </w:pPr>
          </w:p>
        </w:tc>
        <w:tc>
          <w:tcPr>
            <w:tcW w:w="440" w:type="dxa"/>
            <w:vAlign w:val="bottom"/>
            <w:shd w:val="clear" w:color="auto" w:fill="F0F5FF"/>
          </w:tcPr>
          <w:p>
            <w:pPr>
              <w:jc w:val="right"/>
              <w:ind w:right="6"/>
              <w:spacing w:after="0"/>
              <w:rPr>
                <w:sz w:val="20"/>
                <w:szCs w:val="20"/>
                <w:color w:val="auto"/>
              </w:rPr>
            </w:pPr>
            <w:r>
              <w:rPr>
                <w:rFonts w:ascii="Times New Roman" w:cs="Times New Roman" w:eastAsia="Times New Roman" w:hAnsi="Times New Roman"/>
                <w:sz w:val="11"/>
                <w:szCs w:val="11"/>
                <w:b w:val="1"/>
                <w:bCs w:val="1"/>
                <w:color w:val="005AFF"/>
              </w:rPr>
              <w:t>22 258</w:t>
            </w:r>
          </w:p>
        </w:tc>
        <w:tc>
          <w:tcPr>
            <w:tcW w:w="260" w:type="dxa"/>
            <w:vAlign w:val="bottom"/>
          </w:tcPr>
          <w:p>
            <w:pPr>
              <w:spacing w:after="0"/>
              <w:rPr>
                <w:sz w:val="12"/>
                <w:szCs w:val="12"/>
                <w:color w:val="auto"/>
              </w:rPr>
            </w:pPr>
          </w:p>
        </w:tc>
        <w:tc>
          <w:tcPr>
            <w:tcW w:w="560" w:type="dxa"/>
            <w:vAlign w:val="bottom"/>
          </w:tcPr>
          <w:p>
            <w:pPr>
              <w:jc w:val="right"/>
              <w:ind w:right="146"/>
              <w:spacing w:after="0"/>
              <w:rPr>
                <w:sz w:val="20"/>
                <w:szCs w:val="20"/>
                <w:color w:val="auto"/>
              </w:rPr>
            </w:pPr>
            <w:r>
              <w:rPr>
                <w:rFonts w:ascii="Times New Roman" w:cs="Times New Roman" w:eastAsia="Times New Roman" w:hAnsi="Times New Roman"/>
                <w:sz w:val="11"/>
                <w:szCs w:val="11"/>
                <w:color w:val="0D0D0D"/>
              </w:rPr>
              <w:t>24 911</w:t>
            </w:r>
          </w:p>
        </w:tc>
        <w:tc>
          <w:tcPr>
            <w:tcW w:w="540" w:type="dxa"/>
            <w:vAlign w:val="bottom"/>
          </w:tcPr>
          <w:p>
            <w:pPr>
              <w:jc w:val="right"/>
              <w:ind w:right="6"/>
              <w:spacing w:after="0"/>
              <w:rPr>
                <w:sz w:val="20"/>
                <w:szCs w:val="20"/>
                <w:color w:val="auto"/>
              </w:rPr>
            </w:pPr>
            <w:r>
              <w:rPr>
                <w:rFonts w:ascii="Times New Roman" w:cs="Times New Roman" w:eastAsia="Times New Roman" w:hAnsi="Times New Roman"/>
                <w:sz w:val="11"/>
                <w:szCs w:val="11"/>
                <w:color w:val="0D0D0D"/>
              </w:rPr>
              <w:t>22 202</w:t>
            </w:r>
          </w:p>
        </w:tc>
        <w:tc>
          <w:tcPr>
            <w:tcW w:w="0" w:type="dxa"/>
            <w:vAlign w:val="bottom"/>
          </w:tcPr>
          <w:p>
            <w:pPr>
              <w:spacing w:after="0"/>
              <w:rPr>
                <w:sz w:val="1"/>
                <w:szCs w:val="1"/>
                <w:color w:val="auto"/>
              </w:rPr>
            </w:pPr>
          </w:p>
        </w:tc>
      </w:tr>
      <w:tr>
        <w:trPr>
          <w:trHeight w:val="172"/>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Gross profit</w:t>
            </w:r>
          </w:p>
        </w:tc>
        <w:tc>
          <w:tcPr>
            <w:tcW w:w="10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240" w:type="dxa"/>
            <w:vAlign w:val="bottom"/>
            <w:shd w:val="clear" w:color="auto" w:fill="F0F5FF"/>
          </w:tcPr>
          <w:p>
            <w:pPr>
              <w:spacing w:after="0"/>
              <w:rPr>
                <w:sz w:val="14"/>
                <w:szCs w:val="14"/>
                <w:color w:val="auto"/>
              </w:rPr>
            </w:pPr>
          </w:p>
        </w:tc>
        <w:tc>
          <w:tcPr>
            <w:tcW w:w="440" w:type="dxa"/>
            <w:vAlign w:val="bottom"/>
            <w:shd w:val="clear" w:color="auto" w:fill="F0F5FF"/>
          </w:tcPr>
          <w:p>
            <w:pPr>
              <w:jc w:val="right"/>
              <w:ind w:right="6"/>
              <w:spacing w:after="0"/>
              <w:rPr>
                <w:sz w:val="20"/>
                <w:szCs w:val="20"/>
                <w:color w:val="auto"/>
              </w:rPr>
            </w:pPr>
            <w:r>
              <w:rPr>
                <w:rFonts w:ascii="Times New Roman" w:cs="Times New Roman" w:eastAsia="Times New Roman" w:hAnsi="Times New Roman"/>
                <w:sz w:val="11"/>
                <w:szCs w:val="11"/>
                <w:b w:val="1"/>
                <w:bCs w:val="1"/>
                <w:color w:val="005AFF"/>
              </w:rPr>
              <w:t>8 687</w:t>
            </w:r>
          </w:p>
        </w:tc>
        <w:tc>
          <w:tcPr>
            <w:tcW w:w="260" w:type="dxa"/>
            <w:vAlign w:val="bottom"/>
          </w:tcPr>
          <w:p>
            <w:pPr>
              <w:spacing w:after="0"/>
              <w:rPr>
                <w:sz w:val="14"/>
                <w:szCs w:val="14"/>
                <w:color w:val="auto"/>
              </w:rPr>
            </w:pPr>
          </w:p>
        </w:tc>
        <w:tc>
          <w:tcPr>
            <w:tcW w:w="560" w:type="dxa"/>
            <w:vAlign w:val="bottom"/>
          </w:tcPr>
          <w:p>
            <w:pPr>
              <w:jc w:val="right"/>
              <w:ind w:right="146"/>
              <w:spacing w:after="0"/>
              <w:rPr>
                <w:sz w:val="20"/>
                <w:szCs w:val="20"/>
                <w:color w:val="auto"/>
              </w:rPr>
            </w:pPr>
            <w:r>
              <w:rPr>
                <w:rFonts w:ascii="Times New Roman" w:cs="Times New Roman" w:eastAsia="Times New Roman" w:hAnsi="Times New Roman"/>
                <w:sz w:val="11"/>
                <w:szCs w:val="11"/>
                <w:color w:val="0D0D0D"/>
              </w:rPr>
              <w:t>10 222</w:t>
            </w:r>
          </w:p>
        </w:tc>
        <w:tc>
          <w:tcPr>
            <w:tcW w:w="540" w:type="dxa"/>
            <w:vAlign w:val="bottom"/>
          </w:tcPr>
          <w:p>
            <w:pPr>
              <w:jc w:val="center"/>
              <w:ind w:left="106"/>
              <w:spacing w:after="0"/>
              <w:rPr>
                <w:sz w:val="20"/>
                <w:szCs w:val="20"/>
                <w:color w:val="auto"/>
              </w:rPr>
            </w:pPr>
            <w:r>
              <w:rPr>
                <w:rFonts w:ascii="Times New Roman" w:cs="Times New Roman" w:eastAsia="Times New Roman" w:hAnsi="Times New Roman"/>
                <w:sz w:val="11"/>
                <w:szCs w:val="11"/>
                <w:color w:val="0D0D0D"/>
              </w:rPr>
              <w:t>8 834</w:t>
            </w:r>
          </w:p>
        </w:tc>
        <w:tc>
          <w:tcPr>
            <w:tcW w:w="0" w:type="dxa"/>
            <w:vAlign w:val="bottom"/>
          </w:tcPr>
          <w:p>
            <w:pPr>
              <w:spacing w:after="0"/>
              <w:rPr>
                <w:sz w:val="1"/>
                <w:szCs w:val="1"/>
                <w:color w:val="auto"/>
              </w:rPr>
            </w:pPr>
          </w:p>
        </w:tc>
      </w:tr>
      <w:tr>
        <w:trPr>
          <w:trHeight w:val="172"/>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Gross margin</w:t>
            </w:r>
          </w:p>
        </w:tc>
        <w:tc>
          <w:tcPr>
            <w:tcW w:w="10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240" w:type="dxa"/>
            <w:vAlign w:val="bottom"/>
            <w:shd w:val="clear" w:color="auto" w:fill="F0F5FF"/>
          </w:tcPr>
          <w:p>
            <w:pPr>
              <w:spacing w:after="0"/>
              <w:rPr>
                <w:sz w:val="14"/>
                <w:szCs w:val="14"/>
                <w:color w:val="auto"/>
              </w:rPr>
            </w:pPr>
          </w:p>
        </w:tc>
        <w:tc>
          <w:tcPr>
            <w:tcW w:w="4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1"/>
                <w:szCs w:val="11"/>
                <w:b w:val="1"/>
                <w:bCs w:val="1"/>
                <w:color w:val="005AFF"/>
              </w:rPr>
              <w:t>39.0 %</w:t>
            </w:r>
          </w:p>
        </w:tc>
        <w:tc>
          <w:tcPr>
            <w:tcW w:w="260" w:type="dxa"/>
            <w:vAlign w:val="bottom"/>
          </w:tcPr>
          <w:p>
            <w:pPr>
              <w:spacing w:after="0"/>
              <w:rPr>
                <w:sz w:val="14"/>
                <w:szCs w:val="14"/>
                <w:color w:val="auto"/>
              </w:rPr>
            </w:pPr>
          </w:p>
        </w:tc>
        <w:tc>
          <w:tcPr>
            <w:tcW w:w="560" w:type="dxa"/>
            <w:vAlign w:val="bottom"/>
          </w:tcPr>
          <w:p>
            <w:pPr>
              <w:jc w:val="center"/>
              <w:ind w:right="26"/>
              <w:spacing w:after="0"/>
              <w:rPr>
                <w:sz w:val="20"/>
                <w:szCs w:val="20"/>
                <w:color w:val="auto"/>
              </w:rPr>
            </w:pPr>
            <w:r>
              <w:rPr>
                <w:rFonts w:ascii="Times New Roman" w:cs="Times New Roman" w:eastAsia="Times New Roman" w:hAnsi="Times New Roman"/>
                <w:sz w:val="11"/>
                <w:szCs w:val="11"/>
                <w:color w:val="0D0D0D"/>
              </w:rPr>
              <w:t>41.0 %</w:t>
            </w:r>
          </w:p>
        </w:tc>
        <w:tc>
          <w:tcPr>
            <w:tcW w:w="540" w:type="dxa"/>
            <w:vAlign w:val="bottom"/>
          </w:tcPr>
          <w:p>
            <w:pPr>
              <w:jc w:val="center"/>
              <w:ind w:left="126"/>
              <w:spacing w:after="0"/>
              <w:rPr>
                <w:sz w:val="20"/>
                <w:szCs w:val="20"/>
                <w:color w:val="auto"/>
              </w:rPr>
            </w:pPr>
            <w:r>
              <w:rPr>
                <w:rFonts w:ascii="Times New Roman" w:cs="Times New Roman" w:eastAsia="Times New Roman" w:hAnsi="Times New Roman"/>
                <w:sz w:val="11"/>
                <w:szCs w:val="11"/>
                <w:color w:val="0D0D0D"/>
              </w:rPr>
              <w:t>39.8 %</w:t>
            </w:r>
          </w:p>
        </w:tc>
        <w:tc>
          <w:tcPr>
            <w:tcW w:w="0" w:type="dxa"/>
            <w:vAlign w:val="bottom"/>
          </w:tcPr>
          <w:p>
            <w:pPr>
              <w:spacing w:after="0"/>
              <w:rPr>
                <w:sz w:val="1"/>
                <w:szCs w:val="1"/>
                <w:color w:val="auto"/>
              </w:rPr>
            </w:pPr>
          </w:p>
        </w:tc>
      </w:tr>
      <w:tr>
        <w:trPr>
          <w:trHeight w:val="172"/>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Operating profit</w:t>
            </w:r>
          </w:p>
        </w:tc>
        <w:tc>
          <w:tcPr>
            <w:tcW w:w="10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240" w:type="dxa"/>
            <w:vAlign w:val="bottom"/>
            <w:shd w:val="clear" w:color="auto" w:fill="F0F5FF"/>
          </w:tcPr>
          <w:p>
            <w:pPr>
              <w:spacing w:after="0"/>
              <w:rPr>
                <w:sz w:val="14"/>
                <w:szCs w:val="14"/>
                <w:color w:val="auto"/>
              </w:rPr>
            </w:pPr>
          </w:p>
        </w:tc>
        <w:tc>
          <w:tcPr>
            <w:tcW w:w="440" w:type="dxa"/>
            <w:vAlign w:val="bottom"/>
            <w:shd w:val="clear" w:color="auto" w:fill="F0F5FF"/>
          </w:tcPr>
          <w:p>
            <w:pPr>
              <w:jc w:val="right"/>
              <w:ind w:right="6"/>
              <w:spacing w:after="0"/>
              <w:rPr>
                <w:sz w:val="20"/>
                <w:szCs w:val="20"/>
                <w:color w:val="auto"/>
              </w:rPr>
            </w:pPr>
            <w:r>
              <w:rPr>
                <w:rFonts w:ascii="Times New Roman" w:cs="Times New Roman" w:eastAsia="Times New Roman" w:hAnsi="Times New Roman"/>
                <w:sz w:val="11"/>
                <w:szCs w:val="11"/>
                <w:b w:val="1"/>
                <w:bCs w:val="1"/>
                <w:color w:val="005AFF"/>
              </w:rPr>
              <w:t>1 688</w:t>
            </w:r>
          </w:p>
        </w:tc>
        <w:tc>
          <w:tcPr>
            <w:tcW w:w="260" w:type="dxa"/>
            <w:vAlign w:val="bottom"/>
          </w:tcPr>
          <w:p>
            <w:pPr>
              <w:spacing w:after="0"/>
              <w:rPr>
                <w:sz w:val="14"/>
                <w:szCs w:val="14"/>
                <w:color w:val="auto"/>
              </w:rPr>
            </w:pPr>
          </w:p>
        </w:tc>
        <w:tc>
          <w:tcPr>
            <w:tcW w:w="560" w:type="dxa"/>
            <w:vAlign w:val="bottom"/>
          </w:tcPr>
          <w:p>
            <w:pPr>
              <w:jc w:val="center"/>
              <w:ind w:right="46"/>
              <w:spacing w:after="0"/>
              <w:rPr>
                <w:sz w:val="20"/>
                <w:szCs w:val="20"/>
                <w:color w:val="auto"/>
              </w:rPr>
            </w:pPr>
            <w:r>
              <w:rPr>
                <w:rFonts w:ascii="Times New Roman" w:cs="Times New Roman" w:eastAsia="Times New Roman" w:hAnsi="Times New Roman"/>
                <w:sz w:val="11"/>
                <w:szCs w:val="11"/>
                <w:color w:val="0D0D0D"/>
              </w:rPr>
              <w:t>2 318</w:t>
            </w:r>
          </w:p>
        </w:tc>
        <w:tc>
          <w:tcPr>
            <w:tcW w:w="540" w:type="dxa"/>
            <w:vAlign w:val="bottom"/>
          </w:tcPr>
          <w:p>
            <w:pPr>
              <w:jc w:val="center"/>
              <w:ind w:left="106"/>
              <w:spacing w:after="0"/>
              <w:rPr>
                <w:sz w:val="20"/>
                <w:szCs w:val="20"/>
                <w:color w:val="auto"/>
              </w:rPr>
            </w:pPr>
            <w:r>
              <w:rPr>
                <w:rFonts w:ascii="Times New Roman" w:cs="Times New Roman" w:eastAsia="Times New Roman" w:hAnsi="Times New Roman"/>
                <w:sz w:val="11"/>
                <w:szCs w:val="11"/>
                <w:color w:val="0D0D0D"/>
              </w:rPr>
              <w:t>2 158</w:t>
            </w:r>
          </w:p>
        </w:tc>
        <w:tc>
          <w:tcPr>
            <w:tcW w:w="0" w:type="dxa"/>
            <w:vAlign w:val="bottom"/>
          </w:tcPr>
          <w:p>
            <w:pPr>
              <w:spacing w:after="0"/>
              <w:rPr>
                <w:sz w:val="1"/>
                <w:szCs w:val="1"/>
                <w:color w:val="auto"/>
              </w:rPr>
            </w:pPr>
          </w:p>
        </w:tc>
      </w:tr>
      <w:tr>
        <w:trPr>
          <w:trHeight w:val="172"/>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Operating margin</w:t>
            </w:r>
          </w:p>
        </w:tc>
        <w:tc>
          <w:tcPr>
            <w:tcW w:w="10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240" w:type="dxa"/>
            <w:vAlign w:val="bottom"/>
            <w:shd w:val="clear" w:color="auto" w:fill="F0F5FF"/>
          </w:tcPr>
          <w:p>
            <w:pPr>
              <w:spacing w:after="0"/>
              <w:rPr>
                <w:sz w:val="14"/>
                <w:szCs w:val="14"/>
                <w:color w:val="auto"/>
              </w:rPr>
            </w:pPr>
          </w:p>
        </w:tc>
        <w:tc>
          <w:tcPr>
            <w:tcW w:w="440" w:type="dxa"/>
            <w:vAlign w:val="bottom"/>
            <w:shd w:val="clear" w:color="auto" w:fill="F0F5FF"/>
          </w:tcPr>
          <w:p>
            <w:pPr>
              <w:jc w:val="center"/>
              <w:ind w:left="106"/>
              <w:spacing w:after="0"/>
              <w:rPr>
                <w:sz w:val="20"/>
                <w:szCs w:val="20"/>
                <w:color w:val="auto"/>
              </w:rPr>
            </w:pPr>
            <w:r>
              <w:rPr>
                <w:rFonts w:ascii="Times New Roman" w:cs="Times New Roman" w:eastAsia="Times New Roman" w:hAnsi="Times New Roman"/>
                <w:sz w:val="11"/>
                <w:szCs w:val="11"/>
                <w:b w:val="1"/>
                <w:bCs w:val="1"/>
                <w:color w:val="005AFF"/>
              </w:rPr>
              <w:t>7.6 %</w:t>
            </w:r>
          </w:p>
        </w:tc>
        <w:tc>
          <w:tcPr>
            <w:tcW w:w="260" w:type="dxa"/>
            <w:vAlign w:val="bottom"/>
          </w:tcPr>
          <w:p>
            <w:pPr>
              <w:spacing w:after="0"/>
              <w:rPr>
                <w:sz w:val="14"/>
                <w:szCs w:val="14"/>
                <w:color w:val="auto"/>
              </w:rPr>
            </w:pPr>
          </w:p>
        </w:tc>
        <w:tc>
          <w:tcPr>
            <w:tcW w:w="560" w:type="dxa"/>
            <w:vAlign w:val="bottom"/>
          </w:tcPr>
          <w:p>
            <w:pPr>
              <w:jc w:val="center"/>
              <w:spacing w:after="0"/>
              <w:rPr>
                <w:sz w:val="20"/>
                <w:szCs w:val="20"/>
                <w:color w:val="auto"/>
              </w:rPr>
            </w:pPr>
            <w:r>
              <w:rPr>
                <w:rFonts w:ascii="Times New Roman" w:cs="Times New Roman" w:eastAsia="Times New Roman" w:hAnsi="Times New Roman"/>
                <w:sz w:val="11"/>
                <w:szCs w:val="11"/>
                <w:i w:val="1"/>
                <w:iCs w:val="1"/>
                <w:color w:val="0D0D0D"/>
              </w:rPr>
              <w:t>9.3 %</w:t>
            </w:r>
          </w:p>
        </w:tc>
        <w:tc>
          <w:tcPr>
            <w:tcW w:w="540" w:type="dxa"/>
            <w:vAlign w:val="bottom"/>
          </w:tcPr>
          <w:p>
            <w:pPr>
              <w:jc w:val="center"/>
              <w:ind w:left="186"/>
              <w:spacing w:after="0"/>
              <w:rPr>
                <w:sz w:val="20"/>
                <w:szCs w:val="20"/>
                <w:color w:val="auto"/>
              </w:rPr>
            </w:pPr>
            <w:r>
              <w:rPr>
                <w:rFonts w:ascii="Times New Roman" w:cs="Times New Roman" w:eastAsia="Times New Roman" w:hAnsi="Times New Roman"/>
                <w:sz w:val="11"/>
                <w:szCs w:val="11"/>
                <w:i w:val="1"/>
                <w:iCs w:val="1"/>
                <w:color w:val="0D0D0D"/>
              </w:rPr>
              <w:t>9.7 %</w:t>
            </w:r>
          </w:p>
        </w:tc>
        <w:tc>
          <w:tcPr>
            <w:tcW w:w="0" w:type="dxa"/>
            <w:vAlign w:val="bottom"/>
          </w:tcPr>
          <w:p>
            <w:pPr>
              <w:spacing w:after="0"/>
              <w:rPr>
                <w:sz w:val="1"/>
                <w:szCs w:val="1"/>
                <w:color w:val="auto"/>
              </w:rPr>
            </w:pPr>
          </w:p>
        </w:tc>
      </w:tr>
      <w:tr>
        <w:trPr>
          <w:trHeight w:val="178"/>
        </w:trPr>
        <w:tc>
          <w:tcPr>
            <w:tcW w:w="1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1"/>
                <w:szCs w:val="11"/>
                <w:color w:val="0D0D0D"/>
              </w:rPr>
              <w:t xml:space="preserve">Profit for the year  </w:t>
            </w:r>
            <w:r>
              <w:rPr>
                <w:rFonts w:ascii="Times New Roman" w:cs="Times New Roman" w:eastAsia="Times New Roman" w:hAnsi="Times New Roman"/>
                <w:sz w:val="14"/>
                <w:szCs w:val="14"/>
                <w:color w:val="0D0D0D"/>
                <w:vertAlign w:val="superscript"/>
              </w:rPr>
              <w:t>(1)</w:t>
            </w:r>
          </w:p>
        </w:tc>
        <w:tc>
          <w:tcPr>
            <w:tcW w:w="1060" w:type="dxa"/>
            <w:vAlign w:val="bottom"/>
            <w:tcBorders>
              <w:bottom w:val="single" w:sz="8" w:color="005AFF"/>
            </w:tcBorders>
          </w:tcPr>
          <w:p>
            <w:pPr>
              <w:spacing w:after="0"/>
              <w:rPr>
                <w:sz w:val="15"/>
                <w:szCs w:val="15"/>
                <w:color w:val="auto"/>
              </w:rPr>
            </w:pPr>
          </w:p>
        </w:tc>
        <w:tc>
          <w:tcPr>
            <w:tcW w:w="460" w:type="dxa"/>
            <w:vAlign w:val="bottom"/>
            <w:tcBorders>
              <w:bottom w:val="single" w:sz="8" w:color="005AFF"/>
            </w:tcBorders>
          </w:tcPr>
          <w:p>
            <w:pPr>
              <w:spacing w:after="0"/>
              <w:rPr>
                <w:sz w:val="15"/>
                <w:szCs w:val="15"/>
                <w:color w:val="auto"/>
              </w:rPr>
            </w:pPr>
          </w:p>
        </w:tc>
        <w:tc>
          <w:tcPr>
            <w:tcW w:w="240" w:type="dxa"/>
            <w:vAlign w:val="bottom"/>
            <w:tcBorders>
              <w:bottom w:val="single" w:sz="8" w:color="005AFF"/>
            </w:tcBorders>
            <w:shd w:val="clear" w:color="auto" w:fill="F0F5FF"/>
          </w:tcPr>
          <w:p>
            <w:pPr>
              <w:spacing w:after="0"/>
              <w:rPr>
                <w:sz w:val="15"/>
                <w:szCs w:val="15"/>
                <w:color w:val="auto"/>
              </w:rPr>
            </w:pPr>
          </w:p>
        </w:tc>
        <w:tc>
          <w:tcPr>
            <w:tcW w:w="4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1"/>
                <w:szCs w:val="11"/>
                <w:b w:val="1"/>
                <w:bCs w:val="1"/>
                <w:color w:val="005AFF"/>
              </w:rPr>
              <w:t>674</w:t>
            </w:r>
          </w:p>
        </w:tc>
        <w:tc>
          <w:tcPr>
            <w:tcW w:w="260" w:type="dxa"/>
            <w:vAlign w:val="bottom"/>
            <w:tcBorders>
              <w:bottom w:val="single" w:sz="8" w:color="005AFF"/>
            </w:tcBorders>
          </w:tcPr>
          <w:p>
            <w:pPr>
              <w:spacing w:after="0"/>
              <w:rPr>
                <w:sz w:val="15"/>
                <w:szCs w:val="15"/>
                <w:color w:val="auto"/>
              </w:rPr>
            </w:pPr>
          </w:p>
        </w:tc>
        <w:tc>
          <w:tcPr>
            <w:tcW w:w="560" w:type="dxa"/>
            <w:vAlign w:val="bottom"/>
            <w:tcBorders>
              <w:bottom w:val="single" w:sz="8" w:color="005AFF"/>
            </w:tcBorders>
          </w:tcPr>
          <w:p>
            <w:pPr>
              <w:jc w:val="center"/>
              <w:ind w:right="46"/>
              <w:spacing w:after="0"/>
              <w:rPr>
                <w:sz w:val="20"/>
                <w:szCs w:val="20"/>
                <w:color w:val="auto"/>
              </w:rPr>
            </w:pPr>
            <w:r>
              <w:rPr>
                <w:rFonts w:ascii="Times New Roman" w:cs="Times New Roman" w:eastAsia="Times New Roman" w:hAnsi="Times New Roman"/>
                <w:sz w:val="11"/>
                <w:szCs w:val="11"/>
                <w:color w:val="0D0D0D"/>
              </w:rPr>
              <w:t>4 210</w:t>
            </w:r>
          </w:p>
        </w:tc>
        <w:tc>
          <w:tcPr>
            <w:tcW w:w="540" w:type="dxa"/>
            <w:vAlign w:val="bottom"/>
            <w:tcBorders>
              <w:bottom w:val="single" w:sz="8" w:color="005AFF"/>
            </w:tcBorders>
          </w:tcPr>
          <w:p>
            <w:pPr>
              <w:jc w:val="center"/>
              <w:ind w:left="106"/>
              <w:spacing w:after="0"/>
              <w:rPr>
                <w:sz w:val="20"/>
                <w:szCs w:val="20"/>
                <w:color w:val="auto"/>
              </w:rPr>
            </w:pPr>
            <w:r>
              <w:rPr>
                <w:rFonts w:ascii="Times New Roman" w:cs="Times New Roman" w:eastAsia="Times New Roman" w:hAnsi="Times New Roman"/>
                <w:sz w:val="11"/>
                <w:szCs w:val="11"/>
                <w:color w:val="0D0D0D"/>
              </w:rPr>
              <w:t>1 654</w:t>
            </w:r>
          </w:p>
        </w:tc>
        <w:tc>
          <w:tcPr>
            <w:tcW w:w="0" w:type="dxa"/>
            <w:vAlign w:val="bottom"/>
          </w:tcPr>
          <w:p>
            <w:pPr>
              <w:spacing w:after="0"/>
              <w:rPr>
                <w:sz w:val="1"/>
                <w:szCs w:val="1"/>
                <w:color w:val="auto"/>
              </w:rPr>
            </w:pPr>
          </w:p>
        </w:tc>
      </w:tr>
      <w:tr>
        <w:trPr>
          <w:trHeight w:val="108"/>
        </w:trPr>
        <w:tc>
          <w:tcPr>
            <w:tcW w:w="1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w:t>
            </w:r>
          </w:p>
        </w:tc>
        <w:tc>
          <w:tcPr>
            <w:tcW w:w="1060" w:type="dxa"/>
            <w:vAlign w:val="bottom"/>
            <w:tcBorders>
              <w:bottom w:val="single" w:sz="8" w:color="005AFF"/>
            </w:tcBorders>
          </w:tcPr>
          <w:p>
            <w:pPr>
              <w:spacing w:after="0"/>
              <w:rPr>
                <w:sz w:val="9"/>
                <w:szCs w:val="9"/>
                <w:color w:val="auto"/>
              </w:rPr>
            </w:pPr>
          </w:p>
        </w:tc>
        <w:tc>
          <w:tcPr>
            <w:tcW w:w="460" w:type="dxa"/>
            <w:vAlign w:val="bottom"/>
            <w:tcBorders>
              <w:bottom w:val="single" w:sz="8" w:color="005AFF"/>
            </w:tcBorders>
          </w:tcPr>
          <w:p>
            <w:pPr>
              <w:spacing w:after="0"/>
              <w:rPr>
                <w:sz w:val="9"/>
                <w:szCs w:val="9"/>
                <w:color w:val="auto"/>
              </w:rPr>
            </w:pPr>
          </w:p>
        </w:tc>
        <w:tc>
          <w:tcPr>
            <w:tcW w:w="240" w:type="dxa"/>
            <w:vAlign w:val="bottom"/>
            <w:tcBorders>
              <w:bottom w:val="single" w:sz="8" w:color="005AFF"/>
            </w:tcBorders>
          </w:tcPr>
          <w:p>
            <w:pPr>
              <w:spacing w:after="0"/>
              <w:rPr>
                <w:sz w:val="9"/>
                <w:szCs w:val="9"/>
                <w:color w:val="auto"/>
              </w:rPr>
            </w:pPr>
          </w:p>
        </w:tc>
        <w:tc>
          <w:tcPr>
            <w:tcW w:w="440" w:type="dxa"/>
            <w:vAlign w:val="bottom"/>
            <w:tcBorders>
              <w:bottom w:val="single" w:sz="8" w:color="005AFF"/>
            </w:tcBorders>
          </w:tcPr>
          <w:p>
            <w:pPr>
              <w:spacing w:after="0"/>
              <w:rPr>
                <w:sz w:val="9"/>
                <w:szCs w:val="9"/>
                <w:color w:val="auto"/>
              </w:rPr>
            </w:pPr>
          </w:p>
        </w:tc>
        <w:tc>
          <w:tcPr>
            <w:tcW w:w="260" w:type="dxa"/>
            <w:vAlign w:val="bottom"/>
            <w:tcBorders>
              <w:bottom w:val="single" w:sz="8" w:color="005AFF"/>
            </w:tcBorders>
          </w:tcPr>
          <w:p>
            <w:pPr>
              <w:spacing w:after="0"/>
              <w:rPr>
                <w:sz w:val="9"/>
                <w:szCs w:val="9"/>
                <w:color w:val="auto"/>
              </w:rPr>
            </w:pPr>
          </w:p>
        </w:tc>
        <w:tc>
          <w:tcPr>
            <w:tcW w:w="56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spacing w:after="0"/>
              <w:rPr>
                <w:sz w:val="9"/>
                <w:szCs w:val="9"/>
                <w:color w:val="auto"/>
              </w:rPr>
            </w:pPr>
          </w:p>
        </w:tc>
        <w:tc>
          <w:tcPr>
            <w:tcW w:w="0" w:type="dxa"/>
            <w:vAlign w:val="bottom"/>
          </w:tcPr>
          <w:p>
            <w:pPr>
              <w:spacing w:after="0"/>
              <w:rPr>
                <w:sz w:val="1"/>
                <w:szCs w:val="1"/>
                <w:color w:val="auto"/>
              </w:rPr>
            </w:pPr>
          </w:p>
        </w:tc>
      </w:tr>
      <w:tr>
        <w:trPr>
          <w:trHeight w:val="96"/>
        </w:trPr>
        <w:tc>
          <w:tcPr>
            <w:tcW w:w="1380" w:type="dxa"/>
            <w:vAlign w:val="bottom"/>
            <w:vMerge w:val="restart"/>
          </w:tcPr>
          <w:p>
            <w:pPr>
              <w:ind w:left="40"/>
              <w:spacing w:after="0"/>
              <w:rPr>
                <w:sz w:val="20"/>
                <w:szCs w:val="20"/>
                <w:color w:val="auto"/>
              </w:rPr>
            </w:pPr>
            <w:r>
              <w:rPr>
                <w:rFonts w:ascii="Times New Roman" w:cs="Times New Roman" w:eastAsia="Times New Roman" w:hAnsi="Times New Roman"/>
                <w:sz w:val="11"/>
                <w:szCs w:val="11"/>
                <w:color w:val="auto"/>
              </w:rPr>
              <w:t>Earnings per share, diluted</w:t>
            </w:r>
          </w:p>
        </w:tc>
        <w:tc>
          <w:tcPr>
            <w:tcW w:w="1060" w:type="dxa"/>
            <w:vAlign w:val="bottom"/>
          </w:tcPr>
          <w:p>
            <w:pPr>
              <w:jc w:val="right"/>
              <w:ind w:right="923"/>
              <w:spacing w:after="0"/>
              <w:rPr>
                <w:sz w:val="20"/>
                <w:szCs w:val="20"/>
                <w:color w:val="auto"/>
              </w:rPr>
            </w:pPr>
            <w:r>
              <w:rPr>
                <w:rFonts w:ascii="Times New Roman" w:cs="Times New Roman" w:eastAsia="Times New Roman" w:hAnsi="Times New Roman"/>
                <w:sz w:val="7"/>
                <w:szCs w:val="7"/>
                <w:color w:val="auto"/>
                <w:w w:val="97"/>
              </w:rPr>
              <w:t>(1)</w:t>
            </w:r>
          </w:p>
        </w:tc>
        <w:tc>
          <w:tcPr>
            <w:tcW w:w="460" w:type="dxa"/>
            <w:vAlign w:val="bottom"/>
          </w:tcPr>
          <w:p>
            <w:pPr>
              <w:spacing w:after="0"/>
              <w:rPr>
                <w:sz w:val="8"/>
                <w:szCs w:val="8"/>
                <w:color w:val="auto"/>
              </w:rPr>
            </w:pPr>
          </w:p>
        </w:tc>
        <w:tc>
          <w:tcPr>
            <w:tcW w:w="240" w:type="dxa"/>
            <w:vAlign w:val="bottom"/>
            <w:shd w:val="clear" w:color="auto" w:fill="F0F5FF"/>
          </w:tcPr>
          <w:p>
            <w:pPr>
              <w:spacing w:after="0"/>
              <w:rPr>
                <w:sz w:val="8"/>
                <w:szCs w:val="8"/>
                <w:color w:val="auto"/>
              </w:rPr>
            </w:pPr>
          </w:p>
        </w:tc>
        <w:tc>
          <w:tcPr>
            <w:tcW w:w="440" w:type="dxa"/>
            <w:vAlign w:val="bottom"/>
            <w:vMerge w:val="restart"/>
            <w:shd w:val="clear" w:color="auto" w:fill="F0F5FF"/>
          </w:tcPr>
          <w:p>
            <w:pPr>
              <w:jc w:val="center"/>
              <w:ind w:left="106"/>
              <w:spacing w:after="0"/>
              <w:rPr>
                <w:sz w:val="20"/>
                <w:szCs w:val="20"/>
                <w:color w:val="auto"/>
              </w:rPr>
            </w:pPr>
            <w:r>
              <w:rPr>
                <w:rFonts w:ascii="Times New Roman" w:cs="Times New Roman" w:eastAsia="Times New Roman" w:hAnsi="Times New Roman"/>
                <w:sz w:val="11"/>
                <w:szCs w:val="11"/>
                <w:b w:val="1"/>
                <w:bCs w:val="1"/>
                <w:color w:val="005AFF"/>
              </w:rPr>
              <w:t>0.12</w:t>
            </w:r>
          </w:p>
        </w:tc>
        <w:tc>
          <w:tcPr>
            <w:tcW w:w="260" w:type="dxa"/>
            <w:vAlign w:val="bottom"/>
          </w:tcPr>
          <w:p>
            <w:pPr>
              <w:spacing w:after="0"/>
              <w:rPr>
                <w:sz w:val="8"/>
                <w:szCs w:val="8"/>
                <w:color w:val="auto"/>
              </w:rPr>
            </w:pPr>
          </w:p>
        </w:tc>
        <w:tc>
          <w:tcPr>
            <w:tcW w:w="560" w:type="dxa"/>
            <w:vAlign w:val="bottom"/>
            <w:vMerge w:val="restart"/>
          </w:tcPr>
          <w:p>
            <w:pPr>
              <w:jc w:val="center"/>
              <w:spacing w:after="0"/>
              <w:rPr>
                <w:sz w:val="20"/>
                <w:szCs w:val="20"/>
                <w:color w:val="auto"/>
              </w:rPr>
            </w:pPr>
            <w:r>
              <w:rPr>
                <w:rFonts w:ascii="Times New Roman" w:cs="Times New Roman" w:eastAsia="Times New Roman" w:hAnsi="Times New Roman"/>
                <w:sz w:val="11"/>
                <w:szCs w:val="11"/>
                <w:color w:val="0D0D0D"/>
              </w:rPr>
              <w:t>0.74</w:t>
            </w:r>
          </w:p>
        </w:tc>
        <w:tc>
          <w:tcPr>
            <w:tcW w:w="540" w:type="dxa"/>
            <w:vAlign w:val="bottom"/>
            <w:vMerge w:val="restart"/>
          </w:tcPr>
          <w:p>
            <w:pPr>
              <w:jc w:val="center"/>
              <w:ind w:left="206"/>
              <w:spacing w:after="0"/>
              <w:rPr>
                <w:sz w:val="20"/>
                <w:szCs w:val="20"/>
                <w:color w:val="auto"/>
              </w:rPr>
            </w:pPr>
            <w:r>
              <w:rPr>
                <w:rFonts w:ascii="Times New Roman" w:cs="Times New Roman" w:eastAsia="Times New Roman" w:hAnsi="Times New Roman"/>
                <w:sz w:val="11"/>
                <w:szCs w:val="11"/>
                <w:color w:val="0D0D0D"/>
              </w:rPr>
              <w:t>0.29</w:t>
            </w:r>
          </w:p>
        </w:tc>
        <w:tc>
          <w:tcPr>
            <w:tcW w:w="0" w:type="dxa"/>
            <w:vAlign w:val="bottom"/>
          </w:tcPr>
          <w:p>
            <w:pPr>
              <w:spacing w:after="0"/>
              <w:rPr>
                <w:sz w:val="1"/>
                <w:szCs w:val="1"/>
                <w:color w:val="auto"/>
              </w:rPr>
            </w:pPr>
          </w:p>
        </w:tc>
      </w:tr>
      <w:tr>
        <w:trPr>
          <w:trHeight w:val="52"/>
        </w:trPr>
        <w:tc>
          <w:tcPr>
            <w:tcW w:w="1380" w:type="dxa"/>
            <w:vAlign w:val="bottom"/>
            <w:vMerge w:val="continue"/>
          </w:tcPr>
          <w:p>
            <w:pPr>
              <w:spacing w:after="0"/>
              <w:rPr>
                <w:sz w:val="4"/>
                <w:szCs w:val="4"/>
                <w:color w:val="auto"/>
              </w:rPr>
            </w:pPr>
          </w:p>
        </w:tc>
        <w:tc>
          <w:tcPr>
            <w:tcW w:w="1060" w:type="dxa"/>
            <w:vAlign w:val="bottom"/>
          </w:tcPr>
          <w:p>
            <w:pPr>
              <w:spacing w:after="0"/>
              <w:rPr>
                <w:sz w:val="4"/>
                <w:szCs w:val="4"/>
                <w:color w:val="auto"/>
              </w:rPr>
            </w:pPr>
          </w:p>
        </w:tc>
        <w:tc>
          <w:tcPr>
            <w:tcW w:w="460" w:type="dxa"/>
            <w:vAlign w:val="bottom"/>
          </w:tcPr>
          <w:p>
            <w:pPr>
              <w:spacing w:after="0"/>
              <w:rPr>
                <w:sz w:val="4"/>
                <w:szCs w:val="4"/>
                <w:color w:val="auto"/>
              </w:rPr>
            </w:pPr>
          </w:p>
        </w:tc>
        <w:tc>
          <w:tcPr>
            <w:tcW w:w="240" w:type="dxa"/>
            <w:vAlign w:val="bottom"/>
            <w:shd w:val="clear" w:color="auto" w:fill="F0F5FF"/>
          </w:tcPr>
          <w:p>
            <w:pPr>
              <w:spacing w:after="0"/>
              <w:rPr>
                <w:sz w:val="4"/>
                <w:szCs w:val="4"/>
                <w:color w:val="auto"/>
              </w:rPr>
            </w:pPr>
          </w:p>
        </w:tc>
        <w:tc>
          <w:tcPr>
            <w:tcW w:w="440" w:type="dxa"/>
            <w:vAlign w:val="bottom"/>
            <w:vMerge w:val="continue"/>
            <w:shd w:val="clear" w:color="auto" w:fill="F0F5FF"/>
          </w:tcPr>
          <w:p>
            <w:pPr>
              <w:spacing w:after="0"/>
              <w:rPr>
                <w:sz w:val="4"/>
                <w:szCs w:val="4"/>
                <w:color w:val="auto"/>
              </w:rPr>
            </w:pPr>
          </w:p>
        </w:tc>
        <w:tc>
          <w:tcPr>
            <w:tcW w:w="260" w:type="dxa"/>
            <w:vAlign w:val="bottom"/>
          </w:tcPr>
          <w:p>
            <w:pPr>
              <w:spacing w:after="0"/>
              <w:rPr>
                <w:sz w:val="4"/>
                <w:szCs w:val="4"/>
                <w:color w:val="auto"/>
              </w:rPr>
            </w:pPr>
          </w:p>
        </w:tc>
        <w:tc>
          <w:tcPr>
            <w:tcW w:w="560" w:type="dxa"/>
            <w:vAlign w:val="bottom"/>
            <w:vMerge w:val="continue"/>
          </w:tcPr>
          <w:p>
            <w:pPr>
              <w:spacing w:after="0"/>
              <w:rPr>
                <w:sz w:val="4"/>
                <w:szCs w:val="4"/>
                <w:color w:val="auto"/>
              </w:rPr>
            </w:pPr>
          </w:p>
        </w:tc>
        <w:tc>
          <w:tcPr>
            <w:tcW w:w="5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75"/>
        </w:trPr>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0D0D0D"/>
              </w:rPr>
              <w:t>Proposed dividend per share</w:t>
            </w:r>
          </w:p>
        </w:tc>
        <w:tc>
          <w:tcPr>
            <w:tcW w:w="1060" w:type="dxa"/>
            <w:vAlign w:val="bottom"/>
          </w:tcPr>
          <w:p>
            <w:pPr>
              <w:jc w:val="right"/>
              <w:ind w:right="823"/>
              <w:spacing w:after="0"/>
              <w:rPr>
                <w:sz w:val="20"/>
                <w:szCs w:val="20"/>
                <w:color w:val="auto"/>
              </w:rPr>
            </w:pPr>
            <w:r>
              <w:rPr>
                <w:rFonts w:ascii="Times New Roman" w:cs="Times New Roman" w:eastAsia="Times New Roman" w:hAnsi="Times New Roman"/>
                <w:sz w:val="7"/>
                <w:szCs w:val="7"/>
                <w:color w:val="0D0D0D"/>
              </w:rPr>
              <w:t>(2)</w:t>
            </w:r>
          </w:p>
        </w:tc>
        <w:tc>
          <w:tcPr>
            <w:tcW w:w="460" w:type="dxa"/>
            <w:vAlign w:val="bottom"/>
          </w:tcPr>
          <w:p>
            <w:pPr>
              <w:spacing w:after="0"/>
              <w:rPr>
                <w:sz w:val="15"/>
                <w:szCs w:val="15"/>
                <w:color w:val="auto"/>
              </w:rPr>
            </w:pPr>
          </w:p>
        </w:tc>
        <w:tc>
          <w:tcPr>
            <w:tcW w:w="240" w:type="dxa"/>
            <w:vAlign w:val="bottom"/>
            <w:tcBorders>
              <w:bottom w:val="single" w:sz="8" w:color="F0F5FF"/>
            </w:tcBorders>
            <w:shd w:val="clear" w:color="auto" w:fill="F0F5FF"/>
          </w:tcPr>
          <w:p>
            <w:pPr>
              <w:spacing w:after="0"/>
              <w:rPr>
                <w:sz w:val="15"/>
                <w:szCs w:val="15"/>
                <w:color w:val="auto"/>
              </w:rPr>
            </w:pPr>
          </w:p>
        </w:tc>
        <w:tc>
          <w:tcPr>
            <w:tcW w:w="440" w:type="dxa"/>
            <w:vAlign w:val="bottom"/>
            <w:tcBorders>
              <w:bottom w:val="single" w:sz="8" w:color="F0F5FF"/>
            </w:tcBorders>
            <w:shd w:val="clear" w:color="auto" w:fill="F0F5FF"/>
          </w:tcPr>
          <w:p>
            <w:pPr>
              <w:jc w:val="center"/>
              <w:ind w:left="106"/>
              <w:spacing w:after="0"/>
              <w:rPr>
                <w:sz w:val="20"/>
                <w:szCs w:val="20"/>
                <w:color w:val="auto"/>
              </w:rPr>
            </w:pPr>
            <w:r>
              <w:rPr>
                <w:rFonts w:ascii="Times New Roman" w:cs="Times New Roman" w:eastAsia="Times New Roman" w:hAnsi="Times New Roman"/>
                <w:sz w:val="11"/>
                <w:szCs w:val="11"/>
                <w:b w:val="1"/>
                <w:bCs w:val="1"/>
                <w:color w:val="005AFF"/>
              </w:rPr>
              <w:t>0.13</w:t>
            </w:r>
          </w:p>
        </w:tc>
        <w:tc>
          <w:tcPr>
            <w:tcW w:w="260" w:type="dxa"/>
            <w:vAlign w:val="bottom"/>
          </w:tcPr>
          <w:p>
            <w:pPr>
              <w:spacing w:after="0"/>
              <w:rPr>
                <w:sz w:val="15"/>
                <w:szCs w:val="15"/>
                <w:color w:val="auto"/>
              </w:rPr>
            </w:pPr>
          </w:p>
        </w:tc>
        <w:tc>
          <w:tcPr>
            <w:tcW w:w="560" w:type="dxa"/>
            <w:vAlign w:val="bottom"/>
          </w:tcPr>
          <w:p>
            <w:pPr>
              <w:jc w:val="center"/>
              <w:spacing w:after="0"/>
              <w:rPr>
                <w:sz w:val="20"/>
                <w:szCs w:val="20"/>
                <w:color w:val="auto"/>
              </w:rPr>
            </w:pPr>
            <w:r>
              <w:rPr>
                <w:rFonts w:ascii="Times New Roman" w:cs="Times New Roman" w:eastAsia="Times New Roman" w:hAnsi="Times New Roman"/>
                <w:sz w:val="11"/>
                <w:szCs w:val="11"/>
                <w:color w:val="0D0D0D"/>
              </w:rPr>
              <w:t>0.12</w:t>
            </w:r>
          </w:p>
        </w:tc>
        <w:tc>
          <w:tcPr>
            <w:tcW w:w="540" w:type="dxa"/>
            <w:vAlign w:val="bottom"/>
          </w:tcPr>
          <w:p>
            <w:pPr>
              <w:jc w:val="center"/>
              <w:ind w:left="206"/>
              <w:spacing w:after="0"/>
              <w:rPr>
                <w:sz w:val="20"/>
                <w:szCs w:val="20"/>
                <w:color w:val="auto"/>
              </w:rPr>
            </w:pPr>
            <w:r>
              <w:rPr>
                <w:rFonts w:ascii="Times New Roman" w:cs="Times New Roman" w:eastAsia="Times New Roman" w:hAnsi="Times New Roman"/>
                <w:sz w:val="11"/>
                <w:szCs w:val="11"/>
                <w:color w:val="0D0D0D"/>
              </w:rPr>
              <w:t>0.08</w:t>
            </w:r>
          </w:p>
        </w:tc>
        <w:tc>
          <w:tcPr>
            <w:tcW w:w="0" w:type="dxa"/>
            <w:vAlign w:val="bottom"/>
          </w:tcPr>
          <w:p>
            <w:pPr>
              <w:spacing w:after="0"/>
              <w:rPr>
                <w:sz w:val="1"/>
                <w:szCs w:val="1"/>
                <w:color w:val="auto"/>
              </w:rPr>
            </w:pPr>
          </w:p>
        </w:tc>
      </w:tr>
      <w:tr>
        <w:trPr>
          <w:trHeight w:val="258"/>
        </w:trPr>
        <w:tc>
          <w:tcPr>
            <w:tcW w:w="1380" w:type="dxa"/>
            <w:vAlign w:val="bottom"/>
            <w:tcBorders>
              <w:top w:val="single" w:sz="8" w:color="005AFF"/>
            </w:tcBorders>
          </w:tcPr>
          <w:p>
            <w:pPr>
              <w:ind w:left="40"/>
              <w:spacing w:after="0"/>
              <w:rPr>
                <w:sz w:val="20"/>
                <w:szCs w:val="20"/>
                <w:color w:val="auto"/>
              </w:rPr>
            </w:pPr>
            <w:r>
              <w:rPr>
                <w:rFonts w:ascii="Times New Roman" w:cs="Times New Roman" w:eastAsia="Times New Roman" w:hAnsi="Times New Roman"/>
                <w:sz w:val="11"/>
                <w:szCs w:val="11"/>
                <w:b w:val="1"/>
                <w:bCs w:val="1"/>
                <w:color w:val="005AFF"/>
              </w:rPr>
              <w:t>At 31 December</w:t>
            </w:r>
          </w:p>
        </w:tc>
        <w:tc>
          <w:tcPr>
            <w:tcW w:w="1060" w:type="dxa"/>
            <w:vAlign w:val="bottom"/>
            <w:tcBorders>
              <w:top w:val="single" w:sz="8" w:color="005AFF"/>
            </w:tcBorders>
          </w:tcPr>
          <w:p>
            <w:pPr>
              <w:spacing w:after="0"/>
              <w:rPr>
                <w:sz w:val="22"/>
                <w:szCs w:val="22"/>
                <w:color w:val="auto"/>
              </w:rPr>
            </w:pPr>
          </w:p>
        </w:tc>
        <w:tc>
          <w:tcPr>
            <w:tcW w:w="460" w:type="dxa"/>
            <w:vAlign w:val="bottom"/>
            <w:tcBorders>
              <w:top w:val="single" w:sz="8" w:color="005AFF"/>
            </w:tcBorders>
          </w:tcPr>
          <w:p>
            <w:pPr>
              <w:spacing w:after="0"/>
              <w:rPr>
                <w:sz w:val="22"/>
                <w:szCs w:val="22"/>
                <w:color w:val="auto"/>
              </w:rPr>
            </w:pPr>
          </w:p>
        </w:tc>
        <w:tc>
          <w:tcPr>
            <w:tcW w:w="240" w:type="dxa"/>
            <w:vAlign w:val="bottom"/>
            <w:tcBorders>
              <w:top w:val="single" w:sz="8" w:color="005AFF"/>
            </w:tcBorders>
          </w:tcPr>
          <w:p>
            <w:pPr>
              <w:spacing w:after="0"/>
              <w:rPr>
                <w:sz w:val="22"/>
                <w:szCs w:val="22"/>
                <w:color w:val="auto"/>
              </w:rPr>
            </w:pPr>
          </w:p>
        </w:tc>
        <w:tc>
          <w:tcPr>
            <w:tcW w:w="440" w:type="dxa"/>
            <w:vAlign w:val="bottom"/>
            <w:tcBorders>
              <w:top w:val="single" w:sz="8" w:color="005AFF"/>
            </w:tcBorders>
          </w:tcPr>
          <w:p>
            <w:pPr>
              <w:spacing w:after="0"/>
              <w:rPr>
                <w:sz w:val="22"/>
                <w:szCs w:val="22"/>
                <w:color w:val="auto"/>
              </w:rPr>
            </w:pPr>
          </w:p>
        </w:tc>
        <w:tc>
          <w:tcPr>
            <w:tcW w:w="260" w:type="dxa"/>
            <w:vAlign w:val="bottom"/>
            <w:tcBorders>
              <w:top w:val="single" w:sz="8" w:color="005AFF"/>
            </w:tcBorders>
          </w:tcPr>
          <w:p>
            <w:pPr>
              <w:spacing w:after="0"/>
              <w:rPr>
                <w:sz w:val="22"/>
                <w:szCs w:val="22"/>
                <w:color w:val="auto"/>
              </w:rPr>
            </w:pPr>
          </w:p>
        </w:tc>
        <w:tc>
          <w:tcPr>
            <w:tcW w:w="560" w:type="dxa"/>
            <w:vAlign w:val="bottom"/>
            <w:tcBorders>
              <w:top w:val="single" w:sz="8" w:color="005AFF"/>
            </w:tcBorders>
          </w:tcPr>
          <w:p>
            <w:pPr>
              <w:spacing w:after="0"/>
              <w:rPr>
                <w:sz w:val="22"/>
                <w:szCs w:val="22"/>
                <w:color w:val="auto"/>
              </w:rPr>
            </w:pPr>
          </w:p>
        </w:tc>
        <w:tc>
          <w:tcPr>
            <w:tcW w:w="540" w:type="dxa"/>
            <w:vAlign w:val="bottom"/>
            <w:tcBorders>
              <w:top w:val="single" w:sz="8" w:color="005AFF"/>
            </w:tcBorders>
          </w:tcPr>
          <w:p>
            <w:pPr>
              <w:spacing w:after="0"/>
              <w:rPr>
                <w:sz w:val="22"/>
                <w:szCs w:val="22"/>
                <w:color w:val="auto"/>
              </w:rPr>
            </w:pPr>
          </w:p>
        </w:tc>
        <w:tc>
          <w:tcPr>
            <w:tcW w:w="0" w:type="dxa"/>
            <w:vAlign w:val="bottom"/>
          </w:tcPr>
          <w:p>
            <w:pPr>
              <w:spacing w:after="0"/>
              <w:rPr>
                <w:sz w:val="1"/>
                <w:szCs w:val="1"/>
                <w:color w:val="auto"/>
              </w:rPr>
            </w:pPr>
          </w:p>
        </w:tc>
      </w:tr>
      <w:tr>
        <w:trPr>
          <w:trHeight w:val="137"/>
        </w:trPr>
        <w:tc>
          <w:tcPr>
            <w:tcW w:w="1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060" w:type="dxa"/>
            <w:vAlign w:val="bottom"/>
            <w:tcBorders>
              <w:bottom w:val="single" w:sz="8" w:color="005AFF"/>
            </w:tcBorders>
          </w:tcPr>
          <w:p>
            <w:pPr>
              <w:spacing w:after="0"/>
              <w:rPr>
                <w:sz w:val="11"/>
                <w:szCs w:val="11"/>
                <w:color w:val="auto"/>
              </w:rPr>
            </w:pPr>
          </w:p>
        </w:tc>
        <w:tc>
          <w:tcPr>
            <w:tcW w:w="460" w:type="dxa"/>
            <w:vAlign w:val="bottom"/>
            <w:tcBorders>
              <w:bottom w:val="single" w:sz="8" w:color="005AFF"/>
            </w:tcBorders>
          </w:tcPr>
          <w:p>
            <w:pPr>
              <w:spacing w:after="0"/>
              <w:rPr>
                <w:sz w:val="11"/>
                <w:szCs w:val="11"/>
                <w:color w:val="auto"/>
              </w:rPr>
            </w:pPr>
          </w:p>
        </w:tc>
        <w:tc>
          <w:tcPr>
            <w:tcW w:w="240" w:type="dxa"/>
            <w:vAlign w:val="bottom"/>
            <w:tcBorders>
              <w:bottom w:val="single" w:sz="8" w:color="005AFF"/>
            </w:tcBorders>
          </w:tcPr>
          <w:p>
            <w:pPr>
              <w:spacing w:after="0"/>
              <w:rPr>
                <w:sz w:val="11"/>
                <w:szCs w:val="11"/>
                <w:color w:val="auto"/>
              </w:rPr>
            </w:pPr>
          </w:p>
        </w:tc>
        <w:tc>
          <w:tcPr>
            <w:tcW w:w="440" w:type="dxa"/>
            <w:vAlign w:val="bottom"/>
            <w:tcBorders>
              <w:bottom w:val="single" w:sz="8" w:color="005AFF"/>
            </w:tcBorders>
          </w:tcPr>
          <w:p>
            <w:pPr>
              <w:jc w:val="center"/>
              <w:ind w:left="106"/>
              <w:spacing w:after="0"/>
              <w:rPr>
                <w:sz w:val="20"/>
                <w:szCs w:val="20"/>
                <w:color w:val="auto"/>
              </w:rPr>
            </w:pPr>
            <w:r>
              <w:rPr>
                <w:rFonts w:ascii="Times New Roman" w:cs="Times New Roman" w:eastAsia="Times New Roman" w:hAnsi="Times New Roman"/>
                <w:sz w:val="8"/>
                <w:szCs w:val="8"/>
                <w:b w:val="1"/>
                <w:bCs w:val="1"/>
                <w:color w:val="005AFF"/>
                <w:w w:val="99"/>
              </w:rPr>
              <w:t>2023</w:t>
            </w:r>
          </w:p>
        </w:tc>
        <w:tc>
          <w:tcPr>
            <w:tcW w:w="260" w:type="dxa"/>
            <w:vAlign w:val="bottom"/>
            <w:tcBorders>
              <w:bottom w:val="single" w:sz="8" w:color="005AFF"/>
            </w:tcBorders>
          </w:tcPr>
          <w:p>
            <w:pPr>
              <w:spacing w:after="0"/>
              <w:rPr>
                <w:sz w:val="11"/>
                <w:szCs w:val="11"/>
                <w:color w:val="auto"/>
              </w:rPr>
            </w:pPr>
          </w:p>
        </w:tc>
        <w:tc>
          <w:tcPr>
            <w:tcW w:w="56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8"/>
                <w:szCs w:val="8"/>
                <w:b w:val="1"/>
                <w:bCs w:val="1"/>
                <w:color w:val="005AFF"/>
                <w:w w:val="99"/>
              </w:rPr>
              <w:t>2022</w:t>
            </w:r>
          </w:p>
        </w:tc>
        <w:tc>
          <w:tcPr>
            <w:tcW w:w="540" w:type="dxa"/>
            <w:vAlign w:val="bottom"/>
            <w:tcBorders>
              <w:bottom w:val="single" w:sz="8" w:color="005AFF"/>
            </w:tcBorders>
          </w:tcPr>
          <w:p>
            <w:pPr>
              <w:jc w:val="center"/>
              <w:ind w:left="206"/>
              <w:spacing w:after="0"/>
              <w:rPr>
                <w:sz w:val="20"/>
                <w:szCs w:val="20"/>
                <w:color w:val="auto"/>
              </w:rPr>
            </w:pPr>
            <w:r>
              <w:rPr>
                <w:rFonts w:ascii="Times New Roman" w:cs="Times New Roman" w:eastAsia="Times New Roman" w:hAnsi="Times New Roman"/>
                <w:sz w:val="8"/>
                <w:szCs w:val="8"/>
                <w:b w:val="1"/>
                <w:bCs w:val="1"/>
                <w:color w:val="005AFF"/>
                <w:w w:val="99"/>
              </w:rPr>
              <w:t>2021</w:t>
            </w:r>
          </w:p>
        </w:tc>
        <w:tc>
          <w:tcPr>
            <w:tcW w:w="0" w:type="dxa"/>
            <w:vAlign w:val="bottom"/>
          </w:tcPr>
          <w:p>
            <w:pPr>
              <w:spacing w:after="0"/>
              <w:rPr>
                <w:sz w:val="1"/>
                <w:szCs w:val="1"/>
                <w:color w:val="auto"/>
              </w:rPr>
            </w:pPr>
          </w:p>
        </w:tc>
      </w:tr>
      <w:tr>
        <w:trPr>
          <w:trHeight w:val="132"/>
        </w:trPr>
        <w:tc>
          <w:tcPr>
            <w:tcW w:w="244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0D0D0D"/>
              </w:rPr>
              <w:t>Net cash and interest-bearing financial investments</w:t>
            </w:r>
          </w:p>
        </w:tc>
        <w:tc>
          <w:tcPr>
            <w:tcW w:w="460" w:type="dxa"/>
            <w:vAlign w:val="bottom"/>
          </w:tcPr>
          <w:p>
            <w:pPr>
              <w:ind w:left="240"/>
              <w:spacing w:after="0"/>
              <w:rPr>
                <w:sz w:val="20"/>
                <w:szCs w:val="20"/>
                <w:color w:val="auto"/>
              </w:rPr>
            </w:pPr>
            <w:r>
              <w:rPr>
                <w:rFonts w:ascii="Times New Roman" w:cs="Times New Roman" w:eastAsia="Times New Roman" w:hAnsi="Times New Roman"/>
                <w:sz w:val="7"/>
                <w:szCs w:val="7"/>
                <w:color w:val="0D0D0D"/>
              </w:rPr>
              <w:t>(3)</w:t>
            </w:r>
          </w:p>
        </w:tc>
        <w:tc>
          <w:tcPr>
            <w:tcW w:w="240" w:type="dxa"/>
            <w:vAlign w:val="bottom"/>
            <w:tcBorders>
              <w:bottom w:val="single" w:sz="8" w:color="F0F5FF"/>
            </w:tcBorders>
            <w:shd w:val="clear" w:color="auto" w:fill="F0F5FF"/>
          </w:tcPr>
          <w:p>
            <w:pPr>
              <w:spacing w:after="0"/>
              <w:rPr>
                <w:sz w:val="11"/>
                <w:szCs w:val="11"/>
                <w:color w:val="auto"/>
              </w:rPr>
            </w:pPr>
          </w:p>
        </w:tc>
        <w:tc>
          <w:tcPr>
            <w:tcW w:w="440" w:type="dxa"/>
            <w:vAlign w:val="bottom"/>
            <w:tcBorders>
              <w:bottom w:val="single" w:sz="8" w:color="F0F5FF"/>
            </w:tcBorders>
            <w:shd w:val="clear" w:color="auto" w:fill="F0F5FF"/>
          </w:tcPr>
          <w:p>
            <w:pPr>
              <w:jc w:val="right"/>
              <w:ind w:right="6"/>
              <w:spacing w:after="0"/>
              <w:rPr>
                <w:sz w:val="20"/>
                <w:szCs w:val="20"/>
                <w:color w:val="auto"/>
              </w:rPr>
            </w:pPr>
            <w:r>
              <w:rPr>
                <w:rFonts w:ascii="Times New Roman" w:cs="Times New Roman" w:eastAsia="Times New Roman" w:hAnsi="Times New Roman"/>
                <w:sz w:val="11"/>
                <w:szCs w:val="11"/>
                <w:b w:val="1"/>
                <w:bCs w:val="1"/>
                <w:color w:val="005AFF"/>
              </w:rPr>
              <w:t>4 323</w:t>
            </w:r>
          </w:p>
        </w:tc>
        <w:tc>
          <w:tcPr>
            <w:tcW w:w="260" w:type="dxa"/>
            <w:vAlign w:val="bottom"/>
          </w:tcPr>
          <w:p>
            <w:pPr>
              <w:spacing w:after="0"/>
              <w:rPr>
                <w:sz w:val="11"/>
                <w:szCs w:val="11"/>
                <w:color w:val="auto"/>
              </w:rPr>
            </w:pPr>
          </w:p>
        </w:tc>
        <w:tc>
          <w:tcPr>
            <w:tcW w:w="560" w:type="dxa"/>
            <w:vAlign w:val="bottom"/>
          </w:tcPr>
          <w:p>
            <w:pPr>
              <w:jc w:val="center"/>
              <w:ind w:right="46"/>
              <w:spacing w:after="0"/>
              <w:rPr>
                <w:sz w:val="20"/>
                <w:szCs w:val="20"/>
                <w:color w:val="auto"/>
              </w:rPr>
            </w:pPr>
            <w:r>
              <w:rPr>
                <w:rFonts w:ascii="Times New Roman" w:cs="Times New Roman" w:eastAsia="Times New Roman" w:hAnsi="Times New Roman"/>
                <w:sz w:val="11"/>
                <w:szCs w:val="11"/>
                <w:color w:val="0D0D0D"/>
              </w:rPr>
              <w:t>4 767</w:t>
            </w:r>
          </w:p>
        </w:tc>
        <w:tc>
          <w:tcPr>
            <w:tcW w:w="540" w:type="dxa"/>
            <w:vAlign w:val="bottom"/>
          </w:tcPr>
          <w:p>
            <w:pPr>
              <w:jc w:val="center"/>
              <w:ind w:left="106"/>
              <w:spacing w:after="0"/>
              <w:rPr>
                <w:sz w:val="20"/>
                <w:szCs w:val="20"/>
                <w:color w:val="auto"/>
              </w:rPr>
            </w:pPr>
            <w:r>
              <w:rPr>
                <w:rFonts w:ascii="Times New Roman" w:cs="Times New Roman" w:eastAsia="Times New Roman" w:hAnsi="Times New Roman"/>
                <w:sz w:val="11"/>
                <w:szCs w:val="11"/>
                <w:color w:val="0D0D0D"/>
              </w:rPr>
              <w:t>4 615</w:t>
            </w:r>
          </w:p>
        </w:tc>
        <w:tc>
          <w:tcPr>
            <w:tcW w:w="0" w:type="dxa"/>
            <w:vAlign w:val="bottom"/>
          </w:tcPr>
          <w:p>
            <w:pPr>
              <w:spacing w:after="0"/>
              <w:rPr>
                <w:sz w:val="1"/>
                <w:szCs w:val="1"/>
                <w:color w:val="auto"/>
              </w:rPr>
            </w:pPr>
          </w:p>
        </w:tc>
      </w:tr>
      <w:tr>
        <w:trPr>
          <w:trHeight w:val="20"/>
        </w:trPr>
        <w:tc>
          <w:tcPr>
            <w:tcW w:w="1380" w:type="dxa"/>
            <w:vAlign w:val="bottom"/>
            <w:shd w:val="clear" w:color="auto" w:fill="005AFF"/>
          </w:tcPr>
          <w:p>
            <w:pPr>
              <w:spacing w:after="0" w:line="20" w:lineRule="exact"/>
              <w:rPr>
                <w:sz w:val="1"/>
                <w:szCs w:val="1"/>
                <w:color w:val="auto"/>
              </w:rPr>
            </w:pPr>
          </w:p>
        </w:tc>
        <w:tc>
          <w:tcPr>
            <w:tcW w:w="1060" w:type="dxa"/>
            <w:vAlign w:val="bottom"/>
            <w:shd w:val="clear" w:color="auto" w:fill="005AFF"/>
          </w:tcPr>
          <w:p>
            <w:pPr>
              <w:spacing w:after="0" w:line="20" w:lineRule="exact"/>
              <w:rPr>
                <w:sz w:val="1"/>
                <w:szCs w:val="1"/>
                <w:color w:val="auto"/>
              </w:rPr>
            </w:pPr>
          </w:p>
        </w:tc>
        <w:tc>
          <w:tcPr>
            <w:tcW w:w="460" w:type="dxa"/>
            <w:vAlign w:val="bottom"/>
            <w:shd w:val="clear" w:color="auto" w:fill="005AFF"/>
          </w:tcPr>
          <w:p>
            <w:pPr>
              <w:spacing w:after="0" w:line="20" w:lineRule="exact"/>
              <w:rPr>
                <w:sz w:val="1"/>
                <w:szCs w:val="1"/>
                <w:color w:val="auto"/>
              </w:rPr>
            </w:pPr>
          </w:p>
        </w:tc>
        <w:tc>
          <w:tcPr>
            <w:tcW w:w="240" w:type="dxa"/>
            <w:vAlign w:val="bottom"/>
            <w:shd w:val="clear" w:color="auto" w:fill="005AFF"/>
          </w:tcPr>
          <w:p>
            <w:pPr>
              <w:spacing w:after="0" w:line="20" w:lineRule="exact"/>
              <w:rPr>
                <w:sz w:val="1"/>
                <w:szCs w:val="1"/>
                <w:color w:val="auto"/>
              </w:rPr>
            </w:pPr>
          </w:p>
        </w:tc>
        <w:tc>
          <w:tcPr>
            <w:tcW w:w="440" w:type="dxa"/>
            <w:vAlign w:val="bottom"/>
            <w:shd w:val="clear" w:color="auto" w:fill="005AFF"/>
          </w:tcPr>
          <w:p>
            <w:pPr>
              <w:spacing w:after="0" w:line="20" w:lineRule="exact"/>
              <w:rPr>
                <w:sz w:val="1"/>
                <w:szCs w:val="1"/>
                <w:color w:val="auto"/>
              </w:rPr>
            </w:pPr>
          </w:p>
        </w:tc>
        <w:tc>
          <w:tcPr>
            <w:tcW w:w="260" w:type="dxa"/>
            <w:vAlign w:val="bottom"/>
            <w:shd w:val="clear" w:color="auto" w:fill="005AFF"/>
          </w:tcPr>
          <w:p>
            <w:pPr>
              <w:spacing w:after="0" w:line="20" w:lineRule="exact"/>
              <w:rPr>
                <w:sz w:val="1"/>
                <w:szCs w:val="1"/>
                <w:color w:val="auto"/>
              </w:rPr>
            </w:pPr>
          </w:p>
        </w:tc>
        <w:tc>
          <w:tcPr>
            <w:tcW w:w="560" w:type="dxa"/>
            <w:vAlign w:val="bottom"/>
            <w:shd w:val="clear" w:color="auto" w:fill="005AFF"/>
          </w:tcPr>
          <w:p>
            <w:pPr>
              <w:spacing w:after="0" w:line="20" w:lineRule="exact"/>
              <w:rPr>
                <w:sz w:val="1"/>
                <w:szCs w:val="1"/>
                <w:color w:val="auto"/>
              </w:rPr>
            </w:pPr>
          </w:p>
        </w:tc>
        <w:tc>
          <w:tcPr>
            <w:tcW w:w="540" w:type="dxa"/>
            <w:vAlign w:val="bottom"/>
            <w:shd w:val="clear" w:color="auto" w:fill="005AFF"/>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bl>
    <w:p>
      <w:pPr>
        <w:spacing w:after="0" w:line="41" w:lineRule="exact"/>
        <w:rPr>
          <w:sz w:val="20"/>
          <w:szCs w:val="20"/>
          <w:color w:val="auto"/>
        </w:rPr>
      </w:pPr>
    </w:p>
    <w:p>
      <w:pPr>
        <w:ind w:left="200" w:hanging="198"/>
        <w:spacing w:after="0"/>
        <w:tabs>
          <w:tab w:leader="none" w:pos="200" w:val="left"/>
        </w:tabs>
        <w:numPr>
          <w:ilvl w:val="0"/>
          <w:numId w:val="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From continuing operations</w:t>
      </w:r>
    </w:p>
    <w:p>
      <w:pPr>
        <w:spacing w:after="0" w:line="7" w:lineRule="exact"/>
        <w:rPr>
          <w:rFonts w:ascii="Times New Roman" w:cs="Times New Roman" w:eastAsia="Times New Roman" w:hAnsi="Times New Roman"/>
          <w:sz w:val="8"/>
          <w:szCs w:val="8"/>
          <w:color w:val="auto"/>
        </w:rPr>
      </w:pPr>
    </w:p>
    <w:p>
      <w:pPr>
        <w:ind w:left="200" w:hanging="198"/>
        <w:spacing w:after="0"/>
        <w:tabs>
          <w:tab w:leader="none" w:pos="200" w:val="left"/>
        </w:tabs>
        <w:numPr>
          <w:ilvl w:val="0"/>
          <w:numId w:val="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Board of Directors proposes to the Annual General Meeting to be authorized to decide in its discretion on the distribution of</w:t>
      </w:r>
    </w:p>
    <w:p>
      <w:pPr>
        <w:spacing w:after="0" w:line="4" w:lineRule="exact"/>
        <w:rPr>
          <w:sz w:val="20"/>
          <w:szCs w:val="20"/>
          <w:color w:val="auto"/>
        </w:rPr>
      </w:pPr>
    </w:p>
    <w:p>
      <w:pPr>
        <w:ind w:left="200" w:right="680"/>
        <w:spacing w:after="0" w:line="257" w:lineRule="auto"/>
        <w:rPr>
          <w:sz w:val="20"/>
          <w:szCs w:val="20"/>
          <w:color w:val="auto"/>
        </w:rPr>
      </w:pPr>
      <w:r>
        <w:rPr>
          <w:rFonts w:ascii="Times New Roman" w:cs="Times New Roman" w:eastAsia="Times New Roman" w:hAnsi="Times New Roman"/>
          <w:sz w:val="8"/>
          <w:szCs w:val="8"/>
          <w:color w:val="auto"/>
        </w:rPr>
        <w:t>an aggregate maximum of EUR 0.13 per share as dividend from the retained earnings and/or as assets from the reserve for invested unrestricted equity.</w:t>
      </w:r>
    </w:p>
    <w:p>
      <w:pPr>
        <w:ind w:left="200" w:right="580" w:hanging="198"/>
        <w:spacing w:after="0" w:line="274" w:lineRule="auto"/>
        <w:tabs>
          <w:tab w:leader="none" w:pos="200" w:val="left"/>
        </w:tabs>
        <w:numPr>
          <w:ilvl w:val="0"/>
          <w:numId w:val="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Non-IFRS measure. For the definition and reconciliation of non-IFRS measures to the most directly comparable IFRS measures, refer to the “Alternative performance measures” section.</w:t>
      </w:r>
    </w:p>
    <w:p>
      <w:pPr>
        <w:sectPr>
          <w:pgSz w:w="11900" w:h="16838" w:orient="portrait"/>
          <w:cols w:equalWidth="0" w:num="2">
            <w:col w:w="4380" w:space="720"/>
            <w:col w:w="4940"/>
          </w:cols>
          <w:pgMar w:left="960" w:top="409" w:right="899" w:bottom="1440" w:gutter="0" w:footer="0" w:header="0"/>
          <w:type w:val="continuous"/>
        </w:sectPr>
      </w:pPr>
    </w:p>
    <w:bookmarkStart w:id="12" w:name="page13"/>
    <w:bookmarkEnd w:id="12"/>
    <w:tbl>
      <w:tblPr>
        <w:tblLayout w:type="fixed"/>
        <w:tblInd w:w="0" w:type="dxa"/>
        <w:tblCellMar>
          <w:top w:w="0" w:type="dxa"/>
          <w:left w:w="0" w:type="dxa"/>
          <w:bottom w:w="0" w:type="dxa"/>
          <w:right w:w="0" w:type="dxa"/>
        </w:tblCellMar>
      </w:tblPr>
      <w:tr>
        <w:trPr>
          <w:trHeight w:val="111"/>
        </w:trPr>
        <w:tc>
          <w:tcPr>
            <w:tcW w:w="8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780" w:type="dxa"/>
            <w:vAlign w:val="bottom"/>
          </w:tcPr>
          <w:p>
            <w:pPr>
              <w:ind w:left="4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460" w:type="dxa"/>
            <w:vAlign w:val="bottom"/>
          </w:tcPr>
          <w:p>
            <w:pPr>
              <w:ind w:left="20"/>
              <w:spacing w:after="0"/>
              <w:rPr>
                <w:sz w:val="20"/>
                <w:szCs w:val="20"/>
                <w:color w:val="auto"/>
              </w:rPr>
            </w:pPr>
            <w:r>
              <w:rPr>
                <w:rFonts w:ascii="Times New Roman" w:cs="Times New Roman" w:eastAsia="Times New Roman" w:hAnsi="Times New Roman"/>
                <w:sz w:val="9"/>
                <w:szCs w:val="9"/>
                <w:color w:val="auto"/>
              </w:rPr>
              <w:t>Other</w:t>
            </w:r>
          </w:p>
        </w:tc>
        <w:tc>
          <w:tcPr>
            <w:tcW w:w="0" w:type="dxa"/>
            <w:vAlign w:val="bottom"/>
          </w:tcPr>
          <w:p>
            <w:pPr>
              <w:spacing w:after="0"/>
              <w:rPr>
                <w:sz w:val="1"/>
                <w:szCs w:val="1"/>
                <w:color w:val="auto"/>
              </w:rPr>
            </w:pPr>
          </w:p>
        </w:tc>
      </w:tr>
      <w:tr>
        <w:trPr>
          <w:trHeight w:val="122"/>
        </w:trPr>
        <w:tc>
          <w:tcPr>
            <w:tcW w:w="8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780" w:type="dxa"/>
            <w:vAlign w:val="bottom"/>
          </w:tcPr>
          <w:p>
            <w:pPr>
              <w:ind w:left="4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460" w:type="dxa"/>
            <w:vAlign w:val="bottom"/>
          </w:tcPr>
          <w:p>
            <w:pPr>
              <w:ind w:left="20"/>
              <w:spacing w:after="0"/>
              <w:rPr>
                <w:sz w:val="20"/>
                <w:szCs w:val="20"/>
                <w:color w:val="auto"/>
              </w:rPr>
            </w:pPr>
            <w:r>
              <w:rPr>
                <w:rFonts w:ascii="Times New Roman" w:cs="Times New Roman" w:eastAsia="Times New Roman" w:hAnsi="Times New Roman"/>
                <w:sz w:val="9"/>
                <w:szCs w:val="9"/>
                <w:color w:val="auto"/>
                <w:w w:val="98"/>
              </w:rPr>
              <w:t>information</w:t>
            </w:r>
          </w:p>
        </w:tc>
        <w:tc>
          <w:tcPr>
            <w:tcW w:w="0" w:type="dxa"/>
            <w:vAlign w:val="bottom"/>
          </w:tcPr>
          <w:p>
            <w:pPr>
              <w:spacing w:after="0"/>
              <w:rPr>
                <w:sz w:val="1"/>
                <w:szCs w:val="1"/>
                <w:color w:val="auto"/>
              </w:rPr>
            </w:pP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gridSpan w:val="2"/>
          </w:tcPr>
          <w:p>
            <w:pPr>
              <w:spacing w:after="0"/>
              <w:rPr>
                <w:sz w:val="4"/>
                <w:szCs w:val="4"/>
                <w:color w:val="auto"/>
              </w:rPr>
            </w:pPr>
          </w:p>
        </w:tc>
        <w:tc>
          <w:tcPr>
            <w:tcW w:w="146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280" w:type="dxa"/>
            <w:vAlign w:val="bottom"/>
          </w:tcPr>
          <w:p>
            <w:pPr>
              <w:spacing w:after="0"/>
              <w:rPr>
                <w:sz w:val="4"/>
                <w:szCs w:val="4"/>
                <w:color w:val="auto"/>
              </w:rPr>
            </w:pPr>
          </w:p>
        </w:tc>
        <w:tc>
          <w:tcPr>
            <w:tcW w:w="46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354"/>
        </w:trPr>
        <w:tc>
          <w:tcPr>
            <w:tcW w:w="166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Nokia in 2023 continued</w:t>
            </w:r>
          </w:p>
        </w:tc>
        <w:tc>
          <w:tcPr>
            <w:tcW w:w="146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128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27"/>
        </w:trPr>
        <w:tc>
          <w:tcPr>
            <w:tcW w:w="880" w:type="dxa"/>
            <w:vAlign w:val="bottom"/>
            <w:gridSpan w:val="2"/>
            <w:vMerge w:val="restart"/>
          </w:tcPr>
          <w:p>
            <w:pPr>
              <w:spacing w:after="0"/>
              <w:rPr>
                <w:sz w:val="20"/>
                <w:szCs w:val="20"/>
                <w:color w:val="auto"/>
              </w:rPr>
            </w:pPr>
            <w:r>
              <w:rPr>
                <w:rFonts w:ascii="Times New Roman" w:cs="Times New Roman" w:eastAsia="Times New Roman" w:hAnsi="Times New Roman"/>
                <w:sz w:val="16"/>
                <w:szCs w:val="16"/>
                <w:color w:val="005AFF"/>
              </w:rPr>
              <w:t>Global reach</w:t>
            </w:r>
          </w:p>
        </w:tc>
        <w:tc>
          <w:tcPr>
            <w:tcW w:w="780" w:type="dxa"/>
            <w:vAlign w:val="bottom"/>
          </w:tcPr>
          <w:p>
            <w:pPr>
              <w:spacing w:after="0"/>
              <w:rPr>
                <w:sz w:val="24"/>
                <w:szCs w:val="24"/>
                <w:color w:val="auto"/>
              </w:rPr>
            </w:pPr>
          </w:p>
        </w:tc>
        <w:tc>
          <w:tcPr>
            <w:tcW w:w="3820" w:type="dxa"/>
            <w:vAlign w:val="bottom"/>
            <w:gridSpan w:val="3"/>
            <w:vMerge w:val="restart"/>
          </w:tcPr>
          <w:p>
            <w:pPr>
              <w:ind w:left="1140"/>
              <w:spacing w:after="0"/>
              <w:rPr>
                <w:sz w:val="20"/>
                <w:szCs w:val="20"/>
                <w:color w:val="auto"/>
              </w:rPr>
            </w:pPr>
            <w:r>
              <w:rPr>
                <w:rFonts w:ascii="Times New Roman" w:cs="Times New Roman" w:eastAsia="Times New Roman" w:hAnsi="Times New Roman"/>
                <w:sz w:val="16"/>
                <w:szCs w:val="16"/>
                <w:color w:val="005AFF"/>
              </w:rPr>
              <w:t>Regional split of employees and net sales</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005AFF"/>
              </w:rPr>
              <w:t>(1)</w:t>
            </w:r>
          </w:p>
        </w:tc>
        <w:tc>
          <w:tcPr>
            <w:tcW w:w="0" w:type="dxa"/>
            <w:vAlign w:val="bottom"/>
          </w:tcPr>
          <w:p>
            <w:pPr>
              <w:spacing w:after="0"/>
              <w:rPr>
                <w:sz w:val="1"/>
                <w:szCs w:val="1"/>
                <w:color w:val="auto"/>
              </w:rPr>
            </w:pPr>
          </w:p>
        </w:tc>
      </w:tr>
      <w:tr>
        <w:trPr>
          <w:trHeight w:val="77"/>
        </w:trPr>
        <w:tc>
          <w:tcPr>
            <w:tcW w:w="880" w:type="dxa"/>
            <w:vAlign w:val="bottom"/>
            <w:gridSpan w:val="2"/>
            <w:vMerge w:val="continue"/>
          </w:tcPr>
          <w:p>
            <w:pPr>
              <w:spacing w:after="0"/>
              <w:rPr>
                <w:sz w:val="6"/>
                <w:szCs w:val="6"/>
                <w:color w:val="auto"/>
              </w:rPr>
            </w:pPr>
          </w:p>
        </w:tc>
        <w:tc>
          <w:tcPr>
            <w:tcW w:w="780" w:type="dxa"/>
            <w:vAlign w:val="bottom"/>
          </w:tcPr>
          <w:p>
            <w:pPr>
              <w:spacing w:after="0"/>
              <w:rPr>
                <w:sz w:val="6"/>
                <w:szCs w:val="6"/>
                <w:color w:val="auto"/>
              </w:rPr>
            </w:pPr>
          </w:p>
        </w:tc>
        <w:tc>
          <w:tcPr>
            <w:tcW w:w="3820" w:type="dxa"/>
            <w:vAlign w:val="bottom"/>
            <w:gridSpan w:val="3"/>
            <w:vMerge w:val="continue"/>
          </w:tcPr>
          <w:p>
            <w:pPr>
              <w:spacing w:after="0"/>
              <w:rPr>
                <w:sz w:val="6"/>
                <w:szCs w:val="6"/>
                <w:color w:val="auto"/>
              </w:rPr>
            </w:pPr>
          </w:p>
        </w:tc>
        <w:tc>
          <w:tcPr>
            <w:tcW w:w="460" w:type="dxa"/>
            <w:vAlign w:val="bottom"/>
          </w:tcPr>
          <w:p>
            <w:pPr>
              <w:spacing w:after="0"/>
              <w:rPr>
                <w:sz w:val="6"/>
                <w:szCs w:val="6"/>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1"/>
          <w:szCs w:val="11"/>
          <w:color w:val="auto"/>
        </w:rPr>
        <w:t>Our technology solutions enable critical</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networks for communications service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providers (CSPs) and enterprises around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world.</w:t>
      </w:r>
    </w:p>
    <w:p>
      <w:pPr>
        <w:spacing w:after="0" w:line="16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Net sales in  2023</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EUR22.3bn</w:t>
      </w:r>
    </w:p>
    <w:p>
      <w:pPr>
        <w:spacing w:after="0" w:line="8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Countries of operation</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~130</w:t>
      </w:r>
    </w:p>
    <w:p>
      <w:pPr>
        <w:spacing w:after="0" w:line="96"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1620" w:type="dxa"/>
            <w:vAlign w:val="bottom"/>
          </w:tcPr>
          <w:p>
            <w:pPr>
              <w:spacing w:after="0"/>
              <w:rPr>
                <w:sz w:val="20"/>
                <w:szCs w:val="20"/>
                <w:color w:val="auto"/>
              </w:rPr>
            </w:pPr>
            <w:r>
              <w:rPr>
                <w:rFonts w:ascii="Times New Roman" w:cs="Times New Roman" w:eastAsia="Times New Roman" w:hAnsi="Times New Roman"/>
                <w:sz w:val="11"/>
                <w:szCs w:val="11"/>
                <w:color w:val="auto"/>
              </w:rPr>
              <w:t>Average number of employees in</w:t>
            </w:r>
          </w:p>
        </w:tc>
        <w:tc>
          <w:tcPr>
            <w:tcW w:w="32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w:t>
            </w:r>
          </w:p>
        </w:tc>
      </w:tr>
    </w:tbl>
    <w:p>
      <w:pPr>
        <w:spacing w:after="0"/>
        <w:rPr>
          <w:sz w:val="20"/>
          <w:szCs w:val="20"/>
          <w:color w:val="auto"/>
        </w:rPr>
      </w:pPr>
      <w:r>
        <w:rPr>
          <w:rFonts w:ascii="Times New Roman" w:cs="Times New Roman" w:eastAsia="Times New Roman" w:hAnsi="Times New Roman"/>
          <w:sz w:val="50"/>
          <w:szCs w:val="50"/>
          <w:color w:val="005AFF"/>
        </w:rPr>
        <w:t>~86 700</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0" w:lineRule="exact"/>
        <w:rPr>
          <w:sz w:val="20"/>
          <w:szCs w:val="20"/>
          <w:color w:val="auto"/>
        </w:rPr>
      </w:pPr>
    </w:p>
    <w:p>
      <w:pPr>
        <w:ind w:left="200" w:hanging="199"/>
        <w:spacing w:after="0"/>
        <w:tabs>
          <w:tab w:leader="none" w:pos="200" w:val="left"/>
        </w:tabs>
        <w:numPr>
          <w:ilvl w:val="0"/>
          <w:numId w:val="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Regional net sales figures exclude net sales of Submarine Networks business.</w:t>
      </w:r>
    </w:p>
    <w:p>
      <w:pPr>
        <w:spacing w:after="0" w:line="3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ind w:left="2280"/>
        <w:spacing w:after="0"/>
        <w:rPr>
          <w:sz w:val="20"/>
          <w:szCs w:val="20"/>
          <w:color w:val="auto"/>
        </w:rPr>
      </w:pPr>
      <w:r>
        <w:rPr>
          <w:rFonts w:ascii="Times New Roman" w:cs="Times New Roman" w:eastAsia="Times New Roman" w:hAnsi="Times New Roman"/>
          <w:sz w:val="12"/>
          <w:szCs w:val="12"/>
          <w:color w:val="auto"/>
        </w:rPr>
        <w:t>5</w:t>
      </w:r>
    </w:p>
    <w:p>
      <w:pPr>
        <w:spacing w:after="0" w:line="200" w:lineRule="exact"/>
        <w:rPr>
          <w:sz w:val="20"/>
          <w:szCs w:val="20"/>
          <w:color w:val="auto"/>
        </w:rPr>
      </w:pPr>
    </w:p>
    <w:p>
      <w:pPr>
        <w:spacing w:after="0" w:line="200" w:lineRule="exact"/>
        <w:rPr>
          <w:sz w:val="20"/>
          <w:szCs w:val="20"/>
          <w:color w:val="auto"/>
        </w:rPr>
      </w:pPr>
    </w:p>
    <w:p>
      <w:pPr>
        <w:spacing w:after="0" w:line="332" w:lineRule="exact"/>
        <w:rPr>
          <w:sz w:val="20"/>
          <w:szCs w:val="20"/>
          <w:color w:val="auto"/>
        </w:rPr>
      </w:pPr>
    </w:p>
    <w:p>
      <w:pPr>
        <w:ind w:right="1100"/>
        <w:spacing w:after="0" w:line="297" w:lineRule="auto"/>
        <w:rPr>
          <w:sz w:val="20"/>
          <w:szCs w:val="20"/>
          <w:color w:val="auto"/>
        </w:rPr>
      </w:pPr>
      <w:r>
        <w:rPr>
          <w:rFonts w:ascii="Times New Roman" w:cs="Times New Roman" w:eastAsia="Times New Roman" w:hAnsi="Times New Roman"/>
          <w:sz w:val="16"/>
          <w:szCs w:val="16"/>
          <w:color w:val="005AFF"/>
        </w:rPr>
        <w:t>Strengthening our technology leadership</w:t>
      </w:r>
    </w:p>
    <w:p>
      <w:pPr>
        <w:spacing w:after="0" w:line="7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R&amp;D investment since 2000</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47"/>
          <w:szCs w:val="47"/>
          <w:color w:val="005AFF"/>
        </w:rPr>
        <w:t>EUR ~150bn</w:t>
      </w:r>
    </w:p>
    <w:p>
      <w:pPr>
        <w:spacing w:after="0" w:line="131" w:lineRule="exact"/>
        <w:rPr>
          <w:sz w:val="20"/>
          <w:szCs w:val="20"/>
          <w:color w:val="auto"/>
        </w:rPr>
      </w:pPr>
    </w:p>
    <w:p>
      <w:pPr>
        <w:ind w:right="760"/>
        <w:spacing w:after="0" w:line="265" w:lineRule="auto"/>
        <w:rPr>
          <w:sz w:val="20"/>
          <w:szCs w:val="20"/>
          <w:color w:val="auto"/>
        </w:rPr>
      </w:pPr>
      <w:r>
        <w:rPr>
          <w:rFonts w:ascii="Times New Roman" w:cs="Times New Roman" w:eastAsia="Times New Roman" w:hAnsi="Times New Roman"/>
          <w:sz w:val="11"/>
          <w:szCs w:val="11"/>
          <w:color w:val="auto"/>
        </w:rPr>
        <w:t>Patent families declared as essential to 5G standard</w:t>
      </w:r>
    </w:p>
    <w:p>
      <w:pPr>
        <w:spacing w:after="0"/>
        <w:rPr>
          <w:sz w:val="20"/>
          <w:szCs w:val="20"/>
          <w:color w:val="auto"/>
        </w:rPr>
      </w:pPr>
      <w:r>
        <w:rPr>
          <w:rFonts w:ascii="Times New Roman" w:cs="Times New Roman" w:eastAsia="Times New Roman" w:hAnsi="Times New Roman"/>
          <w:sz w:val="50"/>
          <w:szCs w:val="50"/>
          <w:color w:val="005AFF"/>
        </w:rPr>
        <w:t>6 000+</w:t>
      </w:r>
    </w:p>
    <w:p>
      <w:pPr>
        <w:spacing w:after="0" w:line="96" w:lineRule="exact"/>
        <w:rPr>
          <w:sz w:val="20"/>
          <w:szCs w:val="20"/>
          <w:color w:val="auto"/>
        </w:rPr>
      </w:pPr>
    </w:p>
    <w:p>
      <w:pPr>
        <w:ind w:right="560"/>
        <w:spacing w:after="0" w:line="265" w:lineRule="auto"/>
        <w:rPr>
          <w:sz w:val="20"/>
          <w:szCs w:val="20"/>
          <w:color w:val="auto"/>
        </w:rPr>
      </w:pPr>
      <w:r>
        <w:rPr>
          <w:rFonts w:ascii="Times New Roman" w:cs="Times New Roman" w:eastAsia="Times New Roman" w:hAnsi="Times New Roman"/>
          <w:sz w:val="11"/>
          <w:szCs w:val="11"/>
          <w:color w:val="auto"/>
        </w:rPr>
        <w:t>Nobel Prizes awarded for ground-breaking achievements in global innovation</w:t>
      </w:r>
    </w:p>
    <w:p>
      <w:pPr>
        <w:spacing w:after="0"/>
        <w:rPr>
          <w:sz w:val="20"/>
          <w:szCs w:val="20"/>
          <w:color w:val="auto"/>
        </w:rPr>
      </w:pPr>
      <w:r>
        <w:rPr>
          <w:rFonts w:ascii="Times New Roman" w:cs="Times New Roman" w:eastAsia="Times New Roman" w:hAnsi="Times New Roman"/>
          <w:sz w:val="50"/>
          <w:szCs w:val="50"/>
          <w:color w:val="005AFF"/>
        </w:rPr>
        <w:t>10</w:t>
      </w:r>
    </w:p>
    <w:p>
      <w:pPr>
        <w:sectPr>
          <w:pgSz w:w="11900" w:h="16838" w:orient="portrait"/>
          <w:cols w:equalWidth="0" w:num="2">
            <w:col w:w="6940" w:space="720"/>
            <w:col w:w="2520"/>
          </w:cols>
          <w:pgMar w:left="960" w:top="410" w:right="759" w:bottom="1440" w:gutter="0" w:footer="0" w:header="0"/>
        </w:sectPr>
      </w:pPr>
    </w:p>
    <w:bookmarkStart w:id="13" w:name="page14"/>
    <w:bookmarkEnd w:id="13"/>
    <w:tbl>
      <w:tblPr>
        <w:tblLayout w:type="fixed"/>
        <w:tblInd w:w="8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40" w:type="dxa"/>
            <w:vAlign w:val="bottom"/>
          </w:tcPr>
          <w:p>
            <w:pPr>
              <w:spacing w:after="0"/>
              <w:rPr>
                <w:sz w:val="3"/>
                <w:szCs w:val="3"/>
                <w:color w:val="auto"/>
              </w:rPr>
            </w:pPr>
          </w:p>
        </w:tc>
        <w:tc>
          <w:tcPr>
            <w:tcW w:w="206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80"/>
        <w:spacing w:after="0"/>
        <w:rPr>
          <w:sz w:val="20"/>
          <w:szCs w:val="20"/>
          <w:color w:val="auto"/>
        </w:rPr>
      </w:pPr>
      <w:r>
        <w:rPr>
          <w:rFonts w:ascii="Times New Roman" w:cs="Times New Roman" w:eastAsia="Times New Roman" w:hAnsi="Times New Roman"/>
          <w:sz w:val="13"/>
          <w:szCs w:val="13"/>
          <w:color w:val="005AFF"/>
        </w:rPr>
        <w:t>Nokia in 2023 continued</w:t>
      </w:r>
    </w:p>
    <w:p>
      <w:pPr>
        <w:sectPr>
          <w:pgSz w:w="11900" w:h="16838" w:orient="portrait"/>
          <w:cols w:equalWidth="0" w:num="1">
            <w:col w:w="10080"/>
          </w:cols>
          <w:pgMar w:left="880" w:top="409" w:right="939" w:bottom="1440" w:gutter="0" w:footer="0" w:header="0"/>
        </w:sectPr>
      </w:pPr>
    </w:p>
    <w:p>
      <w:pPr>
        <w:spacing w:after="0" w:line="318"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005AFF"/>
        </w:rPr>
        <w:t>Key ESG data for 2023</w:t>
      </w:r>
    </w:p>
    <w:p>
      <w:pPr>
        <w:spacing w:after="0" w:line="46" w:lineRule="exact"/>
        <w:rPr>
          <w:sz w:val="20"/>
          <w:szCs w:val="20"/>
          <w:color w:val="auto"/>
        </w:rPr>
      </w:pPr>
    </w:p>
    <w:p>
      <w:pPr>
        <w:ind w:left="80" w:right="1260"/>
        <w:spacing w:after="0" w:line="269" w:lineRule="auto"/>
        <w:rPr>
          <w:sz w:val="20"/>
          <w:szCs w:val="20"/>
          <w:color w:val="auto"/>
        </w:rPr>
      </w:pPr>
      <w:r>
        <w:rPr>
          <w:rFonts w:ascii="Times New Roman" w:cs="Times New Roman" w:eastAsia="Times New Roman" w:hAnsi="Times New Roman"/>
          <w:sz w:val="11"/>
          <w:szCs w:val="11"/>
          <w:color w:val="auto"/>
        </w:rPr>
        <w:t>We have gathered a visual summary of key ESG (environmental, social and governance) data points and a view of our recognitions from external ratings organizations. This provides a snapshot with more information in the “Sustainability and corporate responsibility” section of this report.</w:t>
      </w:r>
    </w:p>
    <w:p>
      <w:pPr>
        <w:spacing w:after="0" w:line="305"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005AFF"/>
        </w:rPr>
        <w:t>Nokia carbon footprint in 2023</w:t>
      </w:r>
    </w:p>
    <w:p>
      <w:pPr>
        <w:spacing w:after="0" w:line="26"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1"/>
          <w:szCs w:val="11"/>
          <w:color w:val="auto"/>
        </w:rPr>
        <w:t xml:space="preserve">Million metric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 %</w:t>
      </w:r>
    </w:p>
    <w:p>
      <w:pPr>
        <w:spacing w:after="0" w:line="10" w:lineRule="exact"/>
        <w:rPr>
          <w:sz w:val="20"/>
          <w:szCs w:val="20"/>
          <w:color w:val="auto"/>
        </w:rPr>
      </w:pPr>
    </w:p>
    <w:p>
      <w:pPr>
        <w:spacing w:after="0"/>
        <w:tabs>
          <w:tab w:leader="none" w:pos="940" w:val="left"/>
        </w:tabs>
        <w:rPr>
          <w:sz w:val="20"/>
          <w:szCs w:val="20"/>
          <w:color w:val="auto"/>
        </w:rPr>
      </w:pPr>
      <w:r>
        <w:rPr>
          <w:sz w:val="1"/>
          <w:szCs w:val="1"/>
          <w:color w:val="auto"/>
        </w:rPr>
        <w:drawing>
          <wp:inline distT="0" distB="0" distL="0" distR="0">
            <wp:extent cx="147955" cy="1409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extLst>
                    </a:blip>
                    <a:srcRect/>
                    <a:stretch>
                      <a:fillRect/>
                    </a:stretch>
                  </pic:blipFill>
                  <pic:spPr bwMode="auto">
                    <a:xfrm>
                      <a:off x="0" y="0"/>
                      <a:ext cx="147955" cy="140970"/>
                    </a:xfrm>
                    <a:prstGeom prst="rect">
                      <a:avLst/>
                    </a:prstGeom>
                    <a:noFill/>
                    <a:ln>
                      <a:noFill/>
                    </a:ln>
                  </pic:spPr>
                </pic:pic>
              </a:graphicData>
            </a:graphic>
          </wp:inline>
        </w:drawing>
      </w:r>
      <w:r>
        <w:rPr>
          <w:rFonts w:ascii="Times New Roman" w:cs="Times New Roman" w:eastAsia="Times New Roman" w:hAnsi="Times New Roman"/>
          <w:sz w:val="11"/>
          <w:szCs w:val="11"/>
          <w:color w:val="auto"/>
        </w:rPr>
        <w:t>Scope 1, 2</w:t>
      </w:r>
      <w:r>
        <w:rPr>
          <w:sz w:val="20"/>
          <w:szCs w:val="20"/>
          <w:color w:val="auto"/>
        </w:rPr>
        <w:tab/>
      </w:r>
      <w:r>
        <w:rPr>
          <w:rFonts w:ascii="Times New Roman" w:cs="Times New Roman" w:eastAsia="Times New Roman" w:hAnsi="Times New Roman"/>
          <w:sz w:val="11"/>
          <w:szCs w:val="11"/>
          <w:color w:val="auto"/>
        </w:rPr>
        <w:t>Scope 3</w:t>
      </w:r>
    </w:p>
    <w:p>
      <w:pPr>
        <w:spacing w:after="0" w:line="20" w:lineRule="exact"/>
        <w:rPr>
          <w:sz w:val="20"/>
          <w:szCs w:val="20"/>
          <w:color w:val="auto"/>
        </w:rPr>
      </w:pPr>
      <w:r>
        <w:rPr>
          <w:sz w:val="20"/>
          <w:szCs w:val="20"/>
          <w:color w:val="auto"/>
        </w:rPr>
        <w:br w:type="column"/>
      </w:r>
    </w:p>
    <w:p>
      <w:pPr>
        <w:spacing w:after="0" w:line="33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Share of suppliers achieving satisfactory</w:t>
      </w:r>
    </w:p>
    <w:p>
      <w:pPr>
        <w:spacing w:after="0" w:line="238" w:lineRule="auto"/>
        <w:tabs>
          <w:tab w:leader="none" w:pos="1380" w:val="left"/>
        </w:tabs>
        <w:rPr>
          <w:sz w:val="20"/>
          <w:szCs w:val="20"/>
          <w:color w:val="auto"/>
        </w:rPr>
      </w:pPr>
      <w:r>
        <w:rPr>
          <w:rFonts w:ascii="Times New Roman" w:cs="Times New Roman" w:eastAsia="Times New Roman" w:hAnsi="Times New Roman"/>
          <w:sz w:val="16"/>
          <w:szCs w:val="16"/>
          <w:color w:val="005AFF"/>
        </w:rPr>
        <w:t>sustainability score</w:t>
      </w:r>
      <w:r>
        <w:rPr>
          <w:sz w:val="20"/>
          <w:szCs w:val="20"/>
          <w:color w:val="auto"/>
        </w:rPr>
        <w:tab/>
      </w:r>
      <w:r>
        <w:rPr>
          <w:rFonts w:ascii="Times New Roman" w:cs="Times New Roman" w:eastAsia="Times New Roman" w:hAnsi="Times New Roman"/>
          <w:sz w:val="20"/>
          <w:szCs w:val="20"/>
          <w:color w:val="005AFF"/>
          <w:vertAlign w:val="superscript"/>
        </w:rPr>
        <w:t xml:space="preserve">(1) </w:t>
      </w:r>
      <w:r>
        <w:rPr>
          <w:rFonts w:ascii="Times New Roman" w:cs="Times New Roman" w:eastAsia="Times New Roman" w:hAnsi="Times New Roman"/>
          <w:sz w:val="15"/>
          <w:szCs w:val="15"/>
          <w:color w:val="005AFF"/>
        </w:rPr>
        <w:t>from supplier performance</w:t>
      </w:r>
    </w:p>
    <w:p>
      <w:pPr>
        <w:spacing w:after="0" w:line="213" w:lineRule="auto"/>
        <w:rPr>
          <w:sz w:val="20"/>
          <w:szCs w:val="20"/>
          <w:color w:val="auto"/>
        </w:rPr>
      </w:pPr>
      <w:r>
        <w:rPr>
          <w:rFonts w:ascii="Times New Roman" w:cs="Times New Roman" w:eastAsia="Times New Roman" w:hAnsi="Times New Roman"/>
          <w:sz w:val="16"/>
          <w:szCs w:val="16"/>
          <w:color w:val="005AFF"/>
        </w:rPr>
        <w:t xml:space="preserve">evaluation </w:t>
      </w:r>
      <w:r>
        <w:rPr>
          <w:rFonts w:ascii="Times New Roman" w:cs="Times New Roman" w:eastAsia="Times New Roman" w:hAnsi="Times New Roman"/>
          <w:sz w:val="21"/>
          <w:szCs w:val="21"/>
          <w:color w:val="005AFF"/>
          <w:vertAlign w:val="superscript"/>
        </w:rPr>
        <w:t>(2)</w:t>
      </w:r>
    </w:p>
    <w:p>
      <w:pPr>
        <w:spacing w:after="0"/>
        <w:rPr>
          <w:sz w:val="20"/>
          <w:szCs w:val="20"/>
          <w:color w:val="auto"/>
        </w:rPr>
      </w:pPr>
      <w:r>
        <w:rPr>
          <w:rFonts w:ascii="Times New Roman" w:cs="Times New Roman" w:eastAsia="Times New Roman" w:hAnsi="Times New Roman"/>
          <w:sz w:val="11"/>
          <w:szCs w:val="11"/>
          <w:color w:val="auto"/>
        </w:rPr>
        <w: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4" w:lineRule="exact"/>
        <w:rPr>
          <w:sz w:val="20"/>
          <w:szCs w:val="20"/>
          <w:color w:val="auto"/>
        </w:rPr>
      </w:pPr>
    </w:p>
    <w:p>
      <w:pPr>
        <w:ind w:left="3800"/>
        <w:spacing w:after="0"/>
        <w:tabs>
          <w:tab w:leader="none" w:pos="3960" w:val="left"/>
        </w:tabs>
        <w:rPr>
          <w:sz w:val="20"/>
          <w:szCs w:val="20"/>
          <w:color w:val="auto"/>
        </w:rPr>
      </w:pPr>
      <w:r>
        <w:rPr>
          <w:rFonts w:ascii="Times New Roman" w:cs="Times New Roman" w:eastAsia="Times New Roman" w:hAnsi="Times New Roman"/>
          <w:sz w:val="8"/>
          <w:szCs w:val="8"/>
          <w:color w:val="auto"/>
        </w:rPr>
        <w:t>(1)</w:t>
        <w:tab/>
        <w:t>Based on aggregated</w:t>
      </w:r>
    </w:p>
    <w:p>
      <w:pPr>
        <w:spacing w:after="0" w:line="12" w:lineRule="exact"/>
        <w:rPr>
          <w:sz w:val="20"/>
          <w:szCs w:val="20"/>
          <w:color w:val="auto"/>
        </w:rPr>
      </w:pPr>
    </w:p>
    <w:p>
      <w:pPr>
        <w:ind w:left="3980"/>
        <w:spacing w:after="0"/>
        <w:rPr>
          <w:sz w:val="20"/>
          <w:szCs w:val="20"/>
          <w:color w:val="auto"/>
        </w:rPr>
      </w:pPr>
      <w:r>
        <w:rPr>
          <w:rFonts w:ascii="Times New Roman" w:cs="Times New Roman" w:eastAsia="Times New Roman" w:hAnsi="Times New Roman"/>
          <w:sz w:val="8"/>
          <w:szCs w:val="8"/>
          <w:color w:val="auto"/>
        </w:rPr>
        <w:t>weighted share.</w:t>
      </w:r>
    </w:p>
    <w:p>
      <w:pPr>
        <w:spacing w:after="0" w:line="4" w:lineRule="exact"/>
        <w:rPr>
          <w:sz w:val="20"/>
          <w:szCs w:val="20"/>
          <w:color w:val="auto"/>
        </w:rPr>
      </w:pPr>
    </w:p>
    <w:p>
      <w:pPr>
        <w:ind w:left="3800"/>
        <w:spacing w:after="0"/>
        <w:tabs>
          <w:tab w:leader="none" w:pos="3960" w:val="left"/>
        </w:tabs>
        <w:rPr>
          <w:sz w:val="20"/>
          <w:szCs w:val="20"/>
          <w:color w:val="auto"/>
        </w:rPr>
      </w:pPr>
      <w:r>
        <w:rPr>
          <w:rFonts w:ascii="Times New Roman" w:cs="Times New Roman" w:eastAsia="Times New Roman" w:hAnsi="Times New Roman"/>
          <w:sz w:val="8"/>
          <w:szCs w:val="8"/>
          <w:color w:val="auto"/>
        </w:rPr>
        <w:t>(2)</w:t>
        <w:tab/>
        <w:t>Based on Corporate</w:t>
      </w:r>
    </w:p>
    <w:p>
      <w:pPr>
        <w:spacing w:after="0" w:line="4" w:lineRule="exact"/>
        <w:rPr>
          <w:sz w:val="20"/>
          <w:szCs w:val="20"/>
          <w:color w:val="auto"/>
        </w:rPr>
      </w:pPr>
    </w:p>
    <w:p>
      <w:pPr>
        <w:ind w:left="3980" w:right="200"/>
        <w:spacing w:after="0" w:line="250" w:lineRule="auto"/>
        <w:rPr>
          <w:sz w:val="20"/>
          <w:szCs w:val="20"/>
          <w:color w:val="auto"/>
        </w:rPr>
      </w:pPr>
      <w:r>
        <w:rPr>
          <w:rFonts w:ascii="Times New Roman" w:cs="Times New Roman" w:eastAsia="Times New Roman" w:hAnsi="Times New Roman"/>
          <w:sz w:val="8"/>
          <w:szCs w:val="8"/>
          <w:color w:val="auto"/>
        </w:rPr>
        <w:t>Responsibility onsite audit programs,</w:t>
      </w:r>
    </w:p>
    <w:p>
      <w:pPr>
        <w:ind w:left="3980"/>
        <w:spacing w:after="0"/>
        <w:rPr>
          <w:sz w:val="20"/>
          <w:szCs w:val="20"/>
          <w:color w:val="auto"/>
        </w:rPr>
      </w:pPr>
      <w:r>
        <w:rPr>
          <w:rFonts w:ascii="Times New Roman" w:cs="Times New Roman" w:eastAsia="Times New Roman" w:hAnsi="Times New Roman"/>
          <w:sz w:val="8"/>
          <w:szCs w:val="8"/>
          <w:color w:val="auto"/>
        </w:rPr>
        <w:t>EcoVadis, CDP,</w:t>
      </w:r>
    </w:p>
    <w:p>
      <w:pPr>
        <w:spacing w:after="0" w:line="9" w:lineRule="exact"/>
        <w:rPr>
          <w:sz w:val="20"/>
          <w:szCs w:val="20"/>
          <w:color w:val="auto"/>
        </w:rPr>
      </w:pPr>
    </w:p>
    <w:p>
      <w:pPr>
        <w:ind w:left="3980"/>
        <w:spacing w:after="0"/>
        <w:rPr>
          <w:sz w:val="20"/>
          <w:szCs w:val="20"/>
          <w:color w:val="auto"/>
        </w:rPr>
      </w:pPr>
      <w:r>
        <w:rPr>
          <w:rFonts w:ascii="Times New Roman" w:cs="Times New Roman" w:eastAsia="Times New Roman" w:hAnsi="Times New Roman"/>
          <w:sz w:val="8"/>
          <w:szCs w:val="8"/>
          <w:color w:val="auto"/>
        </w:rPr>
        <w:t>Conflict minerals.</w:t>
      </w:r>
    </w:p>
    <w:p>
      <w:pPr>
        <w:spacing w:after="0" w:line="245"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 xml:space="preserve">Share of CO </w:t>
      </w:r>
      <w:r>
        <w:rPr>
          <w:rFonts w:ascii="Times New Roman" w:cs="Times New Roman" w:eastAsia="Times New Roman" w:hAnsi="Times New Roman"/>
          <w:sz w:val="21"/>
          <w:szCs w:val="21"/>
          <w:color w:val="005AFF"/>
          <w:vertAlign w:val="subscript"/>
        </w:rPr>
        <w:t>2</w:t>
      </w:r>
      <w:r>
        <w:rPr>
          <w:rFonts w:ascii="Times New Roman" w:cs="Times New Roman" w:eastAsia="Times New Roman" w:hAnsi="Times New Roman"/>
          <w:sz w:val="16"/>
          <w:szCs w:val="16"/>
          <w:color w:val="005AFF"/>
        </w:rPr>
        <w:t>e reduction achieved by final assembly</w:t>
      </w:r>
    </w:p>
    <w:p>
      <w:pPr>
        <w:spacing w:after="0" w:line="22" w:lineRule="exact"/>
        <w:rPr>
          <w:sz w:val="20"/>
          <w:szCs w:val="20"/>
          <w:color w:val="auto"/>
        </w:rPr>
      </w:pPr>
    </w:p>
    <w:tbl>
      <w:tblPr>
        <w:tblLayout w:type="fixed"/>
        <w:tblInd w:w="0" w:type="dxa"/>
        <w:tblCellMar>
          <w:top w:w="0" w:type="dxa"/>
          <w:left w:w="0" w:type="dxa"/>
          <w:bottom w:w="0" w:type="dxa"/>
          <w:right w:w="0" w:type="dxa"/>
        </w:tblCellMar>
      </w:tblPr>
      <w:tr>
        <w:trPr>
          <w:trHeight w:val="138"/>
        </w:trPr>
        <w:tc>
          <w:tcPr>
            <w:tcW w:w="2720" w:type="dxa"/>
            <w:vAlign w:val="bottom"/>
            <w:vMerge w:val="restart"/>
          </w:tcPr>
          <w:p>
            <w:pPr>
              <w:spacing w:after="0"/>
              <w:rPr>
                <w:sz w:val="20"/>
                <w:szCs w:val="20"/>
                <w:color w:val="auto"/>
              </w:rPr>
            </w:pPr>
            <w:r>
              <w:rPr>
                <w:rFonts w:ascii="Times New Roman" w:cs="Times New Roman" w:eastAsia="Times New Roman" w:hAnsi="Times New Roman"/>
                <w:sz w:val="16"/>
                <w:szCs w:val="16"/>
                <w:color w:val="005AFF"/>
              </w:rPr>
              <w:t>suppliers towards zero emissions target</w:t>
            </w:r>
          </w:p>
        </w:tc>
        <w:tc>
          <w:tcPr>
            <w:tcW w:w="300" w:type="dxa"/>
            <w:vAlign w:val="bottom"/>
          </w:tcPr>
          <w:p>
            <w:pPr>
              <w:jc w:val="right"/>
              <w:spacing w:after="0"/>
              <w:rPr>
                <w:sz w:val="20"/>
                <w:szCs w:val="20"/>
                <w:color w:val="auto"/>
              </w:rPr>
            </w:pPr>
            <w:r>
              <w:rPr>
                <w:rFonts w:ascii="Times New Roman" w:cs="Times New Roman" w:eastAsia="Times New Roman" w:hAnsi="Times New Roman"/>
                <w:sz w:val="11"/>
                <w:szCs w:val="11"/>
                <w:color w:val="005AFF"/>
              </w:rPr>
              <w:t>(1)</w:t>
            </w:r>
          </w:p>
        </w:tc>
        <w:tc>
          <w:tcPr>
            <w:tcW w:w="0" w:type="dxa"/>
            <w:vAlign w:val="bottom"/>
          </w:tcPr>
          <w:p>
            <w:pPr>
              <w:spacing w:after="0"/>
              <w:rPr>
                <w:sz w:val="1"/>
                <w:szCs w:val="1"/>
                <w:color w:val="auto"/>
              </w:rPr>
            </w:pPr>
          </w:p>
        </w:tc>
      </w:tr>
      <w:tr>
        <w:trPr>
          <w:trHeight w:val="72"/>
        </w:trPr>
        <w:tc>
          <w:tcPr>
            <w:tcW w:w="2720" w:type="dxa"/>
            <w:vAlign w:val="bottom"/>
            <w:vMerge w:val="continue"/>
          </w:tcPr>
          <w:p>
            <w:pPr>
              <w:spacing w:after="0"/>
              <w:rPr>
                <w:sz w:val="6"/>
                <w:szCs w:val="6"/>
                <w:color w:val="auto"/>
              </w:rPr>
            </w:pPr>
          </w:p>
        </w:tc>
        <w:tc>
          <w:tcPr>
            <w:tcW w:w="30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196"/>
        </w:trPr>
        <w:tc>
          <w:tcPr>
            <w:tcW w:w="2720" w:type="dxa"/>
            <w:vAlign w:val="bottom"/>
          </w:tcPr>
          <w:p>
            <w:pPr>
              <w:spacing w:after="0"/>
              <w:rPr>
                <w:sz w:val="20"/>
                <w:szCs w:val="20"/>
                <w:color w:val="auto"/>
              </w:rPr>
            </w:pPr>
            <w:r>
              <w:rPr>
                <w:rFonts w:ascii="Times New Roman" w:cs="Times New Roman" w:eastAsia="Times New Roman" w:hAnsi="Times New Roman"/>
                <w:sz w:val="11"/>
                <w:szCs w:val="11"/>
                <w:color w:val="auto"/>
              </w:rPr>
              <w:t xml:space="preserve">Million metric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 %</w:t>
            </w:r>
          </w:p>
        </w:tc>
        <w:tc>
          <w:tcPr>
            <w:tcW w:w="300" w:type="dxa"/>
            <w:vAlign w:val="bottom"/>
          </w:tcPr>
          <w:p>
            <w:pPr>
              <w:spacing w:after="0"/>
              <w:rPr>
                <w:sz w:val="17"/>
                <w:szCs w:val="17"/>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2">
            <w:col w:w="4500" w:space="720"/>
            <w:col w:w="4860"/>
          </w:cols>
          <w:pgMar w:left="880" w:top="409" w:right="93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8" w:lineRule="exact"/>
        <w:rPr>
          <w:sz w:val="20"/>
          <w:szCs w:val="20"/>
          <w:color w:val="auto"/>
        </w:rPr>
      </w:pPr>
    </w:p>
    <w:p>
      <w:pPr>
        <w:jc w:val="both"/>
        <w:ind w:left="9020"/>
        <w:spacing w:after="0"/>
        <w:tabs>
          <w:tab w:leader="none" w:pos="9180" w:val="left"/>
        </w:tabs>
        <w:rPr>
          <w:sz w:val="20"/>
          <w:szCs w:val="20"/>
          <w:color w:val="auto"/>
        </w:rPr>
      </w:pPr>
      <w:r>
        <w:rPr>
          <w:rFonts w:ascii="Times New Roman" w:cs="Times New Roman" w:eastAsia="Times New Roman" w:hAnsi="Times New Roman"/>
          <w:sz w:val="8"/>
          <w:szCs w:val="8"/>
          <w:color w:val="auto"/>
        </w:rPr>
        <w:t>(1)</w:t>
        <w:tab/>
        <w:t>Against 2019 baseline.</w:t>
      </w:r>
    </w:p>
    <w:p>
      <w:pPr>
        <w:spacing w:after="0" w:line="163"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80"/>
          </w:cols>
          <w:pgMar w:left="880" w:top="409" w:right="939" w:bottom="1440" w:gutter="0" w:footer="0" w:header="0"/>
          <w:type w:val="continuous"/>
        </w:sectPr>
      </w:pPr>
    </w:p>
    <w:bookmarkStart w:id="14" w:name="page15"/>
    <w:bookmarkEnd w:id="14"/>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4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2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4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200" w:type="dxa"/>
            <w:vAlign w:val="bottom"/>
          </w:tcPr>
          <w:p>
            <w:pPr>
              <w:ind w:left="2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440" w:type="dxa"/>
            <w:vAlign w:val="bottom"/>
            <w:tcBorders>
              <w:bottom w:val="single" w:sz="8" w:color="005AFF"/>
            </w:tcBorders>
          </w:tcPr>
          <w:p>
            <w:pPr>
              <w:spacing w:after="0"/>
              <w:rPr>
                <w:sz w:val="4"/>
                <w:szCs w:val="4"/>
                <w:color w:val="auto"/>
              </w:rPr>
            </w:pPr>
          </w:p>
        </w:tc>
        <w:tc>
          <w:tcPr>
            <w:tcW w:w="1480" w:type="dxa"/>
            <w:vAlign w:val="bottom"/>
          </w:tcPr>
          <w:p>
            <w:pPr>
              <w:spacing w:after="0"/>
              <w:rPr>
                <w:sz w:val="4"/>
                <w:szCs w:val="4"/>
                <w:color w:val="auto"/>
              </w:rPr>
            </w:pPr>
          </w:p>
        </w:tc>
        <w:tc>
          <w:tcPr>
            <w:tcW w:w="1200" w:type="dxa"/>
            <w:vAlign w:val="bottom"/>
          </w:tcPr>
          <w:p>
            <w:pPr>
              <w:spacing w:after="0"/>
              <w:rPr>
                <w:sz w:val="4"/>
                <w:szCs w:val="4"/>
                <w:color w:val="auto"/>
              </w:rPr>
            </w:pPr>
          </w:p>
        </w:tc>
        <w:tc>
          <w:tcPr>
            <w:tcW w:w="1080" w:type="dxa"/>
            <w:vAlign w:val="bottom"/>
          </w:tcPr>
          <w:p>
            <w:pPr>
              <w:spacing w:after="0"/>
              <w:rPr>
                <w:sz w:val="4"/>
                <w:szCs w:val="4"/>
                <w:color w:val="auto"/>
              </w:rPr>
            </w:pPr>
          </w:p>
        </w:tc>
        <w:tc>
          <w:tcPr>
            <w:tcW w:w="680" w:type="dxa"/>
            <w:vAlign w:val="bottom"/>
          </w:tcPr>
          <w:p>
            <w:pPr>
              <w:spacing w:after="0"/>
              <w:rPr>
                <w:sz w:val="4"/>
                <w:szCs w:val="4"/>
                <w:color w:val="auto"/>
              </w:rPr>
            </w:pPr>
          </w:p>
        </w:tc>
      </w:tr>
      <w:tr>
        <w:trPr>
          <w:trHeight w:val="354"/>
        </w:trPr>
        <w:tc>
          <w:tcPr>
            <w:tcW w:w="1920" w:type="dxa"/>
            <w:vAlign w:val="bottom"/>
            <w:gridSpan w:val="2"/>
          </w:tcPr>
          <w:p>
            <w:pPr>
              <w:spacing w:after="0"/>
              <w:rPr>
                <w:sz w:val="20"/>
                <w:szCs w:val="20"/>
                <w:color w:val="auto"/>
              </w:rPr>
            </w:pPr>
            <w:r>
              <w:rPr>
                <w:rFonts w:ascii="Times New Roman" w:cs="Times New Roman" w:eastAsia="Times New Roman" w:hAnsi="Times New Roman"/>
                <w:sz w:val="13"/>
                <w:szCs w:val="13"/>
                <w:color w:val="005AFF"/>
              </w:rPr>
              <w:t>Nokia in 2023 continued</w:t>
            </w:r>
          </w:p>
        </w:tc>
        <w:tc>
          <w:tcPr>
            <w:tcW w:w="120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680" w:type="dxa"/>
            <w:vAlign w:val="bottom"/>
          </w:tcPr>
          <w:p>
            <w:pPr>
              <w:spacing w:after="0"/>
              <w:rPr>
                <w:sz w:val="24"/>
                <w:szCs w:val="24"/>
                <w:color w:val="auto"/>
              </w:rPr>
            </w:pPr>
          </w:p>
        </w:tc>
      </w:tr>
      <w:tr>
        <w:trPr>
          <w:trHeight w:val="504"/>
        </w:trPr>
        <w:tc>
          <w:tcPr>
            <w:tcW w:w="1920" w:type="dxa"/>
            <w:vAlign w:val="bottom"/>
            <w:gridSpan w:val="2"/>
          </w:tcPr>
          <w:p>
            <w:pPr>
              <w:spacing w:after="0"/>
              <w:rPr>
                <w:sz w:val="20"/>
                <w:szCs w:val="20"/>
                <w:color w:val="auto"/>
              </w:rPr>
            </w:pPr>
            <w:r>
              <w:rPr>
                <w:rFonts w:ascii="Times New Roman" w:cs="Times New Roman" w:eastAsia="Times New Roman" w:hAnsi="Times New Roman"/>
                <w:sz w:val="16"/>
                <w:szCs w:val="16"/>
                <w:color w:val="005AFF"/>
              </w:rPr>
              <w:t>Human Rights Due Diligence</w:t>
            </w:r>
          </w:p>
        </w:tc>
        <w:tc>
          <w:tcPr>
            <w:tcW w:w="1200" w:type="dxa"/>
            <w:vAlign w:val="bottom"/>
          </w:tcPr>
          <w:p>
            <w:pPr>
              <w:ind w:left="180"/>
              <w:spacing w:after="0"/>
              <w:rPr>
                <w:sz w:val="20"/>
                <w:szCs w:val="20"/>
                <w:color w:val="auto"/>
              </w:rPr>
            </w:pPr>
            <w:r>
              <w:rPr>
                <w:rFonts w:ascii="Times New Roman" w:cs="Times New Roman" w:eastAsia="Times New Roman" w:hAnsi="Times New Roman"/>
                <w:sz w:val="16"/>
                <w:szCs w:val="16"/>
                <w:color w:val="005AFF"/>
              </w:rPr>
              <w:t>cases</w:t>
            </w:r>
          </w:p>
        </w:tc>
        <w:tc>
          <w:tcPr>
            <w:tcW w:w="1080" w:type="dxa"/>
            <w:vAlign w:val="bottom"/>
          </w:tcPr>
          <w:p>
            <w:pPr>
              <w:spacing w:after="0"/>
              <w:rPr>
                <w:sz w:val="24"/>
                <w:szCs w:val="24"/>
                <w:color w:val="auto"/>
              </w:rPr>
            </w:pPr>
          </w:p>
        </w:tc>
        <w:tc>
          <w:tcPr>
            <w:tcW w:w="680" w:type="dxa"/>
            <w:vAlign w:val="bottom"/>
          </w:tcPr>
          <w:p>
            <w:pPr>
              <w:spacing w:after="0"/>
              <w:rPr>
                <w:sz w:val="24"/>
                <w:szCs w:val="2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1"/>
          <w:szCs w:val="11"/>
          <w:color w:val="auto"/>
        </w:rPr>
        <w:t>Cases handled by the Human Rights Due Diligence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process and how they were resolved</w:t>
      </w:r>
    </w:p>
    <w:p>
      <w:pPr>
        <w:spacing w:after="0" w:line="84"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Go</w:t>
      </w:r>
    </w:p>
    <w:p>
      <w:pPr>
        <w:spacing w:after="0" w:line="17"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Go with conditions</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No go</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6"/>
          <w:szCs w:val="16"/>
          <w:color w:val="005AFF"/>
        </w:rPr>
        <w:t>Gender split at the end of 2023</w:t>
      </w:r>
    </w:p>
    <w:p>
      <w:pPr>
        <w:spacing w:after="0" w:line="14" w:lineRule="exact"/>
        <w:rPr>
          <w:sz w:val="20"/>
          <w:szCs w:val="20"/>
          <w:color w:val="auto"/>
        </w:rPr>
      </w:pPr>
    </w:p>
    <w:p>
      <w:pPr>
        <w:ind w:left="40"/>
        <w:spacing w:after="0"/>
        <w:rPr>
          <w:sz w:val="20"/>
          <w:szCs w:val="20"/>
          <w:color w:val="auto"/>
        </w:rPr>
      </w:pPr>
      <w:r>
        <w:rPr>
          <w:rFonts w:ascii="Times New Roman" w:cs="Times New Roman" w:eastAsia="Times New Roman" w:hAnsi="Times New Roman"/>
          <w:sz w:val="50"/>
          <w:szCs w:val="50"/>
          <w:color w:val="005AFF"/>
        </w:rPr>
        <w:t>18 900  62 100  3 500</w:t>
      </w:r>
    </w:p>
    <w:p>
      <w:pPr>
        <w:ind w:left="40"/>
        <w:spacing w:after="0"/>
        <w:tabs>
          <w:tab w:leader="none" w:pos="1660" w:val="left"/>
          <w:tab w:leader="none" w:pos="3320" w:val="left"/>
        </w:tabs>
        <w:rPr>
          <w:sz w:val="20"/>
          <w:szCs w:val="20"/>
          <w:color w:val="auto"/>
        </w:rPr>
      </w:pPr>
      <w:r>
        <w:rPr>
          <w:rFonts w:ascii="Times New Roman" w:cs="Times New Roman" w:eastAsia="Times New Roman" w:hAnsi="Times New Roman"/>
          <w:sz w:val="11"/>
          <w:szCs w:val="11"/>
          <w:color w:val="auto"/>
          <w:highlight w:val="white"/>
        </w:rPr>
        <w:t>Female</w:t>
      </w:r>
      <w:r>
        <w:rPr>
          <w:sz w:val="20"/>
          <w:szCs w:val="20"/>
          <w:color w:val="auto"/>
        </w:rPr>
        <w:tab/>
      </w:r>
      <w:r>
        <w:rPr>
          <w:rFonts w:ascii="Times New Roman" w:cs="Times New Roman" w:eastAsia="Times New Roman" w:hAnsi="Times New Roman"/>
          <w:sz w:val="11"/>
          <w:szCs w:val="11"/>
          <w:color w:val="auto"/>
          <w:highlight w:val="white"/>
        </w:rPr>
        <w:t>Male</w:t>
      </w:r>
      <w:r>
        <w:rPr>
          <w:sz w:val="20"/>
          <w:szCs w:val="20"/>
          <w:color w:val="auto"/>
        </w:rPr>
        <w:tab/>
      </w:r>
      <w:r>
        <w:rPr>
          <w:rFonts w:ascii="Times New Roman" w:cs="Times New Roman" w:eastAsia="Times New Roman" w:hAnsi="Times New Roman"/>
          <w:sz w:val="10"/>
          <w:szCs w:val="10"/>
          <w:color w:val="auto"/>
          <w:highlight w:val="white"/>
        </w:rPr>
        <w:t>Blank</w:t>
      </w:r>
      <w:r>
        <w:rPr>
          <w:rFonts w:ascii="Times New Roman" w:cs="Times New Roman" w:eastAsia="Times New Roman" w:hAnsi="Times New Roman"/>
          <w:sz w:val="12"/>
          <w:szCs w:val="12"/>
          <w:color w:val="auto"/>
          <w:highlight w:val="white"/>
          <w:vertAlign w:val="superscript"/>
        </w:rPr>
        <w:t>(1)</w:t>
      </w:r>
    </w:p>
    <w:p>
      <w:pPr>
        <w:spacing w:after="0" w:line="51" w:lineRule="exact"/>
        <w:rPr>
          <w:sz w:val="20"/>
          <w:szCs w:val="20"/>
          <w:color w:val="auto"/>
        </w:rPr>
      </w:pPr>
    </w:p>
    <w:p>
      <w:pPr>
        <w:ind w:left="220" w:hanging="184"/>
        <w:spacing w:after="0"/>
        <w:tabs>
          <w:tab w:leader="none" w:pos="220" w:val="left"/>
        </w:tabs>
        <w:numPr>
          <w:ilvl w:val="0"/>
          <w:numId w:val="7"/>
        </w:numPr>
        <w:rPr>
          <w:rFonts w:ascii="Times New Roman" w:cs="Times New Roman" w:eastAsia="Times New Roman" w:hAnsi="Times New Roman"/>
          <w:sz w:val="8"/>
          <w:szCs w:val="8"/>
          <w:color w:val="auto"/>
          <w:highlight w:val="white"/>
        </w:rPr>
      </w:pPr>
      <w:r>
        <w:rPr>
          <w:rFonts w:ascii="Times New Roman" w:cs="Times New Roman" w:eastAsia="Times New Roman" w:hAnsi="Times New Roman"/>
          <w:sz w:val="8"/>
          <w:szCs w:val="8"/>
          <w:color w:val="auto"/>
        </w:rPr>
        <w:t>Detail on employee level not collected or is blank</w:t>
      </w:r>
    </w:p>
    <w:p>
      <w:pPr>
        <w:spacing w:after="0" w:line="352"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A-</w:t>
      </w:r>
    </w:p>
    <w:p>
      <w:pPr>
        <w:ind w:right="1920"/>
        <w:spacing w:after="0" w:line="213" w:lineRule="auto"/>
        <w:rPr>
          <w:sz w:val="20"/>
          <w:szCs w:val="20"/>
          <w:color w:val="auto"/>
        </w:rPr>
      </w:pPr>
      <w:r>
        <w:rPr>
          <w:rFonts w:ascii="Times New Roman" w:cs="Times New Roman" w:eastAsia="Times New Roman" w:hAnsi="Times New Roman"/>
          <w:sz w:val="11"/>
          <w:szCs w:val="11"/>
          <w:color w:val="auto"/>
        </w:rPr>
        <w:t>Nokia again achieved a ranking of A- from CDP</w:t>
      </w:r>
      <w:r>
        <w:rPr>
          <w:rFonts w:ascii="Times New Roman" w:cs="Times New Roman" w:eastAsia="Times New Roman" w:hAnsi="Times New Roman"/>
          <w:sz w:val="14"/>
          <w:szCs w:val="14"/>
          <w:color w:val="auto"/>
          <w:vertAlign w:val="superscript"/>
        </w:rPr>
        <w:t>(2)</w:t>
      </w:r>
      <w:r>
        <w:rPr>
          <w:rFonts w:ascii="Times New Roman" w:cs="Times New Roman" w:eastAsia="Times New Roman" w:hAnsi="Times New Roman"/>
          <w:sz w:val="11"/>
          <w:szCs w:val="11"/>
          <w:color w:val="auto"/>
        </w:rPr>
        <w:t xml:space="preserve"> for its work on climate change</w:t>
      </w:r>
    </w:p>
    <w:p>
      <w:pPr>
        <w:spacing w:after="0" w:line="223" w:lineRule="exact"/>
        <w:rPr>
          <w:sz w:val="20"/>
          <w:szCs w:val="20"/>
          <w:color w:val="auto"/>
        </w:rPr>
      </w:pPr>
    </w:p>
    <w:p>
      <w:pPr>
        <w:ind w:left="200" w:right="2020" w:hanging="199"/>
        <w:spacing w:after="0" w:line="348" w:lineRule="auto"/>
        <w:tabs>
          <w:tab w:leader="none" w:pos="200" w:val="left"/>
        </w:tabs>
        <w:numPr>
          <w:ilvl w:val="0"/>
          <w:numId w:val="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CDP is a not-for-profit charity that runs the global disclosure system for investors, companies, cities, states and regions to manage their environmental impacts.</w:t>
      </w:r>
    </w:p>
    <w:p>
      <w:pPr>
        <w:spacing w:after="0" w:line="200" w:lineRule="exact"/>
        <w:rPr>
          <w:sz w:val="20"/>
          <w:szCs w:val="20"/>
          <w:color w:val="auto"/>
        </w:rPr>
      </w:pPr>
    </w:p>
    <w:p>
      <w:pPr>
        <w:spacing w:after="0" w:line="21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640" w:type="dxa"/>
            <w:vAlign w:val="bottom"/>
            <w:gridSpan w:val="3"/>
          </w:tcPr>
          <w:p>
            <w:pPr>
              <w:spacing w:after="0"/>
              <w:rPr>
                <w:sz w:val="20"/>
                <w:szCs w:val="20"/>
                <w:color w:val="auto"/>
              </w:rPr>
            </w:pPr>
            <w:r>
              <w:rPr>
                <w:rFonts w:ascii="Times New Roman" w:cs="Times New Roman" w:eastAsia="Times New Roman" w:hAnsi="Times New Roman"/>
                <w:sz w:val="9"/>
                <w:szCs w:val="9"/>
                <w:color w:val="auto"/>
              </w:rPr>
              <w:t>Other</w:t>
            </w:r>
          </w:p>
        </w:tc>
        <w:tc>
          <w:tcPr>
            <w:tcW w:w="2160" w:type="dxa"/>
            <w:vAlign w:val="bottom"/>
          </w:tcPr>
          <w:p>
            <w:pPr>
              <w:spacing w:after="0"/>
              <w:rPr>
                <w:sz w:val="9"/>
                <w:szCs w:val="9"/>
                <w:color w:val="auto"/>
              </w:rPr>
            </w:pPr>
          </w:p>
        </w:tc>
        <w:tc>
          <w:tcPr>
            <w:tcW w:w="240" w:type="dxa"/>
            <w:vAlign w:val="bottom"/>
          </w:tcPr>
          <w:p>
            <w:pPr>
              <w:spacing w:after="0"/>
              <w:rPr>
                <w:sz w:val="9"/>
                <w:szCs w:val="9"/>
                <w:color w:val="auto"/>
              </w:rPr>
            </w:pPr>
          </w:p>
        </w:tc>
        <w:tc>
          <w:tcPr>
            <w:tcW w:w="480" w:type="dxa"/>
            <w:vAlign w:val="bottom"/>
            <w:gridSpan w:val="2"/>
            <w:vMerge w:val="restart"/>
          </w:tcPr>
          <w:p>
            <w:pPr>
              <w:ind w:left="400"/>
              <w:spacing w:after="0"/>
              <w:rPr>
                <w:sz w:val="20"/>
                <w:szCs w:val="20"/>
                <w:color w:val="auto"/>
              </w:rPr>
            </w:pPr>
            <w:r>
              <w:rPr>
                <w:rFonts w:ascii="Times New Roman" w:cs="Times New Roman" w:eastAsia="Times New Roman" w:hAnsi="Times New Roman"/>
                <w:sz w:val="12"/>
                <w:szCs w:val="12"/>
                <w:color w:val="auto"/>
                <w:w w:val="99"/>
              </w:rPr>
              <w:t>7</w:t>
            </w:r>
          </w:p>
        </w:tc>
        <w:tc>
          <w:tcPr>
            <w:tcW w:w="0" w:type="dxa"/>
            <w:vAlign w:val="bottom"/>
          </w:tcPr>
          <w:p>
            <w:pPr>
              <w:spacing w:after="0"/>
              <w:rPr>
                <w:sz w:val="1"/>
                <w:szCs w:val="1"/>
                <w:color w:val="auto"/>
              </w:rPr>
            </w:pPr>
          </w:p>
        </w:tc>
      </w:tr>
      <w:tr>
        <w:trPr>
          <w:trHeight w:val="130"/>
        </w:trPr>
        <w:tc>
          <w:tcPr>
            <w:tcW w:w="1640" w:type="dxa"/>
            <w:vAlign w:val="bottom"/>
            <w:gridSpan w:val="3"/>
          </w:tcPr>
          <w:p>
            <w:pPr>
              <w:spacing w:after="0"/>
              <w:rPr>
                <w:sz w:val="20"/>
                <w:szCs w:val="20"/>
                <w:color w:val="auto"/>
              </w:rPr>
            </w:pPr>
            <w:r>
              <w:rPr>
                <w:rFonts w:ascii="Times New Roman" w:cs="Times New Roman" w:eastAsia="Times New Roman" w:hAnsi="Times New Roman"/>
                <w:sz w:val="9"/>
                <w:szCs w:val="9"/>
                <w:color w:val="auto"/>
              </w:rPr>
              <w:t>information</w:t>
            </w:r>
          </w:p>
        </w:tc>
        <w:tc>
          <w:tcPr>
            <w:tcW w:w="2160" w:type="dxa"/>
            <w:vAlign w:val="bottom"/>
          </w:tcPr>
          <w:p>
            <w:pPr>
              <w:spacing w:after="0"/>
              <w:rPr>
                <w:sz w:val="11"/>
                <w:szCs w:val="11"/>
                <w:color w:val="auto"/>
              </w:rPr>
            </w:pPr>
          </w:p>
        </w:tc>
        <w:tc>
          <w:tcPr>
            <w:tcW w:w="240" w:type="dxa"/>
            <w:vAlign w:val="bottom"/>
          </w:tcPr>
          <w:p>
            <w:pPr>
              <w:spacing w:after="0"/>
              <w:rPr>
                <w:sz w:val="11"/>
                <w:szCs w:val="11"/>
                <w:color w:val="auto"/>
              </w:rPr>
            </w:pPr>
          </w:p>
        </w:tc>
        <w:tc>
          <w:tcPr>
            <w:tcW w:w="48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743"/>
        </w:trPr>
        <w:tc>
          <w:tcPr>
            <w:tcW w:w="48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2160" w:type="dxa"/>
            <w:vAlign w:val="bottom"/>
          </w:tcPr>
          <w:p>
            <w:pPr>
              <w:spacing w:after="0"/>
              <w:rPr>
                <w:sz w:val="24"/>
                <w:szCs w:val="24"/>
                <w:color w:val="auto"/>
              </w:rPr>
            </w:pPr>
          </w:p>
        </w:tc>
        <w:tc>
          <w:tcPr>
            <w:tcW w:w="240" w:type="dxa"/>
            <w:vAlign w:val="bottom"/>
          </w:tcPr>
          <w:p>
            <w:pPr>
              <w:spacing w:after="0"/>
              <w:rPr>
                <w:sz w:val="24"/>
                <w:szCs w:val="24"/>
                <w:color w:val="auto"/>
              </w:rPr>
            </w:pPr>
          </w:p>
        </w:tc>
        <w:tc>
          <w:tcPr>
            <w:tcW w:w="38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57"/>
        </w:trPr>
        <w:tc>
          <w:tcPr>
            <w:tcW w:w="480" w:type="dxa"/>
            <w:vAlign w:val="bottom"/>
          </w:tcPr>
          <w:p>
            <w:pPr>
              <w:spacing w:after="0"/>
              <w:rPr>
                <w:sz w:val="13"/>
                <w:szCs w:val="13"/>
                <w:color w:val="auto"/>
              </w:rPr>
            </w:pPr>
          </w:p>
        </w:tc>
        <w:tc>
          <w:tcPr>
            <w:tcW w:w="80" w:type="dxa"/>
            <w:vAlign w:val="bottom"/>
            <w:shd w:val="clear" w:color="auto" w:fill="005AFF"/>
          </w:tcPr>
          <w:p>
            <w:pPr>
              <w:spacing w:after="0"/>
              <w:rPr>
                <w:sz w:val="13"/>
                <w:szCs w:val="13"/>
                <w:color w:val="auto"/>
              </w:rPr>
            </w:pPr>
          </w:p>
        </w:tc>
        <w:tc>
          <w:tcPr>
            <w:tcW w:w="1080" w:type="dxa"/>
            <w:vAlign w:val="bottom"/>
            <w:shd w:val="clear" w:color="auto" w:fill="005AFF"/>
          </w:tcPr>
          <w:p>
            <w:pPr>
              <w:ind w:left="40"/>
              <w:spacing w:after="0"/>
              <w:rPr>
                <w:sz w:val="20"/>
                <w:szCs w:val="20"/>
                <w:color w:val="auto"/>
              </w:rPr>
            </w:pPr>
            <w:r>
              <w:rPr>
                <w:rFonts w:ascii="Times New Roman" w:cs="Times New Roman" w:eastAsia="Times New Roman" w:hAnsi="Times New Roman"/>
                <w:sz w:val="9"/>
                <w:szCs w:val="9"/>
                <w:b w:val="1"/>
                <w:bCs w:val="1"/>
                <w:color w:val="FFFFFF"/>
              </w:rPr>
              <w:t>ESG Rankings</w:t>
            </w:r>
          </w:p>
        </w:tc>
        <w:tc>
          <w:tcPr>
            <w:tcW w:w="2160" w:type="dxa"/>
            <w:vAlign w:val="bottom"/>
            <w:shd w:val="clear" w:color="auto" w:fill="005AFF"/>
          </w:tcPr>
          <w:p>
            <w:pPr>
              <w:ind w:left="40"/>
              <w:spacing w:after="0"/>
              <w:rPr>
                <w:sz w:val="20"/>
                <w:szCs w:val="20"/>
                <w:color w:val="auto"/>
              </w:rPr>
            </w:pPr>
            <w:r>
              <w:rPr>
                <w:rFonts w:ascii="Times New Roman" w:cs="Times New Roman" w:eastAsia="Times New Roman" w:hAnsi="Times New Roman"/>
                <w:sz w:val="9"/>
                <w:szCs w:val="9"/>
                <w:b w:val="1"/>
                <w:bCs w:val="1"/>
                <w:color w:val="FFFFFF"/>
              </w:rPr>
              <w:t>Score</w:t>
            </w:r>
          </w:p>
        </w:tc>
        <w:tc>
          <w:tcPr>
            <w:tcW w:w="720" w:type="dxa"/>
            <w:vAlign w:val="bottom"/>
            <w:gridSpan w:val="3"/>
            <w:vMerge w:val="restart"/>
            <w:shd w:val="clear" w:color="auto" w:fill="005AFF"/>
          </w:tcPr>
          <w:p>
            <w:pPr>
              <w:ind w:left="40"/>
              <w:spacing w:after="0"/>
              <w:rPr>
                <w:sz w:val="20"/>
                <w:szCs w:val="20"/>
                <w:color w:val="auto"/>
              </w:rPr>
            </w:pPr>
            <w:r>
              <w:rPr>
                <w:rFonts w:ascii="Times New Roman" w:cs="Times New Roman" w:eastAsia="Times New Roman" w:hAnsi="Times New Roman"/>
                <w:sz w:val="9"/>
                <w:szCs w:val="9"/>
                <w:b w:val="1"/>
                <w:bCs w:val="1"/>
                <w:color w:val="FFFFFF"/>
              </w:rPr>
              <w:t>Latest result</w:t>
            </w:r>
          </w:p>
        </w:tc>
        <w:tc>
          <w:tcPr>
            <w:tcW w:w="0" w:type="dxa"/>
            <w:vAlign w:val="bottom"/>
          </w:tcPr>
          <w:p>
            <w:pPr>
              <w:spacing w:after="0"/>
              <w:rPr>
                <w:sz w:val="1"/>
                <w:szCs w:val="1"/>
                <w:color w:val="auto"/>
              </w:rPr>
            </w:pPr>
          </w:p>
        </w:tc>
      </w:tr>
      <w:tr>
        <w:trPr>
          <w:trHeight w:val="74"/>
        </w:trPr>
        <w:tc>
          <w:tcPr>
            <w:tcW w:w="480" w:type="dxa"/>
            <w:vAlign w:val="bottom"/>
          </w:tcPr>
          <w:p>
            <w:pPr>
              <w:spacing w:after="0"/>
              <w:rPr>
                <w:sz w:val="6"/>
                <w:szCs w:val="6"/>
                <w:color w:val="auto"/>
              </w:rPr>
            </w:pPr>
          </w:p>
        </w:tc>
        <w:tc>
          <w:tcPr>
            <w:tcW w:w="80" w:type="dxa"/>
            <w:vAlign w:val="bottom"/>
            <w:shd w:val="clear" w:color="auto" w:fill="005AFF"/>
          </w:tcPr>
          <w:p>
            <w:pPr>
              <w:spacing w:after="0"/>
              <w:rPr>
                <w:sz w:val="6"/>
                <w:szCs w:val="6"/>
                <w:color w:val="auto"/>
              </w:rPr>
            </w:pPr>
          </w:p>
        </w:tc>
        <w:tc>
          <w:tcPr>
            <w:tcW w:w="1080" w:type="dxa"/>
            <w:vAlign w:val="bottom"/>
            <w:vMerge w:val="restart"/>
            <w:shd w:val="clear" w:color="auto" w:fill="005AFF"/>
          </w:tcPr>
          <w:p>
            <w:pPr>
              <w:ind w:left="40"/>
              <w:spacing w:after="0"/>
              <w:rPr>
                <w:sz w:val="20"/>
                <w:szCs w:val="20"/>
                <w:color w:val="auto"/>
              </w:rPr>
            </w:pPr>
            <w:r>
              <w:rPr>
                <w:rFonts w:ascii="Times New Roman" w:cs="Times New Roman" w:eastAsia="Times New Roman" w:hAnsi="Times New Roman"/>
                <w:sz w:val="9"/>
                <w:szCs w:val="9"/>
                <w:b w:val="1"/>
                <w:bCs w:val="1"/>
                <w:color w:val="FFFFFF"/>
              </w:rPr>
              <w:t>and ratings</w:t>
            </w:r>
          </w:p>
        </w:tc>
        <w:tc>
          <w:tcPr>
            <w:tcW w:w="2160" w:type="dxa"/>
            <w:vAlign w:val="bottom"/>
            <w:vMerge w:val="restart"/>
            <w:shd w:val="clear" w:color="auto" w:fill="005AFF"/>
          </w:tcPr>
          <w:p>
            <w:pPr>
              <w:ind w:left="40"/>
              <w:spacing w:after="0"/>
              <w:rPr>
                <w:sz w:val="20"/>
                <w:szCs w:val="20"/>
                <w:color w:val="auto"/>
              </w:rPr>
            </w:pPr>
            <w:r>
              <w:rPr>
                <w:rFonts w:ascii="Times New Roman" w:cs="Times New Roman" w:eastAsia="Times New Roman" w:hAnsi="Times New Roman"/>
                <w:sz w:val="9"/>
                <w:szCs w:val="9"/>
                <w:b w:val="1"/>
                <w:bCs w:val="1"/>
                <w:color w:val="FFFFFF"/>
              </w:rPr>
              <w:t>(range: top/bottom)</w:t>
            </w:r>
          </w:p>
        </w:tc>
        <w:tc>
          <w:tcPr>
            <w:tcW w:w="720" w:type="dxa"/>
            <w:vAlign w:val="bottom"/>
            <w:gridSpan w:val="3"/>
            <w:vMerge w:val="continue"/>
            <w:shd w:val="clear" w:color="auto" w:fill="005AFF"/>
          </w:tcPr>
          <w:p>
            <w:pPr>
              <w:spacing w:after="0"/>
              <w:rPr>
                <w:sz w:val="6"/>
                <w:szCs w:val="6"/>
                <w:color w:val="auto"/>
              </w:rPr>
            </w:pPr>
          </w:p>
        </w:tc>
        <w:tc>
          <w:tcPr>
            <w:tcW w:w="0" w:type="dxa"/>
            <w:vAlign w:val="bottom"/>
          </w:tcPr>
          <w:p>
            <w:pPr>
              <w:spacing w:after="0"/>
              <w:rPr>
                <w:sz w:val="1"/>
                <w:szCs w:val="1"/>
                <w:color w:val="auto"/>
              </w:rPr>
            </w:pPr>
          </w:p>
        </w:tc>
      </w:tr>
      <w:tr>
        <w:trPr>
          <w:trHeight w:val="73"/>
        </w:trPr>
        <w:tc>
          <w:tcPr>
            <w:tcW w:w="480" w:type="dxa"/>
            <w:vAlign w:val="bottom"/>
          </w:tcPr>
          <w:p>
            <w:pPr>
              <w:spacing w:after="0"/>
              <w:rPr>
                <w:sz w:val="6"/>
                <w:szCs w:val="6"/>
                <w:color w:val="auto"/>
              </w:rPr>
            </w:pPr>
          </w:p>
        </w:tc>
        <w:tc>
          <w:tcPr>
            <w:tcW w:w="80" w:type="dxa"/>
            <w:vAlign w:val="bottom"/>
            <w:tcBorders>
              <w:bottom w:val="single" w:sz="8" w:color="005AFF"/>
            </w:tcBorders>
            <w:shd w:val="clear" w:color="auto" w:fill="005AFF"/>
          </w:tcPr>
          <w:p>
            <w:pPr>
              <w:spacing w:after="0"/>
              <w:rPr>
                <w:sz w:val="6"/>
                <w:szCs w:val="6"/>
                <w:color w:val="auto"/>
              </w:rPr>
            </w:pPr>
          </w:p>
        </w:tc>
        <w:tc>
          <w:tcPr>
            <w:tcW w:w="1080" w:type="dxa"/>
            <w:vAlign w:val="bottom"/>
            <w:tcBorders>
              <w:bottom w:val="single" w:sz="8" w:color="005AFF"/>
            </w:tcBorders>
            <w:vMerge w:val="continue"/>
            <w:shd w:val="clear" w:color="auto" w:fill="005AFF"/>
          </w:tcPr>
          <w:p>
            <w:pPr>
              <w:spacing w:after="0"/>
              <w:rPr>
                <w:sz w:val="6"/>
                <w:szCs w:val="6"/>
                <w:color w:val="auto"/>
              </w:rPr>
            </w:pPr>
          </w:p>
        </w:tc>
        <w:tc>
          <w:tcPr>
            <w:tcW w:w="2160" w:type="dxa"/>
            <w:vAlign w:val="bottom"/>
            <w:tcBorders>
              <w:bottom w:val="single" w:sz="8" w:color="005AFF"/>
            </w:tcBorders>
            <w:vMerge w:val="continue"/>
            <w:shd w:val="clear" w:color="auto" w:fill="005AFF"/>
          </w:tcPr>
          <w:p>
            <w:pPr>
              <w:spacing w:after="0"/>
              <w:rPr>
                <w:sz w:val="6"/>
                <w:szCs w:val="6"/>
                <w:color w:val="auto"/>
              </w:rPr>
            </w:pPr>
          </w:p>
        </w:tc>
        <w:tc>
          <w:tcPr>
            <w:tcW w:w="240" w:type="dxa"/>
            <w:vAlign w:val="bottom"/>
            <w:tcBorders>
              <w:bottom w:val="single" w:sz="8" w:color="005AFF"/>
            </w:tcBorders>
            <w:shd w:val="clear" w:color="auto" w:fill="005AFF"/>
          </w:tcPr>
          <w:p>
            <w:pPr>
              <w:spacing w:after="0"/>
              <w:rPr>
                <w:sz w:val="6"/>
                <w:szCs w:val="6"/>
                <w:color w:val="auto"/>
              </w:rPr>
            </w:pPr>
          </w:p>
        </w:tc>
        <w:tc>
          <w:tcPr>
            <w:tcW w:w="380" w:type="dxa"/>
            <w:vAlign w:val="bottom"/>
            <w:tcBorders>
              <w:bottom w:val="single" w:sz="8" w:color="005AFF"/>
            </w:tcBorders>
            <w:shd w:val="clear" w:color="auto" w:fill="005AFF"/>
          </w:tcPr>
          <w:p>
            <w:pPr>
              <w:spacing w:after="0"/>
              <w:rPr>
                <w:sz w:val="6"/>
                <w:szCs w:val="6"/>
                <w:color w:val="auto"/>
              </w:rPr>
            </w:pPr>
          </w:p>
        </w:tc>
        <w:tc>
          <w:tcPr>
            <w:tcW w:w="100" w:type="dxa"/>
            <w:vAlign w:val="bottom"/>
            <w:tcBorders>
              <w:bottom w:val="single" w:sz="8" w:color="005AFF"/>
            </w:tcBorders>
            <w:shd w:val="clear" w:color="auto" w:fill="005AFF"/>
          </w:tcPr>
          <w:p>
            <w:pPr>
              <w:spacing w:after="0"/>
              <w:rPr>
                <w:sz w:val="6"/>
                <w:szCs w:val="6"/>
                <w:color w:val="auto"/>
              </w:rPr>
            </w:pPr>
          </w:p>
        </w:tc>
        <w:tc>
          <w:tcPr>
            <w:tcW w:w="0" w:type="dxa"/>
            <w:vAlign w:val="bottom"/>
          </w:tcPr>
          <w:p>
            <w:pPr>
              <w:spacing w:after="0"/>
              <w:rPr>
                <w:sz w:val="1"/>
                <w:szCs w:val="1"/>
                <w:color w:val="auto"/>
              </w:rPr>
            </w:pPr>
          </w:p>
        </w:tc>
      </w:tr>
      <w:tr>
        <w:trPr>
          <w:trHeight w:val="270"/>
        </w:trPr>
        <w:tc>
          <w:tcPr>
            <w:tcW w:w="480" w:type="dxa"/>
            <w:vAlign w:val="bottom"/>
          </w:tcPr>
          <w:p>
            <w:pPr>
              <w:spacing w:after="0"/>
              <w:rPr>
                <w:sz w:val="23"/>
                <w:szCs w:val="23"/>
                <w:color w:val="auto"/>
              </w:rPr>
            </w:pPr>
          </w:p>
        </w:tc>
        <w:tc>
          <w:tcPr>
            <w:tcW w:w="80" w:type="dxa"/>
            <w:vAlign w:val="bottom"/>
            <w:shd w:val="clear" w:color="auto" w:fill="F0F5FF"/>
          </w:tcPr>
          <w:p>
            <w:pPr>
              <w:spacing w:after="0"/>
              <w:rPr>
                <w:sz w:val="23"/>
                <w:szCs w:val="23"/>
                <w:color w:val="auto"/>
              </w:rPr>
            </w:pPr>
          </w:p>
        </w:tc>
        <w:tc>
          <w:tcPr>
            <w:tcW w:w="1080" w:type="dxa"/>
            <w:vAlign w:val="bottom"/>
            <w:shd w:val="clear" w:color="auto" w:fill="F0F5FF"/>
          </w:tcPr>
          <w:p>
            <w:pPr>
              <w:spacing w:after="0"/>
              <w:rPr>
                <w:sz w:val="23"/>
                <w:szCs w:val="23"/>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83.03% (industry</w:t>
            </w:r>
          </w:p>
        </w:tc>
        <w:tc>
          <w:tcPr>
            <w:tcW w:w="24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480" w:type="dxa"/>
            <w:vAlign w:val="bottom"/>
            <w:gridSpan w:val="2"/>
            <w:vMerge w:val="restart"/>
            <w:shd w:val="clear" w:color="auto" w:fill="F0F5FF"/>
          </w:tcPr>
          <w:p>
            <w:pPr>
              <w:spacing w:after="0"/>
              <w:rPr>
                <w:sz w:val="20"/>
                <w:szCs w:val="20"/>
                <w:color w:val="auto"/>
              </w:rPr>
            </w:pPr>
            <w:r>
              <w:rPr>
                <w:rFonts w:ascii="Times New Roman" w:cs="Times New Roman" w:eastAsia="Times New Roman" w:hAnsi="Times New Roman"/>
                <w:sz w:val="9"/>
                <w:szCs w:val="9"/>
                <w:color w:val="221E1F"/>
              </w:rPr>
              <w:t>Jan</w:t>
            </w:r>
          </w:p>
        </w:tc>
        <w:tc>
          <w:tcPr>
            <w:tcW w:w="0" w:type="dxa"/>
            <w:vAlign w:val="bottom"/>
          </w:tcPr>
          <w:p>
            <w:pPr>
              <w:spacing w:after="0"/>
              <w:rPr>
                <w:sz w:val="1"/>
                <w:szCs w:val="1"/>
                <w:color w:val="auto"/>
              </w:rPr>
            </w:pPr>
          </w:p>
        </w:tc>
      </w:tr>
      <w:tr>
        <w:trPr>
          <w:trHeight w:val="61"/>
        </w:trPr>
        <w:tc>
          <w:tcPr>
            <w:tcW w:w="480" w:type="dxa"/>
            <w:vAlign w:val="bottom"/>
          </w:tcPr>
          <w:p>
            <w:pPr>
              <w:spacing w:after="0"/>
              <w:rPr>
                <w:sz w:val="5"/>
                <w:szCs w:val="5"/>
                <w:color w:val="auto"/>
              </w:rPr>
            </w:pPr>
          </w:p>
        </w:tc>
        <w:tc>
          <w:tcPr>
            <w:tcW w:w="80" w:type="dxa"/>
            <w:vAlign w:val="bottom"/>
            <w:shd w:val="clear" w:color="auto" w:fill="F0F5FF"/>
          </w:tcPr>
          <w:p>
            <w:pPr>
              <w:spacing w:after="0"/>
              <w:rPr>
                <w:sz w:val="5"/>
                <w:szCs w:val="5"/>
                <w:color w:val="auto"/>
              </w:rPr>
            </w:pPr>
          </w:p>
        </w:tc>
        <w:tc>
          <w:tcPr>
            <w:tcW w:w="1080" w:type="dxa"/>
            <w:vAlign w:val="bottom"/>
            <w:shd w:val="clear" w:color="auto" w:fill="F0F5FF"/>
          </w:tcPr>
          <w:p>
            <w:pPr>
              <w:spacing w:after="0"/>
              <w:rPr>
                <w:sz w:val="5"/>
                <w:szCs w:val="5"/>
                <w:color w:val="auto"/>
              </w:rPr>
            </w:pPr>
          </w:p>
        </w:tc>
        <w:tc>
          <w:tcPr>
            <w:tcW w:w="216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average: 72.36%)</w:t>
            </w:r>
          </w:p>
        </w:tc>
        <w:tc>
          <w:tcPr>
            <w:tcW w:w="240" w:type="dxa"/>
            <w:vAlign w:val="bottom"/>
            <w:vMerge w:val="continue"/>
            <w:shd w:val="clear" w:color="auto" w:fill="F0F5FF"/>
          </w:tcPr>
          <w:p>
            <w:pPr>
              <w:spacing w:after="0"/>
              <w:rPr>
                <w:sz w:val="5"/>
                <w:szCs w:val="5"/>
                <w:color w:val="auto"/>
              </w:rPr>
            </w:pPr>
          </w:p>
        </w:tc>
        <w:tc>
          <w:tcPr>
            <w:tcW w:w="480" w:type="dxa"/>
            <w:vAlign w:val="bottom"/>
            <w:gridSpan w:val="2"/>
            <w:vMerge w:val="continue"/>
            <w:shd w:val="clear" w:color="auto" w:fill="F0F5FF"/>
          </w:tcPr>
          <w:p>
            <w:pPr>
              <w:spacing w:after="0"/>
              <w:rPr>
                <w:sz w:val="5"/>
                <w:szCs w:val="5"/>
                <w:color w:val="auto"/>
              </w:rPr>
            </w:pPr>
          </w:p>
        </w:tc>
        <w:tc>
          <w:tcPr>
            <w:tcW w:w="0" w:type="dxa"/>
            <w:vAlign w:val="bottom"/>
          </w:tcPr>
          <w:p>
            <w:pPr>
              <w:spacing w:after="0"/>
              <w:rPr>
                <w:sz w:val="1"/>
                <w:szCs w:val="1"/>
                <w:color w:val="auto"/>
              </w:rPr>
            </w:pPr>
          </w:p>
        </w:tc>
      </w:tr>
      <w:tr>
        <w:trPr>
          <w:trHeight w:val="61"/>
        </w:trPr>
        <w:tc>
          <w:tcPr>
            <w:tcW w:w="480" w:type="dxa"/>
            <w:vAlign w:val="bottom"/>
          </w:tcPr>
          <w:p>
            <w:pPr>
              <w:spacing w:after="0"/>
              <w:rPr>
                <w:sz w:val="5"/>
                <w:szCs w:val="5"/>
                <w:color w:val="auto"/>
              </w:rPr>
            </w:pPr>
          </w:p>
        </w:tc>
        <w:tc>
          <w:tcPr>
            <w:tcW w:w="80" w:type="dxa"/>
            <w:vAlign w:val="bottom"/>
            <w:shd w:val="clear" w:color="auto" w:fill="F0F5FF"/>
          </w:tcPr>
          <w:p>
            <w:pPr>
              <w:spacing w:after="0"/>
              <w:rPr>
                <w:sz w:val="5"/>
                <w:szCs w:val="5"/>
                <w:color w:val="auto"/>
              </w:rPr>
            </w:pPr>
          </w:p>
        </w:tc>
        <w:tc>
          <w:tcPr>
            <w:tcW w:w="1080" w:type="dxa"/>
            <w:vAlign w:val="bottom"/>
            <w:shd w:val="clear" w:color="auto" w:fill="F0F5FF"/>
          </w:tcPr>
          <w:p>
            <w:pPr>
              <w:spacing w:after="0"/>
              <w:rPr>
                <w:sz w:val="5"/>
                <w:szCs w:val="5"/>
                <w:color w:val="auto"/>
              </w:rPr>
            </w:pPr>
          </w:p>
        </w:tc>
        <w:tc>
          <w:tcPr>
            <w:tcW w:w="2160" w:type="dxa"/>
            <w:vAlign w:val="bottom"/>
            <w:vMerge w:val="continue"/>
            <w:shd w:val="clear" w:color="auto" w:fill="F0F5FF"/>
          </w:tcPr>
          <w:p>
            <w:pPr>
              <w:spacing w:after="0"/>
              <w:rPr>
                <w:sz w:val="5"/>
                <w:szCs w:val="5"/>
                <w:color w:val="auto"/>
              </w:rPr>
            </w:pPr>
          </w:p>
        </w:tc>
        <w:tc>
          <w:tcPr>
            <w:tcW w:w="240" w:type="dxa"/>
            <w:vAlign w:val="bottom"/>
            <w:shd w:val="clear" w:color="auto" w:fill="F0F5FF"/>
          </w:tcPr>
          <w:p>
            <w:pPr>
              <w:spacing w:after="0"/>
              <w:rPr>
                <w:sz w:val="5"/>
                <w:szCs w:val="5"/>
                <w:color w:val="auto"/>
              </w:rPr>
            </w:pPr>
          </w:p>
        </w:tc>
        <w:tc>
          <w:tcPr>
            <w:tcW w:w="380" w:type="dxa"/>
            <w:vAlign w:val="bottom"/>
            <w:shd w:val="clear" w:color="auto" w:fill="F0F5FF"/>
          </w:tcPr>
          <w:p>
            <w:pPr>
              <w:spacing w:after="0"/>
              <w:rPr>
                <w:sz w:val="5"/>
                <w:szCs w:val="5"/>
                <w:color w:val="auto"/>
              </w:rPr>
            </w:pPr>
          </w:p>
        </w:tc>
        <w:tc>
          <w:tcPr>
            <w:tcW w:w="100" w:type="dxa"/>
            <w:vAlign w:val="bottom"/>
            <w:shd w:val="clear" w:color="auto" w:fill="F0F5FF"/>
          </w:tcPr>
          <w:p>
            <w:pPr>
              <w:spacing w:after="0"/>
              <w:rPr>
                <w:sz w:val="5"/>
                <w:szCs w:val="5"/>
                <w:color w:val="auto"/>
              </w:rPr>
            </w:pPr>
          </w:p>
        </w:tc>
        <w:tc>
          <w:tcPr>
            <w:tcW w:w="0" w:type="dxa"/>
            <w:vAlign w:val="bottom"/>
          </w:tcPr>
          <w:p>
            <w:pPr>
              <w:spacing w:after="0"/>
              <w:rPr>
                <w:sz w:val="1"/>
                <w:szCs w:val="1"/>
                <w:color w:val="auto"/>
              </w:rPr>
            </w:pPr>
          </w:p>
        </w:tc>
      </w:tr>
      <w:tr>
        <w:trPr>
          <w:trHeight w:val="144"/>
        </w:trPr>
        <w:tc>
          <w:tcPr>
            <w:tcW w:w="480" w:type="dxa"/>
            <w:vAlign w:val="bottom"/>
          </w:tcPr>
          <w:p>
            <w:pPr>
              <w:spacing w:after="0"/>
              <w:rPr>
                <w:sz w:val="12"/>
                <w:szCs w:val="12"/>
                <w:color w:val="auto"/>
              </w:rPr>
            </w:pPr>
          </w:p>
        </w:tc>
        <w:tc>
          <w:tcPr>
            <w:tcW w:w="80" w:type="dxa"/>
            <w:vAlign w:val="bottom"/>
            <w:tcBorders>
              <w:bottom w:val="single" w:sz="8" w:color="F0F5FF"/>
            </w:tcBorders>
            <w:shd w:val="clear" w:color="auto" w:fill="F0F5FF"/>
          </w:tcPr>
          <w:p>
            <w:pPr>
              <w:spacing w:after="0"/>
              <w:rPr>
                <w:sz w:val="12"/>
                <w:szCs w:val="12"/>
                <w:color w:val="auto"/>
              </w:rPr>
            </w:pPr>
          </w:p>
        </w:tc>
        <w:tc>
          <w:tcPr>
            <w:tcW w:w="1080" w:type="dxa"/>
            <w:vAlign w:val="bottom"/>
            <w:tcBorders>
              <w:bottom w:val="single" w:sz="8" w:color="005AFF"/>
            </w:tcBorders>
            <w:shd w:val="clear" w:color="auto" w:fill="F0F5FF"/>
          </w:tcPr>
          <w:p>
            <w:pPr>
              <w:spacing w:after="0"/>
              <w:rPr>
                <w:sz w:val="12"/>
                <w:szCs w:val="12"/>
                <w:color w:val="auto"/>
              </w:rPr>
            </w:pPr>
          </w:p>
        </w:tc>
        <w:tc>
          <w:tcPr>
            <w:tcW w:w="2160" w:type="dxa"/>
            <w:vAlign w:val="bottom"/>
            <w:tcBorders>
              <w:bottom w:val="single" w:sz="8" w:color="005AFF"/>
            </w:tcBorders>
            <w:shd w:val="clear" w:color="auto" w:fill="F0F5FF"/>
          </w:tcPr>
          <w:p>
            <w:pPr>
              <w:spacing w:after="0"/>
              <w:rPr>
                <w:sz w:val="12"/>
                <w:szCs w:val="12"/>
                <w:color w:val="auto"/>
              </w:rPr>
            </w:pPr>
          </w:p>
        </w:tc>
        <w:tc>
          <w:tcPr>
            <w:tcW w:w="240" w:type="dxa"/>
            <w:vAlign w:val="bottom"/>
            <w:tcBorders>
              <w:bottom w:val="single" w:sz="8" w:color="005AFF"/>
            </w:tcBorders>
            <w:shd w:val="clear" w:color="auto" w:fill="F0F5FF"/>
          </w:tcPr>
          <w:p>
            <w:pPr>
              <w:spacing w:after="0"/>
              <w:rPr>
                <w:sz w:val="12"/>
                <w:szCs w:val="12"/>
                <w:color w:val="auto"/>
              </w:rPr>
            </w:pPr>
          </w:p>
        </w:tc>
        <w:tc>
          <w:tcPr>
            <w:tcW w:w="380" w:type="dxa"/>
            <w:vAlign w:val="bottom"/>
            <w:tcBorders>
              <w:bottom w:val="single" w:sz="8" w:color="005AFF"/>
            </w:tcBorders>
            <w:shd w:val="clear" w:color="auto" w:fill="F0F5FF"/>
          </w:tcPr>
          <w:p>
            <w:pPr>
              <w:spacing w:after="0"/>
              <w:rPr>
                <w:sz w:val="12"/>
                <w:szCs w:val="12"/>
                <w:color w:val="auto"/>
              </w:rPr>
            </w:pPr>
          </w:p>
        </w:tc>
        <w:tc>
          <w:tcPr>
            <w:tcW w:w="100" w:type="dxa"/>
            <w:vAlign w:val="bottom"/>
            <w:tcBorders>
              <w:bottom w:val="single" w:sz="8" w:color="F0F5FF"/>
            </w:tcBorders>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220"/>
        </w:trPr>
        <w:tc>
          <w:tcPr>
            <w:tcW w:w="480" w:type="dxa"/>
            <w:vAlign w:val="bottom"/>
          </w:tcPr>
          <w:p>
            <w:pPr>
              <w:spacing w:after="0"/>
              <w:rPr>
                <w:sz w:val="19"/>
                <w:szCs w:val="19"/>
                <w:color w:val="auto"/>
              </w:rPr>
            </w:pPr>
          </w:p>
        </w:tc>
        <w:tc>
          <w:tcPr>
            <w:tcW w:w="80" w:type="dxa"/>
            <w:vAlign w:val="bottom"/>
            <w:shd w:val="clear" w:color="auto" w:fill="F0F5FF"/>
          </w:tcPr>
          <w:p>
            <w:pPr>
              <w:spacing w:after="0"/>
              <w:rPr>
                <w:sz w:val="19"/>
                <w:szCs w:val="19"/>
                <w:color w:val="auto"/>
              </w:rPr>
            </w:pPr>
          </w:p>
        </w:tc>
        <w:tc>
          <w:tcPr>
            <w:tcW w:w="10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b w:val="1"/>
                <w:bCs w:val="1"/>
                <w:color w:val="221E1F"/>
              </w:rPr>
              <w:t>Clean 200</w:t>
            </w: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82nd out of 200</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480" w:type="dxa"/>
            <w:vAlign w:val="bottom"/>
            <w:gridSpan w:val="2"/>
            <w:shd w:val="clear" w:color="auto" w:fill="F0F5FF"/>
          </w:tcPr>
          <w:p>
            <w:pPr>
              <w:spacing w:after="0"/>
              <w:rPr>
                <w:sz w:val="20"/>
                <w:szCs w:val="20"/>
                <w:color w:val="auto"/>
              </w:rPr>
            </w:pPr>
            <w:r>
              <w:rPr>
                <w:rFonts w:ascii="Times New Roman" w:cs="Times New Roman" w:eastAsia="Times New Roman" w:hAnsi="Times New Roman"/>
                <w:sz w:val="9"/>
                <w:szCs w:val="9"/>
                <w:color w:val="221E1F"/>
              </w:rPr>
              <w:t>Feb</w:t>
            </w:r>
          </w:p>
        </w:tc>
        <w:tc>
          <w:tcPr>
            <w:tcW w:w="0" w:type="dxa"/>
            <w:vAlign w:val="bottom"/>
          </w:tcPr>
          <w:p>
            <w:pPr>
              <w:spacing w:after="0"/>
              <w:rPr>
                <w:sz w:val="1"/>
                <w:szCs w:val="1"/>
                <w:color w:val="auto"/>
              </w:rPr>
            </w:pPr>
          </w:p>
        </w:tc>
      </w:tr>
      <w:tr>
        <w:trPr>
          <w:trHeight w:val="114"/>
        </w:trPr>
        <w:tc>
          <w:tcPr>
            <w:tcW w:w="480" w:type="dxa"/>
            <w:vAlign w:val="bottom"/>
          </w:tcPr>
          <w:p>
            <w:pPr>
              <w:spacing w:after="0"/>
              <w:rPr>
                <w:sz w:val="9"/>
                <w:szCs w:val="9"/>
                <w:color w:val="auto"/>
              </w:rPr>
            </w:pPr>
          </w:p>
        </w:tc>
        <w:tc>
          <w:tcPr>
            <w:tcW w:w="80" w:type="dxa"/>
            <w:vAlign w:val="bottom"/>
            <w:tcBorders>
              <w:bottom w:val="single" w:sz="8" w:color="F0F5FF"/>
            </w:tcBorders>
            <w:shd w:val="clear" w:color="auto" w:fill="F0F5FF"/>
          </w:tcPr>
          <w:p>
            <w:pPr>
              <w:spacing w:after="0"/>
              <w:rPr>
                <w:sz w:val="9"/>
                <w:szCs w:val="9"/>
                <w:color w:val="auto"/>
              </w:rPr>
            </w:pPr>
          </w:p>
        </w:tc>
        <w:tc>
          <w:tcPr>
            <w:tcW w:w="1080" w:type="dxa"/>
            <w:vAlign w:val="bottom"/>
            <w:tcBorders>
              <w:bottom w:val="single" w:sz="8" w:color="005AFF"/>
            </w:tcBorders>
            <w:shd w:val="clear" w:color="auto" w:fill="F0F5FF"/>
          </w:tcPr>
          <w:p>
            <w:pPr>
              <w:spacing w:after="0"/>
              <w:rPr>
                <w:sz w:val="9"/>
                <w:szCs w:val="9"/>
                <w:color w:val="auto"/>
              </w:rPr>
            </w:pPr>
          </w:p>
        </w:tc>
        <w:tc>
          <w:tcPr>
            <w:tcW w:w="2160" w:type="dxa"/>
            <w:vAlign w:val="bottom"/>
            <w:tcBorders>
              <w:bottom w:val="single" w:sz="8" w:color="005AFF"/>
            </w:tcBorders>
            <w:shd w:val="clear" w:color="auto" w:fill="F0F5FF"/>
          </w:tcPr>
          <w:p>
            <w:pPr>
              <w:spacing w:after="0"/>
              <w:rPr>
                <w:sz w:val="9"/>
                <w:szCs w:val="9"/>
                <w:color w:val="auto"/>
              </w:rPr>
            </w:pPr>
          </w:p>
        </w:tc>
        <w:tc>
          <w:tcPr>
            <w:tcW w:w="240" w:type="dxa"/>
            <w:vAlign w:val="bottom"/>
            <w:tcBorders>
              <w:bottom w:val="single" w:sz="8" w:color="005AFF"/>
            </w:tcBorders>
            <w:shd w:val="clear" w:color="auto" w:fill="F0F5FF"/>
          </w:tcPr>
          <w:p>
            <w:pPr>
              <w:spacing w:after="0"/>
              <w:rPr>
                <w:sz w:val="9"/>
                <w:szCs w:val="9"/>
                <w:color w:val="auto"/>
              </w:rPr>
            </w:pPr>
          </w:p>
        </w:tc>
        <w:tc>
          <w:tcPr>
            <w:tcW w:w="380" w:type="dxa"/>
            <w:vAlign w:val="bottom"/>
            <w:tcBorders>
              <w:bottom w:val="single" w:sz="8" w:color="005AFF"/>
            </w:tcBorders>
            <w:shd w:val="clear" w:color="auto" w:fill="F0F5FF"/>
          </w:tcPr>
          <w:p>
            <w:pPr>
              <w:spacing w:after="0"/>
              <w:rPr>
                <w:sz w:val="9"/>
                <w:szCs w:val="9"/>
                <w:color w:val="auto"/>
              </w:rPr>
            </w:pPr>
          </w:p>
        </w:tc>
        <w:tc>
          <w:tcPr>
            <w:tcW w:w="100" w:type="dxa"/>
            <w:vAlign w:val="bottom"/>
            <w:tcBorders>
              <w:bottom w:val="single" w:sz="8" w:color="F0F5FF"/>
            </w:tcBorders>
            <w:shd w:val="clear" w:color="auto" w:fill="F0F5FF"/>
          </w:tcPr>
          <w:p>
            <w:pPr>
              <w:spacing w:after="0"/>
              <w:rPr>
                <w:sz w:val="9"/>
                <w:szCs w:val="9"/>
                <w:color w:val="auto"/>
              </w:rPr>
            </w:pPr>
          </w:p>
        </w:tc>
        <w:tc>
          <w:tcPr>
            <w:tcW w:w="0" w:type="dxa"/>
            <w:vAlign w:val="bottom"/>
          </w:tcPr>
          <w:p>
            <w:pPr>
              <w:spacing w:after="0"/>
              <w:rPr>
                <w:sz w:val="1"/>
                <w:szCs w:val="1"/>
                <w:color w:val="auto"/>
              </w:rPr>
            </w:pPr>
          </w:p>
        </w:tc>
      </w:tr>
      <w:tr>
        <w:trPr>
          <w:trHeight w:val="271"/>
        </w:trPr>
        <w:tc>
          <w:tcPr>
            <w:tcW w:w="480" w:type="dxa"/>
            <w:vAlign w:val="bottom"/>
          </w:tcPr>
          <w:p>
            <w:pPr>
              <w:spacing w:after="0"/>
              <w:rPr>
                <w:sz w:val="23"/>
                <w:szCs w:val="23"/>
                <w:color w:val="auto"/>
              </w:rPr>
            </w:pPr>
          </w:p>
        </w:tc>
        <w:tc>
          <w:tcPr>
            <w:tcW w:w="80" w:type="dxa"/>
            <w:vAlign w:val="bottom"/>
            <w:shd w:val="clear" w:color="auto" w:fill="F0F5FF"/>
          </w:tcPr>
          <w:p>
            <w:pPr>
              <w:spacing w:after="0"/>
              <w:rPr>
                <w:sz w:val="23"/>
                <w:szCs w:val="23"/>
                <w:color w:val="auto"/>
              </w:rPr>
            </w:pPr>
          </w:p>
        </w:tc>
        <w:tc>
          <w:tcPr>
            <w:tcW w:w="1080" w:type="dxa"/>
            <w:vAlign w:val="bottom"/>
            <w:shd w:val="clear" w:color="auto" w:fill="F0F5FF"/>
          </w:tcPr>
          <w:p>
            <w:pPr>
              <w:spacing w:after="0"/>
              <w:rPr>
                <w:sz w:val="23"/>
                <w:szCs w:val="23"/>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24th out of 200</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480" w:type="dxa"/>
            <w:vAlign w:val="bottom"/>
            <w:gridSpan w:val="2"/>
            <w:shd w:val="clear" w:color="auto" w:fill="F0F5FF"/>
          </w:tcPr>
          <w:p>
            <w:pPr>
              <w:spacing w:after="0"/>
              <w:rPr>
                <w:sz w:val="20"/>
                <w:szCs w:val="20"/>
                <w:color w:val="auto"/>
              </w:rPr>
            </w:pPr>
            <w:r>
              <w:rPr>
                <w:rFonts w:ascii="Times New Roman" w:cs="Times New Roman" w:eastAsia="Times New Roman" w:hAnsi="Times New Roman"/>
                <w:sz w:val="9"/>
                <w:szCs w:val="9"/>
                <w:color w:val="221E1F"/>
              </w:rPr>
              <w:t>Mar</w:t>
            </w:r>
          </w:p>
        </w:tc>
        <w:tc>
          <w:tcPr>
            <w:tcW w:w="0" w:type="dxa"/>
            <w:vAlign w:val="bottom"/>
          </w:tcPr>
          <w:p>
            <w:pPr>
              <w:spacing w:after="0"/>
              <w:rPr>
                <w:sz w:val="1"/>
                <w:szCs w:val="1"/>
                <w:color w:val="auto"/>
              </w:rPr>
            </w:pPr>
          </w:p>
        </w:tc>
      </w:tr>
      <w:tr>
        <w:trPr>
          <w:trHeight w:val="154"/>
        </w:trPr>
        <w:tc>
          <w:tcPr>
            <w:tcW w:w="480" w:type="dxa"/>
            <w:vAlign w:val="bottom"/>
          </w:tcPr>
          <w:p>
            <w:pPr>
              <w:spacing w:after="0"/>
              <w:rPr>
                <w:sz w:val="13"/>
                <w:szCs w:val="13"/>
                <w:color w:val="auto"/>
              </w:rPr>
            </w:pPr>
          </w:p>
        </w:tc>
        <w:tc>
          <w:tcPr>
            <w:tcW w:w="80" w:type="dxa"/>
            <w:vAlign w:val="bottom"/>
            <w:tcBorders>
              <w:bottom w:val="single" w:sz="8" w:color="F0F5FF"/>
            </w:tcBorders>
            <w:shd w:val="clear" w:color="auto" w:fill="F0F5FF"/>
          </w:tcPr>
          <w:p>
            <w:pPr>
              <w:spacing w:after="0"/>
              <w:rPr>
                <w:sz w:val="13"/>
                <w:szCs w:val="13"/>
                <w:color w:val="auto"/>
              </w:rPr>
            </w:pPr>
          </w:p>
        </w:tc>
        <w:tc>
          <w:tcPr>
            <w:tcW w:w="1080" w:type="dxa"/>
            <w:vAlign w:val="bottom"/>
            <w:tcBorders>
              <w:bottom w:val="single" w:sz="8" w:color="005AFF"/>
            </w:tcBorders>
            <w:shd w:val="clear" w:color="auto" w:fill="F0F5FF"/>
          </w:tcPr>
          <w:p>
            <w:pPr>
              <w:spacing w:after="0"/>
              <w:rPr>
                <w:sz w:val="13"/>
                <w:szCs w:val="13"/>
                <w:color w:val="auto"/>
              </w:rPr>
            </w:pPr>
          </w:p>
        </w:tc>
        <w:tc>
          <w:tcPr>
            <w:tcW w:w="2160" w:type="dxa"/>
            <w:vAlign w:val="bottom"/>
            <w:tcBorders>
              <w:bottom w:val="single" w:sz="8" w:color="005AFF"/>
            </w:tcBorders>
            <w:shd w:val="clear" w:color="auto" w:fill="F0F5FF"/>
          </w:tcPr>
          <w:p>
            <w:pPr>
              <w:spacing w:after="0"/>
              <w:rPr>
                <w:sz w:val="13"/>
                <w:szCs w:val="13"/>
                <w:color w:val="auto"/>
              </w:rPr>
            </w:pPr>
          </w:p>
        </w:tc>
        <w:tc>
          <w:tcPr>
            <w:tcW w:w="620" w:type="dxa"/>
            <w:vAlign w:val="bottom"/>
            <w:tcBorders>
              <w:bottom w:val="single" w:sz="8" w:color="005AFF"/>
            </w:tcBorders>
            <w:gridSpan w:val="2"/>
            <w:shd w:val="clear" w:color="auto" w:fill="F0F5FF"/>
          </w:tcPr>
          <w:p>
            <w:pPr>
              <w:spacing w:after="0"/>
              <w:rPr>
                <w:sz w:val="13"/>
                <w:szCs w:val="13"/>
                <w:color w:val="auto"/>
              </w:rPr>
            </w:pPr>
          </w:p>
        </w:tc>
        <w:tc>
          <w:tcPr>
            <w:tcW w:w="100" w:type="dxa"/>
            <w:vAlign w:val="bottom"/>
            <w:tcBorders>
              <w:bottom w:val="single" w:sz="8" w:color="F0F5FF"/>
            </w:tcBorders>
            <w:shd w:val="clear" w:color="auto" w:fill="F0F5FF"/>
          </w:tcPr>
          <w:p>
            <w:pPr>
              <w:spacing w:after="0"/>
              <w:rPr>
                <w:sz w:val="13"/>
                <w:szCs w:val="13"/>
                <w:color w:val="auto"/>
              </w:rPr>
            </w:pPr>
          </w:p>
        </w:tc>
        <w:tc>
          <w:tcPr>
            <w:tcW w:w="0" w:type="dxa"/>
            <w:vAlign w:val="bottom"/>
          </w:tcPr>
          <w:p>
            <w:pPr>
              <w:spacing w:after="0"/>
              <w:rPr>
                <w:sz w:val="1"/>
                <w:szCs w:val="1"/>
                <w:color w:val="auto"/>
              </w:rPr>
            </w:pPr>
          </w:p>
        </w:tc>
      </w:tr>
      <w:tr>
        <w:trPr>
          <w:trHeight w:val="322"/>
        </w:trPr>
        <w:tc>
          <w:tcPr>
            <w:tcW w:w="48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1080" w:type="dxa"/>
            <w:vAlign w:val="bottom"/>
            <w:shd w:val="clear" w:color="auto" w:fill="F0F5FF"/>
          </w:tcPr>
          <w:p>
            <w:pPr>
              <w:spacing w:after="0"/>
              <w:rPr>
                <w:sz w:val="24"/>
                <w:szCs w:val="24"/>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Top 1% – Platinum</w:t>
            </w:r>
          </w:p>
        </w:tc>
        <w:tc>
          <w:tcPr>
            <w:tcW w:w="620" w:type="dxa"/>
            <w:vAlign w:val="bottom"/>
            <w:gridSpan w:val="2"/>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2023 Mar</w:t>
            </w:r>
          </w:p>
        </w:tc>
        <w:tc>
          <w:tcPr>
            <w:tcW w:w="100" w:type="dxa"/>
            <w:vAlign w:val="bottom"/>
            <w:shd w:val="clear" w:color="auto" w:fill="F0F5FF"/>
          </w:tcPr>
          <w:p>
            <w:pPr>
              <w:spacing w:after="0"/>
              <w:rPr>
                <w:sz w:val="24"/>
                <w:szCs w:val="24"/>
                <w:color w:val="auto"/>
              </w:rPr>
            </w:pPr>
          </w:p>
        </w:tc>
        <w:tc>
          <w:tcPr>
            <w:tcW w:w="0" w:type="dxa"/>
            <w:vAlign w:val="bottom"/>
          </w:tcPr>
          <w:p>
            <w:pPr>
              <w:spacing w:after="0"/>
              <w:rPr>
                <w:sz w:val="1"/>
                <w:szCs w:val="1"/>
                <w:color w:val="auto"/>
              </w:rPr>
            </w:pPr>
          </w:p>
        </w:tc>
      </w:tr>
      <w:tr>
        <w:trPr>
          <w:trHeight w:val="215"/>
        </w:trPr>
        <w:tc>
          <w:tcPr>
            <w:tcW w:w="480" w:type="dxa"/>
            <w:vAlign w:val="bottom"/>
          </w:tcPr>
          <w:p>
            <w:pPr>
              <w:spacing w:after="0"/>
              <w:rPr>
                <w:sz w:val="18"/>
                <w:szCs w:val="18"/>
                <w:color w:val="auto"/>
              </w:rPr>
            </w:pPr>
          </w:p>
        </w:tc>
        <w:tc>
          <w:tcPr>
            <w:tcW w:w="80" w:type="dxa"/>
            <w:vAlign w:val="bottom"/>
            <w:tcBorders>
              <w:bottom w:val="single" w:sz="8" w:color="F0F5FF"/>
            </w:tcBorders>
            <w:shd w:val="clear" w:color="auto" w:fill="F0F5FF"/>
          </w:tcPr>
          <w:p>
            <w:pPr>
              <w:spacing w:after="0"/>
              <w:rPr>
                <w:sz w:val="18"/>
                <w:szCs w:val="18"/>
                <w:color w:val="auto"/>
              </w:rPr>
            </w:pPr>
          </w:p>
        </w:tc>
        <w:tc>
          <w:tcPr>
            <w:tcW w:w="1080" w:type="dxa"/>
            <w:vAlign w:val="bottom"/>
            <w:tcBorders>
              <w:bottom w:val="single" w:sz="8" w:color="005AFF"/>
            </w:tcBorders>
            <w:shd w:val="clear" w:color="auto" w:fill="F0F5FF"/>
          </w:tcPr>
          <w:p>
            <w:pPr>
              <w:spacing w:after="0"/>
              <w:rPr>
                <w:sz w:val="18"/>
                <w:szCs w:val="18"/>
                <w:color w:val="auto"/>
              </w:rPr>
            </w:pPr>
          </w:p>
        </w:tc>
        <w:tc>
          <w:tcPr>
            <w:tcW w:w="2160" w:type="dxa"/>
            <w:vAlign w:val="bottom"/>
            <w:tcBorders>
              <w:bottom w:val="single" w:sz="8" w:color="005AFF"/>
            </w:tcBorders>
            <w:shd w:val="clear" w:color="auto" w:fill="F0F5FF"/>
          </w:tcPr>
          <w:p>
            <w:pPr>
              <w:spacing w:after="0"/>
              <w:rPr>
                <w:sz w:val="18"/>
                <w:szCs w:val="18"/>
                <w:color w:val="auto"/>
              </w:rPr>
            </w:pPr>
          </w:p>
        </w:tc>
        <w:tc>
          <w:tcPr>
            <w:tcW w:w="240" w:type="dxa"/>
            <w:vAlign w:val="bottom"/>
            <w:tcBorders>
              <w:bottom w:val="single" w:sz="8" w:color="005AFF"/>
            </w:tcBorders>
            <w:shd w:val="clear" w:color="auto" w:fill="F0F5FF"/>
          </w:tcPr>
          <w:p>
            <w:pPr>
              <w:spacing w:after="0"/>
              <w:rPr>
                <w:sz w:val="18"/>
                <w:szCs w:val="18"/>
                <w:color w:val="auto"/>
              </w:rPr>
            </w:pPr>
          </w:p>
        </w:tc>
        <w:tc>
          <w:tcPr>
            <w:tcW w:w="380" w:type="dxa"/>
            <w:vAlign w:val="bottom"/>
            <w:tcBorders>
              <w:bottom w:val="single" w:sz="8" w:color="005AFF"/>
            </w:tcBorders>
            <w:shd w:val="clear" w:color="auto" w:fill="F0F5FF"/>
          </w:tcPr>
          <w:p>
            <w:pPr>
              <w:spacing w:after="0"/>
              <w:rPr>
                <w:sz w:val="18"/>
                <w:szCs w:val="18"/>
                <w:color w:val="auto"/>
              </w:rPr>
            </w:pPr>
          </w:p>
        </w:tc>
        <w:tc>
          <w:tcPr>
            <w:tcW w:w="100" w:type="dxa"/>
            <w:vAlign w:val="bottom"/>
            <w:tcBorders>
              <w:bottom w:val="single" w:sz="8" w:color="F0F5FF"/>
            </w:tcBorders>
            <w:shd w:val="clear" w:color="auto" w:fill="F0F5FF"/>
          </w:tcPr>
          <w:p>
            <w:pPr>
              <w:spacing w:after="0"/>
              <w:rPr>
                <w:sz w:val="18"/>
                <w:szCs w:val="18"/>
                <w:color w:val="auto"/>
              </w:rPr>
            </w:pPr>
          </w:p>
        </w:tc>
        <w:tc>
          <w:tcPr>
            <w:tcW w:w="0" w:type="dxa"/>
            <w:vAlign w:val="bottom"/>
          </w:tcPr>
          <w:p>
            <w:pPr>
              <w:spacing w:after="0"/>
              <w:rPr>
                <w:sz w:val="1"/>
                <w:szCs w:val="1"/>
                <w:color w:val="auto"/>
              </w:rPr>
            </w:pPr>
          </w:p>
        </w:tc>
      </w:tr>
      <w:tr>
        <w:trPr>
          <w:trHeight w:val="260"/>
        </w:trPr>
        <w:tc>
          <w:tcPr>
            <w:tcW w:w="480" w:type="dxa"/>
            <w:vAlign w:val="bottom"/>
          </w:tcPr>
          <w:p>
            <w:pPr>
              <w:spacing w:after="0"/>
              <w:rPr>
                <w:sz w:val="22"/>
                <w:szCs w:val="22"/>
                <w:color w:val="auto"/>
              </w:rPr>
            </w:pPr>
          </w:p>
        </w:tc>
        <w:tc>
          <w:tcPr>
            <w:tcW w:w="80" w:type="dxa"/>
            <w:vAlign w:val="bottom"/>
            <w:shd w:val="clear" w:color="auto" w:fill="F0F5FF"/>
          </w:tcPr>
          <w:p>
            <w:pPr>
              <w:spacing w:after="0"/>
              <w:rPr>
                <w:sz w:val="22"/>
                <w:szCs w:val="22"/>
                <w:color w:val="auto"/>
              </w:rPr>
            </w:pPr>
          </w:p>
        </w:tc>
        <w:tc>
          <w:tcPr>
            <w:tcW w:w="1080" w:type="dxa"/>
            <w:vAlign w:val="bottom"/>
            <w:shd w:val="clear" w:color="auto" w:fill="F0F5FF"/>
          </w:tcPr>
          <w:p>
            <w:pPr>
              <w:spacing w:after="0"/>
              <w:rPr>
                <w:sz w:val="22"/>
                <w:szCs w:val="22"/>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Recognized as one of the 2023 World’s</w:t>
            </w:r>
          </w:p>
        </w:tc>
        <w:tc>
          <w:tcPr>
            <w:tcW w:w="620" w:type="dxa"/>
            <w:vAlign w:val="bottom"/>
            <w:gridSpan w:val="2"/>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2023 Mar</w:t>
            </w:r>
          </w:p>
        </w:tc>
        <w:tc>
          <w:tcPr>
            <w:tcW w:w="100" w:type="dxa"/>
            <w:vAlign w:val="bottom"/>
            <w:shd w:val="clear" w:color="auto" w:fill="F0F5FF"/>
          </w:tcPr>
          <w:p>
            <w:pPr>
              <w:spacing w:after="0"/>
              <w:rPr>
                <w:sz w:val="22"/>
                <w:szCs w:val="22"/>
                <w:color w:val="auto"/>
              </w:rPr>
            </w:pPr>
          </w:p>
        </w:tc>
        <w:tc>
          <w:tcPr>
            <w:tcW w:w="0" w:type="dxa"/>
            <w:vAlign w:val="bottom"/>
          </w:tcPr>
          <w:p>
            <w:pPr>
              <w:spacing w:after="0"/>
              <w:rPr>
                <w:sz w:val="1"/>
                <w:szCs w:val="1"/>
                <w:color w:val="auto"/>
              </w:rPr>
            </w:pPr>
          </w:p>
        </w:tc>
      </w:tr>
      <w:tr>
        <w:trPr>
          <w:trHeight w:val="61"/>
        </w:trPr>
        <w:tc>
          <w:tcPr>
            <w:tcW w:w="480" w:type="dxa"/>
            <w:vAlign w:val="bottom"/>
          </w:tcPr>
          <w:p>
            <w:pPr>
              <w:spacing w:after="0"/>
              <w:rPr>
                <w:sz w:val="5"/>
                <w:szCs w:val="5"/>
                <w:color w:val="auto"/>
              </w:rPr>
            </w:pPr>
          </w:p>
        </w:tc>
        <w:tc>
          <w:tcPr>
            <w:tcW w:w="80" w:type="dxa"/>
            <w:vAlign w:val="bottom"/>
            <w:shd w:val="clear" w:color="auto" w:fill="F0F5FF"/>
          </w:tcPr>
          <w:p>
            <w:pPr>
              <w:spacing w:after="0"/>
              <w:rPr>
                <w:sz w:val="5"/>
                <w:szCs w:val="5"/>
                <w:color w:val="auto"/>
              </w:rPr>
            </w:pPr>
          </w:p>
        </w:tc>
        <w:tc>
          <w:tcPr>
            <w:tcW w:w="1080" w:type="dxa"/>
            <w:vAlign w:val="bottom"/>
            <w:shd w:val="clear" w:color="auto" w:fill="F0F5FF"/>
          </w:tcPr>
          <w:p>
            <w:pPr>
              <w:spacing w:after="0"/>
              <w:rPr>
                <w:sz w:val="5"/>
                <w:szCs w:val="5"/>
                <w:color w:val="auto"/>
              </w:rPr>
            </w:pPr>
          </w:p>
        </w:tc>
        <w:tc>
          <w:tcPr>
            <w:tcW w:w="216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Most Ethical Companies ®</w:t>
            </w:r>
          </w:p>
        </w:tc>
        <w:tc>
          <w:tcPr>
            <w:tcW w:w="620" w:type="dxa"/>
            <w:vAlign w:val="bottom"/>
            <w:gridSpan w:val="2"/>
            <w:vMerge w:val="continue"/>
            <w:shd w:val="clear" w:color="auto" w:fill="F0F5FF"/>
          </w:tcPr>
          <w:p>
            <w:pPr>
              <w:spacing w:after="0"/>
              <w:rPr>
                <w:sz w:val="5"/>
                <w:szCs w:val="5"/>
                <w:color w:val="auto"/>
              </w:rPr>
            </w:pPr>
          </w:p>
        </w:tc>
        <w:tc>
          <w:tcPr>
            <w:tcW w:w="100" w:type="dxa"/>
            <w:vAlign w:val="bottom"/>
            <w:shd w:val="clear" w:color="auto" w:fill="F0F5FF"/>
          </w:tcPr>
          <w:p>
            <w:pPr>
              <w:spacing w:after="0"/>
              <w:rPr>
                <w:sz w:val="5"/>
                <w:szCs w:val="5"/>
                <w:color w:val="auto"/>
              </w:rPr>
            </w:pPr>
          </w:p>
        </w:tc>
        <w:tc>
          <w:tcPr>
            <w:tcW w:w="0" w:type="dxa"/>
            <w:vAlign w:val="bottom"/>
          </w:tcPr>
          <w:p>
            <w:pPr>
              <w:spacing w:after="0"/>
              <w:rPr>
                <w:sz w:val="1"/>
                <w:szCs w:val="1"/>
                <w:color w:val="auto"/>
              </w:rPr>
            </w:pPr>
          </w:p>
        </w:tc>
      </w:tr>
      <w:tr>
        <w:trPr>
          <w:trHeight w:val="61"/>
        </w:trPr>
        <w:tc>
          <w:tcPr>
            <w:tcW w:w="480" w:type="dxa"/>
            <w:vAlign w:val="bottom"/>
          </w:tcPr>
          <w:p>
            <w:pPr>
              <w:spacing w:after="0"/>
              <w:rPr>
                <w:sz w:val="5"/>
                <w:szCs w:val="5"/>
                <w:color w:val="auto"/>
              </w:rPr>
            </w:pPr>
          </w:p>
        </w:tc>
        <w:tc>
          <w:tcPr>
            <w:tcW w:w="80" w:type="dxa"/>
            <w:vAlign w:val="bottom"/>
            <w:shd w:val="clear" w:color="auto" w:fill="F0F5FF"/>
          </w:tcPr>
          <w:p>
            <w:pPr>
              <w:spacing w:after="0"/>
              <w:rPr>
                <w:sz w:val="5"/>
                <w:szCs w:val="5"/>
                <w:color w:val="auto"/>
              </w:rPr>
            </w:pPr>
          </w:p>
        </w:tc>
        <w:tc>
          <w:tcPr>
            <w:tcW w:w="1080" w:type="dxa"/>
            <w:vAlign w:val="bottom"/>
            <w:shd w:val="clear" w:color="auto" w:fill="F0F5FF"/>
          </w:tcPr>
          <w:p>
            <w:pPr>
              <w:spacing w:after="0"/>
              <w:rPr>
                <w:sz w:val="5"/>
                <w:szCs w:val="5"/>
                <w:color w:val="auto"/>
              </w:rPr>
            </w:pPr>
          </w:p>
        </w:tc>
        <w:tc>
          <w:tcPr>
            <w:tcW w:w="2160" w:type="dxa"/>
            <w:vAlign w:val="bottom"/>
            <w:vMerge w:val="continue"/>
            <w:shd w:val="clear" w:color="auto" w:fill="F0F5FF"/>
          </w:tcPr>
          <w:p>
            <w:pPr>
              <w:spacing w:after="0"/>
              <w:rPr>
                <w:sz w:val="5"/>
                <w:szCs w:val="5"/>
                <w:color w:val="auto"/>
              </w:rPr>
            </w:pPr>
          </w:p>
        </w:tc>
        <w:tc>
          <w:tcPr>
            <w:tcW w:w="240" w:type="dxa"/>
            <w:vAlign w:val="bottom"/>
            <w:shd w:val="clear" w:color="auto" w:fill="F0F5FF"/>
          </w:tcPr>
          <w:p>
            <w:pPr>
              <w:spacing w:after="0"/>
              <w:rPr>
                <w:sz w:val="5"/>
                <w:szCs w:val="5"/>
                <w:color w:val="auto"/>
              </w:rPr>
            </w:pPr>
          </w:p>
        </w:tc>
        <w:tc>
          <w:tcPr>
            <w:tcW w:w="380" w:type="dxa"/>
            <w:vAlign w:val="bottom"/>
            <w:shd w:val="clear" w:color="auto" w:fill="F0F5FF"/>
          </w:tcPr>
          <w:p>
            <w:pPr>
              <w:spacing w:after="0"/>
              <w:rPr>
                <w:sz w:val="5"/>
                <w:szCs w:val="5"/>
                <w:color w:val="auto"/>
              </w:rPr>
            </w:pPr>
          </w:p>
        </w:tc>
        <w:tc>
          <w:tcPr>
            <w:tcW w:w="100" w:type="dxa"/>
            <w:vAlign w:val="bottom"/>
            <w:shd w:val="clear" w:color="auto" w:fill="F0F5FF"/>
          </w:tcPr>
          <w:p>
            <w:pPr>
              <w:spacing w:after="0"/>
              <w:rPr>
                <w:sz w:val="5"/>
                <w:szCs w:val="5"/>
                <w:color w:val="auto"/>
              </w:rPr>
            </w:pPr>
          </w:p>
        </w:tc>
        <w:tc>
          <w:tcPr>
            <w:tcW w:w="0" w:type="dxa"/>
            <w:vAlign w:val="bottom"/>
          </w:tcPr>
          <w:p>
            <w:pPr>
              <w:spacing w:after="0"/>
              <w:rPr>
                <w:sz w:val="1"/>
                <w:szCs w:val="1"/>
                <w:color w:val="auto"/>
              </w:rPr>
            </w:pPr>
          </w:p>
        </w:tc>
      </w:tr>
      <w:tr>
        <w:trPr>
          <w:trHeight w:val="154"/>
        </w:trPr>
        <w:tc>
          <w:tcPr>
            <w:tcW w:w="480" w:type="dxa"/>
            <w:vAlign w:val="bottom"/>
          </w:tcPr>
          <w:p>
            <w:pPr>
              <w:spacing w:after="0"/>
              <w:rPr>
                <w:sz w:val="13"/>
                <w:szCs w:val="13"/>
                <w:color w:val="auto"/>
              </w:rPr>
            </w:pPr>
          </w:p>
        </w:tc>
        <w:tc>
          <w:tcPr>
            <w:tcW w:w="80" w:type="dxa"/>
            <w:vAlign w:val="bottom"/>
            <w:tcBorders>
              <w:bottom w:val="single" w:sz="8" w:color="F0F5FF"/>
            </w:tcBorders>
            <w:shd w:val="clear" w:color="auto" w:fill="F0F5FF"/>
          </w:tcPr>
          <w:p>
            <w:pPr>
              <w:spacing w:after="0"/>
              <w:rPr>
                <w:sz w:val="13"/>
                <w:szCs w:val="13"/>
                <w:color w:val="auto"/>
              </w:rPr>
            </w:pPr>
          </w:p>
        </w:tc>
        <w:tc>
          <w:tcPr>
            <w:tcW w:w="1080" w:type="dxa"/>
            <w:vAlign w:val="bottom"/>
            <w:tcBorders>
              <w:bottom w:val="single" w:sz="8" w:color="005AFF"/>
            </w:tcBorders>
            <w:shd w:val="clear" w:color="auto" w:fill="F0F5FF"/>
          </w:tcPr>
          <w:p>
            <w:pPr>
              <w:spacing w:after="0"/>
              <w:rPr>
                <w:sz w:val="13"/>
                <w:szCs w:val="13"/>
                <w:color w:val="auto"/>
              </w:rPr>
            </w:pPr>
          </w:p>
        </w:tc>
        <w:tc>
          <w:tcPr>
            <w:tcW w:w="2160" w:type="dxa"/>
            <w:vAlign w:val="bottom"/>
            <w:tcBorders>
              <w:bottom w:val="single" w:sz="8" w:color="005AFF"/>
            </w:tcBorders>
            <w:shd w:val="clear" w:color="auto" w:fill="F0F5FF"/>
          </w:tcPr>
          <w:p>
            <w:pPr>
              <w:spacing w:after="0"/>
              <w:rPr>
                <w:sz w:val="13"/>
                <w:szCs w:val="13"/>
                <w:color w:val="auto"/>
              </w:rPr>
            </w:pPr>
          </w:p>
        </w:tc>
        <w:tc>
          <w:tcPr>
            <w:tcW w:w="240" w:type="dxa"/>
            <w:vAlign w:val="bottom"/>
            <w:tcBorders>
              <w:bottom w:val="single" w:sz="8" w:color="005AFF"/>
            </w:tcBorders>
            <w:shd w:val="clear" w:color="auto" w:fill="F0F5FF"/>
          </w:tcPr>
          <w:p>
            <w:pPr>
              <w:spacing w:after="0"/>
              <w:rPr>
                <w:sz w:val="13"/>
                <w:szCs w:val="13"/>
                <w:color w:val="auto"/>
              </w:rPr>
            </w:pPr>
          </w:p>
        </w:tc>
        <w:tc>
          <w:tcPr>
            <w:tcW w:w="380" w:type="dxa"/>
            <w:vAlign w:val="bottom"/>
            <w:tcBorders>
              <w:bottom w:val="single" w:sz="8" w:color="005AFF"/>
            </w:tcBorders>
            <w:shd w:val="clear" w:color="auto" w:fill="F0F5FF"/>
          </w:tcPr>
          <w:p>
            <w:pPr>
              <w:spacing w:after="0"/>
              <w:rPr>
                <w:sz w:val="13"/>
                <w:szCs w:val="13"/>
                <w:color w:val="auto"/>
              </w:rPr>
            </w:pPr>
          </w:p>
        </w:tc>
        <w:tc>
          <w:tcPr>
            <w:tcW w:w="100" w:type="dxa"/>
            <w:vAlign w:val="bottom"/>
            <w:tcBorders>
              <w:bottom w:val="single" w:sz="8" w:color="F0F5FF"/>
            </w:tcBorders>
            <w:shd w:val="clear" w:color="auto" w:fill="F0F5FF"/>
          </w:tcPr>
          <w:p>
            <w:pPr>
              <w:spacing w:after="0"/>
              <w:rPr>
                <w:sz w:val="13"/>
                <w:szCs w:val="13"/>
                <w:color w:val="auto"/>
              </w:rPr>
            </w:pPr>
          </w:p>
        </w:tc>
        <w:tc>
          <w:tcPr>
            <w:tcW w:w="0" w:type="dxa"/>
            <w:vAlign w:val="bottom"/>
          </w:tcPr>
          <w:p>
            <w:pPr>
              <w:spacing w:after="0"/>
              <w:rPr>
                <w:sz w:val="1"/>
                <w:szCs w:val="1"/>
                <w:color w:val="auto"/>
              </w:rPr>
            </w:pPr>
          </w:p>
        </w:tc>
      </w:tr>
      <w:tr>
        <w:trPr>
          <w:trHeight w:val="322"/>
        </w:trPr>
        <w:tc>
          <w:tcPr>
            <w:tcW w:w="48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1080" w:type="dxa"/>
            <w:vAlign w:val="bottom"/>
            <w:shd w:val="clear" w:color="auto" w:fill="F0F5FF"/>
          </w:tcPr>
          <w:p>
            <w:pPr>
              <w:spacing w:after="0"/>
              <w:rPr>
                <w:sz w:val="24"/>
                <w:szCs w:val="24"/>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ESG Score 4.7/5.0</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380" w:type="dxa"/>
            <w:vAlign w:val="bottom"/>
            <w:shd w:val="clear" w:color="auto" w:fill="F0F5FF"/>
          </w:tcPr>
          <w:p>
            <w:pPr>
              <w:spacing w:after="0"/>
              <w:rPr>
                <w:sz w:val="20"/>
                <w:szCs w:val="20"/>
                <w:color w:val="auto"/>
              </w:rPr>
            </w:pPr>
            <w:r>
              <w:rPr>
                <w:rFonts w:ascii="Times New Roman" w:cs="Times New Roman" w:eastAsia="Times New Roman" w:hAnsi="Times New Roman"/>
                <w:sz w:val="9"/>
                <w:szCs w:val="9"/>
                <w:color w:val="221E1F"/>
              </w:rPr>
              <w:t>Jun</w:t>
            </w:r>
          </w:p>
        </w:tc>
        <w:tc>
          <w:tcPr>
            <w:tcW w:w="100" w:type="dxa"/>
            <w:vAlign w:val="bottom"/>
            <w:shd w:val="clear" w:color="auto" w:fill="F0F5FF"/>
          </w:tcPr>
          <w:p>
            <w:pPr>
              <w:spacing w:after="0"/>
              <w:rPr>
                <w:sz w:val="24"/>
                <w:szCs w:val="24"/>
                <w:color w:val="auto"/>
              </w:rPr>
            </w:pPr>
          </w:p>
        </w:tc>
        <w:tc>
          <w:tcPr>
            <w:tcW w:w="0" w:type="dxa"/>
            <w:vAlign w:val="bottom"/>
          </w:tcPr>
          <w:p>
            <w:pPr>
              <w:spacing w:after="0"/>
              <w:rPr>
                <w:sz w:val="1"/>
                <w:szCs w:val="1"/>
                <w:color w:val="auto"/>
              </w:rPr>
            </w:pPr>
          </w:p>
        </w:tc>
      </w:tr>
      <w:tr>
        <w:trPr>
          <w:trHeight w:val="215"/>
        </w:trPr>
        <w:tc>
          <w:tcPr>
            <w:tcW w:w="480" w:type="dxa"/>
            <w:vAlign w:val="bottom"/>
          </w:tcPr>
          <w:p>
            <w:pPr>
              <w:spacing w:after="0"/>
              <w:rPr>
                <w:sz w:val="18"/>
                <w:szCs w:val="18"/>
                <w:color w:val="auto"/>
              </w:rPr>
            </w:pPr>
          </w:p>
        </w:tc>
        <w:tc>
          <w:tcPr>
            <w:tcW w:w="80" w:type="dxa"/>
            <w:vAlign w:val="bottom"/>
            <w:tcBorders>
              <w:bottom w:val="single" w:sz="8" w:color="F0F5FF"/>
            </w:tcBorders>
            <w:shd w:val="clear" w:color="auto" w:fill="F0F5FF"/>
          </w:tcPr>
          <w:p>
            <w:pPr>
              <w:spacing w:after="0"/>
              <w:rPr>
                <w:sz w:val="18"/>
                <w:szCs w:val="18"/>
                <w:color w:val="auto"/>
              </w:rPr>
            </w:pPr>
          </w:p>
        </w:tc>
        <w:tc>
          <w:tcPr>
            <w:tcW w:w="1080" w:type="dxa"/>
            <w:vAlign w:val="bottom"/>
            <w:tcBorders>
              <w:bottom w:val="single" w:sz="8" w:color="005AFF"/>
            </w:tcBorders>
            <w:shd w:val="clear" w:color="auto" w:fill="F0F5FF"/>
          </w:tcPr>
          <w:p>
            <w:pPr>
              <w:spacing w:after="0"/>
              <w:rPr>
                <w:sz w:val="18"/>
                <w:szCs w:val="18"/>
                <w:color w:val="auto"/>
              </w:rPr>
            </w:pPr>
          </w:p>
        </w:tc>
        <w:tc>
          <w:tcPr>
            <w:tcW w:w="2160" w:type="dxa"/>
            <w:vAlign w:val="bottom"/>
            <w:tcBorders>
              <w:bottom w:val="single" w:sz="8" w:color="005AFF"/>
            </w:tcBorders>
            <w:shd w:val="clear" w:color="auto" w:fill="F0F5FF"/>
          </w:tcPr>
          <w:p>
            <w:pPr>
              <w:spacing w:after="0"/>
              <w:rPr>
                <w:sz w:val="18"/>
                <w:szCs w:val="18"/>
                <w:color w:val="auto"/>
              </w:rPr>
            </w:pPr>
          </w:p>
        </w:tc>
        <w:tc>
          <w:tcPr>
            <w:tcW w:w="620" w:type="dxa"/>
            <w:vAlign w:val="bottom"/>
            <w:tcBorders>
              <w:bottom w:val="single" w:sz="8" w:color="005AFF"/>
            </w:tcBorders>
            <w:gridSpan w:val="2"/>
            <w:shd w:val="clear" w:color="auto" w:fill="F0F5FF"/>
          </w:tcPr>
          <w:p>
            <w:pPr>
              <w:spacing w:after="0"/>
              <w:rPr>
                <w:sz w:val="18"/>
                <w:szCs w:val="18"/>
                <w:color w:val="auto"/>
              </w:rPr>
            </w:pPr>
          </w:p>
        </w:tc>
        <w:tc>
          <w:tcPr>
            <w:tcW w:w="100" w:type="dxa"/>
            <w:vAlign w:val="bottom"/>
            <w:tcBorders>
              <w:bottom w:val="single" w:sz="8" w:color="F0F5FF"/>
            </w:tcBorders>
            <w:shd w:val="clear" w:color="auto" w:fill="F0F5FF"/>
          </w:tcPr>
          <w:p>
            <w:pPr>
              <w:spacing w:after="0"/>
              <w:rPr>
                <w:sz w:val="18"/>
                <w:szCs w:val="18"/>
                <w:color w:val="auto"/>
              </w:rPr>
            </w:pPr>
          </w:p>
        </w:tc>
        <w:tc>
          <w:tcPr>
            <w:tcW w:w="0" w:type="dxa"/>
            <w:vAlign w:val="bottom"/>
          </w:tcPr>
          <w:p>
            <w:pPr>
              <w:spacing w:after="0"/>
              <w:rPr>
                <w:sz w:val="1"/>
                <w:szCs w:val="1"/>
                <w:color w:val="auto"/>
              </w:rPr>
            </w:pPr>
          </w:p>
        </w:tc>
      </w:tr>
      <w:tr>
        <w:trPr>
          <w:trHeight w:val="281"/>
        </w:trPr>
        <w:tc>
          <w:tcPr>
            <w:tcW w:w="48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1080" w:type="dxa"/>
            <w:vAlign w:val="bottom"/>
            <w:shd w:val="clear" w:color="auto" w:fill="F0F5FF"/>
          </w:tcPr>
          <w:p>
            <w:pPr>
              <w:spacing w:after="0"/>
              <w:rPr>
                <w:sz w:val="24"/>
                <w:szCs w:val="24"/>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AAA (AAA/CCC)</w:t>
            </w:r>
          </w:p>
        </w:tc>
        <w:tc>
          <w:tcPr>
            <w:tcW w:w="620" w:type="dxa"/>
            <w:vAlign w:val="bottom"/>
            <w:gridSpan w:val="2"/>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2023 Aug</w:t>
            </w:r>
          </w:p>
        </w:tc>
        <w:tc>
          <w:tcPr>
            <w:tcW w:w="100" w:type="dxa"/>
            <w:vAlign w:val="bottom"/>
            <w:shd w:val="clear" w:color="auto" w:fill="F0F5FF"/>
          </w:tcPr>
          <w:p>
            <w:pPr>
              <w:spacing w:after="0"/>
              <w:rPr>
                <w:sz w:val="24"/>
                <w:szCs w:val="24"/>
                <w:color w:val="auto"/>
              </w:rPr>
            </w:pPr>
          </w:p>
        </w:tc>
        <w:tc>
          <w:tcPr>
            <w:tcW w:w="0" w:type="dxa"/>
            <w:vAlign w:val="bottom"/>
          </w:tcPr>
          <w:p>
            <w:pPr>
              <w:spacing w:after="0"/>
              <w:rPr>
                <w:sz w:val="1"/>
                <w:szCs w:val="1"/>
                <w:color w:val="auto"/>
              </w:rPr>
            </w:pPr>
          </w:p>
        </w:tc>
      </w:tr>
      <w:tr>
        <w:trPr>
          <w:trHeight w:val="174"/>
        </w:trPr>
        <w:tc>
          <w:tcPr>
            <w:tcW w:w="480" w:type="dxa"/>
            <w:vAlign w:val="bottom"/>
          </w:tcPr>
          <w:p>
            <w:pPr>
              <w:spacing w:after="0"/>
              <w:rPr>
                <w:sz w:val="15"/>
                <w:szCs w:val="15"/>
                <w:color w:val="auto"/>
              </w:rPr>
            </w:pPr>
          </w:p>
        </w:tc>
        <w:tc>
          <w:tcPr>
            <w:tcW w:w="80" w:type="dxa"/>
            <w:vAlign w:val="bottom"/>
            <w:tcBorders>
              <w:bottom w:val="single" w:sz="8" w:color="F0F5FF"/>
            </w:tcBorders>
            <w:shd w:val="clear" w:color="auto" w:fill="F0F5FF"/>
          </w:tcPr>
          <w:p>
            <w:pPr>
              <w:spacing w:after="0"/>
              <w:rPr>
                <w:sz w:val="15"/>
                <w:szCs w:val="15"/>
                <w:color w:val="auto"/>
              </w:rPr>
            </w:pPr>
          </w:p>
        </w:tc>
        <w:tc>
          <w:tcPr>
            <w:tcW w:w="1080" w:type="dxa"/>
            <w:vAlign w:val="bottom"/>
            <w:tcBorders>
              <w:bottom w:val="single" w:sz="8" w:color="005AFF"/>
            </w:tcBorders>
            <w:shd w:val="clear" w:color="auto" w:fill="F0F5FF"/>
          </w:tcPr>
          <w:p>
            <w:pPr>
              <w:spacing w:after="0"/>
              <w:rPr>
                <w:sz w:val="15"/>
                <w:szCs w:val="15"/>
                <w:color w:val="auto"/>
              </w:rPr>
            </w:pPr>
          </w:p>
        </w:tc>
        <w:tc>
          <w:tcPr>
            <w:tcW w:w="2160" w:type="dxa"/>
            <w:vAlign w:val="bottom"/>
            <w:tcBorders>
              <w:bottom w:val="single" w:sz="8" w:color="005AFF"/>
            </w:tcBorders>
            <w:shd w:val="clear" w:color="auto" w:fill="F0F5FF"/>
          </w:tcPr>
          <w:p>
            <w:pPr>
              <w:spacing w:after="0"/>
              <w:rPr>
                <w:sz w:val="15"/>
                <w:szCs w:val="15"/>
                <w:color w:val="auto"/>
              </w:rPr>
            </w:pPr>
          </w:p>
        </w:tc>
        <w:tc>
          <w:tcPr>
            <w:tcW w:w="240" w:type="dxa"/>
            <w:vAlign w:val="bottom"/>
            <w:tcBorders>
              <w:bottom w:val="single" w:sz="8" w:color="005AFF"/>
            </w:tcBorders>
            <w:shd w:val="clear" w:color="auto" w:fill="F0F5FF"/>
          </w:tcPr>
          <w:p>
            <w:pPr>
              <w:spacing w:after="0"/>
              <w:rPr>
                <w:sz w:val="15"/>
                <w:szCs w:val="15"/>
                <w:color w:val="auto"/>
              </w:rPr>
            </w:pPr>
          </w:p>
        </w:tc>
        <w:tc>
          <w:tcPr>
            <w:tcW w:w="380" w:type="dxa"/>
            <w:vAlign w:val="bottom"/>
            <w:tcBorders>
              <w:bottom w:val="single" w:sz="8" w:color="005AFF"/>
            </w:tcBorders>
            <w:shd w:val="clear" w:color="auto" w:fill="F0F5FF"/>
          </w:tcPr>
          <w:p>
            <w:pPr>
              <w:spacing w:after="0"/>
              <w:rPr>
                <w:sz w:val="15"/>
                <w:szCs w:val="15"/>
                <w:color w:val="auto"/>
              </w:rPr>
            </w:pPr>
          </w:p>
        </w:tc>
        <w:tc>
          <w:tcPr>
            <w:tcW w:w="100" w:type="dxa"/>
            <w:vAlign w:val="bottom"/>
            <w:tcBorders>
              <w:bottom w:val="single" w:sz="8" w:color="F0F5FF"/>
            </w:tcBorders>
            <w:shd w:val="clear" w:color="auto" w:fill="F0F5FF"/>
          </w:tcPr>
          <w:p>
            <w:pPr>
              <w:spacing w:after="0"/>
              <w:rPr>
                <w:sz w:val="15"/>
                <w:szCs w:val="15"/>
                <w:color w:val="auto"/>
              </w:rPr>
            </w:pPr>
          </w:p>
        </w:tc>
        <w:tc>
          <w:tcPr>
            <w:tcW w:w="0" w:type="dxa"/>
            <w:vAlign w:val="bottom"/>
          </w:tcPr>
          <w:p>
            <w:pPr>
              <w:spacing w:after="0"/>
              <w:rPr>
                <w:sz w:val="1"/>
                <w:szCs w:val="1"/>
                <w:color w:val="auto"/>
              </w:rPr>
            </w:pPr>
          </w:p>
        </w:tc>
      </w:tr>
      <w:tr>
        <w:trPr>
          <w:trHeight w:val="271"/>
        </w:trPr>
        <w:tc>
          <w:tcPr>
            <w:tcW w:w="480" w:type="dxa"/>
            <w:vAlign w:val="bottom"/>
          </w:tcPr>
          <w:p>
            <w:pPr>
              <w:spacing w:after="0"/>
              <w:rPr>
                <w:sz w:val="23"/>
                <w:szCs w:val="23"/>
                <w:color w:val="auto"/>
              </w:rPr>
            </w:pPr>
          </w:p>
        </w:tc>
        <w:tc>
          <w:tcPr>
            <w:tcW w:w="80" w:type="dxa"/>
            <w:vAlign w:val="bottom"/>
            <w:shd w:val="clear" w:color="auto" w:fill="F0F5FF"/>
          </w:tcPr>
          <w:p>
            <w:pPr>
              <w:spacing w:after="0"/>
              <w:rPr>
                <w:sz w:val="23"/>
                <w:szCs w:val="23"/>
                <w:color w:val="auto"/>
              </w:rPr>
            </w:pPr>
          </w:p>
        </w:tc>
        <w:tc>
          <w:tcPr>
            <w:tcW w:w="1080" w:type="dxa"/>
            <w:vAlign w:val="bottom"/>
            <w:shd w:val="clear" w:color="auto" w:fill="F0F5FF"/>
          </w:tcPr>
          <w:p>
            <w:pPr>
              <w:spacing w:after="0"/>
              <w:rPr>
                <w:sz w:val="23"/>
                <w:szCs w:val="23"/>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Prime, B- (A+/D-)</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380" w:type="dxa"/>
            <w:vAlign w:val="bottom"/>
            <w:shd w:val="clear" w:color="auto" w:fill="F0F5FF"/>
          </w:tcPr>
          <w:p>
            <w:pPr>
              <w:spacing w:after="0"/>
              <w:rPr>
                <w:sz w:val="20"/>
                <w:szCs w:val="20"/>
                <w:color w:val="auto"/>
              </w:rPr>
            </w:pPr>
            <w:r>
              <w:rPr>
                <w:rFonts w:ascii="Times New Roman" w:cs="Times New Roman" w:eastAsia="Times New Roman" w:hAnsi="Times New Roman"/>
                <w:sz w:val="9"/>
                <w:szCs w:val="9"/>
                <w:color w:val="221E1F"/>
              </w:rPr>
              <w:t>Oct</w:t>
            </w:r>
          </w:p>
        </w:tc>
        <w:tc>
          <w:tcPr>
            <w:tcW w:w="100" w:type="dxa"/>
            <w:vAlign w:val="bottom"/>
            <w:shd w:val="clear" w:color="auto" w:fill="F0F5FF"/>
          </w:tcPr>
          <w:p>
            <w:pPr>
              <w:spacing w:after="0"/>
              <w:rPr>
                <w:sz w:val="23"/>
                <w:szCs w:val="23"/>
                <w:color w:val="auto"/>
              </w:rPr>
            </w:pPr>
          </w:p>
        </w:tc>
        <w:tc>
          <w:tcPr>
            <w:tcW w:w="0" w:type="dxa"/>
            <w:vAlign w:val="bottom"/>
          </w:tcPr>
          <w:p>
            <w:pPr>
              <w:spacing w:after="0"/>
              <w:rPr>
                <w:sz w:val="1"/>
                <w:szCs w:val="1"/>
                <w:color w:val="auto"/>
              </w:rPr>
            </w:pPr>
          </w:p>
        </w:tc>
      </w:tr>
      <w:tr>
        <w:trPr>
          <w:trHeight w:val="154"/>
        </w:trPr>
        <w:tc>
          <w:tcPr>
            <w:tcW w:w="480" w:type="dxa"/>
            <w:vAlign w:val="bottom"/>
          </w:tcPr>
          <w:p>
            <w:pPr>
              <w:spacing w:after="0"/>
              <w:rPr>
                <w:sz w:val="13"/>
                <w:szCs w:val="13"/>
                <w:color w:val="auto"/>
              </w:rPr>
            </w:pPr>
          </w:p>
        </w:tc>
        <w:tc>
          <w:tcPr>
            <w:tcW w:w="80" w:type="dxa"/>
            <w:vAlign w:val="bottom"/>
            <w:tcBorders>
              <w:bottom w:val="single" w:sz="8" w:color="F0F5FF"/>
            </w:tcBorders>
            <w:shd w:val="clear" w:color="auto" w:fill="F0F5FF"/>
          </w:tcPr>
          <w:p>
            <w:pPr>
              <w:spacing w:after="0"/>
              <w:rPr>
                <w:sz w:val="13"/>
                <w:szCs w:val="13"/>
                <w:color w:val="auto"/>
              </w:rPr>
            </w:pPr>
          </w:p>
        </w:tc>
        <w:tc>
          <w:tcPr>
            <w:tcW w:w="1080" w:type="dxa"/>
            <w:vAlign w:val="bottom"/>
            <w:tcBorders>
              <w:bottom w:val="single" w:sz="8" w:color="005AFF"/>
            </w:tcBorders>
            <w:shd w:val="clear" w:color="auto" w:fill="F0F5FF"/>
          </w:tcPr>
          <w:p>
            <w:pPr>
              <w:spacing w:after="0"/>
              <w:rPr>
                <w:sz w:val="13"/>
                <w:szCs w:val="13"/>
                <w:color w:val="auto"/>
              </w:rPr>
            </w:pPr>
          </w:p>
        </w:tc>
        <w:tc>
          <w:tcPr>
            <w:tcW w:w="2160" w:type="dxa"/>
            <w:vAlign w:val="bottom"/>
            <w:tcBorders>
              <w:bottom w:val="single" w:sz="8" w:color="005AFF"/>
            </w:tcBorders>
            <w:shd w:val="clear" w:color="auto" w:fill="F0F5FF"/>
          </w:tcPr>
          <w:p>
            <w:pPr>
              <w:spacing w:after="0"/>
              <w:rPr>
                <w:sz w:val="13"/>
                <w:szCs w:val="13"/>
                <w:color w:val="auto"/>
              </w:rPr>
            </w:pPr>
          </w:p>
        </w:tc>
        <w:tc>
          <w:tcPr>
            <w:tcW w:w="240" w:type="dxa"/>
            <w:vAlign w:val="bottom"/>
            <w:tcBorders>
              <w:bottom w:val="single" w:sz="8" w:color="005AFF"/>
            </w:tcBorders>
            <w:shd w:val="clear" w:color="auto" w:fill="F0F5FF"/>
          </w:tcPr>
          <w:p>
            <w:pPr>
              <w:spacing w:after="0"/>
              <w:rPr>
                <w:sz w:val="13"/>
                <w:szCs w:val="13"/>
                <w:color w:val="auto"/>
              </w:rPr>
            </w:pPr>
          </w:p>
        </w:tc>
        <w:tc>
          <w:tcPr>
            <w:tcW w:w="380" w:type="dxa"/>
            <w:vAlign w:val="bottom"/>
            <w:tcBorders>
              <w:bottom w:val="single" w:sz="8" w:color="005AFF"/>
            </w:tcBorders>
            <w:shd w:val="clear" w:color="auto" w:fill="F0F5FF"/>
          </w:tcPr>
          <w:p>
            <w:pPr>
              <w:spacing w:after="0"/>
              <w:rPr>
                <w:sz w:val="13"/>
                <w:szCs w:val="13"/>
                <w:color w:val="auto"/>
              </w:rPr>
            </w:pPr>
          </w:p>
        </w:tc>
        <w:tc>
          <w:tcPr>
            <w:tcW w:w="100" w:type="dxa"/>
            <w:vAlign w:val="bottom"/>
            <w:tcBorders>
              <w:bottom w:val="single" w:sz="8" w:color="F0F5FF"/>
            </w:tcBorders>
            <w:shd w:val="clear" w:color="auto" w:fill="F0F5FF"/>
          </w:tcPr>
          <w:p>
            <w:pPr>
              <w:spacing w:after="0"/>
              <w:rPr>
                <w:sz w:val="13"/>
                <w:szCs w:val="13"/>
                <w:color w:val="auto"/>
              </w:rPr>
            </w:pPr>
          </w:p>
        </w:tc>
        <w:tc>
          <w:tcPr>
            <w:tcW w:w="0" w:type="dxa"/>
            <w:vAlign w:val="bottom"/>
          </w:tcPr>
          <w:p>
            <w:pPr>
              <w:spacing w:after="0"/>
              <w:rPr>
                <w:sz w:val="1"/>
                <w:szCs w:val="1"/>
                <w:color w:val="auto"/>
              </w:rPr>
            </w:pPr>
          </w:p>
        </w:tc>
      </w:tr>
      <w:tr>
        <w:trPr>
          <w:trHeight w:val="311"/>
        </w:trPr>
        <w:tc>
          <w:tcPr>
            <w:tcW w:w="48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1080" w:type="dxa"/>
            <w:vAlign w:val="bottom"/>
            <w:shd w:val="clear" w:color="auto" w:fill="F0F5FF"/>
          </w:tcPr>
          <w:p>
            <w:pPr>
              <w:spacing w:after="0"/>
              <w:rPr>
                <w:sz w:val="24"/>
                <w:szCs w:val="24"/>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Ambassador status</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2023</w:t>
            </w:r>
          </w:p>
        </w:tc>
        <w:tc>
          <w:tcPr>
            <w:tcW w:w="380" w:type="dxa"/>
            <w:vAlign w:val="bottom"/>
            <w:shd w:val="clear" w:color="auto" w:fill="F0F5FF"/>
          </w:tcPr>
          <w:p>
            <w:pPr>
              <w:spacing w:after="0"/>
              <w:rPr>
                <w:sz w:val="20"/>
                <w:szCs w:val="20"/>
                <w:color w:val="auto"/>
              </w:rPr>
            </w:pPr>
            <w:r>
              <w:rPr>
                <w:rFonts w:ascii="Times New Roman" w:cs="Times New Roman" w:eastAsia="Times New Roman" w:hAnsi="Times New Roman"/>
                <w:sz w:val="9"/>
                <w:szCs w:val="9"/>
                <w:color w:val="221E1F"/>
              </w:rPr>
              <w:t>Oct</w:t>
            </w:r>
          </w:p>
        </w:tc>
        <w:tc>
          <w:tcPr>
            <w:tcW w:w="100" w:type="dxa"/>
            <w:vAlign w:val="bottom"/>
            <w:shd w:val="clear" w:color="auto" w:fill="F0F5FF"/>
          </w:tcPr>
          <w:p>
            <w:pPr>
              <w:spacing w:after="0"/>
              <w:rPr>
                <w:sz w:val="24"/>
                <w:szCs w:val="24"/>
                <w:color w:val="auto"/>
              </w:rPr>
            </w:pPr>
          </w:p>
        </w:tc>
        <w:tc>
          <w:tcPr>
            <w:tcW w:w="0" w:type="dxa"/>
            <w:vAlign w:val="bottom"/>
          </w:tcPr>
          <w:p>
            <w:pPr>
              <w:spacing w:after="0"/>
              <w:rPr>
                <w:sz w:val="1"/>
                <w:szCs w:val="1"/>
                <w:color w:val="auto"/>
              </w:rPr>
            </w:pPr>
          </w:p>
        </w:tc>
      </w:tr>
      <w:tr>
        <w:trPr>
          <w:trHeight w:val="194"/>
        </w:trPr>
        <w:tc>
          <w:tcPr>
            <w:tcW w:w="480" w:type="dxa"/>
            <w:vAlign w:val="bottom"/>
          </w:tcPr>
          <w:p>
            <w:pPr>
              <w:spacing w:after="0"/>
              <w:rPr>
                <w:sz w:val="16"/>
                <w:szCs w:val="16"/>
                <w:color w:val="auto"/>
              </w:rPr>
            </w:pPr>
          </w:p>
        </w:tc>
        <w:tc>
          <w:tcPr>
            <w:tcW w:w="80" w:type="dxa"/>
            <w:vAlign w:val="bottom"/>
            <w:tcBorders>
              <w:bottom w:val="single" w:sz="8" w:color="F0F5FF"/>
            </w:tcBorders>
            <w:shd w:val="clear" w:color="auto" w:fill="F0F5FF"/>
          </w:tcPr>
          <w:p>
            <w:pPr>
              <w:spacing w:after="0"/>
              <w:rPr>
                <w:sz w:val="16"/>
                <w:szCs w:val="16"/>
                <w:color w:val="auto"/>
              </w:rPr>
            </w:pPr>
          </w:p>
        </w:tc>
        <w:tc>
          <w:tcPr>
            <w:tcW w:w="1080" w:type="dxa"/>
            <w:vAlign w:val="bottom"/>
            <w:tcBorders>
              <w:bottom w:val="single" w:sz="8" w:color="005AFF"/>
            </w:tcBorders>
            <w:shd w:val="clear" w:color="auto" w:fill="F0F5FF"/>
          </w:tcPr>
          <w:p>
            <w:pPr>
              <w:spacing w:after="0"/>
              <w:rPr>
                <w:sz w:val="16"/>
                <w:szCs w:val="16"/>
                <w:color w:val="auto"/>
              </w:rPr>
            </w:pPr>
          </w:p>
        </w:tc>
        <w:tc>
          <w:tcPr>
            <w:tcW w:w="2160" w:type="dxa"/>
            <w:vAlign w:val="bottom"/>
            <w:tcBorders>
              <w:bottom w:val="single" w:sz="8" w:color="005AFF"/>
            </w:tcBorders>
            <w:shd w:val="clear" w:color="auto" w:fill="F0F5FF"/>
          </w:tcPr>
          <w:p>
            <w:pPr>
              <w:spacing w:after="0"/>
              <w:rPr>
                <w:sz w:val="16"/>
                <w:szCs w:val="16"/>
                <w:color w:val="auto"/>
              </w:rPr>
            </w:pPr>
          </w:p>
        </w:tc>
        <w:tc>
          <w:tcPr>
            <w:tcW w:w="240" w:type="dxa"/>
            <w:vAlign w:val="bottom"/>
            <w:tcBorders>
              <w:bottom w:val="single" w:sz="8" w:color="005AFF"/>
            </w:tcBorders>
            <w:shd w:val="clear" w:color="auto" w:fill="F0F5FF"/>
          </w:tcPr>
          <w:p>
            <w:pPr>
              <w:spacing w:after="0"/>
              <w:rPr>
                <w:sz w:val="16"/>
                <w:szCs w:val="16"/>
                <w:color w:val="auto"/>
              </w:rPr>
            </w:pPr>
          </w:p>
        </w:tc>
        <w:tc>
          <w:tcPr>
            <w:tcW w:w="380" w:type="dxa"/>
            <w:vAlign w:val="bottom"/>
            <w:tcBorders>
              <w:bottom w:val="single" w:sz="8" w:color="005AFF"/>
            </w:tcBorders>
            <w:shd w:val="clear" w:color="auto" w:fill="F0F5FF"/>
          </w:tcPr>
          <w:p>
            <w:pPr>
              <w:spacing w:after="0"/>
              <w:rPr>
                <w:sz w:val="16"/>
                <w:szCs w:val="16"/>
                <w:color w:val="auto"/>
              </w:rPr>
            </w:pPr>
          </w:p>
        </w:tc>
        <w:tc>
          <w:tcPr>
            <w:tcW w:w="100" w:type="dxa"/>
            <w:vAlign w:val="bottom"/>
            <w:tcBorders>
              <w:bottom w:val="single" w:sz="8" w:color="F0F5FF"/>
            </w:tcBorders>
            <w:shd w:val="clear" w:color="auto" w:fill="F0F5FF"/>
          </w:tcPr>
          <w:p>
            <w:pPr>
              <w:spacing w:after="0"/>
              <w:rPr>
                <w:sz w:val="16"/>
                <w:szCs w:val="16"/>
                <w:color w:val="auto"/>
              </w:rPr>
            </w:pPr>
          </w:p>
        </w:tc>
        <w:tc>
          <w:tcPr>
            <w:tcW w:w="0" w:type="dxa"/>
            <w:vAlign w:val="bottom"/>
          </w:tcPr>
          <w:p>
            <w:pPr>
              <w:spacing w:after="0"/>
              <w:rPr>
                <w:sz w:val="1"/>
                <w:szCs w:val="1"/>
                <w:color w:val="auto"/>
              </w:rPr>
            </w:pPr>
          </w:p>
        </w:tc>
      </w:tr>
      <w:tr>
        <w:trPr>
          <w:trHeight w:val="149"/>
        </w:trPr>
        <w:tc>
          <w:tcPr>
            <w:tcW w:w="480" w:type="dxa"/>
            <w:vAlign w:val="bottom"/>
          </w:tcPr>
          <w:p>
            <w:pPr>
              <w:spacing w:after="0"/>
              <w:rPr>
                <w:sz w:val="12"/>
                <w:szCs w:val="12"/>
                <w:color w:val="auto"/>
              </w:rPr>
            </w:pPr>
          </w:p>
        </w:tc>
        <w:tc>
          <w:tcPr>
            <w:tcW w:w="80" w:type="dxa"/>
            <w:vAlign w:val="bottom"/>
            <w:shd w:val="clear" w:color="auto" w:fill="F0F5FF"/>
          </w:tcPr>
          <w:p>
            <w:pPr>
              <w:spacing w:after="0"/>
              <w:rPr>
                <w:sz w:val="12"/>
                <w:szCs w:val="12"/>
                <w:color w:val="auto"/>
              </w:rPr>
            </w:pPr>
          </w:p>
        </w:tc>
        <w:tc>
          <w:tcPr>
            <w:tcW w:w="1080" w:type="dxa"/>
            <w:vAlign w:val="bottom"/>
            <w:shd w:val="clear" w:color="auto" w:fill="F0F5FF"/>
          </w:tcPr>
          <w:p>
            <w:pPr>
              <w:spacing w:after="0"/>
              <w:rPr>
                <w:sz w:val="12"/>
                <w:szCs w:val="12"/>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11.2 (low risk of experiencing material</w:t>
            </w:r>
          </w:p>
        </w:tc>
        <w:tc>
          <w:tcPr>
            <w:tcW w:w="240" w:type="dxa"/>
            <w:vAlign w:val="bottom"/>
            <w:shd w:val="clear" w:color="auto" w:fill="F0F5FF"/>
          </w:tcPr>
          <w:p>
            <w:pPr>
              <w:spacing w:after="0"/>
              <w:rPr>
                <w:sz w:val="12"/>
                <w:szCs w:val="12"/>
                <w:color w:val="auto"/>
              </w:rPr>
            </w:pPr>
          </w:p>
        </w:tc>
        <w:tc>
          <w:tcPr>
            <w:tcW w:w="380" w:type="dxa"/>
            <w:vAlign w:val="bottom"/>
            <w:shd w:val="clear" w:color="auto" w:fill="F0F5FF"/>
          </w:tcPr>
          <w:p>
            <w:pPr>
              <w:spacing w:after="0"/>
              <w:rPr>
                <w:sz w:val="12"/>
                <w:szCs w:val="12"/>
                <w:color w:val="auto"/>
              </w:rPr>
            </w:pPr>
          </w:p>
        </w:tc>
        <w:tc>
          <w:tcPr>
            <w:tcW w:w="10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11"/>
        </w:trPr>
        <w:tc>
          <w:tcPr>
            <w:tcW w:w="480" w:type="dxa"/>
            <w:vAlign w:val="bottom"/>
          </w:tcPr>
          <w:p>
            <w:pPr>
              <w:spacing w:after="0"/>
              <w:rPr>
                <w:sz w:val="9"/>
                <w:szCs w:val="9"/>
                <w:color w:val="auto"/>
              </w:rPr>
            </w:pPr>
          </w:p>
        </w:tc>
        <w:tc>
          <w:tcPr>
            <w:tcW w:w="80" w:type="dxa"/>
            <w:vAlign w:val="bottom"/>
            <w:shd w:val="clear" w:color="auto" w:fill="F0F5FF"/>
          </w:tcPr>
          <w:p>
            <w:pPr>
              <w:spacing w:after="0"/>
              <w:rPr>
                <w:sz w:val="9"/>
                <w:szCs w:val="9"/>
                <w:color w:val="auto"/>
              </w:rPr>
            </w:pPr>
          </w:p>
        </w:tc>
        <w:tc>
          <w:tcPr>
            <w:tcW w:w="1080" w:type="dxa"/>
            <w:vAlign w:val="bottom"/>
            <w:shd w:val="clear" w:color="auto" w:fill="F0F5FF"/>
          </w:tcPr>
          <w:p>
            <w:pPr>
              <w:spacing w:after="0"/>
              <w:rPr>
                <w:sz w:val="9"/>
                <w:szCs w:val="9"/>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financial impacts from ESG factors).</w:t>
            </w:r>
          </w:p>
        </w:tc>
        <w:tc>
          <w:tcPr>
            <w:tcW w:w="24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2024</w:t>
            </w:r>
          </w:p>
        </w:tc>
        <w:tc>
          <w:tcPr>
            <w:tcW w:w="380" w:type="dxa"/>
            <w:vAlign w:val="bottom"/>
            <w:vMerge w:val="restart"/>
            <w:shd w:val="clear" w:color="auto" w:fill="F0F5FF"/>
          </w:tcPr>
          <w:p>
            <w:pPr>
              <w:spacing w:after="0"/>
              <w:rPr>
                <w:sz w:val="20"/>
                <w:szCs w:val="20"/>
                <w:color w:val="auto"/>
              </w:rPr>
            </w:pPr>
            <w:r>
              <w:rPr>
                <w:rFonts w:ascii="Times New Roman" w:cs="Times New Roman" w:eastAsia="Times New Roman" w:hAnsi="Times New Roman"/>
                <w:sz w:val="9"/>
                <w:szCs w:val="9"/>
                <w:color w:val="221E1F"/>
              </w:rPr>
              <w:t>Jan</w:t>
            </w:r>
          </w:p>
        </w:tc>
        <w:tc>
          <w:tcPr>
            <w:tcW w:w="100" w:type="dxa"/>
            <w:vAlign w:val="bottom"/>
            <w:shd w:val="clear" w:color="auto" w:fill="F0F5FF"/>
          </w:tcPr>
          <w:p>
            <w:pPr>
              <w:spacing w:after="0"/>
              <w:rPr>
                <w:sz w:val="9"/>
                <w:szCs w:val="9"/>
                <w:color w:val="auto"/>
              </w:rPr>
            </w:pPr>
          </w:p>
        </w:tc>
        <w:tc>
          <w:tcPr>
            <w:tcW w:w="0" w:type="dxa"/>
            <w:vAlign w:val="bottom"/>
          </w:tcPr>
          <w:p>
            <w:pPr>
              <w:spacing w:after="0"/>
              <w:rPr>
                <w:sz w:val="1"/>
                <w:szCs w:val="1"/>
                <w:color w:val="auto"/>
              </w:rPr>
            </w:pPr>
          </w:p>
        </w:tc>
      </w:tr>
      <w:tr>
        <w:trPr>
          <w:trHeight w:val="72"/>
        </w:trPr>
        <w:tc>
          <w:tcPr>
            <w:tcW w:w="480" w:type="dxa"/>
            <w:vAlign w:val="bottom"/>
          </w:tcPr>
          <w:p>
            <w:pPr>
              <w:spacing w:after="0"/>
              <w:rPr>
                <w:sz w:val="6"/>
                <w:szCs w:val="6"/>
                <w:color w:val="auto"/>
              </w:rPr>
            </w:pPr>
          </w:p>
        </w:tc>
        <w:tc>
          <w:tcPr>
            <w:tcW w:w="80" w:type="dxa"/>
            <w:vAlign w:val="bottom"/>
            <w:shd w:val="clear" w:color="auto" w:fill="F0F5FF"/>
          </w:tcPr>
          <w:p>
            <w:pPr>
              <w:spacing w:after="0"/>
              <w:rPr>
                <w:sz w:val="6"/>
                <w:szCs w:val="6"/>
                <w:color w:val="auto"/>
              </w:rPr>
            </w:pPr>
          </w:p>
        </w:tc>
        <w:tc>
          <w:tcPr>
            <w:tcW w:w="1080" w:type="dxa"/>
            <w:vAlign w:val="bottom"/>
            <w:shd w:val="clear" w:color="auto" w:fill="F0F5FF"/>
          </w:tcPr>
          <w:p>
            <w:pPr>
              <w:spacing w:after="0"/>
              <w:rPr>
                <w:sz w:val="6"/>
                <w:szCs w:val="6"/>
                <w:color w:val="auto"/>
              </w:rPr>
            </w:pPr>
          </w:p>
        </w:tc>
        <w:tc>
          <w:tcPr>
            <w:tcW w:w="216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Jan 2024: Sustainalytics’ 2024 Top-Rated</w:t>
            </w:r>
          </w:p>
        </w:tc>
        <w:tc>
          <w:tcPr>
            <w:tcW w:w="240" w:type="dxa"/>
            <w:vAlign w:val="bottom"/>
            <w:vMerge w:val="continue"/>
            <w:shd w:val="clear" w:color="auto" w:fill="F0F5FF"/>
          </w:tcPr>
          <w:p>
            <w:pPr>
              <w:spacing w:after="0"/>
              <w:rPr>
                <w:sz w:val="6"/>
                <w:szCs w:val="6"/>
                <w:color w:val="auto"/>
              </w:rPr>
            </w:pPr>
          </w:p>
        </w:tc>
        <w:tc>
          <w:tcPr>
            <w:tcW w:w="380" w:type="dxa"/>
            <w:vAlign w:val="bottom"/>
            <w:vMerge w:val="continue"/>
            <w:shd w:val="clear" w:color="auto" w:fill="F0F5FF"/>
          </w:tcPr>
          <w:p>
            <w:pPr>
              <w:spacing w:after="0"/>
              <w:rPr>
                <w:sz w:val="6"/>
                <w:szCs w:val="6"/>
                <w:color w:val="auto"/>
              </w:rPr>
            </w:pPr>
          </w:p>
        </w:tc>
        <w:tc>
          <w:tcPr>
            <w:tcW w:w="100" w:type="dxa"/>
            <w:vAlign w:val="bottom"/>
            <w:shd w:val="clear" w:color="auto" w:fill="F0F5FF"/>
          </w:tcPr>
          <w:p>
            <w:pPr>
              <w:spacing w:after="0"/>
              <w:rPr>
                <w:sz w:val="6"/>
                <w:szCs w:val="6"/>
                <w:color w:val="auto"/>
              </w:rPr>
            </w:pPr>
          </w:p>
        </w:tc>
        <w:tc>
          <w:tcPr>
            <w:tcW w:w="0" w:type="dxa"/>
            <w:vAlign w:val="bottom"/>
          </w:tcPr>
          <w:p>
            <w:pPr>
              <w:spacing w:after="0"/>
              <w:rPr>
                <w:sz w:val="1"/>
                <w:szCs w:val="1"/>
                <w:color w:val="auto"/>
              </w:rPr>
            </w:pPr>
          </w:p>
        </w:tc>
      </w:tr>
      <w:tr>
        <w:trPr>
          <w:trHeight w:val="40"/>
        </w:trPr>
        <w:tc>
          <w:tcPr>
            <w:tcW w:w="480" w:type="dxa"/>
            <w:vAlign w:val="bottom"/>
          </w:tcPr>
          <w:p>
            <w:pPr>
              <w:spacing w:after="0"/>
              <w:rPr>
                <w:sz w:val="3"/>
                <w:szCs w:val="3"/>
                <w:color w:val="auto"/>
              </w:rPr>
            </w:pPr>
          </w:p>
        </w:tc>
        <w:tc>
          <w:tcPr>
            <w:tcW w:w="80" w:type="dxa"/>
            <w:vAlign w:val="bottom"/>
            <w:shd w:val="clear" w:color="auto" w:fill="F0F5FF"/>
          </w:tcPr>
          <w:p>
            <w:pPr>
              <w:spacing w:after="0"/>
              <w:rPr>
                <w:sz w:val="3"/>
                <w:szCs w:val="3"/>
                <w:color w:val="auto"/>
              </w:rPr>
            </w:pPr>
          </w:p>
        </w:tc>
        <w:tc>
          <w:tcPr>
            <w:tcW w:w="1080" w:type="dxa"/>
            <w:vAlign w:val="bottom"/>
            <w:shd w:val="clear" w:color="auto" w:fill="F0F5FF"/>
          </w:tcPr>
          <w:p>
            <w:pPr>
              <w:spacing w:after="0"/>
              <w:rPr>
                <w:sz w:val="3"/>
                <w:szCs w:val="3"/>
                <w:color w:val="auto"/>
              </w:rPr>
            </w:pPr>
          </w:p>
        </w:tc>
        <w:tc>
          <w:tcPr>
            <w:tcW w:w="2160" w:type="dxa"/>
            <w:vAlign w:val="bottom"/>
            <w:vMerge w:val="continue"/>
            <w:shd w:val="clear" w:color="auto" w:fill="F0F5FF"/>
          </w:tcPr>
          <w:p>
            <w:pPr>
              <w:spacing w:after="0"/>
              <w:rPr>
                <w:sz w:val="3"/>
                <w:szCs w:val="3"/>
                <w:color w:val="auto"/>
              </w:rPr>
            </w:pPr>
          </w:p>
        </w:tc>
        <w:tc>
          <w:tcPr>
            <w:tcW w:w="240" w:type="dxa"/>
            <w:vAlign w:val="bottom"/>
            <w:shd w:val="clear" w:color="auto" w:fill="F0F5FF"/>
          </w:tcPr>
          <w:p>
            <w:pPr>
              <w:spacing w:after="0"/>
              <w:rPr>
                <w:sz w:val="3"/>
                <w:szCs w:val="3"/>
                <w:color w:val="auto"/>
              </w:rPr>
            </w:pPr>
          </w:p>
        </w:tc>
        <w:tc>
          <w:tcPr>
            <w:tcW w:w="380" w:type="dxa"/>
            <w:vAlign w:val="bottom"/>
            <w:shd w:val="clear" w:color="auto" w:fill="F0F5FF"/>
          </w:tcPr>
          <w:p>
            <w:pPr>
              <w:spacing w:after="0"/>
              <w:rPr>
                <w:sz w:val="3"/>
                <w:szCs w:val="3"/>
                <w:color w:val="auto"/>
              </w:rPr>
            </w:pPr>
          </w:p>
        </w:tc>
        <w:tc>
          <w:tcPr>
            <w:tcW w:w="100" w:type="dxa"/>
            <w:vAlign w:val="bottom"/>
            <w:shd w:val="clear" w:color="auto" w:fill="F0F5FF"/>
          </w:tcPr>
          <w:p>
            <w:pPr>
              <w:spacing w:after="0"/>
              <w:rPr>
                <w:sz w:val="3"/>
                <w:szCs w:val="3"/>
                <w:color w:val="auto"/>
              </w:rPr>
            </w:pPr>
          </w:p>
        </w:tc>
        <w:tc>
          <w:tcPr>
            <w:tcW w:w="0" w:type="dxa"/>
            <w:vAlign w:val="bottom"/>
          </w:tcPr>
          <w:p>
            <w:pPr>
              <w:spacing w:after="0" w:line="20" w:lineRule="exact"/>
              <w:rPr>
                <w:sz w:val="1"/>
                <w:szCs w:val="1"/>
                <w:color w:val="auto"/>
              </w:rPr>
            </w:pPr>
          </w:p>
        </w:tc>
      </w:tr>
      <w:tr>
        <w:trPr>
          <w:trHeight w:val="169"/>
        </w:trPr>
        <w:tc>
          <w:tcPr>
            <w:tcW w:w="480" w:type="dxa"/>
            <w:vAlign w:val="bottom"/>
          </w:tcPr>
          <w:p>
            <w:pPr>
              <w:spacing w:after="0"/>
              <w:rPr>
                <w:sz w:val="14"/>
                <w:szCs w:val="14"/>
                <w:color w:val="auto"/>
              </w:rPr>
            </w:pPr>
          </w:p>
        </w:tc>
        <w:tc>
          <w:tcPr>
            <w:tcW w:w="80" w:type="dxa"/>
            <w:vAlign w:val="bottom"/>
            <w:tcBorders>
              <w:bottom w:val="single" w:sz="8" w:color="F0F5FF"/>
            </w:tcBorders>
            <w:shd w:val="clear" w:color="auto" w:fill="F0F5FF"/>
          </w:tcPr>
          <w:p>
            <w:pPr>
              <w:spacing w:after="0"/>
              <w:rPr>
                <w:sz w:val="14"/>
                <w:szCs w:val="14"/>
                <w:color w:val="auto"/>
              </w:rPr>
            </w:pPr>
          </w:p>
        </w:tc>
        <w:tc>
          <w:tcPr>
            <w:tcW w:w="1080" w:type="dxa"/>
            <w:vAlign w:val="bottom"/>
            <w:tcBorders>
              <w:bottom w:val="single" w:sz="8" w:color="005AFF"/>
            </w:tcBorders>
            <w:shd w:val="clear" w:color="auto" w:fill="F0F5FF"/>
          </w:tcPr>
          <w:p>
            <w:pPr>
              <w:spacing w:after="0"/>
              <w:rPr>
                <w:sz w:val="14"/>
                <w:szCs w:val="14"/>
                <w:color w:val="auto"/>
              </w:rPr>
            </w:pPr>
          </w:p>
        </w:tc>
        <w:tc>
          <w:tcPr>
            <w:tcW w:w="2160" w:type="dxa"/>
            <w:vAlign w:val="bottom"/>
            <w:tcBorders>
              <w:bottom w:val="single" w:sz="8" w:color="005AFF"/>
            </w:tcBorders>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 xml:space="preserve">ESG Companies List </w:t>
            </w:r>
            <w:r>
              <w:rPr>
                <w:rFonts w:ascii="Times New Roman" w:cs="Times New Roman" w:eastAsia="Times New Roman" w:hAnsi="Times New Roman"/>
                <w:sz w:val="12"/>
                <w:szCs w:val="12"/>
                <w:color w:val="221E1F"/>
                <w:vertAlign w:val="superscript"/>
              </w:rPr>
              <w:t>(3)</w:t>
            </w:r>
          </w:p>
        </w:tc>
        <w:tc>
          <w:tcPr>
            <w:tcW w:w="240" w:type="dxa"/>
            <w:vAlign w:val="bottom"/>
            <w:tcBorders>
              <w:bottom w:val="single" w:sz="8" w:color="005AFF"/>
            </w:tcBorders>
            <w:shd w:val="clear" w:color="auto" w:fill="F0F5FF"/>
          </w:tcPr>
          <w:p>
            <w:pPr>
              <w:spacing w:after="0"/>
              <w:rPr>
                <w:sz w:val="14"/>
                <w:szCs w:val="14"/>
                <w:color w:val="auto"/>
              </w:rPr>
            </w:pPr>
          </w:p>
        </w:tc>
        <w:tc>
          <w:tcPr>
            <w:tcW w:w="380" w:type="dxa"/>
            <w:vAlign w:val="bottom"/>
            <w:tcBorders>
              <w:bottom w:val="single" w:sz="8" w:color="005AFF"/>
            </w:tcBorders>
            <w:shd w:val="clear" w:color="auto" w:fill="F0F5FF"/>
          </w:tcPr>
          <w:p>
            <w:pPr>
              <w:spacing w:after="0"/>
              <w:rPr>
                <w:sz w:val="14"/>
                <w:szCs w:val="14"/>
                <w:color w:val="auto"/>
              </w:rPr>
            </w:pPr>
          </w:p>
        </w:tc>
        <w:tc>
          <w:tcPr>
            <w:tcW w:w="100" w:type="dxa"/>
            <w:vAlign w:val="bottom"/>
            <w:tcBorders>
              <w:bottom w:val="single" w:sz="8" w:color="F0F5FF"/>
            </w:tcBorders>
            <w:shd w:val="clear" w:color="auto" w:fill="F0F5FF"/>
          </w:tcPr>
          <w:p>
            <w:pPr>
              <w:spacing w:after="0"/>
              <w:rPr>
                <w:sz w:val="14"/>
                <w:szCs w:val="14"/>
                <w:color w:val="auto"/>
              </w:rPr>
            </w:pPr>
          </w:p>
        </w:tc>
        <w:tc>
          <w:tcPr>
            <w:tcW w:w="0" w:type="dxa"/>
            <w:vAlign w:val="bottom"/>
          </w:tcPr>
          <w:p>
            <w:pPr>
              <w:spacing w:after="0"/>
              <w:rPr>
                <w:sz w:val="1"/>
                <w:szCs w:val="1"/>
                <w:color w:val="auto"/>
              </w:rPr>
            </w:pPr>
          </w:p>
        </w:tc>
      </w:tr>
      <w:tr>
        <w:trPr>
          <w:trHeight w:val="277"/>
        </w:trPr>
        <w:tc>
          <w:tcPr>
            <w:tcW w:w="48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1080" w:type="dxa"/>
            <w:vAlign w:val="bottom"/>
            <w:shd w:val="clear" w:color="auto" w:fill="F0F5FF"/>
          </w:tcPr>
          <w:p>
            <w:pPr>
              <w:spacing w:after="0"/>
              <w:rPr>
                <w:sz w:val="24"/>
                <w:szCs w:val="24"/>
                <w:color w:val="auto"/>
              </w:rPr>
            </w:pPr>
          </w:p>
        </w:tc>
        <w:tc>
          <w:tcPr>
            <w:tcW w:w="2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rPr>
              <w:t>A- (A/D-)</w:t>
            </w:r>
          </w:p>
        </w:tc>
        <w:tc>
          <w:tcPr>
            <w:tcW w:w="240" w:type="dxa"/>
            <w:vAlign w:val="bottom"/>
            <w:shd w:val="clear" w:color="auto" w:fill="F0F5FF"/>
          </w:tcPr>
          <w:p>
            <w:pPr>
              <w:ind w:left="40"/>
              <w:spacing w:after="0"/>
              <w:rPr>
                <w:sz w:val="20"/>
                <w:szCs w:val="20"/>
                <w:color w:val="auto"/>
              </w:rPr>
            </w:pPr>
            <w:r>
              <w:rPr>
                <w:rFonts w:ascii="Times New Roman" w:cs="Times New Roman" w:eastAsia="Times New Roman" w:hAnsi="Times New Roman"/>
                <w:sz w:val="9"/>
                <w:szCs w:val="9"/>
                <w:color w:val="221E1F"/>
                <w:w w:val="99"/>
              </w:rPr>
              <w:t>2024</w:t>
            </w:r>
          </w:p>
        </w:tc>
        <w:tc>
          <w:tcPr>
            <w:tcW w:w="380" w:type="dxa"/>
            <w:vAlign w:val="bottom"/>
            <w:shd w:val="clear" w:color="auto" w:fill="F0F5FF"/>
          </w:tcPr>
          <w:p>
            <w:pPr>
              <w:spacing w:after="0"/>
              <w:rPr>
                <w:sz w:val="20"/>
                <w:szCs w:val="20"/>
                <w:color w:val="auto"/>
              </w:rPr>
            </w:pPr>
            <w:r>
              <w:rPr>
                <w:rFonts w:ascii="Times New Roman" w:cs="Times New Roman" w:eastAsia="Times New Roman" w:hAnsi="Times New Roman"/>
                <w:sz w:val="9"/>
                <w:szCs w:val="9"/>
                <w:color w:val="221E1F"/>
              </w:rPr>
              <w:t>Feb</w:t>
            </w:r>
          </w:p>
        </w:tc>
        <w:tc>
          <w:tcPr>
            <w:tcW w:w="100" w:type="dxa"/>
            <w:vAlign w:val="bottom"/>
            <w:shd w:val="clear" w:color="auto" w:fill="F0F5FF"/>
          </w:tcPr>
          <w:p>
            <w:pPr>
              <w:spacing w:after="0"/>
              <w:rPr>
                <w:sz w:val="24"/>
                <w:szCs w:val="24"/>
                <w:color w:val="auto"/>
              </w:rPr>
            </w:pPr>
          </w:p>
        </w:tc>
        <w:tc>
          <w:tcPr>
            <w:tcW w:w="0" w:type="dxa"/>
            <w:vAlign w:val="bottom"/>
          </w:tcPr>
          <w:p>
            <w:pPr>
              <w:spacing w:after="0"/>
              <w:rPr>
                <w:sz w:val="1"/>
                <w:szCs w:val="1"/>
                <w:color w:val="auto"/>
              </w:rPr>
            </w:pPr>
          </w:p>
        </w:tc>
      </w:tr>
      <w:tr>
        <w:trPr>
          <w:trHeight w:val="154"/>
        </w:trPr>
        <w:tc>
          <w:tcPr>
            <w:tcW w:w="480" w:type="dxa"/>
            <w:vAlign w:val="bottom"/>
          </w:tcPr>
          <w:p>
            <w:pPr>
              <w:spacing w:after="0"/>
              <w:rPr>
                <w:sz w:val="13"/>
                <w:szCs w:val="13"/>
                <w:color w:val="auto"/>
              </w:rPr>
            </w:pPr>
          </w:p>
        </w:tc>
        <w:tc>
          <w:tcPr>
            <w:tcW w:w="80" w:type="dxa"/>
            <w:vAlign w:val="bottom"/>
            <w:tcBorders>
              <w:bottom w:val="single" w:sz="8" w:color="F0F5FF"/>
            </w:tcBorders>
            <w:shd w:val="clear" w:color="auto" w:fill="F0F5FF"/>
          </w:tcPr>
          <w:p>
            <w:pPr>
              <w:spacing w:after="0"/>
              <w:rPr>
                <w:sz w:val="13"/>
                <w:szCs w:val="13"/>
                <w:color w:val="auto"/>
              </w:rPr>
            </w:pPr>
          </w:p>
        </w:tc>
        <w:tc>
          <w:tcPr>
            <w:tcW w:w="1080" w:type="dxa"/>
            <w:vAlign w:val="bottom"/>
            <w:tcBorders>
              <w:bottom w:val="single" w:sz="8" w:color="005AFF"/>
            </w:tcBorders>
            <w:shd w:val="clear" w:color="auto" w:fill="F0F5FF"/>
          </w:tcPr>
          <w:p>
            <w:pPr>
              <w:spacing w:after="0"/>
              <w:rPr>
                <w:sz w:val="13"/>
                <w:szCs w:val="13"/>
                <w:color w:val="auto"/>
              </w:rPr>
            </w:pPr>
          </w:p>
        </w:tc>
        <w:tc>
          <w:tcPr>
            <w:tcW w:w="2160" w:type="dxa"/>
            <w:vAlign w:val="bottom"/>
            <w:tcBorders>
              <w:bottom w:val="single" w:sz="8" w:color="005AFF"/>
            </w:tcBorders>
            <w:shd w:val="clear" w:color="auto" w:fill="F0F5FF"/>
          </w:tcPr>
          <w:p>
            <w:pPr>
              <w:spacing w:after="0"/>
              <w:rPr>
                <w:sz w:val="13"/>
                <w:szCs w:val="13"/>
                <w:color w:val="auto"/>
              </w:rPr>
            </w:pPr>
          </w:p>
        </w:tc>
        <w:tc>
          <w:tcPr>
            <w:tcW w:w="240" w:type="dxa"/>
            <w:vAlign w:val="bottom"/>
            <w:tcBorders>
              <w:bottom w:val="single" w:sz="8" w:color="005AFF"/>
            </w:tcBorders>
            <w:shd w:val="clear" w:color="auto" w:fill="F0F5FF"/>
          </w:tcPr>
          <w:p>
            <w:pPr>
              <w:spacing w:after="0"/>
              <w:rPr>
                <w:sz w:val="13"/>
                <w:szCs w:val="13"/>
                <w:color w:val="auto"/>
              </w:rPr>
            </w:pPr>
          </w:p>
        </w:tc>
        <w:tc>
          <w:tcPr>
            <w:tcW w:w="380" w:type="dxa"/>
            <w:vAlign w:val="bottom"/>
            <w:tcBorders>
              <w:bottom w:val="single" w:sz="8" w:color="005AFF"/>
            </w:tcBorders>
            <w:shd w:val="clear" w:color="auto" w:fill="F0F5FF"/>
          </w:tcPr>
          <w:p>
            <w:pPr>
              <w:spacing w:after="0"/>
              <w:rPr>
                <w:sz w:val="13"/>
                <w:szCs w:val="13"/>
                <w:color w:val="auto"/>
              </w:rPr>
            </w:pPr>
          </w:p>
        </w:tc>
        <w:tc>
          <w:tcPr>
            <w:tcW w:w="100" w:type="dxa"/>
            <w:vAlign w:val="bottom"/>
            <w:tcBorders>
              <w:bottom w:val="single" w:sz="8" w:color="F0F5FF"/>
            </w:tcBorders>
            <w:shd w:val="clear" w:color="auto" w:fill="F0F5FF"/>
          </w:tcPr>
          <w:p>
            <w:pPr>
              <w:spacing w:after="0"/>
              <w:rPr>
                <w:sz w:val="13"/>
                <w:szCs w:val="13"/>
                <w:color w:val="auto"/>
              </w:rPr>
            </w:pPr>
          </w:p>
        </w:tc>
        <w:tc>
          <w:tcPr>
            <w:tcW w:w="0" w:type="dxa"/>
            <w:vAlign w:val="bottom"/>
          </w:tcPr>
          <w:p>
            <w:pPr>
              <w:spacing w:after="0"/>
              <w:rPr>
                <w:sz w:val="1"/>
                <w:szCs w:val="1"/>
                <w:color w:val="auto"/>
              </w:rPr>
            </w:pPr>
          </w:p>
        </w:tc>
      </w:tr>
      <w:tr>
        <w:trPr>
          <w:trHeight w:val="111"/>
        </w:trPr>
        <w:tc>
          <w:tcPr>
            <w:tcW w:w="480" w:type="dxa"/>
            <w:vAlign w:val="bottom"/>
          </w:tcPr>
          <w:p>
            <w:pPr>
              <w:spacing w:after="0"/>
              <w:rPr>
                <w:sz w:val="9"/>
                <w:szCs w:val="9"/>
                <w:color w:val="auto"/>
              </w:rPr>
            </w:pPr>
          </w:p>
        </w:tc>
        <w:tc>
          <w:tcPr>
            <w:tcW w:w="80" w:type="dxa"/>
            <w:vAlign w:val="bottom"/>
            <w:shd w:val="clear" w:color="auto" w:fill="F0F5FF"/>
          </w:tcPr>
          <w:p>
            <w:pPr>
              <w:spacing w:after="0"/>
              <w:rPr>
                <w:sz w:val="9"/>
                <w:szCs w:val="9"/>
                <w:color w:val="auto"/>
              </w:rPr>
            </w:pPr>
          </w:p>
        </w:tc>
        <w:tc>
          <w:tcPr>
            <w:tcW w:w="1080" w:type="dxa"/>
            <w:vAlign w:val="bottom"/>
            <w:shd w:val="clear" w:color="auto" w:fill="F0F5FF"/>
          </w:tcPr>
          <w:p>
            <w:pPr>
              <w:spacing w:after="0"/>
              <w:rPr>
                <w:sz w:val="9"/>
                <w:szCs w:val="9"/>
                <w:color w:val="auto"/>
              </w:rPr>
            </w:pPr>
          </w:p>
        </w:tc>
        <w:tc>
          <w:tcPr>
            <w:tcW w:w="2160" w:type="dxa"/>
            <w:vAlign w:val="bottom"/>
            <w:shd w:val="clear" w:color="auto" w:fill="F0F5FF"/>
          </w:tcPr>
          <w:p>
            <w:pPr>
              <w:spacing w:after="0"/>
              <w:rPr>
                <w:sz w:val="9"/>
                <w:szCs w:val="9"/>
                <w:color w:val="auto"/>
              </w:rPr>
            </w:pPr>
          </w:p>
        </w:tc>
        <w:tc>
          <w:tcPr>
            <w:tcW w:w="240" w:type="dxa"/>
            <w:vAlign w:val="bottom"/>
            <w:shd w:val="clear" w:color="auto" w:fill="F0F5FF"/>
          </w:tcPr>
          <w:p>
            <w:pPr>
              <w:spacing w:after="0"/>
              <w:rPr>
                <w:sz w:val="9"/>
                <w:szCs w:val="9"/>
                <w:color w:val="auto"/>
              </w:rPr>
            </w:pPr>
          </w:p>
        </w:tc>
        <w:tc>
          <w:tcPr>
            <w:tcW w:w="380" w:type="dxa"/>
            <w:vAlign w:val="bottom"/>
            <w:shd w:val="clear" w:color="auto" w:fill="F0F5FF"/>
          </w:tcPr>
          <w:p>
            <w:pPr>
              <w:spacing w:after="0"/>
              <w:rPr>
                <w:sz w:val="9"/>
                <w:szCs w:val="9"/>
                <w:color w:val="auto"/>
              </w:rPr>
            </w:pPr>
          </w:p>
        </w:tc>
        <w:tc>
          <w:tcPr>
            <w:tcW w:w="100" w:type="dxa"/>
            <w:vAlign w:val="bottom"/>
            <w:shd w:val="clear" w:color="auto" w:fill="F0F5FF"/>
          </w:tcPr>
          <w:p>
            <w:pPr>
              <w:spacing w:after="0"/>
              <w:rPr>
                <w:sz w:val="9"/>
                <w:szCs w:val="9"/>
                <w:color w:val="auto"/>
              </w:rPr>
            </w:pPr>
          </w:p>
        </w:tc>
        <w:tc>
          <w:tcPr>
            <w:tcW w:w="0" w:type="dxa"/>
            <w:vAlign w:val="bottom"/>
          </w:tcPr>
          <w:p>
            <w:pPr>
              <w:spacing w:after="0"/>
              <w:rPr>
                <w:sz w:val="1"/>
                <w:szCs w:val="1"/>
                <w:color w:val="auto"/>
              </w:rPr>
            </w:pPr>
          </w:p>
        </w:tc>
      </w:tr>
    </w:tbl>
    <w:p>
      <w:pPr>
        <w:spacing w:after="0" w:line="92" w:lineRule="exact"/>
        <w:rPr>
          <w:sz w:val="20"/>
          <w:szCs w:val="20"/>
          <w:color w:val="auto"/>
        </w:rPr>
      </w:pPr>
    </w:p>
    <w:p>
      <w:pPr>
        <w:ind w:left="700" w:hanging="193"/>
        <w:spacing w:after="0"/>
        <w:tabs>
          <w:tab w:leader="none" w:pos="700" w:val="left"/>
        </w:tabs>
        <w:numPr>
          <w:ilvl w:val="0"/>
          <w:numId w:val="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Refers to 2023 result, received in January 2024.</w:t>
      </w:r>
    </w:p>
    <w:p>
      <w:pPr>
        <w:sectPr>
          <w:pgSz w:w="11900" w:h="16838" w:orient="portrait"/>
          <w:cols w:equalWidth="0" w:num="2">
            <w:col w:w="4880" w:space="620"/>
            <w:col w:w="4520"/>
          </w:cols>
          <w:pgMar w:left="960" w:top="409" w:right="919" w:bottom="1440" w:gutter="0" w:footer="0" w:header="0"/>
        </w:sectPr>
      </w:pPr>
    </w:p>
    <w:bookmarkStart w:id="15" w:name="page16"/>
    <w:bookmarkEnd w:id="15"/>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40" w:type="dxa"/>
            <w:vAlign w:val="bottom"/>
          </w:tcPr>
          <w:p>
            <w:pPr>
              <w:spacing w:after="0"/>
              <w:rPr>
                <w:sz w:val="3"/>
                <w:szCs w:val="3"/>
                <w:color w:val="auto"/>
              </w:rPr>
            </w:pPr>
          </w:p>
        </w:tc>
        <w:tc>
          <w:tcPr>
            <w:tcW w:w="206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Nokia in 2023 continued</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Our business groups</w:t>
      </w:r>
    </w:p>
    <w:p>
      <w:pPr>
        <w:spacing w:after="0" w:line="161" w:lineRule="exact"/>
        <w:rPr>
          <w:sz w:val="20"/>
          <w:szCs w:val="20"/>
          <w:color w:val="auto"/>
        </w:rPr>
      </w:pPr>
    </w:p>
    <w:p>
      <w:pPr>
        <w:spacing w:after="0"/>
        <w:tabs>
          <w:tab w:leader="none" w:pos="6900" w:val="left"/>
        </w:tabs>
        <w:rPr>
          <w:sz w:val="20"/>
          <w:szCs w:val="20"/>
          <w:color w:val="auto"/>
        </w:rPr>
      </w:pPr>
      <w:r>
        <w:rPr>
          <w:rFonts w:ascii="Times New Roman" w:cs="Times New Roman" w:eastAsia="Times New Roman" w:hAnsi="Times New Roman"/>
          <w:sz w:val="13"/>
          <w:szCs w:val="13"/>
          <w:color w:val="auto"/>
        </w:rPr>
        <w:t>Nokia has four business groups with each of them aiming to become a technology and market leader in their respective sec</w:t>
      </w:r>
      <w:r>
        <w:rPr>
          <w:sz w:val="20"/>
          <w:szCs w:val="20"/>
          <w:color w:val="auto"/>
        </w:rPr>
        <w:tab/>
      </w:r>
      <w:r>
        <w:rPr>
          <w:rFonts w:ascii="Times New Roman" w:cs="Times New Roman" w:eastAsia="Times New Roman" w:hAnsi="Times New Roman"/>
          <w:sz w:val="13"/>
          <w:szCs w:val="13"/>
          <w:color w:val="auto"/>
        </w:rPr>
        <w:t>tor.</w:t>
      </w:r>
    </w:p>
    <w:p>
      <w:pPr>
        <w:spacing w:after="0" w:line="383" w:lineRule="exact"/>
        <w:rPr>
          <w:sz w:val="20"/>
          <w:szCs w:val="20"/>
          <w:color w:val="auto"/>
        </w:rPr>
      </w:pPr>
    </w:p>
    <w:tbl>
      <w:tblPr>
        <w:tblLayout w:type="fixed"/>
        <w:tblInd w:w="0" w:type="dxa"/>
        <w:tblCellMar>
          <w:top w:w="0" w:type="dxa"/>
          <w:left w:w="0" w:type="dxa"/>
          <w:bottom w:w="0" w:type="dxa"/>
          <w:right w:w="0" w:type="dxa"/>
        </w:tblCellMar>
      </w:tblPr>
      <w:tr>
        <w:trPr>
          <w:trHeight w:val="222"/>
        </w:trPr>
        <w:tc>
          <w:tcPr>
            <w:tcW w:w="80" w:type="dxa"/>
            <w:vAlign w:val="bottom"/>
          </w:tcPr>
          <w:p>
            <w:pPr>
              <w:spacing w:after="0"/>
              <w:rPr>
                <w:sz w:val="19"/>
                <w:szCs w:val="19"/>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9"/>
                <w:szCs w:val="19"/>
                <w:color w:val="FFFFFF"/>
              </w:rPr>
              <w:t>Network</w:t>
            </w:r>
          </w:p>
        </w:tc>
        <w:tc>
          <w:tcPr>
            <w:tcW w:w="8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9"/>
                <w:szCs w:val="19"/>
                <w:color w:val="FFFFFF"/>
              </w:rPr>
              <w:t>Mobile</w:t>
            </w:r>
          </w:p>
        </w:tc>
        <w:tc>
          <w:tcPr>
            <w:tcW w:w="10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9"/>
                <w:szCs w:val="19"/>
                <w:color w:val="FFFFFF"/>
              </w:rPr>
              <w:t>Cloud and</w:t>
            </w:r>
          </w:p>
        </w:tc>
        <w:tc>
          <w:tcPr>
            <w:tcW w:w="80" w:type="dxa"/>
            <w:vAlign w:val="bottom"/>
          </w:tcPr>
          <w:p>
            <w:pPr>
              <w:spacing w:after="0"/>
              <w:rPr>
                <w:sz w:val="19"/>
                <w:szCs w:val="19"/>
                <w:color w:val="auto"/>
              </w:rPr>
            </w:pPr>
          </w:p>
        </w:tc>
        <w:tc>
          <w:tcPr>
            <w:tcW w:w="118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19"/>
                <w:szCs w:val="19"/>
                <w:color w:val="FFFFFF"/>
              </w:rPr>
              <w:t>Nokia</w:t>
            </w:r>
          </w:p>
        </w:tc>
        <w:tc>
          <w:tcPr>
            <w:tcW w:w="8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244"/>
        </w:trPr>
        <w:tc>
          <w:tcPr>
            <w:tcW w:w="80" w:type="dxa"/>
            <w:vAlign w:val="bottom"/>
          </w:tcPr>
          <w:p>
            <w:pPr>
              <w:spacing w:after="0"/>
              <w:rPr>
                <w:sz w:val="21"/>
                <w:szCs w:val="21"/>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9"/>
                <w:szCs w:val="19"/>
                <w:color w:val="FFFFFF"/>
                <w:w w:val="98"/>
              </w:rPr>
              <w:t>Infrastructure</w:t>
            </w:r>
          </w:p>
        </w:tc>
        <w:tc>
          <w:tcPr>
            <w:tcW w:w="80" w:type="dxa"/>
            <w:vAlign w:val="bottom"/>
          </w:tcPr>
          <w:p>
            <w:pPr>
              <w:spacing w:after="0"/>
              <w:rPr>
                <w:sz w:val="21"/>
                <w:szCs w:val="21"/>
                <w:color w:val="auto"/>
              </w:rPr>
            </w:pPr>
          </w:p>
        </w:tc>
        <w:tc>
          <w:tcPr>
            <w:tcW w:w="1160" w:type="dxa"/>
            <w:vAlign w:val="bottom"/>
          </w:tcPr>
          <w:p>
            <w:pPr>
              <w:spacing w:after="0"/>
              <w:rPr>
                <w:sz w:val="21"/>
                <w:szCs w:val="21"/>
                <w:color w:val="auto"/>
              </w:rPr>
            </w:pPr>
          </w:p>
        </w:tc>
        <w:tc>
          <w:tcPr>
            <w:tcW w:w="140" w:type="dxa"/>
            <w:vAlign w:val="bottom"/>
          </w:tcPr>
          <w:p>
            <w:pPr>
              <w:spacing w:after="0"/>
              <w:rPr>
                <w:sz w:val="21"/>
                <w:szCs w:val="21"/>
                <w:color w:val="auto"/>
              </w:rPr>
            </w:pPr>
          </w:p>
        </w:tc>
        <w:tc>
          <w:tcPr>
            <w:tcW w:w="80" w:type="dxa"/>
            <w:vAlign w:val="bottom"/>
          </w:tcPr>
          <w:p>
            <w:pPr>
              <w:spacing w:after="0"/>
              <w:rPr>
                <w:sz w:val="21"/>
                <w:szCs w:val="21"/>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9"/>
                <w:szCs w:val="19"/>
                <w:color w:val="FFFFFF"/>
              </w:rPr>
              <w:t>Networks</w:t>
            </w:r>
          </w:p>
        </w:tc>
        <w:tc>
          <w:tcPr>
            <w:tcW w:w="100" w:type="dxa"/>
            <w:vAlign w:val="bottom"/>
          </w:tcPr>
          <w:p>
            <w:pPr>
              <w:spacing w:after="0"/>
              <w:rPr>
                <w:sz w:val="21"/>
                <w:szCs w:val="21"/>
                <w:color w:val="auto"/>
              </w:rPr>
            </w:pPr>
          </w:p>
        </w:tc>
        <w:tc>
          <w:tcPr>
            <w:tcW w:w="1160" w:type="dxa"/>
            <w:vAlign w:val="bottom"/>
          </w:tcPr>
          <w:p>
            <w:pPr>
              <w:spacing w:after="0"/>
              <w:rPr>
                <w:sz w:val="21"/>
                <w:szCs w:val="21"/>
                <w:color w:val="auto"/>
              </w:rPr>
            </w:pPr>
          </w:p>
        </w:tc>
        <w:tc>
          <w:tcPr>
            <w:tcW w:w="140" w:type="dxa"/>
            <w:vAlign w:val="bottom"/>
          </w:tcPr>
          <w:p>
            <w:pPr>
              <w:spacing w:after="0"/>
              <w:rPr>
                <w:sz w:val="21"/>
                <w:szCs w:val="21"/>
                <w:color w:val="auto"/>
              </w:rPr>
            </w:pPr>
          </w:p>
        </w:tc>
        <w:tc>
          <w:tcPr>
            <w:tcW w:w="80" w:type="dxa"/>
            <w:vAlign w:val="bottom"/>
          </w:tcPr>
          <w:p>
            <w:pPr>
              <w:spacing w:after="0"/>
              <w:rPr>
                <w:sz w:val="21"/>
                <w:szCs w:val="21"/>
                <w:color w:val="auto"/>
              </w:rPr>
            </w:pPr>
          </w:p>
        </w:tc>
        <w:tc>
          <w:tcPr>
            <w:tcW w:w="2340" w:type="dxa"/>
            <w:vAlign w:val="bottom"/>
            <w:gridSpan w:val="3"/>
          </w:tcPr>
          <w:p>
            <w:pPr>
              <w:ind w:left="40"/>
              <w:spacing w:after="0"/>
              <w:rPr>
                <w:sz w:val="20"/>
                <w:szCs w:val="20"/>
                <w:color w:val="auto"/>
              </w:rPr>
            </w:pPr>
            <w:r>
              <w:rPr>
                <w:rFonts w:ascii="Times New Roman" w:cs="Times New Roman" w:eastAsia="Times New Roman" w:hAnsi="Times New Roman"/>
                <w:sz w:val="19"/>
                <w:szCs w:val="19"/>
                <w:color w:val="FFFFFF"/>
              </w:rPr>
              <w:t>Network Services</w:t>
            </w:r>
          </w:p>
        </w:tc>
        <w:tc>
          <w:tcPr>
            <w:tcW w:w="140" w:type="dxa"/>
            <w:vAlign w:val="bottom"/>
          </w:tcPr>
          <w:p>
            <w:pPr>
              <w:spacing w:after="0"/>
              <w:rPr>
                <w:sz w:val="21"/>
                <w:szCs w:val="21"/>
                <w:color w:val="auto"/>
              </w:rPr>
            </w:pPr>
          </w:p>
        </w:tc>
        <w:tc>
          <w:tcPr>
            <w:tcW w:w="80" w:type="dxa"/>
            <w:vAlign w:val="bottom"/>
          </w:tcPr>
          <w:p>
            <w:pPr>
              <w:spacing w:after="0"/>
              <w:rPr>
                <w:sz w:val="21"/>
                <w:szCs w:val="21"/>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19"/>
                <w:szCs w:val="19"/>
                <w:color w:val="FFFFFF"/>
              </w:rPr>
              <w:t>Technologies</w:t>
            </w:r>
          </w:p>
        </w:tc>
        <w:tc>
          <w:tcPr>
            <w:tcW w:w="80" w:type="dxa"/>
            <w:vAlign w:val="bottom"/>
          </w:tcPr>
          <w:p>
            <w:pPr>
              <w:spacing w:after="0"/>
              <w:rPr>
                <w:sz w:val="21"/>
                <w:szCs w:val="21"/>
                <w:color w:val="auto"/>
              </w:rPr>
            </w:pPr>
          </w:p>
        </w:tc>
        <w:tc>
          <w:tcPr>
            <w:tcW w:w="1160" w:type="dxa"/>
            <w:vAlign w:val="bottom"/>
          </w:tcPr>
          <w:p>
            <w:pPr>
              <w:spacing w:after="0"/>
              <w:rPr>
                <w:sz w:val="21"/>
                <w:szCs w:val="21"/>
                <w:color w:val="auto"/>
              </w:rPr>
            </w:pPr>
          </w:p>
        </w:tc>
        <w:tc>
          <w:tcPr>
            <w:tcW w:w="0" w:type="dxa"/>
            <w:vAlign w:val="bottom"/>
          </w:tcPr>
          <w:p>
            <w:pPr>
              <w:spacing w:after="0"/>
              <w:rPr>
                <w:sz w:val="1"/>
                <w:szCs w:val="1"/>
                <w:color w:val="auto"/>
              </w:rPr>
            </w:pPr>
          </w:p>
        </w:tc>
      </w:tr>
      <w:tr>
        <w:trPr>
          <w:trHeight w:val="227"/>
        </w:trPr>
        <w:tc>
          <w:tcPr>
            <w:tcW w:w="80" w:type="dxa"/>
            <w:vAlign w:val="bottom"/>
          </w:tcPr>
          <w:p>
            <w:pPr>
              <w:spacing w:after="0"/>
              <w:rPr>
                <w:sz w:val="19"/>
                <w:szCs w:val="19"/>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FEDERICO GUILLÉN</w:t>
            </w:r>
          </w:p>
        </w:tc>
        <w:tc>
          <w:tcPr>
            <w:tcW w:w="8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TOMMI UITTO</w:t>
            </w:r>
          </w:p>
        </w:tc>
        <w:tc>
          <w:tcPr>
            <w:tcW w:w="10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RAGHAV SAHGAL</w:t>
            </w:r>
          </w:p>
        </w:tc>
        <w:tc>
          <w:tcPr>
            <w:tcW w:w="80" w:type="dxa"/>
            <w:vAlign w:val="bottom"/>
          </w:tcPr>
          <w:p>
            <w:pPr>
              <w:spacing w:after="0"/>
              <w:rPr>
                <w:sz w:val="19"/>
                <w:szCs w:val="19"/>
                <w:color w:val="auto"/>
              </w:rPr>
            </w:pPr>
          </w:p>
        </w:tc>
        <w:tc>
          <w:tcPr>
            <w:tcW w:w="118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JENNI LUKANDER</w:t>
            </w:r>
          </w:p>
        </w:tc>
        <w:tc>
          <w:tcPr>
            <w:tcW w:w="80" w:type="dxa"/>
            <w:vAlign w:val="bottom"/>
          </w:tcPr>
          <w:p>
            <w:pPr>
              <w:spacing w:after="0"/>
              <w:rPr>
                <w:sz w:val="19"/>
                <w:szCs w:val="19"/>
                <w:color w:val="auto"/>
              </w:rPr>
            </w:pPr>
          </w:p>
        </w:tc>
        <w:tc>
          <w:tcPr>
            <w:tcW w:w="116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101"/>
        </w:trPr>
        <w:tc>
          <w:tcPr>
            <w:tcW w:w="80" w:type="dxa"/>
            <w:vAlign w:val="bottom"/>
          </w:tcPr>
          <w:p>
            <w:pPr>
              <w:spacing w:after="0"/>
              <w:rPr>
                <w:sz w:val="8"/>
                <w:szCs w:val="8"/>
                <w:color w:val="auto"/>
              </w:rPr>
            </w:pPr>
          </w:p>
        </w:tc>
        <w:tc>
          <w:tcPr>
            <w:tcW w:w="1080" w:type="dxa"/>
            <w:vAlign w:val="bottom"/>
          </w:tcPr>
          <w:p>
            <w:pPr>
              <w:ind w:left="20"/>
              <w:spacing w:after="0" w:line="101" w:lineRule="exact"/>
              <w:rPr>
                <w:sz w:val="20"/>
                <w:szCs w:val="20"/>
                <w:color w:val="auto"/>
              </w:rPr>
            </w:pPr>
            <w:r>
              <w:rPr>
                <w:rFonts w:ascii="Times New Roman" w:cs="Times New Roman" w:eastAsia="Times New Roman" w:hAnsi="Times New Roman"/>
                <w:sz w:val="9"/>
                <w:szCs w:val="9"/>
                <w:color w:val="FFFFFF"/>
              </w:rPr>
              <w:t>PRESIDENT, NETWORK</w:t>
            </w:r>
          </w:p>
        </w:tc>
        <w:tc>
          <w:tcPr>
            <w:tcW w:w="80" w:type="dxa"/>
            <w:vAlign w:val="bottom"/>
          </w:tcPr>
          <w:p>
            <w:pPr>
              <w:spacing w:after="0"/>
              <w:rPr>
                <w:sz w:val="8"/>
                <w:szCs w:val="8"/>
                <w:color w:val="auto"/>
              </w:rPr>
            </w:pPr>
          </w:p>
        </w:tc>
        <w:tc>
          <w:tcPr>
            <w:tcW w:w="1160" w:type="dxa"/>
            <w:vAlign w:val="bottom"/>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Pr>
          <w:p>
            <w:pPr>
              <w:spacing w:after="0"/>
              <w:rPr>
                <w:sz w:val="8"/>
                <w:szCs w:val="8"/>
                <w:color w:val="auto"/>
              </w:rPr>
            </w:pPr>
          </w:p>
        </w:tc>
        <w:tc>
          <w:tcPr>
            <w:tcW w:w="1080" w:type="dxa"/>
            <w:vAlign w:val="bottom"/>
          </w:tcPr>
          <w:p>
            <w:pPr>
              <w:ind w:left="20"/>
              <w:spacing w:after="0" w:line="101" w:lineRule="exact"/>
              <w:rPr>
                <w:sz w:val="20"/>
                <w:szCs w:val="20"/>
                <w:color w:val="auto"/>
              </w:rPr>
            </w:pPr>
            <w:r>
              <w:rPr>
                <w:rFonts w:ascii="Times New Roman" w:cs="Times New Roman" w:eastAsia="Times New Roman" w:hAnsi="Times New Roman"/>
                <w:sz w:val="9"/>
                <w:szCs w:val="9"/>
                <w:color w:val="FFFFFF"/>
              </w:rPr>
              <w:t>PRESIDENT,</w:t>
            </w:r>
          </w:p>
        </w:tc>
        <w:tc>
          <w:tcPr>
            <w:tcW w:w="100" w:type="dxa"/>
            <w:vAlign w:val="bottom"/>
          </w:tcPr>
          <w:p>
            <w:pPr>
              <w:spacing w:after="0"/>
              <w:rPr>
                <w:sz w:val="8"/>
                <w:szCs w:val="8"/>
                <w:color w:val="auto"/>
              </w:rPr>
            </w:pPr>
          </w:p>
        </w:tc>
        <w:tc>
          <w:tcPr>
            <w:tcW w:w="1160" w:type="dxa"/>
            <w:vAlign w:val="bottom"/>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Pr>
          <w:p>
            <w:pPr>
              <w:spacing w:after="0"/>
              <w:rPr>
                <w:sz w:val="8"/>
                <w:szCs w:val="8"/>
                <w:color w:val="auto"/>
              </w:rPr>
            </w:pPr>
          </w:p>
        </w:tc>
        <w:tc>
          <w:tcPr>
            <w:tcW w:w="1080" w:type="dxa"/>
            <w:vAlign w:val="bottom"/>
          </w:tcPr>
          <w:p>
            <w:pPr>
              <w:ind w:left="20"/>
              <w:spacing w:after="0" w:line="101" w:lineRule="exact"/>
              <w:rPr>
                <w:sz w:val="20"/>
                <w:szCs w:val="20"/>
                <w:color w:val="auto"/>
              </w:rPr>
            </w:pPr>
            <w:r>
              <w:rPr>
                <w:rFonts w:ascii="Times New Roman" w:cs="Times New Roman" w:eastAsia="Times New Roman" w:hAnsi="Times New Roman"/>
                <w:sz w:val="9"/>
                <w:szCs w:val="9"/>
                <w:color w:val="FFFFFF"/>
              </w:rPr>
              <w:t>PRESIDENT, CLOUD</w:t>
            </w:r>
          </w:p>
        </w:tc>
        <w:tc>
          <w:tcPr>
            <w:tcW w:w="80" w:type="dxa"/>
            <w:vAlign w:val="bottom"/>
          </w:tcPr>
          <w:p>
            <w:pPr>
              <w:spacing w:after="0"/>
              <w:rPr>
                <w:sz w:val="8"/>
                <w:szCs w:val="8"/>
                <w:color w:val="auto"/>
              </w:rPr>
            </w:pPr>
          </w:p>
        </w:tc>
        <w:tc>
          <w:tcPr>
            <w:tcW w:w="1180" w:type="dxa"/>
            <w:vAlign w:val="bottom"/>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Pr>
          <w:p>
            <w:pPr>
              <w:spacing w:after="0"/>
              <w:rPr>
                <w:sz w:val="8"/>
                <w:szCs w:val="8"/>
                <w:color w:val="auto"/>
              </w:rPr>
            </w:pPr>
          </w:p>
        </w:tc>
        <w:tc>
          <w:tcPr>
            <w:tcW w:w="1080" w:type="dxa"/>
            <w:vAlign w:val="bottom"/>
          </w:tcPr>
          <w:p>
            <w:pPr>
              <w:ind w:left="20"/>
              <w:spacing w:after="0" w:line="101" w:lineRule="exact"/>
              <w:rPr>
                <w:sz w:val="20"/>
                <w:szCs w:val="20"/>
                <w:color w:val="auto"/>
              </w:rPr>
            </w:pPr>
            <w:r>
              <w:rPr>
                <w:rFonts w:ascii="Times New Roman" w:cs="Times New Roman" w:eastAsia="Times New Roman" w:hAnsi="Times New Roman"/>
                <w:sz w:val="9"/>
                <w:szCs w:val="9"/>
                <w:color w:val="FFFFFF"/>
              </w:rPr>
              <w:t>PRESIDENT, NOKIA</w:t>
            </w:r>
          </w:p>
        </w:tc>
        <w:tc>
          <w:tcPr>
            <w:tcW w:w="80" w:type="dxa"/>
            <w:vAlign w:val="bottom"/>
          </w:tcPr>
          <w:p>
            <w:pPr>
              <w:spacing w:after="0"/>
              <w:rPr>
                <w:sz w:val="8"/>
                <w:szCs w:val="8"/>
                <w:color w:val="auto"/>
              </w:rPr>
            </w:pPr>
          </w:p>
        </w:tc>
        <w:tc>
          <w:tcPr>
            <w:tcW w:w="116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22"/>
        </w:trPr>
        <w:tc>
          <w:tcPr>
            <w:tcW w:w="80" w:type="dxa"/>
            <w:vAlign w:val="bottom"/>
          </w:tcPr>
          <w:p>
            <w:pPr>
              <w:spacing w:after="0"/>
              <w:rPr>
                <w:sz w:val="10"/>
                <w:szCs w:val="10"/>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INFRASTRUCTURE</w:t>
            </w:r>
          </w:p>
        </w:tc>
        <w:tc>
          <w:tcPr>
            <w:tcW w:w="80" w:type="dxa"/>
            <w:vAlign w:val="bottom"/>
          </w:tcPr>
          <w:p>
            <w:pPr>
              <w:spacing w:after="0"/>
              <w:rPr>
                <w:sz w:val="10"/>
                <w:szCs w:val="10"/>
                <w:color w:val="auto"/>
              </w:rPr>
            </w:pPr>
          </w:p>
        </w:tc>
        <w:tc>
          <w:tcPr>
            <w:tcW w:w="1160" w:type="dxa"/>
            <w:vAlign w:val="bottom"/>
          </w:tcPr>
          <w:p>
            <w:pPr>
              <w:spacing w:after="0"/>
              <w:rPr>
                <w:sz w:val="10"/>
                <w:szCs w:val="10"/>
                <w:color w:val="auto"/>
              </w:rPr>
            </w:pP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MOBILE NETWORKS</w:t>
            </w:r>
          </w:p>
        </w:tc>
        <w:tc>
          <w:tcPr>
            <w:tcW w:w="100" w:type="dxa"/>
            <w:vAlign w:val="bottom"/>
          </w:tcPr>
          <w:p>
            <w:pPr>
              <w:spacing w:after="0"/>
              <w:rPr>
                <w:sz w:val="10"/>
                <w:szCs w:val="10"/>
                <w:color w:val="auto"/>
              </w:rPr>
            </w:pPr>
          </w:p>
        </w:tc>
        <w:tc>
          <w:tcPr>
            <w:tcW w:w="1160" w:type="dxa"/>
            <w:vAlign w:val="bottom"/>
          </w:tcPr>
          <w:p>
            <w:pPr>
              <w:spacing w:after="0"/>
              <w:rPr>
                <w:sz w:val="10"/>
                <w:szCs w:val="10"/>
                <w:color w:val="auto"/>
              </w:rPr>
            </w:pP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234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FFFFFF"/>
              </w:rPr>
              <w:t>AND NETWORK SERVICES</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TECHNOLOGIES</w:t>
            </w:r>
          </w:p>
        </w:tc>
        <w:tc>
          <w:tcPr>
            <w:tcW w:w="80" w:type="dxa"/>
            <w:vAlign w:val="bottom"/>
          </w:tcPr>
          <w:p>
            <w:pPr>
              <w:spacing w:after="0"/>
              <w:rPr>
                <w:sz w:val="10"/>
                <w:szCs w:val="10"/>
                <w:color w:val="auto"/>
              </w:rPr>
            </w:pPr>
          </w:p>
        </w:tc>
        <w:tc>
          <w:tcPr>
            <w:tcW w:w="116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90"/>
        </w:trPr>
        <w:tc>
          <w:tcPr>
            <w:tcW w:w="80" w:type="dxa"/>
            <w:vAlign w:val="bottom"/>
          </w:tcPr>
          <w:p>
            <w:pPr>
              <w:spacing w:after="0"/>
              <w:rPr>
                <w:sz w:val="7"/>
                <w:szCs w:val="7"/>
                <w:color w:val="auto"/>
              </w:rPr>
            </w:pPr>
          </w:p>
        </w:tc>
        <w:tc>
          <w:tcPr>
            <w:tcW w:w="1160" w:type="dxa"/>
            <w:vAlign w:val="bottom"/>
            <w:gridSpan w:val="2"/>
          </w:tcPr>
          <w:p>
            <w:pPr>
              <w:spacing w:after="0"/>
              <w:rPr>
                <w:sz w:val="7"/>
                <w:szCs w:val="7"/>
                <w:color w:val="auto"/>
              </w:rPr>
            </w:pPr>
          </w:p>
        </w:tc>
        <w:tc>
          <w:tcPr>
            <w:tcW w:w="1160" w:type="dxa"/>
            <w:vAlign w:val="bottom"/>
          </w:tcPr>
          <w:p>
            <w:pPr>
              <w:spacing w:after="0"/>
              <w:rPr>
                <w:sz w:val="7"/>
                <w:szCs w:val="7"/>
                <w:color w:val="auto"/>
              </w:rPr>
            </w:pPr>
          </w:p>
        </w:tc>
        <w:tc>
          <w:tcPr>
            <w:tcW w:w="140" w:type="dxa"/>
            <w:vAlign w:val="bottom"/>
          </w:tcPr>
          <w:p>
            <w:pPr>
              <w:spacing w:after="0"/>
              <w:rPr>
                <w:sz w:val="7"/>
                <w:szCs w:val="7"/>
                <w:color w:val="auto"/>
              </w:rPr>
            </w:pPr>
          </w:p>
        </w:tc>
        <w:tc>
          <w:tcPr>
            <w:tcW w:w="80" w:type="dxa"/>
            <w:vAlign w:val="bottom"/>
          </w:tcPr>
          <w:p>
            <w:pPr>
              <w:spacing w:after="0"/>
              <w:rPr>
                <w:sz w:val="7"/>
                <w:szCs w:val="7"/>
                <w:color w:val="auto"/>
              </w:rPr>
            </w:pPr>
          </w:p>
        </w:tc>
        <w:tc>
          <w:tcPr>
            <w:tcW w:w="1180" w:type="dxa"/>
            <w:vAlign w:val="bottom"/>
            <w:gridSpan w:val="2"/>
          </w:tcPr>
          <w:p>
            <w:pPr>
              <w:spacing w:after="0"/>
              <w:rPr>
                <w:sz w:val="7"/>
                <w:szCs w:val="7"/>
                <w:color w:val="auto"/>
              </w:rPr>
            </w:pPr>
          </w:p>
        </w:tc>
        <w:tc>
          <w:tcPr>
            <w:tcW w:w="1160" w:type="dxa"/>
            <w:vAlign w:val="bottom"/>
          </w:tcPr>
          <w:p>
            <w:pPr>
              <w:spacing w:after="0"/>
              <w:rPr>
                <w:sz w:val="7"/>
                <w:szCs w:val="7"/>
                <w:color w:val="auto"/>
              </w:rPr>
            </w:pPr>
          </w:p>
        </w:tc>
        <w:tc>
          <w:tcPr>
            <w:tcW w:w="140" w:type="dxa"/>
            <w:vAlign w:val="bottom"/>
          </w:tcPr>
          <w:p>
            <w:pPr>
              <w:spacing w:after="0"/>
              <w:rPr>
                <w:sz w:val="7"/>
                <w:szCs w:val="7"/>
                <w:color w:val="auto"/>
              </w:rPr>
            </w:pPr>
          </w:p>
        </w:tc>
        <w:tc>
          <w:tcPr>
            <w:tcW w:w="80" w:type="dxa"/>
            <w:vAlign w:val="bottom"/>
          </w:tcPr>
          <w:p>
            <w:pPr>
              <w:spacing w:after="0"/>
              <w:rPr>
                <w:sz w:val="7"/>
                <w:szCs w:val="7"/>
                <w:color w:val="auto"/>
              </w:rPr>
            </w:pPr>
          </w:p>
        </w:tc>
        <w:tc>
          <w:tcPr>
            <w:tcW w:w="1160" w:type="dxa"/>
            <w:vAlign w:val="bottom"/>
            <w:gridSpan w:val="2"/>
          </w:tcPr>
          <w:p>
            <w:pPr>
              <w:spacing w:after="0"/>
              <w:rPr>
                <w:sz w:val="7"/>
                <w:szCs w:val="7"/>
                <w:color w:val="auto"/>
              </w:rPr>
            </w:pPr>
          </w:p>
        </w:tc>
        <w:tc>
          <w:tcPr>
            <w:tcW w:w="1180" w:type="dxa"/>
            <w:vAlign w:val="bottom"/>
          </w:tcPr>
          <w:p>
            <w:pPr>
              <w:spacing w:after="0"/>
              <w:rPr>
                <w:sz w:val="7"/>
                <w:szCs w:val="7"/>
                <w:color w:val="auto"/>
              </w:rPr>
            </w:pPr>
          </w:p>
        </w:tc>
        <w:tc>
          <w:tcPr>
            <w:tcW w:w="140" w:type="dxa"/>
            <w:vAlign w:val="bottom"/>
          </w:tcPr>
          <w:p>
            <w:pPr>
              <w:spacing w:after="0"/>
              <w:rPr>
                <w:sz w:val="7"/>
                <w:szCs w:val="7"/>
                <w:color w:val="auto"/>
              </w:rPr>
            </w:pPr>
          </w:p>
        </w:tc>
        <w:tc>
          <w:tcPr>
            <w:tcW w:w="80" w:type="dxa"/>
            <w:vAlign w:val="bottom"/>
          </w:tcPr>
          <w:p>
            <w:pPr>
              <w:spacing w:after="0"/>
              <w:rPr>
                <w:sz w:val="7"/>
                <w:szCs w:val="7"/>
                <w:color w:val="auto"/>
              </w:rPr>
            </w:pPr>
          </w:p>
        </w:tc>
        <w:tc>
          <w:tcPr>
            <w:tcW w:w="1160" w:type="dxa"/>
            <w:vAlign w:val="bottom"/>
            <w:gridSpan w:val="2"/>
          </w:tcPr>
          <w:p>
            <w:pPr>
              <w:spacing w:after="0"/>
              <w:rPr>
                <w:sz w:val="7"/>
                <w:szCs w:val="7"/>
                <w:color w:val="auto"/>
              </w:rPr>
            </w:pPr>
          </w:p>
        </w:tc>
        <w:tc>
          <w:tcPr>
            <w:tcW w:w="116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81"/>
        </w:trPr>
        <w:tc>
          <w:tcPr>
            <w:tcW w:w="80" w:type="dxa"/>
            <w:vAlign w:val="bottom"/>
            <w:shd w:val="clear" w:color="auto" w:fill="F0F5FF"/>
          </w:tcPr>
          <w:p>
            <w:pPr>
              <w:spacing w:after="0"/>
              <w:rPr>
                <w:sz w:val="7"/>
                <w:szCs w:val="7"/>
                <w:color w:val="auto"/>
              </w:rPr>
            </w:pPr>
          </w:p>
        </w:tc>
        <w:tc>
          <w:tcPr>
            <w:tcW w:w="2320" w:type="dxa"/>
            <w:vAlign w:val="bottom"/>
            <w:gridSpan w:val="3"/>
            <w:vMerge w:val="restart"/>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Network Infrastructure provides the</w:t>
            </w:r>
          </w:p>
        </w:tc>
        <w:tc>
          <w:tcPr>
            <w:tcW w:w="140" w:type="dxa"/>
            <w:vAlign w:val="bottom"/>
          </w:tcPr>
          <w:p>
            <w:pPr>
              <w:spacing w:after="0"/>
              <w:rPr>
                <w:sz w:val="7"/>
                <w:szCs w:val="7"/>
                <w:color w:val="auto"/>
              </w:rPr>
            </w:pPr>
          </w:p>
        </w:tc>
        <w:tc>
          <w:tcPr>
            <w:tcW w:w="80" w:type="dxa"/>
            <w:vAlign w:val="bottom"/>
            <w:shd w:val="clear" w:color="auto" w:fill="F0F5FF"/>
          </w:tcPr>
          <w:p>
            <w:pPr>
              <w:spacing w:after="0"/>
              <w:rPr>
                <w:sz w:val="7"/>
                <w:szCs w:val="7"/>
                <w:color w:val="auto"/>
              </w:rPr>
            </w:pPr>
          </w:p>
        </w:tc>
        <w:tc>
          <w:tcPr>
            <w:tcW w:w="2340" w:type="dxa"/>
            <w:vAlign w:val="bottom"/>
            <w:gridSpan w:val="3"/>
            <w:vMerge w:val="restart"/>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Mobile Networks creates products and</w:t>
            </w:r>
          </w:p>
        </w:tc>
        <w:tc>
          <w:tcPr>
            <w:tcW w:w="140" w:type="dxa"/>
            <w:vAlign w:val="bottom"/>
          </w:tcPr>
          <w:p>
            <w:pPr>
              <w:spacing w:after="0"/>
              <w:rPr>
                <w:sz w:val="7"/>
                <w:szCs w:val="7"/>
                <w:color w:val="auto"/>
              </w:rPr>
            </w:pPr>
          </w:p>
        </w:tc>
        <w:tc>
          <w:tcPr>
            <w:tcW w:w="80" w:type="dxa"/>
            <w:vAlign w:val="bottom"/>
            <w:shd w:val="clear" w:color="auto" w:fill="F0F5FF"/>
          </w:tcPr>
          <w:p>
            <w:pPr>
              <w:spacing w:after="0"/>
              <w:rPr>
                <w:sz w:val="7"/>
                <w:szCs w:val="7"/>
                <w:color w:val="auto"/>
              </w:rPr>
            </w:pPr>
          </w:p>
        </w:tc>
        <w:tc>
          <w:tcPr>
            <w:tcW w:w="2340" w:type="dxa"/>
            <w:vAlign w:val="bottom"/>
            <w:gridSpan w:val="3"/>
            <w:vMerge w:val="restart"/>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Cloud and Network Services enables</w:t>
            </w:r>
          </w:p>
        </w:tc>
        <w:tc>
          <w:tcPr>
            <w:tcW w:w="140" w:type="dxa"/>
            <w:vAlign w:val="bottom"/>
          </w:tcPr>
          <w:p>
            <w:pPr>
              <w:spacing w:after="0"/>
              <w:rPr>
                <w:sz w:val="7"/>
                <w:szCs w:val="7"/>
                <w:color w:val="auto"/>
              </w:rPr>
            </w:pPr>
          </w:p>
        </w:tc>
        <w:tc>
          <w:tcPr>
            <w:tcW w:w="80" w:type="dxa"/>
            <w:vAlign w:val="bottom"/>
            <w:shd w:val="clear" w:color="auto" w:fill="F0F5FF"/>
          </w:tcPr>
          <w:p>
            <w:pPr>
              <w:spacing w:after="0"/>
              <w:rPr>
                <w:sz w:val="7"/>
                <w:szCs w:val="7"/>
                <w:color w:val="auto"/>
              </w:rPr>
            </w:pPr>
          </w:p>
        </w:tc>
        <w:tc>
          <w:tcPr>
            <w:tcW w:w="2320" w:type="dxa"/>
            <w:vAlign w:val="bottom"/>
            <w:gridSpan w:val="3"/>
            <w:vMerge w:val="restart"/>
            <w:shd w:val="clear" w:color="auto" w:fill="F0F5FF"/>
          </w:tcPr>
          <w:p>
            <w:pPr>
              <w:ind w:left="20"/>
              <w:spacing w:after="0"/>
              <w:rPr>
                <w:sz w:val="20"/>
                <w:szCs w:val="20"/>
                <w:color w:val="auto"/>
              </w:rPr>
            </w:pPr>
            <w:r>
              <w:rPr>
                <w:rFonts w:ascii="Times New Roman" w:cs="Times New Roman" w:eastAsia="Times New Roman" w:hAnsi="Times New Roman"/>
                <w:sz w:val="11"/>
                <w:szCs w:val="11"/>
                <w:color w:val="auto"/>
              </w:rPr>
              <w:t>Nokia Technologies is responsible for</w:t>
            </w:r>
          </w:p>
        </w:tc>
        <w:tc>
          <w:tcPr>
            <w:tcW w:w="0" w:type="dxa"/>
            <w:vAlign w:val="bottom"/>
          </w:tcPr>
          <w:p>
            <w:pPr>
              <w:spacing w:after="0"/>
              <w:rPr>
                <w:sz w:val="1"/>
                <w:szCs w:val="1"/>
                <w:color w:val="auto"/>
              </w:rPr>
            </w:pPr>
          </w:p>
        </w:tc>
      </w:tr>
      <w:tr>
        <w:trPr>
          <w:trHeight w:val="145"/>
        </w:trPr>
        <w:tc>
          <w:tcPr>
            <w:tcW w:w="80" w:type="dxa"/>
            <w:vAlign w:val="bottom"/>
          </w:tcPr>
          <w:p>
            <w:pPr>
              <w:spacing w:after="0"/>
              <w:rPr>
                <w:sz w:val="12"/>
                <w:szCs w:val="12"/>
                <w:color w:val="auto"/>
              </w:rPr>
            </w:pPr>
          </w:p>
        </w:tc>
        <w:tc>
          <w:tcPr>
            <w:tcW w:w="2320" w:type="dxa"/>
            <w:vAlign w:val="bottom"/>
            <w:gridSpan w:val="3"/>
            <w:vMerge w:val="continue"/>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2340" w:type="dxa"/>
            <w:vAlign w:val="bottom"/>
            <w:gridSpan w:val="3"/>
            <w:vMerge w:val="continue"/>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2340" w:type="dxa"/>
            <w:vAlign w:val="bottom"/>
            <w:gridSpan w:val="3"/>
            <w:vMerge w:val="continue"/>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2320" w:type="dxa"/>
            <w:vAlign w:val="bottom"/>
            <w:gridSpan w:val="3"/>
            <w:vMerge w:val="continue"/>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equipment, software and services that enable</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services covering all mobile technology</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communications service providers (CSPs)</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20" w:type="dxa"/>
            <w:vAlign w:val="bottom"/>
            <w:gridSpan w:val="3"/>
            <w:shd w:val="clear" w:color="auto" w:fill="F0F5FF"/>
          </w:tcPr>
          <w:p>
            <w:pPr>
              <w:ind w:left="20"/>
              <w:spacing w:after="0"/>
              <w:rPr>
                <w:sz w:val="20"/>
                <w:szCs w:val="20"/>
                <w:color w:val="auto"/>
              </w:rPr>
            </w:pPr>
            <w:r>
              <w:rPr>
                <w:rFonts w:ascii="Times New Roman" w:cs="Times New Roman" w:eastAsia="Times New Roman" w:hAnsi="Times New Roman"/>
                <w:sz w:val="11"/>
                <w:szCs w:val="11"/>
                <w:color w:val="auto"/>
              </w:rPr>
              <w:t>managing Nokia’s patent portfolio and</w:t>
            </w:r>
          </w:p>
        </w:tc>
        <w:tc>
          <w:tcPr>
            <w:tcW w:w="0" w:type="dxa"/>
            <w:vAlign w:val="bottom"/>
          </w:tcPr>
          <w:p>
            <w:pPr>
              <w:spacing w:after="0"/>
              <w:rPr>
                <w:sz w:val="1"/>
                <w:szCs w:val="1"/>
                <w:color w:val="auto"/>
              </w:rPr>
            </w:pPr>
          </w:p>
        </w:tc>
      </w:tr>
      <w:tr>
        <w:trPr>
          <w:trHeight w:val="121"/>
        </w:trPr>
        <w:tc>
          <w:tcPr>
            <w:tcW w:w="80" w:type="dxa"/>
            <w:vAlign w:val="bottom"/>
          </w:tcPr>
          <w:p>
            <w:pPr>
              <w:spacing w:after="0"/>
              <w:rPr>
                <w:sz w:val="10"/>
                <w:szCs w:val="10"/>
                <w:color w:val="auto"/>
              </w:rPr>
            </w:pPr>
          </w:p>
        </w:tc>
        <w:tc>
          <w:tcPr>
            <w:tcW w:w="2320" w:type="dxa"/>
            <w:vAlign w:val="bottom"/>
            <w:gridSpan w:val="3"/>
            <w:shd w:val="clear" w:color="auto" w:fill="F0F5FF"/>
          </w:tcPr>
          <w:p>
            <w:pPr>
              <w:ind w:left="40"/>
              <w:spacing w:after="0" w:line="122" w:lineRule="exact"/>
              <w:rPr>
                <w:sz w:val="20"/>
                <w:szCs w:val="20"/>
                <w:color w:val="auto"/>
              </w:rPr>
            </w:pPr>
            <w:r>
              <w:rPr>
                <w:rFonts w:ascii="Times New Roman" w:cs="Times New Roman" w:eastAsia="Times New Roman" w:hAnsi="Times New Roman"/>
                <w:sz w:val="11"/>
                <w:szCs w:val="11"/>
                <w:color w:val="auto"/>
              </w:rPr>
              <w:t>all of the physical links that power networks.</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2340" w:type="dxa"/>
            <w:vAlign w:val="bottom"/>
            <w:gridSpan w:val="3"/>
            <w:shd w:val="clear" w:color="auto" w:fill="F0F5FF"/>
          </w:tcPr>
          <w:p>
            <w:pPr>
              <w:ind w:left="40"/>
              <w:spacing w:after="0" w:line="122" w:lineRule="exact"/>
              <w:rPr>
                <w:sz w:val="20"/>
                <w:szCs w:val="20"/>
                <w:color w:val="auto"/>
              </w:rPr>
            </w:pPr>
            <w:r>
              <w:rPr>
                <w:rFonts w:ascii="Times New Roman" w:cs="Times New Roman" w:eastAsia="Times New Roman" w:hAnsi="Times New Roman"/>
                <w:sz w:val="11"/>
                <w:szCs w:val="11"/>
                <w:color w:val="auto"/>
              </w:rPr>
              <w:t>generations. Its portfolio includes products</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2340" w:type="dxa"/>
            <w:vAlign w:val="bottom"/>
            <w:gridSpan w:val="3"/>
            <w:shd w:val="clear" w:color="auto" w:fill="F0F5FF"/>
          </w:tcPr>
          <w:p>
            <w:pPr>
              <w:ind w:left="40"/>
              <w:spacing w:after="0" w:line="122" w:lineRule="exact"/>
              <w:rPr>
                <w:sz w:val="20"/>
                <w:szCs w:val="20"/>
                <w:color w:val="auto"/>
              </w:rPr>
            </w:pPr>
            <w:r>
              <w:rPr>
                <w:rFonts w:ascii="Times New Roman" w:cs="Times New Roman" w:eastAsia="Times New Roman" w:hAnsi="Times New Roman"/>
                <w:sz w:val="11"/>
                <w:szCs w:val="11"/>
                <w:color w:val="auto"/>
              </w:rPr>
              <w:t>and enterprises to deploy and monetize 5G,</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2320" w:type="dxa"/>
            <w:vAlign w:val="bottom"/>
            <w:gridSpan w:val="3"/>
            <w:shd w:val="clear" w:color="auto" w:fill="F0F5FF"/>
          </w:tcPr>
          <w:p>
            <w:pPr>
              <w:ind w:left="20"/>
              <w:spacing w:after="0" w:line="122" w:lineRule="exact"/>
              <w:rPr>
                <w:sz w:val="20"/>
                <w:szCs w:val="20"/>
                <w:color w:val="auto"/>
              </w:rPr>
            </w:pPr>
            <w:r>
              <w:rPr>
                <w:rFonts w:ascii="Times New Roman" w:cs="Times New Roman" w:eastAsia="Times New Roman" w:hAnsi="Times New Roman"/>
                <w:sz w:val="11"/>
                <w:szCs w:val="11"/>
                <w:color w:val="auto"/>
              </w:rPr>
              <w:t>monetizing Nokia’s intellectual property</w:t>
            </w: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Its product offering includes IP routing and</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for radio access networks (RAN) and</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cloud-native software and as-a-service</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20" w:type="dxa"/>
            <w:vAlign w:val="bottom"/>
            <w:gridSpan w:val="3"/>
            <w:shd w:val="clear" w:color="auto" w:fill="F0F5FF"/>
          </w:tcPr>
          <w:p>
            <w:pPr>
              <w:ind w:left="20"/>
              <w:spacing w:after="0"/>
              <w:rPr>
                <w:sz w:val="20"/>
                <w:szCs w:val="20"/>
                <w:color w:val="auto"/>
              </w:rPr>
            </w:pPr>
            <w:r>
              <w:rPr>
                <w:rFonts w:ascii="Times New Roman" w:cs="Times New Roman" w:eastAsia="Times New Roman" w:hAnsi="Times New Roman"/>
                <w:sz w:val="11"/>
                <w:szCs w:val="11"/>
                <w:color w:val="auto"/>
              </w:rPr>
              <w:t>including patents, technologies and the</w:t>
            </w: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switching products, and the equipment to</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microwave radio (MWR) links for transport</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delivery models.</w:t>
            </w:r>
          </w:p>
        </w:tc>
        <w:tc>
          <w:tcPr>
            <w:tcW w:w="80" w:type="dxa"/>
            <w:vAlign w:val="bottom"/>
            <w:shd w:val="clear" w:color="auto" w:fill="F0F5FF"/>
          </w:tcPr>
          <w:p>
            <w:pPr>
              <w:spacing w:after="0"/>
              <w:rPr>
                <w:sz w:val="11"/>
                <w:szCs w:val="11"/>
                <w:color w:val="auto"/>
              </w:rPr>
            </w:pPr>
          </w:p>
        </w:tc>
        <w:tc>
          <w:tcPr>
            <w:tcW w:w="118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ind w:left="20"/>
              <w:spacing w:after="0"/>
              <w:rPr>
                <w:sz w:val="20"/>
                <w:szCs w:val="20"/>
                <w:color w:val="auto"/>
              </w:rPr>
            </w:pPr>
            <w:r>
              <w:rPr>
                <w:rFonts w:ascii="Times New Roman" w:cs="Times New Roman" w:eastAsia="Times New Roman" w:hAnsi="Times New Roman"/>
                <w:sz w:val="11"/>
                <w:szCs w:val="11"/>
                <w:color w:val="auto"/>
              </w:rPr>
              <w:t>Nokia brand.</w:t>
            </w: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power fiber networks along with subsea and</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networks, solutions for network management,</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8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terrestrial optical networks. Its customers</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234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as well as network planning, optimization,</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8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21"/>
        </w:trPr>
        <w:tc>
          <w:tcPr>
            <w:tcW w:w="80" w:type="dxa"/>
            <w:vAlign w:val="bottom"/>
          </w:tcPr>
          <w:p>
            <w:pPr>
              <w:spacing w:after="0"/>
              <w:rPr>
                <w:sz w:val="10"/>
                <w:szCs w:val="10"/>
                <w:color w:val="auto"/>
              </w:rPr>
            </w:pPr>
          </w:p>
        </w:tc>
        <w:tc>
          <w:tcPr>
            <w:tcW w:w="2320" w:type="dxa"/>
            <w:vAlign w:val="bottom"/>
            <w:gridSpan w:val="3"/>
            <w:shd w:val="clear" w:color="auto" w:fill="F0F5FF"/>
          </w:tcPr>
          <w:p>
            <w:pPr>
              <w:ind w:left="40"/>
              <w:spacing w:after="0" w:line="122" w:lineRule="exact"/>
              <w:rPr>
                <w:sz w:val="20"/>
                <w:szCs w:val="20"/>
                <w:color w:val="auto"/>
              </w:rPr>
            </w:pPr>
            <w:r>
              <w:rPr>
                <w:rFonts w:ascii="Times New Roman" w:cs="Times New Roman" w:eastAsia="Times New Roman" w:hAnsi="Times New Roman"/>
                <w:sz w:val="11"/>
                <w:szCs w:val="11"/>
                <w:color w:val="auto"/>
              </w:rPr>
              <w:t>include communications service providers,</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2340" w:type="dxa"/>
            <w:vAlign w:val="bottom"/>
            <w:gridSpan w:val="3"/>
            <w:shd w:val="clear" w:color="auto" w:fill="F0F5FF"/>
          </w:tcPr>
          <w:p>
            <w:pPr>
              <w:ind w:left="40"/>
              <w:spacing w:after="0" w:line="122" w:lineRule="exact"/>
              <w:rPr>
                <w:sz w:val="20"/>
                <w:szCs w:val="20"/>
                <w:color w:val="auto"/>
              </w:rPr>
            </w:pPr>
            <w:r>
              <w:rPr>
                <w:rFonts w:ascii="Times New Roman" w:cs="Times New Roman" w:eastAsia="Times New Roman" w:hAnsi="Times New Roman"/>
                <w:sz w:val="11"/>
                <w:szCs w:val="11"/>
                <w:color w:val="auto"/>
              </w:rPr>
              <w:t>network deployment and technical</w:t>
            </w: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1080" w:type="dxa"/>
            <w:vAlign w:val="bottom"/>
            <w:shd w:val="clear" w:color="auto" w:fill="F0F5FF"/>
          </w:tcPr>
          <w:p>
            <w:pPr>
              <w:spacing w:after="0"/>
              <w:rPr>
                <w:sz w:val="10"/>
                <w:szCs w:val="10"/>
                <w:color w:val="auto"/>
              </w:rPr>
            </w:pPr>
          </w:p>
        </w:tc>
        <w:tc>
          <w:tcPr>
            <w:tcW w:w="80" w:type="dxa"/>
            <w:vAlign w:val="bottom"/>
            <w:shd w:val="clear" w:color="auto" w:fill="F0F5FF"/>
          </w:tcPr>
          <w:p>
            <w:pPr>
              <w:spacing w:after="0"/>
              <w:rPr>
                <w:sz w:val="10"/>
                <w:szCs w:val="10"/>
                <w:color w:val="auto"/>
              </w:rPr>
            </w:pPr>
          </w:p>
        </w:tc>
        <w:tc>
          <w:tcPr>
            <w:tcW w:w="118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80" w:type="dxa"/>
            <w:vAlign w:val="bottom"/>
          </w:tcPr>
          <w:p>
            <w:pPr>
              <w:spacing w:after="0"/>
              <w:rPr>
                <w:sz w:val="10"/>
                <w:szCs w:val="10"/>
                <w:color w:val="auto"/>
              </w:rPr>
            </w:pPr>
          </w:p>
        </w:tc>
        <w:tc>
          <w:tcPr>
            <w:tcW w:w="1080" w:type="dxa"/>
            <w:vAlign w:val="bottom"/>
            <w:shd w:val="clear" w:color="auto" w:fill="F0F5FF"/>
          </w:tcPr>
          <w:p>
            <w:pPr>
              <w:spacing w:after="0"/>
              <w:rPr>
                <w:sz w:val="10"/>
                <w:szCs w:val="10"/>
                <w:color w:val="auto"/>
              </w:rPr>
            </w:pPr>
          </w:p>
        </w:tc>
        <w:tc>
          <w:tcPr>
            <w:tcW w:w="80" w:type="dxa"/>
            <w:vAlign w:val="bottom"/>
            <w:shd w:val="clear" w:color="auto" w:fill="F0F5FF"/>
          </w:tcPr>
          <w:p>
            <w:pPr>
              <w:spacing w:after="0"/>
              <w:rPr>
                <w:sz w:val="10"/>
                <w:szCs w:val="10"/>
                <w:color w:val="auto"/>
              </w:rPr>
            </w:pPr>
          </w:p>
        </w:tc>
        <w:tc>
          <w:tcPr>
            <w:tcW w:w="1160" w:type="dxa"/>
            <w:vAlign w:val="bottom"/>
            <w:shd w:val="clear" w:color="auto" w:fill="F0F5FF"/>
          </w:tcPr>
          <w:p>
            <w:pPr>
              <w:spacing w:after="0"/>
              <w:rPr>
                <w:sz w:val="10"/>
                <w:szCs w:val="10"/>
                <w:color w:val="auto"/>
              </w:rPr>
            </w:pPr>
          </w:p>
        </w:tc>
        <w:tc>
          <w:tcPr>
            <w:tcW w:w="0" w:type="dxa"/>
            <w:vAlign w:val="bottom"/>
          </w:tcPr>
          <w:p>
            <w:pPr>
              <w:spacing w:after="0"/>
              <w:rPr>
                <w:sz w:val="1"/>
                <w:szCs w:val="1"/>
                <w:color w:val="auto"/>
              </w:rPr>
            </w:pPr>
          </w:p>
        </w:tc>
      </w:tr>
      <w:tr>
        <w:trPr>
          <w:trHeight w:val="131"/>
        </w:trPr>
        <w:tc>
          <w:tcPr>
            <w:tcW w:w="80" w:type="dxa"/>
            <w:vAlign w:val="bottom"/>
          </w:tcPr>
          <w:p>
            <w:pPr>
              <w:spacing w:after="0"/>
              <w:rPr>
                <w:sz w:val="11"/>
                <w:szCs w:val="11"/>
                <w:color w:val="auto"/>
              </w:rPr>
            </w:pPr>
          </w:p>
        </w:tc>
        <w:tc>
          <w:tcPr>
            <w:tcW w:w="2320" w:type="dxa"/>
            <w:vAlign w:val="bottom"/>
            <w:gridSpan w:val="3"/>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webscales and hyperscalers, digital industries</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support services.</w:t>
            </w:r>
          </w:p>
        </w:tc>
        <w:tc>
          <w:tcPr>
            <w:tcW w:w="100" w:type="dxa"/>
            <w:vAlign w:val="bottom"/>
            <w:shd w:val="clear" w:color="auto" w:fill="F0F5FF"/>
          </w:tcPr>
          <w:p>
            <w:pPr>
              <w:spacing w:after="0"/>
              <w:rPr>
                <w:sz w:val="11"/>
                <w:szCs w:val="11"/>
                <w:color w:val="auto"/>
              </w:rPr>
            </w:pPr>
          </w:p>
        </w:tc>
        <w:tc>
          <w:tcPr>
            <w:tcW w:w="116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8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shd w:val="clear" w:color="auto" w:fill="F0F5FF"/>
          </w:tcPr>
          <w:p>
            <w:pPr>
              <w:spacing w:after="0"/>
              <w:rPr>
                <w:sz w:val="11"/>
                <w:szCs w:val="11"/>
                <w:color w:val="auto"/>
              </w:rPr>
            </w:pP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40"/>
        </w:trPr>
        <w:tc>
          <w:tcPr>
            <w:tcW w:w="80" w:type="dxa"/>
            <w:vAlign w:val="bottom"/>
          </w:tcPr>
          <w:p>
            <w:pPr>
              <w:spacing w:after="0"/>
              <w:rPr>
                <w:sz w:val="12"/>
                <w:szCs w:val="12"/>
                <w:color w:val="auto"/>
              </w:rPr>
            </w:pPr>
          </w:p>
        </w:tc>
        <w:tc>
          <w:tcPr>
            <w:tcW w:w="10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and governments.</w:t>
            </w:r>
          </w:p>
        </w:tc>
        <w:tc>
          <w:tcPr>
            <w:tcW w:w="80" w:type="dxa"/>
            <w:vAlign w:val="bottom"/>
            <w:shd w:val="clear" w:color="auto" w:fill="F0F5FF"/>
          </w:tcPr>
          <w:p>
            <w:pPr>
              <w:spacing w:after="0"/>
              <w:rPr>
                <w:sz w:val="12"/>
                <w:szCs w:val="12"/>
                <w:color w:val="auto"/>
              </w:rPr>
            </w:pPr>
          </w:p>
        </w:tc>
        <w:tc>
          <w:tcPr>
            <w:tcW w:w="1160" w:type="dxa"/>
            <w:vAlign w:val="bottom"/>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1080" w:type="dxa"/>
            <w:vAlign w:val="bottom"/>
            <w:shd w:val="clear" w:color="auto" w:fill="F0F5FF"/>
          </w:tcPr>
          <w:p>
            <w:pPr>
              <w:spacing w:after="0"/>
              <w:rPr>
                <w:sz w:val="12"/>
                <w:szCs w:val="12"/>
                <w:color w:val="auto"/>
              </w:rPr>
            </w:pPr>
          </w:p>
        </w:tc>
        <w:tc>
          <w:tcPr>
            <w:tcW w:w="100" w:type="dxa"/>
            <w:vAlign w:val="bottom"/>
            <w:shd w:val="clear" w:color="auto" w:fill="F0F5FF"/>
          </w:tcPr>
          <w:p>
            <w:pPr>
              <w:spacing w:after="0"/>
              <w:rPr>
                <w:sz w:val="12"/>
                <w:szCs w:val="12"/>
                <w:color w:val="auto"/>
              </w:rPr>
            </w:pPr>
          </w:p>
        </w:tc>
        <w:tc>
          <w:tcPr>
            <w:tcW w:w="1160" w:type="dxa"/>
            <w:vAlign w:val="bottom"/>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1080" w:type="dxa"/>
            <w:vAlign w:val="bottom"/>
            <w:shd w:val="clear" w:color="auto" w:fill="F0F5FF"/>
          </w:tcPr>
          <w:p>
            <w:pPr>
              <w:spacing w:after="0"/>
              <w:rPr>
                <w:sz w:val="12"/>
                <w:szCs w:val="12"/>
                <w:color w:val="auto"/>
              </w:rPr>
            </w:pPr>
          </w:p>
        </w:tc>
        <w:tc>
          <w:tcPr>
            <w:tcW w:w="80" w:type="dxa"/>
            <w:vAlign w:val="bottom"/>
            <w:shd w:val="clear" w:color="auto" w:fill="F0F5FF"/>
          </w:tcPr>
          <w:p>
            <w:pPr>
              <w:spacing w:after="0"/>
              <w:rPr>
                <w:sz w:val="12"/>
                <w:szCs w:val="12"/>
                <w:color w:val="auto"/>
              </w:rPr>
            </w:pPr>
          </w:p>
        </w:tc>
        <w:tc>
          <w:tcPr>
            <w:tcW w:w="1180" w:type="dxa"/>
            <w:vAlign w:val="bottom"/>
            <w:shd w:val="clear" w:color="auto" w:fill="F0F5FF"/>
          </w:tcPr>
          <w:p>
            <w:pPr>
              <w:spacing w:after="0"/>
              <w:rPr>
                <w:sz w:val="12"/>
                <w:szCs w:val="12"/>
                <w:color w:val="auto"/>
              </w:rPr>
            </w:pPr>
          </w:p>
        </w:tc>
        <w:tc>
          <w:tcPr>
            <w:tcW w:w="14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1080" w:type="dxa"/>
            <w:vAlign w:val="bottom"/>
            <w:shd w:val="clear" w:color="auto" w:fill="F0F5FF"/>
          </w:tcPr>
          <w:p>
            <w:pPr>
              <w:spacing w:after="0"/>
              <w:rPr>
                <w:sz w:val="12"/>
                <w:szCs w:val="12"/>
                <w:color w:val="auto"/>
              </w:rPr>
            </w:pPr>
          </w:p>
        </w:tc>
        <w:tc>
          <w:tcPr>
            <w:tcW w:w="80" w:type="dxa"/>
            <w:vAlign w:val="bottom"/>
            <w:shd w:val="clear" w:color="auto" w:fill="F0F5FF"/>
          </w:tcPr>
          <w:p>
            <w:pPr>
              <w:spacing w:after="0"/>
              <w:rPr>
                <w:sz w:val="12"/>
                <w:szCs w:val="12"/>
                <w:color w:val="auto"/>
              </w:rPr>
            </w:pPr>
          </w:p>
        </w:tc>
        <w:tc>
          <w:tcPr>
            <w:tcW w:w="116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99"/>
        </w:trPr>
        <w:tc>
          <w:tcPr>
            <w:tcW w:w="80" w:type="dxa"/>
            <w:vAlign w:val="bottom"/>
            <w:tcBorders>
              <w:bottom w:val="single" w:sz="8" w:color="37CC73"/>
            </w:tcBorders>
          </w:tcPr>
          <w:p>
            <w:pPr>
              <w:spacing w:after="0"/>
              <w:rPr>
                <w:sz w:val="8"/>
                <w:szCs w:val="8"/>
                <w:color w:val="auto"/>
              </w:rPr>
            </w:pPr>
          </w:p>
        </w:tc>
        <w:tc>
          <w:tcPr>
            <w:tcW w:w="1080" w:type="dxa"/>
            <w:vAlign w:val="bottom"/>
            <w:tcBorders>
              <w:bottom w:val="single" w:sz="8" w:color="37CC73"/>
            </w:tcBorders>
            <w:shd w:val="clear" w:color="auto" w:fill="F0F5FF"/>
          </w:tcPr>
          <w:p>
            <w:pPr>
              <w:spacing w:after="0"/>
              <w:rPr>
                <w:sz w:val="8"/>
                <w:szCs w:val="8"/>
                <w:color w:val="auto"/>
              </w:rPr>
            </w:pPr>
          </w:p>
        </w:tc>
        <w:tc>
          <w:tcPr>
            <w:tcW w:w="80" w:type="dxa"/>
            <w:vAlign w:val="bottom"/>
            <w:tcBorders>
              <w:bottom w:val="single" w:sz="8" w:color="37CC73"/>
            </w:tcBorders>
            <w:shd w:val="clear" w:color="auto" w:fill="F0F5FF"/>
          </w:tcPr>
          <w:p>
            <w:pPr>
              <w:spacing w:after="0"/>
              <w:rPr>
                <w:sz w:val="8"/>
                <w:szCs w:val="8"/>
                <w:color w:val="auto"/>
              </w:rPr>
            </w:pPr>
          </w:p>
        </w:tc>
        <w:tc>
          <w:tcPr>
            <w:tcW w:w="1160" w:type="dxa"/>
            <w:vAlign w:val="bottom"/>
            <w:tcBorders>
              <w:bottom w:val="single" w:sz="8" w:color="37CC73"/>
            </w:tcBorders>
            <w:shd w:val="clear" w:color="auto" w:fill="F0F5FF"/>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Borders>
              <w:bottom w:val="single" w:sz="8" w:color="F47F31"/>
            </w:tcBorders>
          </w:tcPr>
          <w:p>
            <w:pPr>
              <w:spacing w:after="0"/>
              <w:rPr>
                <w:sz w:val="8"/>
                <w:szCs w:val="8"/>
                <w:color w:val="auto"/>
              </w:rPr>
            </w:pPr>
          </w:p>
        </w:tc>
        <w:tc>
          <w:tcPr>
            <w:tcW w:w="1080" w:type="dxa"/>
            <w:vAlign w:val="bottom"/>
            <w:tcBorders>
              <w:bottom w:val="single" w:sz="8" w:color="F47F31"/>
            </w:tcBorders>
            <w:shd w:val="clear" w:color="auto" w:fill="F0F5FF"/>
          </w:tcPr>
          <w:p>
            <w:pPr>
              <w:spacing w:after="0"/>
              <w:rPr>
                <w:sz w:val="8"/>
                <w:szCs w:val="8"/>
                <w:color w:val="auto"/>
              </w:rPr>
            </w:pPr>
          </w:p>
        </w:tc>
        <w:tc>
          <w:tcPr>
            <w:tcW w:w="100" w:type="dxa"/>
            <w:vAlign w:val="bottom"/>
            <w:tcBorders>
              <w:bottom w:val="single" w:sz="8" w:color="F47F31"/>
            </w:tcBorders>
            <w:shd w:val="clear" w:color="auto" w:fill="F0F5FF"/>
          </w:tcPr>
          <w:p>
            <w:pPr>
              <w:spacing w:after="0"/>
              <w:rPr>
                <w:sz w:val="8"/>
                <w:szCs w:val="8"/>
                <w:color w:val="auto"/>
              </w:rPr>
            </w:pPr>
          </w:p>
        </w:tc>
        <w:tc>
          <w:tcPr>
            <w:tcW w:w="1160" w:type="dxa"/>
            <w:vAlign w:val="bottom"/>
            <w:tcBorders>
              <w:bottom w:val="single" w:sz="8" w:color="F47F31"/>
            </w:tcBorders>
            <w:shd w:val="clear" w:color="auto" w:fill="F0F5FF"/>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Borders>
              <w:bottom w:val="single" w:sz="8" w:color="7D33F2"/>
            </w:tcBorders>
          </w:tcPr>
          <w:p>
            <w:pPr>
              <w:spacing w:after="0"/>
              <w:rPr>
                <w:sz w:val="8"/>
                <w:szCs w:val="8"/>
                <w:color w:val="auto"/>
              </w:rPr>
            </w:pPr>
          </w:p>
        </w:tc>
        <w:tc>
          <w:tcPr>
            <w:tcW w:w="1080" w:type="dxa"/>
            <w:vAlign w:val="bottom"/>
            <w:tcBorders>
              <w:bottom w:val="single" w:sz="8" w:color="7D33F2"/>
            </w:tcBorders>
            <w:shd w:val="clear" w:color="auto" w:fill="F0F5FF"/>
          </w:tcPr>
          <w:p>
            <w:pPr>
              <w:spacing w:after="0"/>
              <w:rPr>
                <w:sz w:val="8"/>
                <w:szCs w:val="8"/>
                <w:color w:val="auto"/>
              </w:rPr>
            </w:pPr>
          </w:p>
        </w:tc>
        <w:tc>
          <w:tcPr>
            <w:tcW w:w="80" w:type="dxa"/>
            <w:vAlign w:val="bottom"/>
            <w:tcBorders>
              <w:bottom w:val="single" w:sz="8" w:color="7D33F2"/>
            </w:tcBorders>
            <w:shd w:val="clear" w:color="auto" w:fill="F0F5FF"/>
          </w:tcPr>
          <w:p>
            <w:pPr>
              <w:spacing w:after="0"/>
              <w:rPr>
                <w:sz w:val="8"/>
                <w:szCs w:val="8"/>
                <w:color w:val="auto"/>
              </w:rPr>
            </w:pPr>
          </w:p>
        </w:tc>
        <w:tc>
          <w:tcPr>
            <w:tcW w:w="1180" w:type="dxa"/>
            <w:vAlign w:val="bottom"/>
            <w:tcBorders>
              <w:bottom w:val="single" w:sz="8" w:color="7D33F2"/>
            </w:tcBorders>
            <w:shd w:val="clear" w:color="auto" w:fill="F0F5FF"/>
          </w:tcPr>
          <w:p>
            <w:pPr>
              <w:spacing w:after="0"/>
              <w:rPr>
                <w:sz w:val="8"/>
                <w:szCs w:val="8"/>
                <w:color w:val="auto"/>
              </w:rPr>
            </w:pPr>
          </w:p>
        </w:tc>
        <w:tc>
          <w:tcPr>
            <w:tcW w:w="140" w:type="dxa"/>
            <w:vAlign w:val="bottom"/>
          </w:tcPr>
          <w:p>
            <w:pPr>
              <w:spacing w:after="0"/>
              <w:rPr>
                <w:sz w:val="8"/>
                <w:szCs w:val="8"/>
                <w:color w:val="auto"/>
              </w:rPr>
            </w:pPr>
          </w:p>
        </w:tc>
        <w:tc>
          <w:tcPr>
            <w:tcW w:w="80" w:type="dxa"/>
            <w:vAlign w:val="bottom"/>
            <w:tcBorders>
              <w:bottom w:val="single" w:sz="8" w:color="23ABB6"/>
            </w:tcBorders>
          </w:tcPr>
          <w:p>
            <w:pPr>
              <w:spacing w:after="0"/>
              <w:rPr>
                <w:sz w:val="8"/>
                <w:szCs w:val="8"/>
                <w:color w:val="auto"/>
              </w:rPr>
            </w:pPr>
          </w:p>
        </w:tc>
        <w:tc>
          <w:tcPr>
            <w:tcW w:w="1080" w:type="dxa"/>
            <w:vAlign w:val="bottom"/>
            <w:tcBorders>
              <w:bottom w:val="single" w:sz="8" w:color="23ABB6"/>
            </w:tcBorders>
            <w:shd w:val="clear" w:color="auto" w:fill="F0F5FF"/>
          </w:tcPr>
          <w:p>
            <w:pPr>
              <w:spacing w:after="0"/>
              <w:rPr>
                <w:sz w:val="8"/>
                <w:szCs w:val="8"/>
                <w:color w:val="auto"/>
              </w:rPr>
            </w:pPr>
          </w:p>
        </w:tc>
        <w:tc>
          <w:tcPr>
            <w:tcW w:w="80" w:type="dxa"/>
            <w:vAlign w:val="bottom"/>
            <w:tcBorders>
              <w:bottom w:val="single" w:sz="8" w:color="23ABB6"/>
            </w:tcBorders>
            <w:shd w:val="clear" w:color="auto" w:fill="F0F5FF"/>
          </w:tcPr>
          <w:p>
            <w:pPr>
              <w:spacing w:after="0"/>
              <w:rPr>
                <w:sz w:val="8"/>
                <w:szCs w:val="8"/>
                <w:color w:val="auto"/>
              </w:rPr>
            </w:pPr>
          </w:p>
        </w:tc>
        <w:tc>
          <w:tcPr>
            <w:tcW w:w="1160" w:type="dxa"/>
            <w:vAlign w:val="bottom"/>
            <w:tcBorders>
              <w:bottom w:val="single" w:sz="8" w:color="23ABB6"/>
            </w:tcBorders>
            <w:shd w:val="clear" w:color="auto" w:fill="F0F5FF"/>
          </w:tcPr>
          <w:p>
            <w:pPr>
              <w:spacing w:after="0"/>
              <w:rPr>
                <w:sz w:val="8"/>
                <w:szCs w:val="8"/>
                <w:color w:val="auto"/>
              </w:rPr>
            </w:pPr>
          </w:p>
        </w:tc>
        <w:tc>
          <w:tcPr>
            <w:tcW w:w="0" w:type="dxa"/>
            <w:vAlign w:val="bottom"/>
          </w:tcPr>
          <w:p>
            <w:pPr>
              <w:spacing w:after="0"/>
              <w:rPr>
                <w:sz w:val="1"/>
                <w:szCs w:val="1"/>
                <w:color w:val="auto"/>
              </w:rPr>
            </w:pPr>
          </w:p>
        </w:tc>
      </w:tr>
      <w:tr>
        <w:trPr>
          <w:trHeight w:val="129"/>
        </w:trPr>
        <w:tc>
          <w:tcPr>
            <w:tcW w:w="80" w:type="dxa"/>
            <w:vAlign w:val="bottom"/>
          </w:tcPr>
          <w:p>
            <w:pPr>
              <w:spacing w:after="0"/>
              <w:rPr>
                <w:sz w:val="11"/>
                <w:szCs w:val="11"/>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Segment net sales</w:t>
            </w: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Segment operating</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Segment net sales</w:t>
            </w:r>
          </w:p>
        </w:tc>
        <w:tc>
          <w:tcPr>
            <w:tcW w:w="100" w:type="dxa"/>
            <w:vAlign w:val="bottom"/>
            <w:shd w:val="clear" w:color="auto" w:fill="F0F5FF"/>
          </w:tcPr>
          <w:p>
            <w:pPr>
              <w:spacing w:after="0"/>
              <w:rPr>
                <w:sz w:val="11"/>
                <w:szCs w:val="11"/>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Segment operating</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Segment net sales</w:t>
            </w:r>
          </w:p>
        </w:tc>
        <w:tc>
          <w:tcPr>
            <w:tcW w:w="80" w:type="dxa"/>
            <w:vAlign w:val="bottom"/>
            <w:shd w:val="clear" w:color="auto" w:fill="F0F5FF"/>
          </w:tcPr>
          <w:p>
            <w:pPr>
              <w:spacing w:after="0"/>
              <w:rPr>
                <w:sz w:val="11"/>
                <w:szCs w:val="11"/>
                <w:color w:val="auto"/>
              </w:rPr>
            </w:pPr>
          </w:p>
        </w:tc>
        <w:tc>
          <w:tcPr>
            <w:tcW w:w="11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Segment operating</w:t>
            </w:r>
          </w:p>
        </w:tc>
        <w:tc>
          <w:tcPr>
            <w:tcW w:w="1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Segment net sales</w:t>
            </w:r>
          </w:p>
        </w:tc>
        <w:tc>
          <w:tcPr>
            <w:tcW w:w="80" w:type="dxa"/>
            <w:vAlign w:val="bottom"/>
            <w:shd w:val="clear" w:color="auto" w:fill="F0F5FF"/>
          </w:tcPr>
          <w:p>
            <w:pPr>
              <w:spacing w:after="0"/>
              <w:rPr>
                <w:sz w:val="11"/>
                <w:szCs w:val="11"/>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Segment operating</w:t>
            </w:r>
          </w:p>
        </w:tc>
        <w:tc>
          <w:tcPr>
            <w:tcW w:w="0" w:type="dxa"/>
            <w:vAlign w:val="bottom"/>
          </w:tcPr>
          <w:p>
            <w:pPr>
              <w:spacing w:after="0"/>
              <w:rPr>
                <w:sz w:val="1"/>
                <w:szCs w:val="1"/>
                <w:color w:val="auto"/>
              </w:rPr>
            </w:pPr>
          </w:p>
        </w:tc>
      </w:tr>
      <w:tr>
        <w:trPr>
          <w:trHeight w:val="165"/>
        </w:trPr>
        <w:tc>
          <w:tcPr>
            <w:tcW w:w="80" w:type="dxa"/>
            <w:vAlign w:val="bottom"/>
          </w:tcPr>
          <w:p>
            <w:pPr>
              <w:spacing w:after="0"/>
              <w:rPr>
                <w:sz w:val="14"/>
                <w:szCs w:val="14"/>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(EURm)</w:t>
            </w:r>
          </w:p>
        </w:tc>
        <w:tc>
          <w:tcPr>
            <w:tcW w:w="80" w:type="dxa"/>
            <w:vAlign w:val="bottom"/>
            <w:shd w:val="clear" w:color="auto" w:fill="F0F5FF"/>
          </w:tcPr>
          <w:p>
            <w:pPr>
              <w:spacing w:after="0"/>
              <w:rPr>
                <w:sz w:val="14"/>
                <w:szCs w:val="14"/>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margin (%)</w:t>
            </w:r>
          </w:p>
        </w:tc>
        <w:tc>
          <w:tcPr>
            <w:tcW w:w="14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(EURm)</w:t>
            </w:r>
          </w:p>
        </w:tc>
        <w:tc>
          <w:tcPr>
            <w:tcW w:w="100" w:type="dxa"/>
            <w:vAlign w:val="bottom"/>
            <w:shd w:val="clear" w:color="auto" w:fill="F0F5FF"/>
          </w:tcPr>
          <w:p>
            <w:pPr>
              <w:spacing w:after="0"/>
              <w:rPr>
                <w:sz w:val="14"/>
                <w:szCs w:val="14"/>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margin (%)</w:t>
            </w:r>
          </w:p>
        </w:tc>
        <w:tc>
          <w:tcPr>
            <w:tcW w:w="14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10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(EURm)</w:t>
            </w:r>
          </w:p>
        </w:tc>
        <w:tc>
          <w:tcPr>
            <w:tcW w:w="80" w:type="dxa"/>
            <w:vAlign w:val="bottom"/>
            <w:shd w:val="clear" w:color="auto" w:fill="F0F5FF"/>
          </w:tcPr>
          <w:p>
            <w:pPr>
              <w:spacing w:after="0"/>
              <w:rPr>
                <w:sz w:val="14"/>
                <w:szCs w:val="14"/>
                <w:color w:val="auto"/>
              </w:rPr>
            </w:pPr>
          </w:p>
        </w:tc>
        <w:tc>
          <w:tcPr>
            <w:tcW w:w="118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margin (%)</w:t>
            </w:r>
          </w:p>
        </w:tc>
        <w:tc>
          <w:tcPr>
            <w:tcW w:w="14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108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(EURm)</w:t>
            </w:r>
          </w:p>
        </w:tc>
        <w:tc>
          <w:tcPr>
            <w:tcW w:w="80" w:type="dxa"/>
            <w:vAlign w:val="bottom"/>
            <w:shd w:val="clear" w:color="auto" w:fill="F0F5FF"/>
          </w:tcPr>
          <w:p>
            <w:pPr>
              <w:spacing w:after="0"/>
              <w:rPr>
                <w:sz w:val="14"/>
                <w:szCs w:val="14"/>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11"/>
                <w:szCs w:val="11"/>
                <w:color w:val="auto"/>
              </w:rPr>
              <w:t>margin (%)</w:t>
            </w:r>
          </w:p>
        </w:tc>
        <w:tc>
          <w:tcPr>
            <w:tcW w:w="0" w:type="dxa"/>
            <w:vAlign w:val="bottom"/>
          </w:tcPr>
          <w:p>
            <w:pPr>
              <w:spacing w:after="0"/>
              <w:rPr>
                <w:sz w:val="1"/>
                <w:szCs w:val="1"/>
                <w:color w:val="auto"/>
              </w:rPr>
            </w:pPr>
          </w:p>
        </w:tc>
      </w:tr>
      <w:tr>
        <w:trPr>
          <w:trHeight w:val="299"/>
        </w:trPr>
        <w:tc>
          <w:tcPr>
            <w:tcW w:w="1160" w:type="dxa"/>
            <w:vAlign w:val="bottom"/>
            <w:gridSpan w:val="2"/>
          </w:tcPr>
          <w:p>
            <w:pPr>
              <w:ind w:left="120"/>
              <w:spacing w:after="0"/>
              <w:rPr>
                <w:sz w:val="20"/>
                <w:szCs w:val="20"/>
                <w:color w:val="auto"/>
              </w:rPr>
            </w:pPr>
            <w:r>
              <w:rPr>
                <w:rFonts w:ascii="Times New Roman" w:cs="Times New Roman" w:eastAsia="Times New Roman" w:hAnsi="Times New Roman"/>
                <w:sz w:val="22"/>
                <w:szCs w:val="22"/>
                <w:color w:val="37CC73"/>
              </w:rPr>
              <w:t>-11%</w:t>
            </w:r>
          </w:p>
        </w:tc>
        <w:tc>
          <w:tcPr>
            <w:tcW w:w="80" w:type="dxa"/>
            <w:vAlign w:val="bottom"/>
          </w:tcPr>
          <w:p>
            <w:pPr>
              <w:spacing w:after="0"/>
              <w:rPr>
                <w:sz w:val="24"/>
                <w:szCs w:val="24"/>
                <w:color w:val="auto"/>
              </w:rPr>
            </w:pPr>
          </w:p>
        </w:tc>
        <w:tc>
          <w:tcPr>
            <w:tcW w:w="1160" w:type="dxa"/>
            <w:vAlign w:val="bottom"/>
            <w:shd w:val="clear" w:color="auto" w:fill="F0F5FF"/>
          </w:tcPr>
          <w:p>
            <w:pPr>
              <w:spacing w:after="0"/>
              <w:rPr>
                <w:sz w:val="20"/>
                <w:szCs w:val="20"/>
                <w:color w:val="auto"/>
              </w:rPr>
            </w:pPr>
            <w:r>
              <w:rPr>
                <w:rFonts w:ascii="Times New Roman" w:cs="Times New Roman" w:eastAsia="Times New Roman" w:hAnsi="Times New Roman"/>
                <w:sz w:val="22"/>
                <w:szCs w:val="22"/>
                <w:color w:val="F0F5FF"/>
              </w:rPr>
              <w:t>‘</w:t>
            </w:r>
            <w:r>
              <w:rPr>
                <w:rFonts w:ascii="Times New Roman" w:cs="Times New Roman" w:eastAsia="Times New Roman" w:hAnsi="Times New Roman"/>
                <w:sz w:val="22"/>
                <w:szCs w:val="22"/>
                <w:color w:val="37CC73"/>
              </w:rPr>
              <w:t>+</w:t>
            </w:r>
            <w:r>
              <w:rPr>
                <w:rFonts w:ascii="Times New Roman" w:cs="Times New Roman" w:eastAsia="Times New Roman" w:hAnsi="Times New Roman"/>
                <w:sz w:val="9"/>
                <w:szCs w:val="9"/>
                <w:color w:val="F0F5FF"/>
              </w:rPr>
              <w:t>’</w:t>
            </w:r>
            <w:r>
              <w:rPr>
                <w:rFonts w:ascii="Times New Roman" w:cs="Times New Roman" w:eastAsia="Times New Roman" w:hAnsi="Times New Roman"/>
                <w:sz w:val="22"/>
                <w:szCs w:val="22"/>
                <w:color w:val="37CC73"/>
              </w:rPr>
              <w:t>90 bps</w:t>
            </w:r>
          </w:p>
        </w:tc>
        <w:tc>
          <w:tcPr>
            <w:tcW w:w="1300" w:type="dxa"/>
            <w:vAlign w:val="bottom"/>
            <w:gridSpan w:val="3"/>
          </w:tcPr>
          <w:p>
            <w:pPr>
              <w:ind w:left="260"/>
              <w:spacing w:after="0"/>
              <w:rPr>
                <w:sz w:val="20"/>
                <w:szCs w:val="20"/>
                <w:color w:val="auto"/>
              </w:rPr>
            </w:pPr>
            <w:r>
              <w:rPr>
                <w:rFonts w:ascii="Times New Roman" w:cs="Times New Roman" w:eastAsia="Times New Roman" w:hAnsi="Times New Roman"/>
                <w:sz w:val="22"/>
                <w:szCs w:val="22"/>
                <w:color w:val="F47F31"/>
              </w:rPr>
              <w:t>-8%</w:t>
            </w:r>
          </w:p>
        </w:tc>
        <w:tc>
          <w:tcPr>
            <w:tcW w:w="100" w:type="dxa"/>
            <w:vAlign w:val="bottom"/>
          </w:tcPr>
          <w:p>
            <w:pPr>
              <w:spacing w:after="0"/>
              <w:rPr>
                <w:sz w:val="24"/>
                <w:szCs w:val="24"/>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22"/>
                <w:szCs w:val="22"/>
                <w:color w:val="F0F5FF"/>
              </w:rPr>
              <w:t>‘</w:t>
            </w:r>
            <w:r>
              <w:rPr>
                <w:rFonts w:ascii="Times New Roman" w:cs="Times New Roman" w:eastAsia="Times New Roman" w:hAnsi="Times New Roman"/>
                <w:sz w:val="22"/>
                <w:szCs w:val="22"/>
                <w:color w:val="F47F31"/>
              </w:rPr>
              <w:t>-</w:t>
            </w:r>
            <w:r>
              <w:rPr>
                <w:rFonts w:ascii="Times New Roman" w:cs="Times New Roman" w:eastAsia="Times New Roman" w:hAnsi="Times New Roman"/>
                <w:sz w:val="9"/>
                <w:szCs w:val="9"/>
                <w:color w:val="F0F5FF"/>
              </w:rPr>
              <w:t>’</w:t>
            </w:r>
            <w:r>
              <w:rPr>
                <w:rFonts w:ascii="Times New Roman" w:cs="Times New Roman" w:eastAsia="Times New Roman" w:hAnsi="Times New Roman"/>
                <w:sz w:val="22"/>
                <w:szCs w:val="22"/>
                <w:color w:val="F47F31"/>
              </w:rPr>
              <w:t>140 bps</w:t>
            </w:r>
          </w:p>
        </w:tc>
        <w:tc>
          <w:tcPr>
            <w:tcW w:w="1300" w:type="dxa"/>
            <w:vAlign w:val="bottom"/>
            <w:gridSpan w:val="3"/>
          </w:tcPr>
          <w:p>
            <w:pPr>
              <w:ind w:left="260"/>
              <w:spacing w:after="0"/>
              <w:rPr>
                <w:sz w:val="20"/>
                <w:szCs w:val="20"/>
                <w:color w:val="auto"/>
              </w:rPr>
            </w:pPr>
            <w:r>
              <w:rPr>
                <w:rFonts w:ascii="Times New Roman" w:cs="Times New Roman" w:eastAsia="Times New Roman" w:hAnsi="Times New Roman"/>
                <w:sz w:val="22"/>
                <w:szCs w:val="22"/>
                <w:color w:val="7D33F2"/>
              </w:rPr>
              <w:t>-4%</w:t>
            </w:r>
          </w:p>
        </w:tc>
        <w:tc>
          <w:tcPr>
            <w:tcW w:w="80" w:type="dxa"/>
            <w:vAlign w:val="bottom"/>
          </w:tcPr>
          <w:p>
            <w:pPr>
              <w:spacing w:after="0"/>
              <w:rPr>
                <w:sz w:val="24"/>
                <w:szCs w:val="24"/>
                <w:color w:val="auto"/>
              </w:rPr>
            </w:pPr>
          </w:p>
        </w:tc>
        <w:tc>
          <w:tcPr>
            <w:tcW w:w="1180" w:type="dxa"/>
            <w:vAlign w:val="bottom"/>
            <w:shd w:val="clear" w:color="auto" w:fill="F0F5FF"/>
          </w:tcPr>
          <w:p>
            <w:pPr>
              <w:spacing w:after="0"/>
              <w:rPr>
                <w:sz w:val="20"/>
                <w:szCs w:val="20"/>
                <w:color w:val="auto"/>
              </w:rPr>
            </w:pPr>
            <w:r>
              <w:rPr>
                <w:rFonts w:ascii="Times New Roman" w:cs="Times New Roman" w:eastAsia="Times New Roman" w:hAnsi="Times New Roman"/>
                <w:sz w:val="22"/>
                <w:szCs w:val="22"/>
                <w:color w:val="F0F5FF"/>
              </w:rPr>
              <w:t>‘</w:t>
            </w:r>
            <w:r>
              <w:rPr>
                <w:rFonts w:ascii="Times New Roman" w:cs="Times New Roman" w:eastAsia="Times New Roman" w:hAnsi="Times New Roman"/>
                <w:sz w:val="22"/>
                <w:szCs w:val="22"/>
                <w:color w:val="7D33F2"/>
              </w:rPr>
              <w:t>+</w:t>
            </w:r>
            <w:r>
              <w:rPr>
                <w:rFonts w:ascii="Times New Roman" w:cs="Times New Roman" w:eastAsia="Times New Roman" w:hAnsi="Times New Roman"/>
                <w:sz w:val="9"/>
                <w:szCs w:val="9"/>
                <w:color w:val="F0F5FF"/>
              </w:rPr>
              <w:t>’</w:t>
            </w:r>
            <w:r>
              <w:rPr>
                <w:rFonts w:ascii="Times New Roman" w:cs="Times New Roman" w:eastAsia="Times New Roman" w:hAnsi="Times New Roman"/>
                <w:sz w:val="22"/>
                <w:szCs w:val="22"/>
                <w:color w:val="7D33F2"/>
              </w:rPr>
              <w:t>260 bps</w:t>
            </w:r>
          </w:p>
        </w:tc>
        <w:tc>
          <w:tcPr>
            <w:tcW w:w="1300" w:type="dxa"/>
            <w:vAlign w:val="bottom"/>
            <w:gridSpan w:val="3"/>
          </w:tcPr>
          <w:p>
            <w:pPr>
              <w:ind w:left="240"/>
              <w:spacing w:after="0"/>
              <w:rPr>
                <w:sz w:val="20"/>
                <w:szCs w:val="20"/>
                <w:color w:val="auto"/>
              </w:rPr>
            </w:pPr>
            <w:r>
              <w:rPr>
                <w:rFonts w:ascii="Times New Roman" w:cs="Times New Roman" w:eastAsia="Times New Roman" w:hAnsi="Times New Roman"/>
                <w:sz w:val="22"/>
                <w:szCs w:val="22"/>
                <w:color w:val="23ABB6"/>
              </w:rPr>
              <w:t>-32%</w:t>
            </w:r>
          </w:p>
        </w:tc>
        <w:tc>
          <w:tcPr>
            <w:tcW w:w="80" w:type="dxa"/>
            <w:vAlign w:val="bottom"/>
          </w:tcPr>
          <w:p>
            <w:pPr>
              <w:spacing w:after="0"/>
              <w:rPr>
                <w:sz w:val="24"/>
                <w:szCs w:val="24"/>
                <w:color w:val="auto"/>
              </w:rPr>
            </w:pPr>
          </w:p>
        </w:tc>
        <w:tc>
          <w:tcPr>
            <w:tcW w:w="1160" w:type="dxa"/>
            <w:vAlign w:val="bottom"/>
            <w:shd w:val="clear" w:color="auto" w:fill="F0F5FF"/>
          </w:tcPr>
          <w:p>
            <w:pPr>
              <w:ind w:left="40"/>
              <w:spacing w:after="0"/>
              <w:rPr>
                <w:sz w:val="20"/>
                <w:szCs w:val="20"/>
                <w:color w:val="auto"/>
              </w:rPr>
            </w:pPr>
            <w:r>
              <w:rPr>
                <w:rFonts w:ascii="Times New Roman" w:cs="Times New Roman" w:eastAsia="Times New Roman" w:hAnsi="Times New Roman"/>
                <w:sz w:val="22"/>
                <w:szCs w:val="22"/>
                <w:color w:val="23ABB6"/>
              </w:rPr>
              <w:t>–810 bps</w:t>
            </w:r>
          </w:p>
        </w:tc>
        <w:tc>
          <w:tcPr>
            <w:tcW w:w="0" w:type="dxa"/>
            <w:vAlign w:val="bottom"/>
          </w:tcPr>
          <w:p>
            <w:pPr>
              <w:spacing w:after="0"/>
              <w:rPr>
                <w:sz w:val="1"/>
                <w:szCs w:val="1"/>
                <w:color w:val="auto"/>
              </w:rPr>
            </w:pPr>
          </w:p>
        </w:tc>
      </w:tr>
      <w:tr>
        <w:trPr>
          <w:trHeight w:val="25"/>
        </w:trPr>
        <w:tc>
          <w:tcPr>
            <w:tcW w:w="80" w:type="dxa"/>
            <w:vAlign w:val="bottom"/>
          </w:tcPr>
          <w:p>
            <w:pPr>
              <w:spacing w:after="0"/>
              <w:rPr>
                <w:sz w:val="2"/>
                <w:szCs w:val="2"/>
                <w:color w:val="auto"/>
              </w:rPr>
            </w:pPr>
          </w:p>
        </w:tc>
        <w:tc>
          <w:tcPr>
            <w:tcW w:w="1080" w:type="dxa"/>
            <w:vAlign w:val="bottom"/>
          </w:tcPr>
          <w:p>
            <w:pPr>
              <w:spacing w:after="0"/>
              <w:rPr>
                <w:sz w:val="2"/>
                <w:szCs w:val="2"/>
                <w:color w:val="auto"/>
              </w:rPr>
            </w:pPr>
          </w:p>
        </w:tc>
        <w:tc>
          <w:tcPr>
            <w:tcW w:w="80" w:type="dxa"/>
            <w:vAlign w:val="bottom"/>
          </w:tcPr>
          <w:p>
            <w:pPr>
              <w:spacing w:after="0"/>
              <w:rPr>
                <w:sz w:val="2"/>
                <w:szCs w:val="2"/>
                <w:color w:val="auto"/>
              </w:rPr>
            </w:pPr>
          </w:p>
        </w:tc>
        <w:tc>
          <w:tcPr>
            <w:tcW w:w="1160" w:type="dxa"/>
            <w:vAlign w:val="bottom"/>
            <w:shd w:val="clear" w:color="auto" w:fill="F0F5FF"/>
          </w:tcPr>
          <w:p>
            <w:pPr>
              <w:spacing w:after="0"/>
              <w:rPr>
                <w:sz w:val="2"/>
                <w:szCs w:val="2"/>
                <w:color w:val="auto"/>
              </w:rPr>
            </w:pPr>
          </w:p>
        </w:tc>
        <w:tc>
          <w:tcPr>
            <w:tcW w:w="140" w:type="dxa"/>
            <w:vAlign w:val="bottom"/>
          </w:tcPr>
          <w:p>
            <w:pPr>
              <w:spacing w:after="0"/>
              <w:rPr>
                <w:sz w:val="2"/>
                <w:szCs w:val="2"/>
                <w:color w:val="auto"/>
              </w:rPr>
            </w:pPr>
          </w:p>
        </w:tc>
        <w:tc>
          <w:tcPr>
            <w:tcW w:w="80" w:type="dxa"/>
            <w:vAlign w:val="bottom"/>
          </w:tcPr>
          <w:p>
            <w:pPr>
              <w:spacing w:after="0"/>
              <w:rPr>
                <w:sz w:val="2"/>
                <w:szCs w:val="2"/>
                <w:color w:val="auto"/>
              </w:rPr>
            </w:pPr>
          </w:p>
        </w:tc>
        <w:tc>
          <w:tcPr>
            <w:tcW w:w="1080" w:type="dxa"/>
            <w:vAlign w:val="bottom"/>
          </w:tcPr>
          <w:p>
            <w:pPr>
              <w:spacing w:after="0"/>
              <w:rPr>
                <w:sz w:val="2"/>
                <w:szCs w:val="2"/>
                <w:color w:val="auto"/>
              </w:rPr>
            </w:pPr>
          </w:p>
        </w:tc>
        <w:tc>
          <w:tcPr>
            <w:tcW w:w="100" w:type="dxa"/>
            <w:vAlign w:val="bottom"/>
          </w:tcPr>
          <w:p>
            <w:pPr>
              <w:spacing w:after="0"/>
              <w:rPr>
                <w:sz w:val="2"/>
                <w:szCs w:val="2"/>
                <w:color w:val="auto"/>
              </w:rPr>
            </w:pPr>
          </w:p>
        </w:tc>
        <w:tc>
          <w:tcPr>
            <w:tcW w:w="1160" w:type="dxa"/>
            <w:vAlign w:val="bottom"/>
            <w:shd w:val="clear" w:color="auto" w:fill="F0F5FF"/>
          </w:tcPr>
          <w:p>
            <w:pPr>
              <w:spacing w:after="0"/>
              <w:rPr>
                <w:sz w:val="2"/>
                <w:szCs w:val="2"/>
                <w:color w:val="auto"/>
              </w:rPr>
            </w:pPr>
          </w:p>
        </w:tc>
        <w:tc>
          <w:tcPr>
            <w:tcW w:w="140" w:type="dxa"/>
            <w:vAlign w:val="bottom"/>
          </w:tcPr>
          <w:p>
            <w:pPr>
              <w:spacing w:after="0"/>
              <w:rPr>
                <w:sz w:val="2"/>
                <w:szCs w:val="2"/>
                <w:color w:val="auto"/>
              </w:rPr>
            </w:pPr>
          </w:p>
        </w:tc>
        <w:tc>
          <w:tcPr>
            <w:tcW w:w="80" w:type="dxa"/>
            <w:vAlign w:val="bottom"/>
          </w:tcPr>
          <w:p>
            <w:pPr>
              <w:spacing w:after="0"/>
              <w:rPr>
                <w:sz w:val="2"/>
                <w:szCs w:val="2"/>
                <w:color w:val="auto"/>
              </w:rPr>
            </w:pPr>
          </w:p>
        </w:tc>
        <w:tc>
          <w:tcPr>
            <w:tcW w:w="1080" w:type="dxa"/>
            <w:vAlign w:val="bottom"/>
          </w:tcPr>
          <w:p>
            <w:pPr>
              <w:spacing w:after="0"/>
              <w:rPr>
                <w:sz w:val="2"/>
                <w:szCs w:val="2"/>
                <w:color w:val="auto"/>
              </w:rPr>
            </w:pPr>
          </w:p>
        </w:tc>
        <w:tc>
          <w:tcPr>
            <w:tcW w:w="80" w:type="dxa"/>
            <w:vAlign w:val="bottom"/>
          </w:tcPr>
          <w:p>
            <w:pPr>
              <w:spacing w:after="0"/>
              <w:rPr>
                <w:sz w:val="2"/>
                <w:szCs w:val="2"/>
                <w:color w:val="auto"/>
              </w:rPr>
            </w:pPr>
          </w:p>
        </w:tc>
        <w:tc>
          <w:tcPr>
            <w:tcW w:w="1180" w:type="dxa"/>
            <w:vAlign w:val="bottom"/>
            <w:shd w:val="clear" w:color="auto" w:fill="F0F5FF"/>
          </w:tcPr>
          <w:p>
            <w:pPr>
              <w:spacing w:after="0"/>
              <w:rPr>
                <w:sz w:val="2"/>
                <w:szCs w:val="2"/>
                <w:color w:val="auto"/>
              </w:rPr>
            </w:pPr>
          </w:p>
        </w:tc>
        <w:tc>
          <w:tcPr>
            <w:tcW w:w="140" w:type="dxa"/>
            <w:vAlign w:val="bottom"/>
          </w:tcPr>
          <w:p>
            <w:pPr>
              <w:spacing w:after="0"/>
              <w:rPr>
                <w:sz w:val="2"/>
                <w:szCs w:val="2"/>
                <w:color w:val="auto"/>
              </w:rPr>
            </w:pPr>
          </w:p>
        </w:tc>
        <w:tc>
          <w:tcPr>
            <w:tcW w:w="80" w:type="dxa"/>
            <w:vAlign w:val="bottom"/>
          </w:tcPr>
          <w:p>
            <w:pPr>
              <w:spacing w:after="0"/>
              <w:rPr>
                <w:sz w:val="2"/>
                <w:szCs w:val="2"/>
                <w:color w:val="auto"/>
              </w:rPr>
            </w:pPr>
          </w:p>
        </w:tc>
        <w:tc>
          <w:tcPr>
            <w:tcW w:w="1080" w:type="dxa"/>
            <w:vAlign w:val="bottom"/>
          </w:tcPr>
          <w:p>
            <w:pPr>
              <w:spacing w:after="0"/>
              <w:rPr>
                <w:sz w:val="2"/>
                <w:szCs w:val="2"/>
                <w:color w:val="auto"/>
              </w:rPr>
            </w:pPr>
          </w:p>
        </w:tc>
        <w:tc>
          <w:tcPr>
            <w:tcW w:w="80" w:type="dxa"/>
            <w:vAlign w:val="bottom"/>
          </w:tcPr>
          <w:p>
            <w:pPr>
              <w:spacing w:after="0"/>
              <w:rPr>
                <w:sz w:val="2"/>
                <w:szCs w:val="2"/>
                <w:color w:val="auto"/>
              </w:rPr>
            </w:pPr>
          </w:p>
        </w:tc>
        <w:tc>
          <w:tcPr>
            <w:tcW w:w="1160" w:type="dxa"/>
            <w:vAlign w:val="bottom"/>
            <w:shd w:val="clear" w:color="auto" w:fill="F0F5FF"/>
          </w:tcPr>
          <w:p>
            <w:pPr>
              <w:spacing w:after="0"/>
              <w:rPr>
                <w:sz w:val="2"/>
                <w:szCs w:val="2"/>
                <w:color w:val="auto"/>
              </w:rPr>
            </w:pPr>
          </w:p>
        </w:tc>
        <w:tc>
          <w:tcPr>
            <w:tcW w:w="0" w:type="dxa"/>
            <w:vAlign w:val="bottom"/>
          </w:tcPr>
          <w:p>
            <w:pPr>
              <w:spacing w:after="0" w:line="20" w:lineRule="exact"/>
              <w:rPr>
                <w:sz w:val="1"/>
                <w:szCs w:val="1"/>
                <w:color w:val="auto"/>
              </w:rPr>
            </w:pPr>
          </w:p>
        </w:tc>
      </w:tr>
    </w:tbl>
    <w:p>
      <w:pPr>
        <w:spacing w:after="0" w:line="20" w:lineRule="exact"/>
        <w:rPr>
          <w:sz w:val="20"/>
          <w:szCs w:val="20"/>
          <w:color w:val="auto"/>
        </w:rPr>
      </w:pPr>
    </w:p>
    <w:tbl>
      <w:tblPr>
        <w:tblLayout w:type="fixed"/>
        <w:tblInd w:w="80" w:type="dxa"/>
        <w:tblCellMar>
          <w:top w:w="0" w:type="dxa"/>
          <w:left w:w="0" w:type="dxa"/>
          <w:bottom w:w="0" w:type="dxa"/>
          <w:right w:w="0" w:type="dxa"/>
        </w:tblCellMar>
      </w:tblPr>
      <w:tr>
        <w:trPr>
          <w:trHeight w:val="1467"/>
        </w:trPr>
        <w:tc>
          <w:tcPr>
            <w:tcW w:w="108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58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240" w:type="dxa"/>
            <w:vAlign w:val="bottom"/>
          </w:tcPr>
          <w:p>
            <w:pPr>
              <w:spacing w:after="0"/>
              <w:rPr>
                <w:sz w:val="24"/>
                <w:szCs w:val="24"/>
                <w:color w:val="auto"/>
              </w:rPr>
            </w:pPr>
          </w:p>
        </w:tc>
        <w:tc>
          <w:tcPr>
            <w:tcW w:w="106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58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240" w:type="dxa"/>
            <w:vAlign w:val="bottom"/>
          </w:tcPr>
          <w:p>
            <w:pPr>
              <w:spacing w:after="0"/>
              <w:rPr>
                <w:sz w:val="24"/>
                <w:szCs w:val="24"/>
                <w:color w:val="auto"/>
              </w:rPr>
            </w:pPr>
          </w:p>
        </w:tc>
        <w:tc>
          <w:tcPr>
            <w:tcW w:w="106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60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80" w:type="dxa"/>
            <w:vAlign w:val="bottom"/>
            <w:shd w:val="clear" w:color="auto" w:fill="F0F5FF"/>
          </w:tcPr>
          <w:p>
            <w:pPr>
              <w:spacing w:after="0"/>
              <w:rPr>
                <w:sz w:val="24"/>
                <w:szCs w:val="24"/>
                <w:color w:val="auto"/>
              </w:rPr>
            </w:pPr>
          </w:p>
        </w:tc>
        <w:tc>
          <w:tcPr>
            <w:tcW w:w="22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580" w:type="dxa"/>
            <w:vAlign w:val="bottom"/>
          </w:tcPr>
          <w:p>
            <w:pPr>
              <w:spacing w:after="0"/>
              <w:rPr>
                <w:sz w:val="24"/>
                <w:szCs w:val="24"/>
                <w:color w:val="auto"/>
              </w:rPr>
            </w:pPr>
          </w:p>
        </w:tc>
      </w:tr>
      <w:tr>
        <w:trPr>
          <w:trHeight w:val="233"/>
        </w:trPr>
        <w:tc>
          <w:tcPr>
            <w:tcW w:w="1740" w:type="dxa"/>
            <w:vAlign w:val="bottom"/>
            <w:gridSpan w:val="3"/>
            <w:shd w:val="clear" w:color="auto" w:fill="37CC73"/>
          </w:tcPr>
          <w:p>
            <w:pPr>
              <w:ind w:left="120"/>
              <w:spacing w:after="0"/>
              <w:rPr>
                <w:sz w:val="20"/>
                <w:szCs w:val="20"/>
                <w:color w:val="auto"/>
              </w:rPr>
            </w:pPr>
            <w:r>
              <w:rPr>
                <w:rFonts w:ascii="Times New Roman" w:cs="Times New Roman" w:eastAsia="Times New Roman" w:hAnsi="Times New Roman"/>
                <w:sz w:val="9"/>
                <w:szCs w:val="9"/>
                <w:color w:val="FFFFFF"/>
              </w:rPr>
              <w:t xml:space="preserve">READ MORE ON PAGES 23 TO 24 </w:t>
            </w:r>
            <w:r>
              <w:rPr>
                <w:rFonts w:ascii="Times New Roman" w:cs="Times New Roman" w:eastAsia="Times New Roman" w:hAnsi="Times New Roman"/>
                <w:sz w:val="16"/>
                <w:szCs w:val="16"/>
                <w:color w:val="FFFFFF"/>
              </w:rPr>
              <w:t>→</w:t>
            </w:r>
          </w:p>
        </w:tc>
        <w:tc>
          <w:tcPr>
            <w:tcW w:w="500" w:type="dxa"/>
            <w:vAlign w:val="bottom"/>
          </w:tcPr>
          <w:p>
            <w:pPr>
              <w:spacing w:after="0"/>
              <w:rPr>
                <w:sz w:val="20"/>
                <w:szCs w:val="20"/>
                <w:color w:val="auto"/>
              </w:rPr>
            </w:pPr>
          </w:p>
        </w:tc>
        <w:tc>
          <w:tcPr>
            <w:tcW w:w="80" w:type="dxa"/>
            <w:vAlign w:val="bottom"/>
            <w:shd w:val="clear" w:color="auto" w:fill="F0F5FF"/>
          </w:tcPr>
          <w:p>
            <w:pPr>
              <w:spacing w:after="0"/>
              <w:rPr>
                <w:sz w:val="20"/>
                <w:szCs w:val="20"/>
                <w:color w:val="auto"/>
              </w:rPr>
            </w:pPr>
          </w:p>
        </w:tc>
        <w:tc>
          <w:tcPr>
            <w:tcW w:w="240" w:type="dxa"/>
            <w:vAlign w:val="bottom"/>
          </w:tcPr>
          <w:p>
            <w:pPr>
              <w:spacing w:after="0"/>
              <w:rPr>
                <w:sz w:val="20"/>
                <w:szCs w:val="20"/>
                <w:color w:val="auto"/>
              </w:rPr>
            </w:pPr>
          </w:p>
        </w:tc>
        <w:tc>
          <w:tcPr>
            <w:tcW w:w="1740" w:type="dxa"/>
            <w:vAlign w:val="bottom"/>
            <w:gridSpan w:val="3"/>
            <w:shd w:val="clear" w:color="auto" w:fill="F47F31"/>
          </w:tcPr>
          <w:p>
            <w:pPr>
              <w:ind w:left="120"/>
              <w:spacing w:after="0"/>
              <w:rPr>
                <w:sz w:val="20"/>
                <w:szCs w:val="20"/>
                <w:color w:val="auto"/>
              </w:rPr>
            </w:pPr>
            <w:r>
              <w:rPr>
                <w:rFonts w:ascii="Times New Roman" w:cs="Times New Roman" w:eastAsia="Times New Roman" w:hAnsi="Times New Roman"/>
                <w:sz w:val="9"/>
                <w:szCs w:val="9"/>
                <w:color w:val="FFFFFF"/>
              </w:rPr>
              <w:t xml:space="preserve">READ MORE ON PAGES 25 TO 26 </w:t>
            </w:r>
            <w:r>
              <w:rPr>
                <w:rFonts w:ascii="Times New Roman" w:cs="Times New Roman" w:eastAsia="Times New Roman" w:hAnsi="Times New Roman"/>
                <w:sz w:val="16"/>
                <w:szCs w:val="16"/>
                <w:color w:val="FFFFFF"/>
              </w:rPr>
              <w:t>→</w:t>
            </w:r>
          </w:p>
        </w:tc>
        <w:tc>
          <w:tcPr>
            <w:tcW w:w="500" w:type="dxa"/>
            <w:vAlign w:val="bottom"/>
          </w:tcPr>
          <w:p>
            <w:pPr>
              <w:spacing w:after="0"/>
              <w:rPr>
                <w:sz w:val="20"/>
                <w:szCs w:val="20"/>
                <w:color w:val="auto"/>
              </w:rPr>
            </w:pPr>
          </w:p>
        </w:tc>
        <w:tc>
          <w:tcPr>
            <w:tcW w:w="80" w:type="dxa"/>
            <w:vAlign w:val="bottom"/>
            <w:shd w:val="clear" w:color="auto" w:fill="F0F5FF"/>
          </w:tcPr>
          <w:p>
            <w:pPr>
              <w:spacing w:after="0"/>
              <w:rPr>
                <w:sz w:val="20"/>
                <w:szCs w:val="20"/>
                <w:color w:val="auto"/>
              </w:rPr>
            </w:pPr>
          </w:p>
        </w:tc>
        <w:tc>
          <w:tcPr>
            <w:tcW w:w="240" w:type="dxa"/>
            <w:vAlign w:val="bottom"/>
          </w:tcPr>
          <w:p>
            <w:pPr>
              <w:spacing w:after="0"/>
              <w:rPr>
                <w:sz w:val="20"/>
                <w:szCs w:val="20"/>
                <w:color w:val="auto"/>
              </w:rPr>
            </w:pPr>
          </w:p>
        </w:tc>
        <w:tc>
          <w:tcPr>
            <w:tcW w:w="1740" w:type="dxa"/>
            <w:vAlign w:val="bottom"/>
            <w:gridSpan w:val="3"/>
            <w:shd w:val="clear" w:color="auto" w:fill="7D33F2"/>
          </w:tcPr>
          <w:p>
            <w:pPr>
              <w:ind w:left="100"/>
              <w:spacing w:after="0"/>
              <w:rPr>
                <w:sz w:val="20"/>
                <w:szCs w:val="20"/>
                <w:color w:val="auto"/>
              </w:rPr>
            </w:pPr>
            <w:r>
              <w:rPr>
                <w:rFonts w:ascii="Times New Roman" w:cs="Times New Roman" w:eastAsia="Times New Roman" w:hAnsi="Times New Roman"/>
                <w:sz w:val="9"/>
                <w:szCs w:val="9"/>
                <w:color w:val="FFFFFF"/>
              </w:rPr>
              <w:t xml:space="preserve">READ MORE ON PAGES 27 TO 28 </w:t>
            </w:r>
            <w:r>
              <w:rPr>
                <w:rFonts w:ascii="Times New Roman" w:cs="Times New Roman" w:eastAsia="Times New Roman" w:hAnsi="Times New Roman"/>
                <w:sz w:val="16"/>
                <w:szCs w:val="16"/>
                <w:color w:val="FFFFFF"/>
              </w:rPr>
              <w:t>→</w:t>
            </w:r>
          </w:p>
        </w:tc>
        <w:tc>
          <w:tcPr>
            <w:tcW w:w="500" w:type="dxa"/>
            <w:vAlign w:val="bottom"/>
          </w:tcPr>
          <w:p>
            <w:pPr>
              <w:spacing w:after="0"/>
              <w:rPr>
                <w:sz w:val="20"/>
                <w:szCs w:val="20"/>
                <w:color w:val="auto"/>
              </w:rPr>
            </w:pPr>
          </w:p>
        </w:tc>
        <w:tc>
          <w:tcPr>
            <w:tcW w:w="80" w:type="dxa"/>
            <w:vAlign w:val="bottom"/>
            <w:shd w:val="clear" w:color="auto" w:fill="F0F5FF"/>
          </w:tcPr>
          <w:p>
            <w:pPr>
              <w:spacing w:after="0"/>
              <w:rPr>
                <w:sz w:val="20"/>
                <w:szCs w:val="20"/>
                <w:color w:val="auto"/>
              </w:rPr>
            </w:pPr>
          </w:p>
        </w:tc>
        <w:tc>
          <w:tcPr>
            <w:tcW w:w="220" w:type="dxa"/>
            <w:vAlign w:val="bottom"/>
          </w:tcPr>
          <w:p>
            <w:pPr>
              <w:spacing w:after="0"/>
              <w:rPr>
                <w:sz w:val="20"/>
                <w:szCs w:val="20"/>
                <w:color w:val="auto"/>
              </w:rPr>
            </w:pPr>
          </w:p>
        </w:tc>
        <w:tc>
          <w:tcPr>
            <w:tcW w:w="1740" w:type="dxa"/>
            <w:vAlign w:val="bottom"/>
            <w:gridSpan w:val="3"/>
            <w:shd w:val="clear" w:color="auto" w:fill="23ABB6"/>
          </w:tcPr>
          <w:p>
            <w:pPr>
              <w:ind w:left="120"/>
              <w:spacing w:after="0"/>
              <w:rPr>
                <w:sz w:val="20"/>
                <w:szCs w:val="20"/>
                <w:color w:val="auto"/>
              </w:rPr>
            </w:pPr>
            <w:r>
              <w:rPr>
                <w:rFonts w:ascii="Times New Roman" w:cs="Times New Roman" w:eastAsia="Times New Roman" w:hAnsi="Times New Roman"/>
                <w:sz w:val="9"/>
                <w:szCs w:val="9"/>
                <w:color w:val="FFFFFF"/>
              </w:rPr>
              <w:t xml:space="preserve">READ MORE ON PAGES 29 TO 30 </w:t>
            </w:r>
            <w:r>
              <w:rPr>
                <w:rFonts w:ascii="Times New Roman" w:cs="Times New Roman" w:eastAsia="Times New Roman" w:hAnsi="Times New Roman"/>
                <w:sz w:val="16"/>
                <w:szCs w:val="16"/>
                <w:color w:val="FFFFFF"/>
              </w:rPr>
              <w:t>→</w:t>
            </w:r>
          </w:p>
        </w:tc>
      </w:tr>
      <w:tr>
        <w:trPr>
          <w:trHeight w:val="101"/>
        </w:trPr>
        <w:tc>
          <w:tcPr>
            <w:tcW w:w="108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580" w:type="dxa"/>
            <w:vAlign w:val="bottom"/>
          </w:tcPr>
          <w:p>
            <w:pPr>
              <w:spacing w:after="0"/>
              <w:rPr>
                <w:sz w:val="8"/>
                <w:szCs w:val="8"/>
                <w:color w:val="auto"/>
              </w:rPr>
            </w:pPr>
          </w:p>
        </w:tc>
        <w:tc>
          <w:tcPr>
            <w:tcW w:w="50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240" w:type="dxa"/>
            <w:vAlign w:val="bottom"/>
          </w:tcPr>
          <w:p>
            <w:pPr>
              <w:spacing w:after="0"/>
              <w:rPr>
                <w:sz w:val="8"/>
                <w:szCs w:val="8"/>
                <w:color w:val="auto"/>
              </w:rPr>
            </w:pPr>
          </w:p>
        </w:tc>
        <w:tc>
          <w:tcPr>
            <w:tcW w:w="1060" w:type="dxa"/>
            <w:vAlign w:val="bottom"/>
          </w:tcPr>
          <w:p>
            <w:pPr>
              <w:spacing w:after="0"/>
              <w:rPr>
                <w:sz w:val="8"/>
                <w:szCs w:val="8"/>
                <w:color w:val="auto"/>
              </w:rPr>
            </w:pPr>
          </w:p>
        </w:tc>
        <w:tc>
          <w:tcPr>
            <w:tcW w:w="100" w:type="dxa"/>
            <w:vAlign w:val="bottom"/>
            <w:shd w:val="clear" w:color="auto" w:fill="F0F5FF"/>
          </w:tcPr>
          <w:p>
            <w:pPr>
              <w:spacing w:after="0"/>
              <w:rPr>
                <w:sz w:val="8"/>
                <w:szCs w:val="8"/>
                <w:color w:val="auto"/>
              </w:rPr>
            </w:pPr>
          </w:p>
        </w:tc>
        <w:tc>
          <w:tcPr>
            <w:tcW w:w="580" w:type="dxa"/>
            <w:vAlign w:val="bottom"/>
          </w:tcPr>
          <w:p>
            <w:pPr>
              <w:spacing w:after="0"/>
              <w:rPr>
                <w:sz w:val="8"/>
                <w:szCs w:val="8"/>
                <w:color w:val="auto"/>
              </w:rPr>
            </w:pPr>
          </w:p>
        </w:tc>
        <w:tc>
          <w:tcPr>
            <w:tcW w:w="50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240" w:type="dxa"/>
            <w:vAlign w:val="bottom"/>
          </w:tcPr>
          <w:p>
            <w:pPr>
              <w:spacing w:after="0"/>
              <w:rPr>
                <w:sz w:val="8"/>
                <w:szCs w:val="8"/>
                <w:color w:val="auto"/>
              </w:rPr>
            </w:pPr>
          </w:p>
        </w:tc>
        <w:tc>
          <w:tcPr>
            <w:tcW w:w="106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600" w:type="dxa"/>
            <w:vAlign w:val="bottom"/>
          </w:tcPr>
          <w:p>
            <w:pPr>
              <w:spacing w:after="0"/>
              <w:rPr>
                <w:sz w:val="8"/>
                <w:szCs w:val="8"/>
                <w:color w:val="auto"/>
              </w:rPr>
            </w:pPr>
          </w:p>
        </w:tc>
        <w:tc>
          <w:tcPr>
            <w:tcW w:w="50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220" w:type="dxa"/>
            <w:vAlign w:val="bottom"/>
          </w:tcPr>
          <w:p>
            <w:pPr>
              <w:spacing w:after="0"/>
              <w:rPr>
                <w:sz w:val="8"/>
                <w:szCs w:val="8"/>
                <w:color w:val="auto"/>
              </w:rPr>
            </w:pPr>
          </w:p>
        </w:tc>
        <w:tc>
          <w:tcPr>
            <w:tcW w:w="1080" w:type="dxa"/>
            <w:vAlign w:val="bottom"/>
          </w:tcPr>
          <w:p>
            <w:pPr>
              <w:spacing w:after="0"/>
              <w:rPr>
                <w:sz w:val="8"/>
                <w:szCs w:val="8"/>
                <w:color w:val="auto"/>
              </w:rPr>
            </w:pPr>
          </w:p>
        </w:tc>
        <w:tc>
          <w:tcPr>
            <w:tcW w:w="80" w:type="dxa"/>
            <w:vAlign w:val="bottom"/>
            <w:shd w:val="clear" w:color="auto" w:fill="F0F5FF"/>
          </w:tcPr>
          <w:p>
            <w:pPr>
              <w:spacing w:after="0"/>
              <w:rPr>
                <w:sz w:val="8"/>
                <w:szCs w:val="8"/>
                <w:color w:val="auto"/>
              </w:rPr>
            </w:pPr>
          </w:p>
        </w:tc>
        <w:tc>
          <w:tcPr>
            <w:tcW w:w="580" w:type="dxa"/>
            <w:vAlign w:val="bottom"/>
          </w:tcPr>
          <w:p>
            <w:pPr>
              <w:spacing w:after="0"/>
              <w:rPr>
                <w:sz w:val="8"/>
                <w:szCs w:val="8"/>
                <w:color w:val="auto"/>
              </w:rPr>
            </w:pPr>
          </w:p>
        </w:tc>
      </w:tr>
    </w:tbl>
    <w:p>
      <w:pPr>
        <w:spacing w:after="0" w:line="200" w:lineRule="exact"/>
        <w:rPr>
          <w:sz w:val="20"/>
          <w:szCs w:val="20"/>
          <w:color w:val="auto"/>
        </w:rPr>
      </w:pPr>
    </w:p>
    <w:p>
      <w:pPr>
        <w:spacing w:after="0" w:line="22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60"/>
          </w:cols>
          <w:pgMar w:left="960" w:top="409" w:right="879" w:bottom="1440" w:gutter="0" w:footer="0" w:header="0"/>
        </w:sectPr>
      </w:pPr>
    </w:p>
    <w:bookmarkStart w:id="16" w:name="page17"/>
    <w:bookmarkEnd w:id="16"/>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0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9</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74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0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45"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FFFFFF"/>
        </w:rPr>
        <w:t>Letter from our President and CEO</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FFFFFF"/>
        </w:rPr>
        <w:t>Progress in a</w:t>
      </w:r>
    </w:p>
    <w:p>
      <w:pPr>
        <w:spacing w:after="0" w:line="29"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FFFFFF"/>
        </w:rPr>
        <w:t>challenging environment</w:t>
      </w:r>
    </w:p>
    <w:p>
      <w:pPr>
        <w:sectPr>
          <w:pgSz w:w="11900" w:h="16838" w:orient="portrait"/>
          <w:cols w:equalWidth="0" w:num="1">
            <w:col w:w="10000"/>
          </w:cols>
          <w:pgMar w:left="960" w:top="409" w:right="939" w:bottom="1440" w:gutter="0" w:footer="0" w:header="0"/>
        </w:sectPr>
      </w:pPr>
    </w:p>
    <w:p>
      <w:pPr>
        <w:spacing w:after="0" w:line="281" w:lineRule="exact"/>
        <w:rPr>
          <w:sz w:val="20"/>
          <w:szCs w:val="20"/>
          <w:color w:val="auto"/>
        </w:rPr>
      </w:pPr>
    </w:p>
    <w:p>
      <w:pPr>
        <w:ind w:left="600" w:hanging="592"/>
        <w:spacing w:after="0" w:line="395" w:lineRule="auto"/>
        <w:tabs>
          <w:tab w:leader="none" w:pos="600" w:val="left"/>
        </w:tabs>
        <w:numPr>
          <w:ilvl w:val="0"/>
          <w:numId w:val="10"/>
        </w:numPr>
        <w:rPr>
          <w:rFonts w:ascii="Times New Roman" w:cs="Times New Roman" w:eastAsia="Times New Roman" w:hAnsi="Times New Roman"/>
          <w:sz w:val="13"/>
          <w:szCs w:val="13"/>
          <w:color w:val="FFFFFF"/>
          <w:vertAlign w:val="subscript"/>
        </w:rPr>
      </w:pPr>
      <w:r>
        <w:rPr>
          <w:rFonts w:ascii="Times New Roman" w:cs="Times New Roman" w:eastAsia="Times New Roman" w:hAnsi="Times New Roman"/>
          <w:sz w:val="9"/>
          <w:szCs w:val="9"/>
          <w:color w:val="FFFFFF"/>
        </w:rPr>
        <w:t>meaningful shift in customer spending impacted our industry in 2023, with more caution due to the macroeconomic environment, high interest rates,</w:t>
      </w:r>
      <w:r>
        <w:rPr>
          <w:rFonts w:ascii="Times New Roman" w:cs="Times New Roman" w:eastAsia="Times New Roman" w:hAnsi="Times New Roman"/>
          <w:sz w:val="9"/>
          <w:szCs w:val="9"/>
          <w:color w:val="FFFFFF"/>
          <w:vertAlign w:val="subscript"/>
        </w:rPr>
        <w:t>andcustomersworkingdownelevatedinventories</w:t>
      </w:r>
    </w:p>
    <w:p>
      <w:pPr>
        <w:spacing w:after="0" w:line="1" w:lineRule="exact"/>
        <w:rPr>
          <w:sz w:val="20"/>
          <w:szCs w:val="20"/>
          <w:color w:val="auto"/>
        </w:rPr>
      </w:pPr>
    </w:p>
    <w:p>
      <w:pPr>
        <w:ind w:right="80" w:firstLine="592"/>
        <w:spacing w:after="0" w:line="254" w:lineRule="auto"/>
        <w:rPr>
          <w:sz w:val="20"/>
          <w:szCs w:val="20"/>
          <w:color w:val="auto"/>
        </w:rPr>
      </w:pPr>
      <w:r>
        <w:rPr>
          <w:rFonts w:ascii="Times New Roman" w:cs="Times New Roman" w:eastAsia="Times New Roman" w:hAnsi="Times New Roman"/>
          <w:sz w:val="11"/>
          <w:szCs w:val="11"/>
          <w:color w:val="FFFFFF"/>
        </w:rPr>
        <w:t>accumulated during the pandemic-related supply chain crisis. The demand environment was much more challenging than we had expected at the start of the year, particularly in North America, meaning we ended with a full-year net sales decline.</w:t>
      </w:r>
    </w:p>
    <w:p>
      <w:pPr>
        <w:spacing w:after="0" w:line="58"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FFFFFF"/>
        </w:rPr>
        <w:t>However, due to the proactive cost actions we took across our organization, we were able to protect our profitability while still continuing to invest in R&amp;D. All three of our networks business groups delivered within the ranges we targeted at the start of the year despite the net sales headwinds. Delays in signing renewal agreements meant Nokia Technologies’ profitability was below the targeted range.</w:t>
      </w:r>
    </w:p>
    <w:p>
      <w:pPr>
        <w:spacing w:after="0" w:line="49" w:lineRule="exact"/>
        <w:rPr>
          <w:sz w:val="20"/>
          <w:szCs w:val="20"/>
          <w:color w:val="auto"/>
        </w:rPr>
      </w:pPr>
    </w:p>
    <w:p>
      <w:pPr>
        <w:ind w:right="320"/>
        <w:spacing w:after="0" w:line="274" w:lineRule="auto"/>
        <w:rPr>
          <w:sz w:val="20"/>
          <w:szCs w:val="20"/>
          <w:color w:val="auto"/>
        </w:rPr>
      </w:pPr>
      <w:r>
        <w:rPr>
          <w:rFonts w:ascii="Times New Roman" w:cs="Times New Roman" w:eastAsia="Times New Roman" w:hAnsi="Times New Roman"/>
          <w:sz w:val="11"/>
          <w:szCs w:val="11"/>
          <w:color w:val="FFFFFF"/>
        </w:rPr>
        <w:t>Given our strong cash position at the end of 2023, the Board of Directors proposed an increase in the dividend from EUR 12 cents to EUR 13 cents and initiated a new share buyback program to return up to EUR 600 million to shareholders over the next two years.</w:t>
      </w:r>
    </w:p>
    <w:p>
      <w:pPr>
        <w:spacing w:after="0" w:line="47"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1"/>
          <w:szCs w:val="11"/>
          <w:color w:val="FFFFFF"/>
        </w:rPr>
        <w:t>Considering the scale of the market challenges we faced in 2023, I am pleased with the resilience of our financial performance and the significant achievements across our business groups.</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FFFFFF"/>
        </w:rPr>
        <w:t>PEKKA LUNDMARK,</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FFFFFF"/>
        </w:rPr>
        <w:t>PRESIDENT AND CEO</w:t>
      </w:r>
    </w:p>
    <w:p>
      <w:pPr>
        <w:spacing w:after="0" w:line="3652" w:lineRule="exact"/>
        <w:rPr>
          <w:sz w:val="20"/>
          <w:szCs w:val="20"/>
          <w:color w:val="auto"/>
        </w:rPr>
      </w:pPr>
    </w:p>
    <w:p>
      <w:pPr>
        <w:sectPr>
          <w:pgSz w:w="11900" w:h="16838" w:orient="portrait"/>
          <w:cols w:equalWidth="0" w:num="2">
            <w:col w:w="2900" w:space="500"/>
            <w:col w:w="6600"/>
          </w:cols>
          <w:pgMar w:left="960" w:top="409" w:right="939" w:bottom="1440" w:gutter="0" w:footer="0" w:header="0"/>
          <w:type w:val="continuous"/>
        </w:sectPr>
      </w:pPr>
    </w:p>
    <w:p>
      <w:pPr>
        <w:spacing w:after="0"/>
        <w:rPr>
          <w:sz w:val="20"/>
          <w:szCs w:val="20"/>
          <w:color w:val="auto"/>
        </w:rPr>
      </w:pPr>
      <w:r>
        <w:rPr>
          <w:rFonts w:ascii="Times New Roman" w:cs="Times New Roman" w:eastAsia="Times New Roman" w:hAnsi="Times New Roman"/>
          <w:sz w:val="20"/>
          <w:szCs w:val="20"/>
          <w:color w:val="FFFFFF"/>
        </w:rPr>
        <w:t>“Despite the challenging market</w:t>
      </w:r>
    </w:p>
    <w:p>
      <w:pPr>
        <w:spacing w:after="0" w:line="7" w:lineRule="exact"/>
        <w:rPr>
          <w:sz w:val="20"/>
          <w:szCs w:val="20"/>
          <w:color w:val="auto"/>
        </w:rPr>
      </w:pPr>
    </w:p>
    <w:p>
      <w:pPr>
        <w:ind w:left="60"/>
        <w:spacing w:after="0"/>
        <w:rPr>
          <w:sz w:val="20"/>
          <w:szCs w:val="20"/>
          <w:color w:val="auto"/>
        </w:rPr>
      </w:pPr>
      <w:r>
        <w:rPr>
          <w:rFonts w:ascii="Times New Roman" w:cs="Times New Roman" w:eastAsia="Times New Roman" w:hAnsi="Times New Roman"/>
          <w:sz w:val="20"/>
          <w:szCs w:val="20"/>
          <w:color w:val="FFFFFF"/>
        </w:rPr>
        <w:t>environment in 2023, we delivered a resilient</w:t>
      </w:r>
    </w:p>
    <w:p>
      <w:pPr>
        <w:ind w:left="60"/>
        <w:spacing w:after="0" w:line="232" w:lineRule="auto"/>
        <w:rPr>
          <w:sz w:val="20"/>
          <w:szCs w:val="20"/>
          <w:color w:val="auto"/>
        </w:rPr>
      </w:pPr>
      <w:r>
        <w:rPr>
          <w:rFonts w:ascii="Times New Roman" w:cs="Times New Roman" w:eastAsia="Times New Roman" w:hAnsi="Times New Roman"/>
          <w:sz w:val="20"/>
          <w:szCs w:val="20"/>
          <w:color w:val="FFFFFF"/>
        </w:rPr>
        <w:t>financial performance, made progress on</w:t>
      </w:r>
    </w:p>
    <w:p>
      <w:pPr>
        <w:ind w:left="60"/>
        <w:spacing w:after="0" w:line="232" w:lineRule="auto"/>
        <w:rPr>
          <w:sz w:val="20"/>
          <w:szCs w:val="20"/>
          <w:color w:val="auto"/>
        </w:rPr>
      </w:pPr>
      <w:r>
        <w:rPr>
          <w:rFonts w:ascii="Times New Roman" w:cs="Times New Roman" w:eastAsia="Times New Roman" w:hAnsi="Times New Roman"/>
          <w:sz w:val="20"/>
          <w:szCs w:val="20"/>
          <w:color w:val="FFFFFF"/>
        </w:rPr>
        <w:t>our strategy, and continued to create</w:t>
      </w:r>
    </w:p>
    <w:p>
      <w:pPr>
        <w:ind w:left="60"/>
        <w:spacing w:after="0"/>
        <w:rPr>
          <w:sz w:val="20"/>
          <w:szCs w:val="20"/>
          <w:color w:val="auto"/>
        </w:rPr>
      </w:pPr>
      <w:r>
        <w:rPr>
          <w:rFonts w:ascii="Times New Roman" w:cs="Times New Roman" w:eastAsia="Times New Roman" w:hAnsi="Times New Roman"/>
          <w:sz w:val="20"/>
          <w:szCs w:val="20"/>
          <w:color w:val="FFFFFF"/>
        </w:rPr>
        <w:t>world-leading technology.”</w:t>
      </w:r>
    </w:p>
    <w:p>
      <w:pPr>
        <w:spacing w:after="0" w:line="21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10000"/>
          </w:cols>
          <w:pgMar w:left="960" w:top="409" w:right="939" w:bottom="1440" w:gutter="0" w:footer="0" w:header="0"/>
          <w:type w:val="continuous"/>
        </w:sectPr>
      </w:pPr>
    </w:p>
    <w:bookmarkStart w:id="17" w:name="page18"/>
    <w:bookmarkEnd w:id="17"/>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Letter from our President and CEO  continued</w:t>
      </w:r>
    </w:p>
    <w:p>
      <w:pPr>
        <w:spacing w:after="0" w:line="324" w:lineRule="exact"/>
        <w:rPr>
          <w:sz w:val="20"/>
          <w:szCs w:val="20"/>
          <w:color w:val="auto"/>
        </w:rPr>
      </w:pPr>
    </w:p>
    <w:p>
      <w:pPr>
        <w:ind w:right="40"/>
        <w:spacing w:after="0" w:line="271" w:lineRule="auto"/>
        <w:rPr>
          <w:sz w:val="20"/>
          <w:szCs w:val="20"/>
          <w:color w:val="auto"/>
        </w:rPr>
      </w:pPr>
      <w:r>
        <w:rPr>
          <w:rFonts w:ascii="Times New Roman" w:cs="Times New Roman" w:eastAsia="Times New Roman" w:hAnsi="Times New Roman"/>
          <w:sz w:val="11"/>
          <w:szCs w:val="11"/>
          <w:b w:val="1"/>
          <w:bCs w:val="1"/>
          <w:color w:val="auto"/>
        </w:rPr>
        <w:t xml:space="preserve">Network Infrastructure’s </w:t>
      </w:r>
      <w:r>
        <w:rPr>
          <w:rFonts w:ascii="Times New Roman" w:cs="Times New Roman" w:eastAsia="Times New Roman" w:hAnsi="Times New Roman"/>
          <w:sz w:val="11"/>
          <w:szCs w:val="11"/>
          <w:color w:val="auto"/>
        </w:rPr>
        <w:t>net sales were negatively impacted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by market uncertainty during the year, but profitability was robust and there was strong order intake across the business</w:t>
      </w:r>
    </w:p>
    <w:p>
      <w:pPr>
        <w:ind w:right="120"/>
        <w:spacing w:after="0" w:line="260" w:lineRule="auto"/>
        <w:rPr>
          <w:sz w:val="20"/>
          <w:szCs w:val="20"/>
          <w:color w:val="auto"/>
        </w:rPr>
      </w:pPr>
      <w:r>
        <w:rPr>
          <w:rFonts w:ascii="Times New Roman" w:cs="Times New Roman" w:eastAsia="Times New Roman" w:hAnsi="Times New Roman"/>
          <w:sz w:val="11"/>
          <w:szCs w:val="11"/>
          <w:color w:val="auto"/>
        </w:rPr>
        <w:t>in the last quarter. Network Infrastructure ended the year with improving orders for IP Networks from webscale customers and good momentum in Fixed Networks from government initiatives for broadband deployments. Network Infrastructure also continued to advance its technology leadership with the launch of its PSE-6s solution for optical networking, which went live in customer network trials, setting a new record</w:t>
      </w:r>
    </w:p>
    <w:p>
      <w:pPr>
        <w:spacing w:after="0" w:line="2" w:lineRule="exact"/>
        <w:rPr>
          <w:sz w:val="20"/>
          <w:szCs w:val="20"/>
          <w:color w:val="auto"/>
        </w:rPr>
      </w:pPr>
    </w:p>
    <w:p>
      <w:pPr>
        <w:jc w:val="both"/>
        <w:ind w:right="300"/>
        <w:spacing w:after="0" w:line="268" w:lineRule="auto"/>
        <w:rPr>
          <w:sz w:val="20"/>
          <w:szCs w:val="20"/>
          <w:color w:val="auto"/>
        </w:rPr>
      </w:pPr>
      <w:r>
        <w:rPr>
          <w:rFonts w:ascii="Times New Roman" w:cs="Times New Roman" w:eastAsia="Times New Roman" w:hAnsi="Times New Roman"/>
          <w:sz w:val="11"/>
          <w:szCs w:val="11"/>
          <w:color w:val="auto"/>
        </w:rPr>
        <w:t>of 800Gbps per wavelength transmission over 6 600km. The introduction of the 7730 Service Interconnect Router brought the power of our advanced routing silicon to more parts of the network.</w:t>
      </w:r>
    </w:p>
    <w:p>
      <w:pPr>
        <w:spacing w:after="0" w:line="6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Mobile Networks’ </w:t>
      </w:r>
      <w:r>
        <w:rPr>
          <w:rFonts w:ascii="Times New Roman" w:cs="Times New Roman" w:eastAsia="Times New Roman" w:hAnsi="Times New Roman"/>
          <w:sz w:val="11"/>
          <w:szCs w:val="11"/>
          <w:color w:val="auto"/>
        </w:rPr>
        <w:t>full-year net sales declined as rapid 5G</w:t>
      </w:r>
    </w:p>
    <w:p>
      <w:pPr>
        <w:spacing w:after="0" w:line="24" w:lineRule="exact"/>
        <w:rPr>
          <w:sz w:val="20"/>
          <w:szCs w:val="20"/>
          <w:color w:val="auto"/>
        </w:rPr>
      </w:pPr>
    </w:p>
    <w:p>
      <w:pPr>
        <w:ind w:right="120"/>
        <w:spacing w:after="0" w:line="245" w:lineRule="auto"/>
        <w:rPr>
          <w:sz w:val="20"/>
          <w:szCs w:val="20"/>
          <w:color w:val="auto"/>
        </w:rPr>
      </w:pPr>
      <w:r>
        <w:rPr>
          <w:rFonts w:ascii="Times New Roman" w:cs="Times New Roman" w:eastAsia="Times New Roman" w:hAnsi="Times New Roman"/>
          <w:sz w:val="11"/>
          <w:szCs w:val="11"/>
          <w:color w:val="auto"/>
        </w:rPr>
        <w:t>deployment in India was not enough to offset a reduction in spending in North America. The net sales decline and regional</w:t>
      </w:r>
    </w:p>
    <w:p>
      <w:pPr>
        <w:spacing w:after="0"/>
        <w:rPr>
          <w:sz w:val="20"/>
          <w:szCs w:val="20"/>
          <w:color w:val="auto"/>
        </w:rPr>
      </w:pPr>
      <w:r>
        <w:rPr>
          <w:rFonts w:ascii="Times New Roman" w:cs="Times New Roman" w:eastAsia="Times New Roman" w:hAnsi="Times New Roman"/>
          <w:sz w:val="11"/>
          <w:szCs w:val="11"/>
          <w:color w:val="auto"/>
        </w:rPr>
        <w:t>mix led to a modest decline in margins. However, Mobile</w:t>
      </w:r>
    </w:p>
    <w:p>
      <w:pPr>
        <w:spacing w:after="0" w:line="5" w:lineRule="exact"/>
        <w:rPr>
          <w:sz w:val="20"/>
          <w:szCs w:val="20"/>
          <w:color w:val="auto"/>
        </w:rPr>
      </w:pPr>
    </w:p>
    <w:p>
      <w:pPr>
        <w:ind w:right="240"/>
        <w:spacing w:after="0" w:line="239" w:lineRule="auto"/>
        <w:rPr>
          <w:sz w:val="20"/>
          <w:szCs w:val="20"/>
          <w:color w:val="auto"/>
        </w:rPr>
      </w:pPr>
      <w:r>
        <w:rPr>
          <w:rFonts w:ascii="Times New Roman" w:cs="Times New Roman" w:eastAsia="Times New Roman" w:hAnsi="Times New Roman"/>
          <w:sz w:val="11"/>
          <w:szCs w:val="11"/>
          <w:color w:val="auto"/>
        </w:rPr>
        <w:t>Networks has increased its 5G market share significantly in recent years and has continued to grow in private wireless</w:t>
      </w:r>
    </w:p>
    <w:p>
      <w:pPr>
        <w:spacing w:after="0" w:line="1"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and diversify into new segments. The business group also continued to improve its technology competitiveness with new additions to its AirScale radio access network portfolio, powered by the latest ReefShark System-on-Chip technology. Those additions included new high-performance massive MIMO radios as well as new baseband capacity and control cards, ready for 5G-Advanced and delivering unprecedented connectivity, capacity, and energy efficiency. Mobile Networks also launched anyRAN, a revolutionary approach to Cloud RAN giving operators and enterprises high performance, energy efficiency and resiliency.</w:t>
      </w:r>
    </w:p>
    <w:p>
      <w:pPr>
        <w:spacing w:after="0" w:line="199" w:lineRule="exact"/>
        <w:rPr>
          <w:sz w:val="20"/>
          <w:szCs w:val="20"/>
          <w:color w:val="auto"/>
        </w:rPr>
      </w:pPr>
    </w:p>
    <w:p>
      <w:pPr>
        <w:ind w:right="40"/>
        <w:spacing w:after="0" w:line="265" w:lineRule="auto"/>
        <w:rPr>
          <w:sz w:val="20"/>
          <w:szCs w:val="20"/>
          <w:color w:val="auto"/>
        </w:rPr>
      </w:pPr>
      <w:r>
        <w:rPr>
          <w:rFonts w:ascii="Times New Roman" w:cs="Times New Roman" w:eastAsia="Times New Roman" w:hAnsi="Times New Roman"/>
          <w:sz w:val="11"/>
          <w:szCs w:val="11"/>
          <w:b w:val="1"/>
          <w:bCs w:val="1"/>
          <w:color w:val="auto"/>
        </w:rPr>
        <w:t xml:space="preserve">Cloud and Network Services </w:t>
      </w:r>
      <w:r>
        <w:rPr>
          <w:rFonts w:ascii="Times New Roman" w:cs="Times New Roman" w:eastAsia="Times New Roman" w:hAnsi="Times New Roman"/>
          <w:sz w:val="11"/>
          <w:szCs w:val="11"/>
          <w:color w:val="auto"/>
        </w:rPr>
        <w:t>had a strong year with progress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in profitability despite a net sales decline. It introduced the Network as Code platform with a developer portal to accelerate network programmability and monetization, closing the year with nine commercial agreements. Cloud and Network Services also made strides in the management of its portfolio, including the announcement of Red Hat as the primary infrastructure platform for Nokia Core Network applications, the agreed sale of its Device Management and Service Management Platform businesses, and the divestment of its VitalQIP products.</w:t>
      </w:r>
    </w:p>
    <w:p>
      <w:pPr>
        <w:spacing w:after="0" w:line="200" w:lineRule="exact"/>
        <w:rPr>
          <w:sz w:val="20"/>
          <w:szCs w:val="20"/>
          <w:color w:val="auto"/>
        </w:rPr>
      </w:pPr>
    </w:p>
    <w:p>
      <w:pPr>
        <w:spacing w:after="0" w:line="200" w:lineRule="exact"/>
        <w:rPr>
          <w:sz w:val="20"/>
          <w:szCs w:val="20"/>
          <w:color w:val="auto"/>
        </w:rPr>
      </w:pPr>
    </w:p>
    <w:p>
      <w:pPr>
        <w:spacing w:after="0" w:line="37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98" w:lineRule="exact"/>
        <w:rPr>
          <w:sz w:val="20"/>
          <w:szCs w:val="20"/>
          <w:color w:val="auto"/>
        </w:rPr>
      </w:pPr>
    </w:p>
    <w:p>
      <w:pPr>
        <w:ind w:right="3740"/>
        <w:spacing w:after="0" w:line="264" w:lineRule="auto"/>
        <w:rPr>
          <w:sz w:val="20"/>
          <w:szCs w:val="20"/>
          <w:color w:val="auto"/>
        </w:rPr>
      </w:pPr>
      <w:r>
        <w:rPr>
          <w:rFonts w:ascii="Times New Roman" w:cs="Times New Roman" w:eastAsia="Times New Roman" w:hAnsi="Times New Roman"/>
          <w:sz w:val="11"/>
          <w:szCs w:val="11"/>
          <w:b w:val="1"/>
          <w:bCs w:val="1"/>
          <w:color w:val="auto"/>
        </w:rPr>
        <w:t xml:space="preserve">Nokia Technologies </w:t>
      </w:r>
      <w:r>
        <w:rPr>
          <w:rFonts w:ascii="Times New Roman" w:cs="Times New Roman" w:eastAsia="Times New Roman" w:hAnsi="Times New Roman"/>
          <w:sz w:val="11"/>
          <w:szCs w:val="11"/>
          <w:color w:val="auto"/>
        </w:rPr>
        <w:t>experienced a net sales decline as the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prior year benefited from a significant one-off and as some of its major patent licensing agreements were still outstanding at the end of 2023. However, Nokia Technologies signed more than 50 deals, including Apple and Samsung, during the year and filed patents on more than 2 300 new inventions to continue building our industry-leading patent portfolio. It also continued to grow in new focus areas, including automotive, consumer electronics, and IoT. In early 2024, Nokia</w:t>
      </w:r>
    </w:p>
    <w:p>
      <w:pPr>
        <w:ind w:right="3420"/>
        <w:spacing w:after="0" w:line="278" w:lineRule="auto"/>
        <w:rPr>
          <w:sz w:val="20"/>
          <w:szCs w:val="20"/>
          <w:color w:val="auto"/>
        </w:rPr>
      </w:pPr>
      <w:r>
        <w:rPr>
          <w:rFonts w:ascii="Times New Roman" w:cs="Times New Roman" w:eastAsia="Times New Roman" w:hAnsi="Times New Roman"/>
          <w:sz w:val="11"/>
          <w:szCs w:val="11"/>
          <w:color w:val="auto"/>
        </w:rPr>
        <w:t>Technologies concluded its smartphone patent license renewal cycle which began in 2021, entering a period of stability.</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Strategic progress</w:t>
      </w:r>
    </w:p>
    <w:p>
      <w:pPr>
        <w:spacing w:after="0" w:line="36" w:lineRule="exact"/>
        <w:rPr>
          <w:sz w:val="20"/>
          <w:szCs w:val="20"/>
          <w:color w:val="auto"/>
        </w:rPr>
      </w:pPr>
    </w:p>
    <w:p>
      <w:pPr>
        <w:ind w:right="3680"/>
        <w:spacing w:after="0" w:line="265" w:lineRule="auto"/>
        <w:rPr>
          <w:sz w:val="20"/>
          <w:szCs w:val="20"/>
          <w:color w:val="auto"/>
        </w:rPr>
      </w:pPr>
      <w:r>
        <w:rPr>
          <w:rFonts w:ascii="Times New Roman" w:cs="Times New Roman" w:eastAsia="Times New Roman" w:hAnsi="Times New Roman"/>
          <w:sz w:val="11"/>
          <w:szCs w:val="11"/>
          <w:color w:val="auto"/>
        </w:rPr>
        <w:t>Early in 2023 we refreshed our corporate strategy to better position Nokia for longer-term growth opportunities. Sweeping digitalization, advances in artificial intelligence (AI) and the expansion of cloud computing will require significant investments in networks with vastly improved capabilities.</w:t>
      </w:r>
    </w:p>
    <w:p>
      <w:pPr>
        <w:spacing w:after="0" w:line="1" w:lineRule="exact"/>
        <w:rPr>
          <w:sz w:val="20"/>
          <w:szCs w:val="20"/>
          <w:color w:val="auto"/>
        </w:rPr>
      </w:pPr>
    </w:p>
    <w:p>
      <w:pPr>
        <w:ind w:right="3740"/>
        <w:spacing w:after="0" w:line="268" w:lineRule="auto"/>
        <w:rPr>
          <w:sz w:val="20"/>
          <w:szCs w:val="20"/>
          <w:color w:val="auto"/>
        </w:rPr>
      </w:pPr>
      <w:r>
        <w:rPr>
          <w:rFonts w:ascii="Times New Roman" w:cs="Times New Roman" w:eastAsia="Times New Roman" w:hAnsi="Times New Roman"/>
          <w:sz w:val="11"/>
          <w:szCs w:val="11"/>
          <w:color w:val="auto"/>
        </w:rPr>
        <w:t>To ensure Nokia capitalizes on those growth opportunities, we announced six strategic pillars in February, and by the end of the year we had made clearly identifiable progress on all of them.</w:t>
      </w:r>
    </w:p>
    <w:p>
      <w:pPr>
        <w:spacing w:after="0" w:line="60" w:lineRule="exact"/>
        <w:rPr>
          <w:sz w:val="20"/>
          <w:szCs w:val="20"/>
          <w:color w:val="auto"/>
        </w:rPr>
      </w:pPr>
    </w:p>
    <w:p>
      <w:pPr>
        <w:ind w:right="3700"/>
        <w:spacing w:after="0" w:line="263" w:lineRule="auto"/>
        <w:rPr>
          <w:sz w:val="20"/>
          <w:szCs w:val="20"/>
          <w:color w:val="auto"/>
        </w:rPr>
      </w:pPr>
      <w:r>
        <w:rPr>
          <w:rFonts w:ascii="Times New Roman" w:cs="Times New Roman" w:eastAsia="Times New Roman" w:hAnsi="Times New Roman"/>
          <w:sz w:val="11"/>
          <w:szCs w:val="11"/>
          <w:color w:val="auto"/>
        </w:rPr>
        <w:t>For instance, we meaningfully increased our market share in mobile networks and in optical networks. We also continued to diversify and expand the share of enterprise in our customer mix, with enterprise customers making up more than 10% of our Group net sales in 2023. And we made several moves</w:t>
      </w:r>
    </w:p>
    <w:p>
      <w:pPr>
        <w:spacing w:after="0" w:line="1" w:lineRule="exact"/>
        <w:rPr>
          <w:sz w:val="20"/>
          <w:szCs w:val="20"/>
          <w:color w:val="auto"/>
        </w:rPr>
      </w:pPr>
    </w:p>
    <w:p>
      <w:pPr>
        <w:ind w:right="3780"/>
        <w:spacing w:after="0" w:line="266" w:lineRule="auto"/>
        <w:rPr>
          <w:sz w:val="20"/>
          <w:szCs w:val="20"/>
          <w:color w:val="auto"/>
        </w:rPr>
      </w:pPr>
      <w:r>
        <w:rPr>
          <w:rFonts w:ascii="Times New Roman" w:cs="Times New Roman" w:eastAsia="Times New Roman" w:hAnsi="Times New Roman"/>
          <w:sz w:val="11"/>
          <w:szCs w:val="11"/>
          <w:color w:val="auto"/>
        </w:rPr>
        <w:t>to actively manage our portfolio this year, including the aforementioned divestments in Cloud and Network Services, and Mobile Networks announcing the acquisition of Fenix Group to strengthen our offer to the defense sector in the United States.</w:t>
      </w:r>
    </w:p>
    <w:p>
      <w:pPr>
        <w:spacing w:after="0" w:line="61" w:lineRule="exact"/>
        <w:rPr>
          <w:sz w:val="20"/>
          <w:szCs w:val="20"/>
          <w:color w:val="auto"/>
        </w:rPr>
      </w:pPr>
    </w:p>
    <w:p>
      <w:pPr>
        <w:ind w:right="3660"/>
        <w:spacing w:after="0" w:line="251" w:lineRule="auto"/>
        <w:rPr>
          <w:sz w:val="20"/>
          <w:szCs w:val="20"/>
          <w:color w:val="auto"/>
        </w:rPr>
      </w:pPr>
      <w:r>
        <w:rPr>
          <w:rFonts w:ascii="Times New Roman" w:cs="Times New Roman" w:eastAsia="Times New Roman" w:hAnsi="Times New Roman"/>
          <w:sz w:val="11"/>
          <w:szCs w:val="11"/>
          <w:color w:val="auto"/>
        </w:rPr>
        <w:t>Business longevity in Nokia Technologies was boosted with the conclusion of the smartphone patent license renewal cycle in</w:t>
      </w:r>
    </w:p>
    <w:p>
      <w:pPr>
        <w:spacing w:after="0"/>
        <w:rPr>
          <w:sz w:val="20"/>
          <w:szCs w:val="20"/>
          <w:color w:val="auto"/>
        </w:rPr>
      </w:pPr>
      <w:r>
        <w:rPr>
          <w:rFonts w:ascii="Times New Roman" w:cs="Times New Roman" w:eastAsia="Times New Roman" w:hAnsi="Times New Roman"/>
          <w:sz w:val="11"/>
          <w:szCs w:val="11"/>
          <w:color w:val="auto"/>
        </w:rPr>
        <w:t>early 2024, as well as through continued expansion into new</w:t>
      </w:r>
    </w:p>
    <w:p>
      <w:pPr>
        <w:spacing w:after="0" w:line="5" w:lineRule="exact"/>
        <w:rPr>
          <w:sz w:val="20"/>
          <w:szCs w:val="20"/>
          <w:color w:val="auto"/>
        </w:rPr>
      </w:pPr>
    </w:p>
    <w:p>
      <w:pPr>
        <w:ind w:right="3900"/>
        <w:spacing w:after="0" w:line="239" w:lineRule="auto"/>
        <w:rPr>
          <w:sz w:val="20"/>
          <w:szCs w:val="20"/>
          <w:color w:val="auto"/>
        </w:rPr>
      </w:pPr>
      <w:r>
        <w:rPr>
          <w:rFonts w:ascii="Times New Roman" w:cs="Times New Roman" w:eastAsia="Times New Roman" w:hAnsi="Times New Roman"/>
          <w:sz w:val="11"/>
          <w:szCs w:val="11"/>
          <w:color w:val="auto"/>
        </w:rPr>
        <w:t>areas. We also continued to develop new business models, with Cloud and Network Services leading the industry on</w:t>
      </w:r>
    </w:p>
    <w:p>
      <w:pPr>
        <w:spacing w:after="0" w:line="1" w:lineRule="exact"/>
        <w:rPr>
          <w:sz w:val="20"/>
          <w:szCs w:val="20"/>
          <w:color w:val="auto"/>
        </w:rPr>
      </w:pPr>
    </w:p>
    <w:p>
      <w:pPr>
        <w:ind w:right="3680"/>
        <w:spacing w:after="0" w:line="267" w:lineRule="auto"/>
        <w:rPr>
          <w:sz w:val="20"/>
          <w:szCs w:val="20"/>
          <w:color w:val="auto"/>
        </w:rPr>
      </w:pPr>
      <w:r>
        <w:rPr>
          <w:rFonts w:ascii="Times New Roman" w:cs="Times New Roman" w:eastAsia="Times New Roman" w:hAnsi="Times New Roman"/>
          <w:sz w:val="11"/>
          <w:szCs w:val="11"/>
          <w:color w:val="auto"/>
        </w:rPr>
        <w:t>programmable networks and growing its Software-as-a-Service operations fivefold to more than 40 customers.</w:t>
      </w:r>
    </w:p>
    <w:p>
      <w:pPr>
        <w:sectPr>
          <w:pgSz w:w="11900" w:h="16838" w:orient="portrait"/>
          <w:cols w:equalWidth="0" w:num="2">
            <w:col w:w="2980" w:space="420"/>
            <w:col w:w="6580"/>
          </w:cols>
          <w:pgMar w:left="960" w:top="409" w:right="959" w:bottom="1440" w:gutter="0" w:footer="0" w:header="0"/>
        </w:sectPr>
      </w:pPr>
    </w:p>
    <w:bookmarkStart w:id="18" w:name="page19"/>
    <w:bookmarkEnd w:id="18"/>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Letter from our President and CEO  continued</w:t>
      </w:r>
    </w:p>
    <w:p>
      <w:pPr>
        <w:spacing w:after="0" w:line="326"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Finally, we made solid progress in developing our environmental, social, and governance (ESG) strengths into a competitive advantage for Nokia. We received another top ranking in Sustainalytics’ 2023 ESG Top-Rated Companies list, and MSCI ESG Ratings gave us the highest-level AAA rating. Both of these ratings provide information to investors on financially relevant ESG matters. We also issued our first-ever sustainability-linked bond.</w:t>
      </w:r>
    </w:p>
    <w:p>
      <w:pPr>
        <w:spacing w:after="0" w:line="49" w:lineRule="exact"/>
        <w:rPr>
          <w:sz w:val="20"/>
          <w:szCs w:val="20"/>
          <w:color w:val="auto"/>
        </w:rPr>
      </w:pPr>
    </w:p>
    <w:p>
      <w:pPr>
        <w:ind w:right="20" w:firstLine="1"/>
        <w:spacing w:after="0" w:line="266" w:lineRule="auto"/>
        <w:rPr>
          <w:sz w:val="20"/>
          <w:szCs w:val="20"/>
          <w:color w:val="auto"/>
        </w:rPr>
      </w:pPr>
      <w:r>
        <w:rPr>
          <w:rFonts w:ascii="Times New Roman" w:cs="Times New Roman" w:eastAsia="Times New Roman" w:hAnsi="Times New Roman"/>
          <w:sz w:val="11"/>
          <w:szCs w:val="11"/>
          <w:color w:val="auto"/>
        </w:rPr>
        <w:t>Nokia became the first telecom company to announce the manufacture of fiber broadband optical modules in the United States for the Broadband Equity, Access, and Deployment (BEAD) program, working with partners to bridge the digital divide. And Nokia represented European businesses at a G7 Summit side event in May looking at how to increase cooperation to strengthen digital infrastructure in developing economies.</w:t>
      </w:r>
    </w:p>
    <w:p>
      <w:pPr>
        <w:spacing w:after="0" w:line="19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Renewing our brand</w:t>
      </w:r>
    </w:p>
    <w:p>
      <w:pPr>
        <w:spacing w:after="0" w:line="36" w:lineRule="exact"/>
        <w:rPr>
          <w:sz w:val="20"/>
          <w:szCs w:val="20"/>
          <w:color w:val="auto"/>
        </w:rPr>
      </w:pPr>
    </w:p>
    <w:p>
      <w:pPr>
        <w:ind w:right="100"/>
        <w:spacing w:after="0" w:line="270" w:lineRule="auto"/>
        <w:rPr>
          <w:sz w:val="20"/>
          <w:szCs w:val="20"/>
          <w:color w:val="auto"/>
        </w:rPr>
      </w:pPr>
      <w:r>
        <w:rPr>
          <w:rFonts w:ascii="Times New Roman" w:cs="Times New Roman" w:eastAsia="Times New Roman" w:hAnsi="Times New Roman"/>
          <w:sz w:val="11"/>
          <w:szCs w:val="11"/>
          <w:color w:val="auto"/>
        </w:rPr>
        <w:t>Along with the six strategic pillars, we announced four enablers to support our strategic execution: developing future-fit talent; investing in long-term research in key domains; digitalizing our operations; and renewing our brand to establish a clear position for Nokia as a B2B technology innovation leader.</w:t>
      </w:r>
    </w:p>
    <w:p>
      <w:pPr>
        <w:spacing w:after="0" w:line="1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One of the highlights of the year was the unveiling of</w:t>
      </w:r>
    </w:p>
    <w:p>
      <w:pPr>
        <w:spacing w:after="0" w:line="17" w:lineRule="exact"/>
        <w:rPr>
          <w:sz w:val="20"/>
          <w:szCs w:val="20"/>
          <w:color w:val="auto"/>
        </w:rPr>
      </w:pPr>
    </w:p>
    <w:p>
      <w:pPr>
        <w:ind w:right="80"/>
        <w:spacing w:after="0" w:line="268" w:lineRule="auto"/>
        <w:rPr>
          <w:sz w:val="20"/>
          <w:szCs w:val="20"/>
          <w:color w:val="auto"/>
        </w:rPr>
      </w:pPr>
      <w:r>
        <w:rPr>
          <w:rFonts w:ascii="Times New Roman" w:cs="Times New Roman" w:eastAsia="Times New Roman" w:hAnsi="Times New Roman"/>
          <w:sz w:val="11"/>
          <w:szCs w:val="11"/>
          <w:color w:val="auto"/>
        </w:rPr>
        <w:t>our renewed brand at Mobile World Congress in February, which has helped reset how key audiences view our company. Our brand will continue to be an important enabler of our strategy and long-term business goals.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29"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Changes in operating model</w:t>
      </w:r>
    </w:p>
    <w:p>
      <w:pPr>
        <w:spacing w:after="0" w:line="46"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To accelerate our strategic execution and navigate market uncertainty, in October we announced plans to give our business groups increased operational autonomy and agility so they could diversify faster, build new ecosystem partnerships, implement new business models, and invest in technology leadership.</w:t>
      </w:r>
    </w:p>
    <w:p>
      <w:pPr>
        <w:spacing w:after="0" w:line="49" w:lineRule="exact"/>
        <w:rPr>
          <w:sz w:val="20"/>
          <w:szCs w:val="20"/>
          <w:color w:val="auto"/>
        </w:rPr>
      </w:pPr>
    </w:p>
    <w:p>
      <w:pPr>
        <w:ind w:right="20"/>
        <w:spacing w:after="0" w:line="269" w:lineRule="auto"/>
        <w:rPr>
          <w:sz w:val="20"/>
          <w:szCs w:val="20"/>
          <w:color w:val="auto"/>
        </w:rPr>
      </w:pPr>
      <w:r>
        <w:rPr>
          <w:rFonts w:ascii="Times New Roman" w:cs="Times New Roman" w:eastAsia="Times New Roman" w:hAnsi="Times New Roman"/>
          <w:sz w:val="11"/>
          <w:szCs w:val="11"/>
          <w:color w:val="auto"/>
        </w:rPr>
        <w:t>As part of this, we streamlined our operating model through embedding sales and other go-to-market teams into the business groups from the start of 2024. Our aim was to increase the agility and speed of decision-making and enable our business groups to better seize growth opportunities with existing and new customers.</w:t>
      </w:r>
    </w:p>
    <w:p>
      <w:pPr>
        <w:spacing w:after="0" w:line="60"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Due to ongoing market uncertainty, we also announced a plan to reset our cost base to help protect profitability. We aim to lower our cost base on a gross basis by between EUR 800 million and EUR 1 200 million by the end of 2026, compared to 2023, assuming on-target variable pay in</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both periods.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11</w:t>
      </w:r>
    </w:p>
    <w:p>
      <w:pPr>
        <w:spacing w:after="0" w:line="200" w:lineRule="exact"/>
        <w:rPr>
          <w:sz w:val="20"/>
          <w:szCs w:val="20"/>
          <w:color w:val="auto"/>
        </w:rPr>
      </w:pPr>
    </w:p>
    <w:p>
      <w:pPr>
        <w:spacing w:after="0" w:line="200" w:lineRule="exact"/>
        <w:rPr>
          <w:sz w:val="20"/>
          <w:szCs w:val="20"/>
          <w:color w:val="auto"/>
        </w:rPr>
      </w:pPr>
    </w:p>
    <w:p>
      <w:pPr>
        <w:spacing w:after="0" w:line="33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Technology leadership drives our business</w:t>
      </w:r>
    </w:p>
    <w:p>
      <w:pPr>
        <w:spacing w:after="0" w:line="46" w:lineRule="exact"/>
        <w:rPr>
          <w:sz w:val="20"/>
          <w:szCs w:val="20"/>
          <w:color w:val="auto"/>
        </w:rPr>
      </w:pPr>
    </w:p>
    <w:p>
      <w:pPr>
        <w:ind w:right="380"/>
        <w:spacing w:after="0" w:line="269" w:lineRule="auto"/>
        <w:rPr>
          <w:sz w:val="20"/>
          <w:szCs w:val="20"/>
          <w:color w:val="auto"/>
        </w:rPr>
      </w:pPr>
      <w:r>
        <w:rPr>
          <w:rFonts w:ascii="Times New Roman" w:cs="Times New Roman" w:eastAsia="Times New Roman" w:hAnsi="Times New Roman"/>
          <w:sz w:val="11"/>
          <w:szCs w:val="11"/>
          <w:color w:val="auto"/>
        </w:rPr>
        <w:t>Since we committed to increasing our R&amp;D funding in 2020, our strengthened technology competitiveness has helped drive market share gains and has contributed to significantly improved customer satisfaction scores.</w:t>
      </w:r>
    </w:p>
    <w:p>
      <w:pPr>
        <w:spacing w:after="0" w:line="60" w:lineRule="exact"/>
        <w:rPr>
          <w:sz w:val="20"/>
          <w:szCs w:val="20"/>
          <w:color w:val="auto"/>
        </w:rPr>
      </w:pPr>
    </w:p>
    <w:p>
      <w:pPr>
        <w:ind w:right="260"/>
        <w:spacing w:after="0" w:line="275" w:lineRule="auto"/>
        <w:rPr>
          <w:sz w:val="20"/>
          <w:szCs w:val="20"/>
          <w:color w:val="auto"/>
        </w:rPr>
      </w:pPr>
      <w:r>
        <w:rPr>
          <w:rFonts w:ascii="Times New Roman" w:cs="Times New Roman" w:eastAsia="Times New Roman" w:hAnsi="Times New Roman"/>
          <w:sz w:val="11"/>
          <w:szCs w:val="11"/>
          <w:color w:val="auto"/>
        </w:rPr>
        <w:t>We updated our Technology Strategy 2030 in October to guide our product and services development as well as our customers’ network transformation, with the aim of positioning Nokia as a leader for the 5G era and beyond.</w:t>
      </w:r>
    </w:p>
    <w:p>
      <w:pPr>
        <w:spacing w:after="0" w:line="47"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Our innovation is spearheaded by Nokia Bell Labs, which continued to make technological breakthroughs last year including in optical networking and 6G. Two other highlights included UNEXT (Unified Networking Experience), a Nokia Bell Labs research initiative that promises to redefine network software and systems. And o ur participation in a US Defense Advanced Research Projects Agency (DARPA) initiative to design a future network architecture for the Moon.</w:t>
      </w:r>
    </w:p>
    <w:p>
      <w:pPr>
        <w:sectPr>
          <w:pgSz w:w="11900" w:h="16838" w:orient="portrait"/>
          <w:cols w:equalWidth="0" w:num="3">
            <w:col w:w="2920" w:space="480"/>
            <w:col w:w="2800" w:space="600"/>
            <w:col w:w="3180"/>
          </w:cols>
          <w:pgMar w:left="960" w:top="409" w:right="959" w:bottom="1440" w:gutter="0" w:footer="0" w:header="0"/>
        </w:sectPr>
      </w:pPr>
    </w:p>
    <w:bookmarkStart w:id="19" w:name="page20"/>
    <w:bookmarkEnd w:id="19"/>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12</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Letter from our President and CEO  continued</w:t>
      </w:r>
    </w:p>
    <w:p>
      <w:pPr>
        <w:spacing w:after="0" w:line="326" w:lineRule="exact"/>
        <w:rPr>
          <w:sz w:val="20"/>
          <w:szCs w:val="20"/>
          <w:color w:val="auto"/>
        </w:rPr>
      </w:pPr>
    </w:p>
    <w:p>
      <w:pPr>
        <w:ind w:right="7260"/>
        <w:spacing w:after="0" w:line="269" w:lineRule="auto"/>
        <w:rPr>
          <w:sz w:val="20"/>
          <w:szCs w:val="20"/>
          <w:color w:val="auto"/>
        </w:rPr>
      </w:pPr>
      <w:r>
        <w:rPr>
          <w:rFonts w:ascii="Times New Roman" w:cs="Times New Roman" w:eastAsia="Times New Roman" w:hAnsi="Times New Roman"/>
          <w:sz w:val="11"/>
          <w:szCs w:val="11"/>
          <w:color w:val="auto"/>
        </w:rPr>
        <w:t>To maximize the commercial potential of Nokia Bell Labs’ innovations, we embarked on new venture partnerships and a new venture studio. We are now working with America’s Frontier Fund, Roadrunner Venture Studios, and Celesta Capital to create and invest in strategic start-ups and to commercialize Nokia Bell Labs’ research.</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Looking ahead</w:t>
      </w:r>
    </w:p>
    <w:p>
      <w:pPr>
        <w:spacing w:after="0" w:line="36" w:lineRule="exact"/>
        <w:rPr>
          <w:sz w:val="20"/>
          <w:szCs w:val="20"/>
          <w:color w:val="auto"/>
        </w:rPr>
      </w:pPr>
    </w:p>
    <w:p>
      <w:pPr>
        <w:ind w:right="7180"/>
        <w:spacing w:after="0" w:line="265" w:lineRule="auto"/>
        <w:rPr>
          <w:sz w:val="20"/>
          <w:szCs w:val="20"/>
          <w:color w:val="auto"/>
        </w:rPr>
      </w:pPr>
      <w:r>
        <w:rPr>
          <w:rFonts w:ascii="Times New Roman" w:cs="Times New Roman" w:eastAsia="Times New Roman" w:hAnsi="Times New Roman"/>
          <w:sz w:val="11"/>
          <w:szCs w:val="11"/>
          <w:color w:val="auto"/>
        </w:rPr>
        <w:t>Despite the challenging market environment, we delivered a resilient financial performance, made progress on our strategy, and continued to create world-leading technology. Nevertheless, it was a challenging year in terms of our share price development, and of course we can’t be content with that. Our foremost priority is to create value for our shareholders. We took several steps in pursuit of that goal in 2023 and we will be relentless on improving shareholder value creation going forward. I would like to thank the entire Nokia team for everything they have done this year and their determination to strengthen our position for the future.</w:t>
      </w:r>
    </w:p>
    <w:p>
      <w:pPr>
        <w:spacing w:after="0" w:line="27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Pekka Lundmark</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President and CEO</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20" w:name="page21"/>
    <w:bookmarkEnd w:id="20"/>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Our customers</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Our customers</w:t>
      </w:r>
    </w:p>
    <w:p>
      <w:pPr>
        <w:spacing w:after="0" w:line="1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We serve three customer segments: communications</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service providers, enterprises and licensees.</w:t>
      </w:r>
    </w:p>
    <w:p>
      <w:pPr>
        <w:sectPr>
          <w:pgSz w:w="11900" w:h="16838" w:orient="portrait"/>
          <w:cols w:equalWidth="0" w:num="1">
            <w:col w:w="9980"/>
          </w:cols>
          <w:pgMar w:left="960" w:top="409" w:right="959" w:bottom="1440" w:gutter="0" w:footer="0" w:header="0"/>
        </w:sectPr>
      </w:pPr>
    </w:p>
    <w:p>
      <w:pPr>
        <w:spacing w:after="0" w:line="200" w:lineRule="exact"/>
        <w:rPr>
          <w:sz w:val="20"/>
          <w:szCs w:val="20"/>
          <w:color w:val="auto"/>
        </w:rPr>
      </w:pPr>
    </w:p>
    <w:p>
      <w:pPr>
        <w:spacing w:after="0" w:line="225" w:lineRule="exact"/>
        <w:rPr>
          <w:sz w:val="20"/>
          <w:szCs w:val="20"/>
          <w:color w:val="auto"/>
        </w:rPr>
      </w:pPr>
    </w:p>
    <w:p>
      <w:pPr>
        <w:ind w:right="100"/>
        <w:spacing w:after="0" w:line="267" w:lineRule="auto"/>
        <w:rPr>
          <w:sz w:val="20"/>
          <w:szCs w:val="20"/>
          <w:color w:val="auto"/>
        </w:rPr>
      </w:pPr>
      <w:r>
        <w:rPr>
          <w:rFonts w:ascii="Times New Roman" w:cs="Times New Roman" w:eastAsia="Times New Roman" w:hAnsi="Times New Roman"/>
          <w:sz w:val="11"/>
          <w:szCs w:val="11"/>
          <w:color w:val="auto"/>
        </w:rPr>
        <w:t>Networks play an increasingly important role in the economy and in society. As a result, we serve a growing number of customers who provide critical services to end-users. We distinguish three customer segments that we serve with our hardware, software and services portfolio: communications services providers and enterprises, therein enterprise verticals and webscalers. In addition, we license our intellectual property to industries that benefit from our fundamental innovations, primarily in the mobile devices, automotive, consumer electronics and IoT industries.</w:t>
      </w:r>
    </w:p>
    <w:p>
      <w:pPr>
        <w:spacing w:after="0" w:line="190" w:lineRule="exact"/>
        <w:rPr>
          <w:sz w:val="20"/>
          <w:szCs w:val="20"/>
          <w:color w:val="auto"/>
        </w:rPr>
      </w:pPr>
    </w:p>
    <w:p>
      <w:pPr>
        <w:ind w:right="420"/>
        <w:spacing w:after="0" w:line="274" w:lineRule="auto"/>
        <w:rPr>
          <w:sz w:val="20"/>
          <w:szCs w:val="20"/>
          <w:color w:val="auto"/>
        </w:rPr>
      </w:pPr>
      <w:r>
        <w:rPr>
          <w:rFonts w:ascii="Times New Roman" w:cs="Times New Roman" w:eastAsia="Times New Roman" w:hAnsi="Times New Roman"/>
          <w:sz w:val="11"/>
          <w:szCs w:val="11"/>
          <w:color w:val="auto"/>
        </w:rPr>
        <w:t>Our analysis of the evolution of these segments is set out below.</w:t>
      </w:r>
    </w:p>
    <w:p>
      <w:pPr>
        <w:spacing w:after="0" w:line="68" w:lineRule="exact"/>
        <w:rPr>
          <w:sz w:val="20"/>
          <w:szCs w:val="20"/>
          <w:color w:val="auto"/>
        </w:rPr>
      </w:pPr>
    </w:p>
    <w:p>
      <w:pPr>
        <w:ind w:left="380" w:right="1020" w:hanging="271"/>
        <w:spacing w:after="0" w:line="180" w:lineRule="auto"/>
        <w:tabs>
          <w:tab w:leader="none" w:pos="380" w:val="left"/>
        </w:tabs>
        <w:numPr>
          <w:ilvl w:val="0"/>
          <w:numId w:val="11"/>
        </w:numPr>
        <w:rPr>
          <w:rFonts w:ascii="Times New Roman" w:cs="Times New Roman" w:eastAsia="Times New Roman" w:hAnsi="Times New Roman"/>
          <w:sz w:val="28"/>
          <w:szCs w:val="28"/>
          <w:color w:val="FFFFFF"/>
          <w:vertAlign w:val="subscript"/>
        </w:rPr>
      </w:pPr>
      <w:r>
        <w:rPr>
          <w:rFonts w:ascii="Times New Roman" w:cs="Times New Roman" w:eastAsia="Times New Roman" w:hAnsi="Times New Roman"/>
          <w:sz w:val="15"/>
          <w:szCs w:val="15"/>
          <w:color w:val="005AFF"/>
        </w:rPr>
        <w:t>Communications service providers (CSPs)</w:t>
      </w:r>
    </w:p>
    <w:p>
      <w:pPr>
        <w:spacing w:after="0" w:line="10" w:lineRule="exact"/>
        <w:rPr>
          <w:sz w:val="20"/>
          <w:szCs w:val="20"/>
          <w:color w:val="auto"/>
        </w:rPr>
      </w:pPr>
    </w:p>
    <w:p>
      <w:pPr>
        <w:jc w:val="both"/>
        <w:ind w:right="180"/>
        <w:spacing w:after="0" w:line="275" w:lineRule="auto"/>
        <w:rPr>
          <w:sz w:val="20"/>
          <w:szCs w:val="20"/>
          <w:color w:val="auto"/>
        </w:rPr>
      </w:pPr>
      <w:r>
        <w:rPr>
          <w:rFonts w:ascii="Times New Roman" w:cs="Times New Roman" w:eastAsia="Times New Roman" w:hAnsi="Times New Roman"/>
          <w:sz w:val="13"/>
          <w:szCs w:val="13"/>
          <w:color w:val="auto"/>
        </w:rPr>
        <w:t>The CSPs estimated total addressable market (TAM) declined 6% to EUR 96 billion from 2022 to 2023.</w:t>
      </w:r>
    </w:p>
    <w:p>
      <w:pPr>
        <w:spacing w:after="0" w:line="1" w:lineRule="exact"/>
        <w:rPr>
          <w:sz w:val="20"/>
          <w:szCs w:val="20"/>
          <w:color w:val="auto"/>
        </w:rPr>
      </w:pPr>
    </w:p>
    <w:p>
      <w:pPr>
        <w:ind w:right="140"/>
        <w:spacing w:after="0" w:line="244" w:lineRule="auto"/>
        <w:rPr>
          <w:sz w:val="20"/>
          <w:szCs w:val="20"/>
          <w:color w:val="auto"/>
        </w:rPr>
      </w:pPr>
      <w:r>
        <w:rPr>
          <w:rFonts w:ascii="Times New Roman" w:cs="Times New Roman" w:eastAsia="Times New Roman" w:hAnsi="Times New Roman"/>
          <w:sz w:val="11"/>
          <w:szCs w:val="11"/>
          <w:color w:val="auto"/>
        </w:rPr>
        <w:t>A communications service provider offers telecommunications services such as voice and/or data services through fixed and/ or mobile connectivity to consumers, enterprises, governments</w:t>
      </w:r>
    </w:p>
    <w:p>
      <w:pPr>
        <w:spacing w:after="0" w:line="232" w:lineRule="auto"/>
        <w:rPr>
          <w:sz w:val="20"/>
          <w:szCs w:val="20"/>
          <w:color w:val="auto"/>
        </w:rPr>
      </w:pPr>
      <w:r>
        <w:rPr>
          <w:rFonts w:ascii="Times New Roman" w:cs="Times New Roman" w:eastAsia="Times New Roman" w:hAnsi="Times New Roman"/>
          <w:sz w:val="11"/>
          <w:szCs w:val="11"/>
          <w:color w:val="auto"/>
        </w:rPr>
        <w:t>and other communications service providers. Nokia maintains a consolidated view of the Nokia total addressable market based on multiple external analyst reports, customer and key competitor reported and announced insights as well as Nokia internal insights. We estimate that in 2023, the CSPs estimated total addressable market (excluding Russia and Belarus) for Nokia was EUR 96 billion, having declined by 6% excluding the impact of changes in foreign currency exchange</w:t>
      </w:r>
    </w:p>
    <w:p>
      <w:pPr>
        <w:spacing w:after="0" w:line="3" w:lineRule="exact"/>
        <w:rPr>
          <w:sz w:val="20"/>
          <w:szCs w:val="20"/>
          <w:color w:val="auto"/>
        </w:rPr>
      </w:pPr>
    </w:p>
    <w:p>
      <w:pPr>
        <w:ind w:right="180"/>
        <w:spacing w:after="0" w:line="239" w:lineRule="auto"/>
        <w:rPr>
          <w:sz w:val="20"/>
          <w:szCs w:val="20"/>
          <w:color w:val="auto"/>
        </w:rPr>
      </w:pPr>
      <w:r>
        <w:rPr>
          <w:rFonts w:ascii="Times New Roman" w:cs="Times New Roman" w:eastAsia="Times New Roman" w:hAnsi="Times New Roman"/>
          <w:sz w:val="11"/>
          <w:szCs w:val="11"/>
          <w:color w:val="auto"/>
        </w:rPr>
        <w:t>rates from 2022 to 2023 as the macro-environment, high interest rates and inventory build-up during 2022 combined to see operators reduce their spending meaningfully.</w:t>
      </w:r>
    </w:p>
    <w:p>
      <w:pPr>
        <w:spacing w:after="0" w:line="96" w:lineRule="exact"/>
        <w:rPr>
          <w:sz w:val="20"/>
          <w:szCs w:val="20"/>
          <w:color w:val="auto"/>
        </w:rPr>
      </w:pPr>
    </w:p>
    <w:p>
      <w:pPr>
        <w:jc w:val="both"/>
        <w:ind w:right="140"/>
        <w:spacing w:after="0" w:line="279" w:lineRule="auto"/>
        <w:rPr>
          <w:sz w:val="20"/>
          <w:szCs w:val="20"/>
          <w:color w:val="auto"/>
        </w:rPr>
      </w:pPr>
      <w:r>
        <w:rPr>
          <w:rFonts w:ascii="Times New Roman" w:cs="Times New Roman" w:eastAsia="Times New Roman" w:hAnsi="Times New Roman"/>
          <w:sz w:val="11"/>
          <w:szCs w:val="11"/>
          <w:color w:val="auto"/>
        </w:rPr>
        <w:t>We expect it to only grow moderately, at a 1% compound annual growth rate (CAGR) between 2023 and 2028 excluding the impact of changes in foreign currency exchange rates.</w:t>
      </w:r>
    </w:p>
    <w:p>
      <w:pPr>
        <w:spacing w:after="0" w:line="3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5"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We expect that fixed wireless access, fiber, IP routing and optical networks will grow faster than the overall CSP market, driven by the continuous demand for higher speed access technologies at homes and workplaces. The 5G cycle will also yield growth in software, namely in 5G Core and in all software segments supporting 5G operability and monetization.</w:t>
      </w:r>
    </w:p>
    <w:p>
      <w:pPr>
        <w:spacing w:after="0" w:line="60"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CSPs have kept their capital expenditure intensity flat, but increased their earnings through automation, digitalization, shifts in channel mix, outsourcing and asset sales. We expect them to remain focused on the monetization of their connectivity strengths, and on cost optimization. They are also considering divesting from passive infrastructure and transitioning towards network sharing models. In areas in which the network is built for coverage, this might reduce demand for network vendor equipment. We have also seen the first examples of CSPs relying on webscalers to lead the transition to cloud-based operational and business models. When combined with open RAN standards that aim at splitting a base transceiver station into subcomponents with open interfaces, this may allow for new entrants into the market and increase competition. Conversely, it should also serve to accelerate innovation and create opportunities for market share gains for those investing in the technology, including for Nokia.</w:t>
      </w:r>
    </w:p>
    <w:p>
      <w:pPr>
        <w:spacing w:after="0" w:line="191"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Geopolitics and environmental criteria increasingly influence investment and vendor decisions. Security and sovereignty have become important factors across the vendor landscape. Government-funded broadband initiatives also provide additional funding for investments, for example in rural areas. Sustainability considerations such as green energy use, energy consumption reduction plans and circular economy approaches also shift the criteria for vendor selection.</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88" w:lineRule="exact"/>
        <w:rPr>
          <w:sz w:val="20"/>
          <w:szCs w:val="20"/>
          <w:color w:val="auto"/>
        </w:rPr>
      </w:pPr>
    </w:p>
    <w:p>
      <w:pPr>
        <w:ind w:left="120"/>
        <w:spacing w:after="0"/>
        <w:tabs>
          <w:tab w:leader="none" w:pos="360" w:val="left"/>
        </w:tabs>
        <w:rPr>
          <w:sz w:val="20"/>
          <w:szCs w:val="20"/>
          <w:color w:val="auto"/>
        </w:rPr>
      </w:pPr>
      <w:r>
        <w:rPr>
          <w:rFonts w:ascii="Times New Roman" w:cs="Times New Roman" w:eastAsia="Times New Roman" w:hAnsi="Times New Roman"/>
          <w:sz w:val="16"/>
          <w:szCs w:val="16"/>
          <w:color w:val="FFFFFF"/>
        </w:rPr>
        <w:t>2</w:t>
      </w:r>
      <w:r>
        <w:rPr>
          <w:rFonts w:ascii="Times New Roman" w:cs="Times New Roman" w:eastAsia="Times New Roman" w:hAnsi="Times New Roman"/>
          <w:sz w:val="16"/>
          <w:szCs w:val="16"/>
          <w:color w:val="23ABB6"/>
        </w:rPr>
        <w:tab/>
        <w:t>Enterprises</w:t>
      </w:r>
    </w:p>
    <w:p>
      <w:pPr>
        <w:spacing w:after="0" w:line="117" w:lineRule="exact"/>
        <w:rPr>
          <w:sz w:val="20"/>
          <w:szCs w:val="20"/>
          <w:color w:val="auto"/>
        </w:rPr>
      </w:pPr>
    </w:p>
    <w:p>
      <w:pPr>
        <w:ind w:right="720"/>
        <w:spacing w:after="0" w:line="275" w:lineRule="auto"/>
        <w:rPr>
          <w:sz w:val="20"/>
          <w:szCs w:val="20"/>
          <w:color w:val="auto"/>
        </w:rPr>
      </w:pPr>
      <w:r>
        <w:rPr>
          <w:rFonts w:ascii="Times New Roman" w:cs="Times New Roman" w:eastAsia="Times New Roman" w:hAnsi="Times New Roman"/>
          <w:sz w:val="13"/>
          <w:szCs w:val="13"/>
          <w:color w:val="auto"/>
        </w:rPr>
        <w:t>Enterprise estimated TAM grew by 7% to EUR 16 billion from 2022 to 2023.</w:t>
      </w:r>
    </w:p>
    <w:p>
      <w:pPr>
        <w:spacing w:after="0" w:line="1" w:lineRule="exact"/>
        <w:rPr>
          <w:sz w:val="20"/>
          <w:szCs w:val="20"/>
          <w:color w:val="auto"/>
        </w:rPr>
      </w:pPr>
    </w:p>
    <w:p>
      <w:pPr>
        <w:ind w:right="200"/>
        <w:spacing w:after="0" w:line="266" w:lineRule="auto"/>
        <w:rPr>
          <w:sz w:val="20"/>
          <w:szCs w:val="20"/>
          <w:color w:val="auto"/>
        </w:rPr>
      </w:pPr>
      <w:r>
        <w:rPr>
          <w:rFonts w:ascii="Times New Roman" w:cs="Times New Roman" w:eastAsia="Times New Roman" w:hAnsi="Times New Roman"/>
          <w:sz w:val="11"/>
          <w:szCs w:val="11"/>
          <w:color w:val="auto"/>
        </w:rPr>
        <w:t>Enterprise TAM includes enterprise verticals and webscaler markets. In 2023, the estimated enterprise TAM (excluding Russia and Belarus) was EUR 16 billion, having grown by 7% from 2022 to 2023 excluding the impact of changes in foreign currency exchange rates. We forecast this market to grow strongly, at 7% CAGR until 2028 excluding the impact of changes in foreign currency exchange rates, with the private wireless market reaching 22% CAGR.</w:t>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Enterprise verticals</w:t>
      </w:r>
    </w:p>
    <w:p>
      <w:pPr>
        <w:spacing w:after="0" w:line="32" w:lineRule="exact"/>
        <w:rPr>
          <w:sz w:val="20"/>
          <w:szCs w:val="20"/>
          <w:color w:val="auto"/>
        </w:rPr>
      </w:pPr>
    </w:p>
    <w:p>
      <w:pPr>
        <w:ind w:right="340"/>
        <w:spacing w:after="0" w:line="265" w:lineRule="auto"/>
        <w:rPr>
          <w:sz w:val="20"/>
          <w:szCs w:val="20"/>
          <w:color w:val="auto"/>
        </w:rPr>
      </w:pPr>
      <w:r>
        <w:rPr>
          <w:rFonts w:ascii="Times New Roman" w:cs="Times New Roman" w:eastAsia="Times New Roman" w:hAnsi="Times New Roman"/>
          <w:sz w:val="11"/>
          <w:szCs w:val="11"/>
          <w:color w:val="auto"/>
        </w:rPr>
        <w:t>An enterprise vertical represents a grouping of companies by an industry that offers products and services that meet specific needs. We primarily focus on transportation and logistics, energy, manufacturing, and public sector verticals. This reflects our assessment that these are seeing the most significant digitalization over the coming years, as they automate many aspects of their operations. We project that growth will mainly be driven by private wireless and wireline networks in manufacturing, as well as in the public sector and in energy. We estimate that IP routing and optical networks will also continue to grow moderately in these segments.</w:t>
      </w:r>
    </w:p>
    <w:p>
      <w:pPr>
        <w:sectPr>
          <w:pgSz w:w="11900" w:h="16838" w:orient="portrait"/>
          <w:cols w:equalWidth="0" w:num="3">
            <w:col w:w="3020" w:space="380"/>
            <w:col w:w="2940" w:space="460"/>
            <w:col w:w="3180"/>
          </w:cols>
          <w:pgMar w:left="960" w:top="409" w:right="959" w:bottom="1440" w:gutter="0" w:footer="0" w:header="0"/>
          <w:type w:val="continuous"/>
        </w:sectPr>
      </w:pPr>
    </w:p>
    <w:bookmarkStart w:id="21" w:name="page22"/>
    <w:bookmarkEnd w:id="21"/>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customers continued</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14</w:t>
      </w:r>
    </w:p>
    <w:p>
      <w:pPr>
        <w:spacing w:after="0" w:line="614" w:lineRule="exact"/>
        <w:rPr>
          <w:sz w:val="20"/>
          <w:szCs w:val="20"/>
          <w:color w:val="auto"/>
        </w:rPr>
      </w:pPr>
    </w:p>
    <w:p>
      <w:pPr>
        <w:sectPr>
          <w:pgSz w:w="11900" w:h="16838" w:orient="portrait"/>
          <w:cols w:equalWidth="0" w:num="3">
            <w:col w:w="2820" w:space="580"/>
            <w:col w:w="5740" w:space="720"/>
            <w:col w:w="120"/>
          </w:cols>
          <w:pgMar w:left="960" w:top="409" w:right="959" w:bottom="1440" w:gutter="0" w:footer="0" w:header="0"/>
        </w:sectPr>
      </w:pPr>
    </w:p>
    <w:p>
      <w:pPr>
        <w:spacing w:after="0" w:line="30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Webscalers</w:t>
      </w:r>
    </w:p>
    <w:p>
      <w:pPr>
        <w:spacing w:after="0" w:line="32"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Webscaler refers to companies that provide cloud-based, scalable solutions and services. Alphabet (Google Cloud Platform), Amazon (Amazon Web Services) and Microsoft (Azure) are the largest cloud players – also referred to as hyperscalers – operating on a global scale. Our TAM for webscalers consists mainly of optical networks and IP routing. Within optical networks, we expect that data center interconnect (DCI) will be a strong growth driver, while the increasing webscaler data traffic requires adoption of higher bit rate technologies also in IP routing.</w:t>
      </w:r>
    </w:p>
    <w:p>
      <w:pPr>
        <w:spacing w:after="0" w:line="5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The largest global webscalers are also assuming an increasingly important role within the telecommunications domain. They target edge computing as the next growth engine for industrial automation workloads and low-latency applications. They also partner with CSPs to co-locate edge stacks on-premises and at metro sites. Additionally, they aim to run telecommunications network workloads on their cloud infrastructure. As such, webscalers are customers and partners, as well as potential competitors in some areas.</w:t>
      </w:r>
    </w:p>
    <w:p>
      <w:pPr>
        <w:spacing w:after="0" w:line="136" w:lineRule="exact"/>
        <w:rPr>
          <w:sz w:val="20"/>
          <w:szCs w:val="20"/>
          <w:color w:val="auto"/>
        </w:rPr>
      </w:pPr>
    </w:p>
    <w:p>
      <w:pPr>
        <w:ind w:left="380" w:hanging="271"/>
        <w:spacing w:after="0"/>
        <w:tabs>
          <w:tab w:leader="none" w:pos="380" w:val="left"/>
        </w:tabs>
        <w:numPr>
          <w:ilvl w:val="0"/>
          <w:numId w:val="12"/>
        </w:numPr>
        <w:rPr>
          <w:rFonts w:ascii="Times New Roman" w:cs="Times New Roman" w:eastAsia="Times New Roman" w:hAnsi="Times New Roman"/>
          <w:sz w:val="16"/>
          <w:szCs w:val="16"/>
          <w:color w:val="FFFFFF"/>
        </w:rPr>
      </w:pPr>
      <w:r>
        <w:rPr>
          <w:rFonts w:ascii="Times New Roman" w:cs="Times New Roman" w:eastAsia="Times New Roman" w:hAnsi="Times New Roman"/>
          <w:sz w:val="16"/>
          <w:szCs w:val="16"/>
          <w:color w:val="F47F31"/>
        </w:rPr>
        <w:t>Licensees</w:t>
      </w:r>
    </w:p>
    <w:p>
      <w:pPr>
        <w:spacing w:after="0" w:line="117" w:lineRule="exact"/>
        <w:rPr>
          <w:sz w:val="20"/>
          <w:szCs w:val="20"/>
          <w:color w:val="auto"/>
        </w:rPr>
      </w:pPr>
    </w:p>
    <w:p>
      <w:pPr>
        <w:ind w:right="20"/>
        <w:spacing w:after="0" w:line="265" w:lineRule="auto"/>
        <w:rPr>
          <w:sz w:val="20"/>
          <w:szCs w:val="20"/>
          <w:color w:val="auto"/>
        </w:rPr>
      </w:pPr>
      <w:r>
        <w:rPr>
          <w:rFonts w:ascii="Times New Roman" w:cs="Times New Roman" w:eastAsia="Times New Roman" w:hAnsi="Times New Roman"/>
          <w:sz w:val="11"/>
          <w:szCs w:val="11"/>
          <w:color w:val="auto"/>
        </w:rPr>
        <w:t>Licensees refers to companies who have agreed licenses to use Nokia’s intellectual property. This includes the licensing of Nokia’s patent portfolio, the licensing of technologies for integration into consumer devices and licensing of the Nokia brand. The majority of Nokia Technologies’ revenues comes from patent licensing where we have agreements with most major smartphone vendors as well as licensing programs for consumer electronics, video services, automotive and the wider IoT domain. In total, we have more than 200 licensees across all our programs, including companies like Apple, Samsung and Lenovo.</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69"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FFFFFF"/>
        </w:rPr>
        <w:t>1</w:t>
      </w:r>
    </w:p>
    <w:p>
      <w:pPr>
        <w:spacing w:after="0" w:line="6" w:lineRule="exact"/>
        <w:rPr>
          <w:sz w:val="20"/>
          <w:szCs w:val="20"/>
          <w:color w:val="auto"/>
        </w:rPr>
      </w:pPr>
    </w:p>
    <w:p>
      <w:pPr>
        <w:spacing w:after="0"/>
        <w:rPr>
          <w:sz w:val="20"/>
          <w:szCs w:val="20"/>
          <w:color w:val="auto"/>
        </w:rPr>
      </w:pPr>
      <w:r>
        <w:rPr>
          <w:sz w:val="1"/>
          <w:szCs w:val="1"/>
          <w:color w:val="auto"/>
        </w:rPr>
        <w:drawing>
          <wp:inline distT="0" distB="0" distL="0" distR="0">
            <wp:extent cx="57785" cy="269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extLst>
                    </a:blip>
                    <a:srcRect/>
                    <a:stretch>
                      <a:fillRect/>
                    </a:stretch>
                  </pic:blipFill>
                  <pic:spPr bwMode="auto">
                    <a:xfrm>
                      <a:off x="0" y="0"/>
                      <a:ext cx="57785" cy="269875"/>
                    </a:xfrm>
                    <a:prstGeom prst="rect">
                      <a:avLst/>
                    </a:prstGeom>
                    <a:noFill/>
                    <a:ln>
                      <a:noFill/>
                    </a:ln>
                  </pic:spPr>
                </pic:pic>
              </a:graphicData>
            </a:graphic>
          </wp:inline>
        </w:drawing>
      </w:r>
      <w:r>
        <w:rPr>
          <w:rFonts w:ascii="Times New Roman" w:cs="Times New Roman" w:eastAsia="Times New Roman" w:hAnsi="Times New Roman"/>
          <w:sz w:val="20"/>
          <w:szCs w:val="20"/>
          <w:b w:val="1"/>
          <w:bCs w:val="1"/>
          <w:color w:val="FFFFFF"/>
        </w:rPr>
        <w:t xml:space="preserve"> CSPs</w:t>
      </w:r>
    </w:p>
    <w:p>
      <w:pPr>
        <w:spacing w:after="0" w:line="129" w:lineRule="exact"/>
        <w:rPr>
          <w:sz w:val="20"/>
          <w:szCs w:val="20"/>
          <w:color w:val="auto"/>
        </w:rPr>
      </w:pPr>
    </w:p>
    <w:p>
      <w:pPr>
        <w:ind w:left="120" w:right="80"/>
        <w:spacing w:after="0" w:line="275" w:lineRule="auto"/>
        <w:rPr>
          <w:sz w:val="20"/>
          <w:szCs w:val="20"/>
          <w:color w:val="auto"/>
        </w:rPr>
      </w:pPr>
      <w:r>
        <w:rPr>
          <w:rFonts w:ascii="Times New Roman" w:cs="Times New Roman" w:eastAsia="Times New Roman" w:hAnsi="Times New Roman"/>
          <w:sz w:val="13"/>
          <w:szCs w:val="13"/>
          <w:color w:val="auto"/>
        </w:rPr>
        <w:t>Focus on connectivity strengths</w:t>
      </w:r>
    </w:p>
    <w:p>
      <w:pPr>
        <w:spacing w:after="0" w:line="1" w:lineRule="exact"/>
        <w:rPr>
          <w:sz w:val="20"/>
          <w:szCs w:val="20"/>
          <w:color w:val="auto"/>
        </w:rPr>
      </w:pPr>
    </w:p>
    <w:p>
      <w:pPr>
        <w:ind w:left="120"/>
        <w:spacing w:after="0" w:line="275" w:lineRule="auto"/>
        <w:rPr>
          <w:sz w:val="20"/>
          <w:szCs w:val="20"/>
          <w:color w:val="auto"/>
        </w:rPr>
      </w:pPr>
      <w:r>
        <w:rPr>
          <w:rFonts w:ascii="Times New Roman" w:cs="Times New Roman" w:eastAsia="Times New Roman" w:hAnsi="Times New Roman"/>
          <w:sz w:val="11"/>
          <w:szCs w:val="11"/>
          <w:color w:val="auto"/>
        </w:rPr>
        <w:t>and using cost optimization via automation and asset carve outs to fund both fiber and 5G investments</w:t>
      </w:r>
    </w:p>
    <w:p>
      <w:pPr>
        <w:spacing w:after="0" w:line="47"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Favoring cloud</w:t>
      </w:r>
    </w:p>
    <w:p>
      <w:pPr>
        <w:spacing w:after="0" w:line="25"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strengths</w:t>
      </w:r>
    </w:p>
    <w:p>
      <w:pPr>
        <w:spacing w:after="0" w:line="20"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in vendor and partner</w:t>
      </w:r>
    </w:p>
    <w:p>
      <w:pPr>
        <w:spacing w:after="0" w:line="2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ecosystem</w:t>
      </w:r>
    </w:p>
    <w:p>
      <w:pPr>
        <w:spacing w:after="0" w:line="80"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Network monetization</w:t>
      </w:r>
    </w:p>
    <w:p>
      <w:pPr>
        <w:spacing w:after="0" w:line="3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targeting enterprise and</w:t>
      </w:r>
    </w:p>
    <w:p>
      <w:pPr>
        <w:spacing w:after="0" w:line="2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edge use cases</w:t>
      </w:r>
    </w:p>
    <w:p>
      <w:pPr>
        <w:spacing w:after="0" w:line="20" w:lineRule="exact"/>
        <w:rPr>
          <w:sz w:val="20"/>
          <w:szCs w:val="20"/>
          <w:color w:val="auto"/>
        </w:rPr>
      </w:pPr>
      <w:r>
        <w:rPr>
          <w:sz w:val="20"/>
          <w:szCs w:val="20"/>
          <w:color w:val="auto"/>
        </w:rPr>
        <w:br w:type="column"/>
      </w:r>
    </w:p>
    <w:p>
      <w:pPr>
        <w:spacing w:after="0" w:line="169"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FFFFFF"/>
        </w:rPr>
        <w:t>2</w:t>
      </w:r>
    </w:p>
    <w:p>
      <w:pPr>
        <w:spacing w:after="0" w:line="6" w:lineRule="exact"/>
        <w:rPr>
          <w:sz w:val="20"/>
          <w:szCs w:val="20"/>
          <w:color w:val="auto"/>
        </w:rPr>
      </w:pPr>
    </w:p>
    <w:p>
      <w:pPr>
        <w:spacing w:after="0"/>
        <w:rPr>
          <w:sz w:val="20"/>
          <w:szCs w:val="20"/>
          <w:color w:val="auto"/>
        </w:rPr>
      </w:pPr>
      <w:r>
        <w:rPr>
          <w:sz w:val="1"/>
          <w:szCs w:val="1"/>
          <w:color w:val="auto"/>
        </w:rPr>
        <w:drawing>
          <wp:inline distT="0" distB="0" distL="0" distR="0">
            <wp:extent cx="57785" cy="269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extLst>
                    </a:blip>
                    <a:srcRect/>
                    <a:stretch>
                      <a:fillRect/>
                    </a:stretch>
                  </pic:blipFill>
                  <pic:spPr bwMode="auto">
                    <a:xfrm>
                      <a:off x="0" y="0"/>
                      <a:ext cx="57785" cy="269875"/>
                    </a:xfrm>
                    <a:prstGeom prst="rect">
                      <a:avLst/>
                    </a:prstGeom>
                    <a:noFill/>
                    <a:ln>
                      <a:noFill/>
                    </a:ln>
                  </pic:spPr>
                </pic:pic>
              </a:graphicData>
            </a:graphic>
          </wp:inline>
        </w:drawing>
      </w:r>
      <w:r>
        <w:rPr>
          <w:rFonts w:ascii="Times New Roman" w:cs="Times New Roman" w:eastAsia="Times New Roman" w:hAnsi="Times New Roman"/>
          <w:sz w:val="20"/>
          <w:szCs w:val="20"/>
          <w:b w:val="1"/>
          <w:bCs w:val="1"/>
          <w:color w:val="FFFFFF"/>
        </w:rPr>
        <w:t xml:space="preserve"> Enterprise</w:t>
      </w:r>
    </w:p>
    <w:p>
      <w:pPr>
        <w:spacing w:after="0" w:line="121"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6"/>
          <w:szCs w:val="16"/>
          <w:color w:val="23ABB6"/>
        </w:rPr>
        <w:t>Enterprise verticals</w:t>
      </w:r>
    </w:p>
    <w:p>
      <w:pPr>
        <w:spacing w:after="0" w:line="36"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Digitalization and automation</w:t>
      </w:r>
    </w:p>
    <w:p>
      <w:pPr>
        <w:spacing w:after="0" w:line="3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of operations in industrial segments</w:t>
      </w:r>
    </w:p>
    <w:p>
      <w:pPr>
        <w:spacing w:after="0" w:line="96"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Transition to software-centric</w:t>
      </w:r>
    </w:p>
    <w:p>
      <w:pPr>
        <w:spacing w:after="0" w:line="32" w:lineRule="exact"/>
        <w:rPr>
          <w:sz w:val="20"/>
          <w:szCs w:val="20"/>
          <w:color w:val="auto"/>
        </w:rPr>
      </w:pPr>
    </w:p>
    <w:p>
      <w:pPr>
        <w:ind w:left="120"/>
        <w:spacing w:after="0" w:line="290" w:lineRule="auto"/>
        <w:rPr>
          <w:sz w:val="20"/>
          <w:szCs w:val="20"/>
          <w:color w:val="auto"/>
        </w:rPr>
      </w:pPr>
      <w:r>
        <w:rPr>
          <w:rFonts w:ascii="Times New Roman" w:cs="Times New Roman" w:eastAsia="Times New Roman" w:hAnsi="Times New Roman"/>
          <w:sz w:val="11"/>
          <w:szCs w:val="11"/>
          <w:color w:val="auto"/>
        </w:rPr>
        <w:t>operations and adoption of industrial operational technology (OT) edge and on-premise clouds</w:t>
      </w:r>
    </w:p>
    <w:p>
      <w:pPr>
        <w:spacing w:after="0" w:line="48"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Energy and manufacturing</w:t>
      </w:r>
    </w:p>
    <w:p>
      <w:pPr>
        <w:spacing w:after="0" w:line="32" w:lineRule="exact"/>
        <w:rPr>
          <w:sz w:val="20"/>
          <w:szCs w:val="20"/>
          <w:color w:val="auto"/>
        </w:rPr>
      </w:pPr>
    </w:p>
    <w:p>
      <w:pPr>
        <w:ind w:left="120" w:right="400"/>
        <w:spacing w:after="0" w:line="290" w:lineRule="auto"/>
        <w:rPr>
          <w:sz w:val="20"/>
          <w:szCs w:val="20"/>
          <w:color w:val="auto"/>
        </w:rPr>
      </w:pPr>
      <w:r>
        <w:rPr>
          <w:rFonts w:ascii="Times New Roman" w:cs="Times New Roman" w:eastAsia="Times New Roman" w:hAnsi="Times New Roman"/>
          <w:sz w:val="11"/>
          <w:szCs w:val="11"/>
          <w:color w:val="auto"/>
        </w:rPr>
        <w:t>as early adopters of private wireless and automation solutions</w:t>
      </w:r>
    </w:p>
    <w:p>
      <w:pPr>
        <w:spacing w:after="0" w:line="48"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Federal, state government</w:t>
      </w:r>
    </w:p>
    <w:p>
      <w:pPr>
        <w:spacing w:after="0" w:line="3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and cities network modernization acceleration</w:t>
      </w:r>
    </w:p>
    <w:p>
      <w:pPr>
        <w:spacing w:after="0" w:line="200" w:lineRule="exact"/>
        <w:rPr>
          <w:sz w:val="20"/>
          <w:szCs w:val="20"/>
          <w:color w:val="auto"/>
        </w:rPr>
      </w:pPr>
    </w:p>
    <w:p>
      <w:pPr>
        <w:spacing w:after="0" w:line="333"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6"/>
          <w:szCs w:val="16"/>
          <w:color w:val="23ABB6"/>
        </w:rPr>
        <w:t>Webscalers</w:t>
      </w:r>
    </w:p>
    <w:p>
      <w:pPr>
        <w:spacing w:after="0" w:line="36"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Edge computing</w:t>
      </w:r>
    </w:p>
    <w:p>
      <w:pPr>
        <w:spacing w:after="0" w:line="32" w:lineRule="exact"/>
        <w:rPr>
          <w:sz w:val="20"/>
          <w:szCs w:val="20"/>
          <w:color w:val="auto"/>
        </w:rPr>
      </w:pPr>
    </w:p>
    <w:p>
      <w:pPr>
        <w:ind w:left="120"/>
        <w:spacing w:after="0" w:line="309" w:lineRule="auto"/>
        <w:rPr>
          <w:sz w:val="20"/>
          <w:szCs w:val="20"/>
          <w:color w:val="auto"/>
        </w:rPr>
      </w:pPr>
      <w:r>
        <w:rPr>
          <w:rFonts w:ascii="Times New Roman" w:cs="Times New Roman" w:eastAsia="Times New Roman" w:hAnsi="Times New Roman"/>
          <w:sz w:val="11"/>
          <w:szCs w:val="11"/>
          <w:color w:val="auto"/>
        </w:rPr>
        <w:t>as a growth engine – industrial automation workloads across on-premise, edge, public cloud</w:t>
      </w:r>
    </w:p>
    <w:p>
      <w:pPr>
        <w:spacing w:after="0" w:line="28"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Partnering with CSPs</w:t>
      </w:r>
    </w:p>
    <w:p>
      <w:pPr>
        <w:spacing w:after="0" w:line="32" w:lineRule="exact"/>
        <w:rPr>
          <w:sz w:val="20"/>
          <w:szCs w:val="20"/>
          <w:color w:val="auto"/>
        </w:rPr>
      </w:pPr>
    </w:p>
    <w:p>
      <w:pPr>
        <w:ind w:left="120" w:right="400"/>
        <w:spacing w:after="0" w:line="309" w:lineRule="auto"/>
        <w:rPr>
          <w:sz w:val="20"/>
          <w:szCs w:val="20"/>
          <w:color w:val="auto"/>
        </w:rPr>
      </w:pPr>
      <w:r>
        <w:rPr>
          <w:rFonts w:ascii="Times New Roman" w:cs="Times New Roman" w:eastAsia="Times New Roman" w:hAnsi="Times New Roman"/>
          <w:sz w:val="11"/>
          <w:szCs w:val="11"/>
          <w:color w:val="auto"/>
        </w:rPr>
        <w:t>to co-locate edge stacks and building an ecosystem for low-latency apps</w:t>
      </w:r>
    </w:p>
    <w:p>
      <w:pPr>
        <w:spacing w:after="0" w:line="28"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Targeting telco and network</w:t>
      </w:r>
    </w:p>
    <w:p>
      <w:pPr>
        <w:spacing w:after="0" w:line="3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workloads to run on their cloud infrastructure</w:t>
      </w:r>
    </w:p>
    <w:p>
      <w:pPr>
        <w:spacing w:after="0" w:line="96"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Collaborating with CSPs</w:t>
      </w:r>
    </w:p>
    <w:p>
      <w:pPr>
        <w:spacing w:after="0" w:line="3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in the transformation of network operations</w:t>
      </w:r>
    </w:p>
    <w:p>
      <w:pPr>
        <w:spacing w:after="0" w:line="20" w:lineRule="exact"/>
        <w:rPr>
          <w:sz w:val="20"/>
          <w:szCs w:val="20"/>
          <w:color w:val="auto"/>
        </w:rPr>
      </w:pPr>
      <w:r>
        <w:rPr>
          <w:sz w:val="20"/>
          <w:szCs w:val="20"/>
          <w:color w:val="auto"/>
        </w:rPr>
        <w:br w:type="column"/>
      </w:r>
    </w:p>
    <w:p>
      <w:pPr>
        <w:spacing w:after="0" w:line="169"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FFFFFF"/>
        </w:rPr>
        <w:t>3</w:t>
      </w:r>
    </w:p>
    <w:p>
      <w:pPr>
        <w:spacing w:after="0" w:line="6" w:lineRule="exact"/>
        <w:rPr>
          <w:sz w:val="20"/>
          <w:szCs w:val="20"/>
          <w:color w:val="auto"/>
        </w:rPr>
      </w:pPr>
    </w:p>
    <w:p>
      <w:pPr>
        <w:spacing w:after="0"/>
        <w:rPr>
          <w:sz w:val="20"/>
          <w:szCs w:val="20"/>
          <w:color w:val="auto"/>
        </w:rPr>
      </w:pPr>
      <w:r>
        <w:rPr>
          <w:sz w:val="1"/>
          <w:szCs w:val="1"/>
          <w:color w:val="auto"/>
        </w:rPr>
        <w:drawing>
          <wp:inline distT="0" distB="0" distL="0" distR="0">
            <wp:extent cx="57785" cy="2698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extLst>
                    </a:blip>
                    <a:srcRect/>
                    <a:stretch>
                      <a:fillRect/>
                    </a:stretch>
                  </pic:blipFill>
                  <pic:spPr bwMode="auto">
                    <a:xfrm>
                      <a:off x="0" y="0"/>
                      <a:ext cx="57785" cy="269875"/>
                    </a:xfrm>
                    <a:prstGeom prst="rect">
                      <a:avLst/>
                    </a:prstGeom>
                    <a:noFill/>
                    <a:ln>
                      <a:noFill/>
                    </a:ln>
                  </pic:spPr>
                </pic:pic>
              </a:graphicData>
            </a:graphic>
          </wp:inline>
        </w:drawing>
      </w:r>
      <w:r>
        <w:rPr>
          <w:rFonts w:ascii="Times New Roman" w:cs="Times New Roman" w:eastAsia="Times New Roman" w:hAnsi="Times New Roman"/>
          <w:sz w:val="20"/>
          <w:szCs w:val="20"/>
          <w:b w:val="1"/>
          <w:bCs w:val="1"/>
          <w:color w:val="FFFFFF"/>
        </w:rPr>
        <w:t xml:space="preserve"> Licensees</w:t>
      </w:r>
    </w:p>
    <w:p>
      <w:pPr>
        <w:spacing w:after="0" w:line="129"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Patent portfolio</w:t>
      </w:r>
    </w:p>
    <w:p>
      <w:pPr>
        <w:spacing w:after="0" w:line="25"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with long lifetime</w:t>
      </w:r>
    </w:p>
    <w:p>
      <w:pPr>
        <w:spacing w:after="0" w:line="20" w:lineRule="exact"/>
        <w:rPr>
          <w:sz w:val="20"/>
          <w:szCs w:val="20"/>
          <w:color w:val="auto"/>
        </w:rPr>
      </w:pPr>
    </w:p>
    <w:p>
      <w:pPr>
        <w:ind w:left="120" w:right="260"/>
        <w:spacing w:after="0" w:line="279" w:lineRule="auto"/>
        <w:rPr>
          <w:sz w:val="20"/>
          <w:szCs w:val="20"/>
          <w:color w:val="auto"/>
        </w:rPr>
      </w:pPr>
      <w:r>
        <w:rPr>
          <w:rFonts w:ascii="Times New Roman" w:cs="Times New Roman" w:eastAsia="Times New Roman" w:hAnsi="Times New Roman"/>
          <w:sz w:val="11"/>
          <w:szCs w:val="11"/>
          <w:color w:val="auto"/>
        </w:rPr>
        <w:t>the vast majority of Nokia’s patents still in force in ten years’ time</w:t>
      </w:r>
    </w:p>
    <w:p>
      <w:pPr>
        <w:spacing w:after="0" w:line="55"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New inventions</w:t>
      </w:r>
    </w:p>
    <w:p>
      <w:pPr>
        <w:spacing w:after="0" w:line="25"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every year</w:t>
      </w:r>
    </w:p>
    <w:p>
      <w:pPr>
        <w:spacing w:after="0" w:line="20" w:lineRule="exact"/>
        <w:rPr>
          <w:sz w:val="20"/>
          <w:szCs w:val="20"/>
          <w:color w:val="auto"/>
        </w:rPr>
      </w:pPr>
    </w:p>
    <w:p>
      <w:pPr>
        <w:ind w:left="120" w:right="300"/>
        <w:spacing w:after="0" w:line="269" w:lineRule="auto"/>
        <w:rPr>
          <w:sz w:val="20"/>
          <w:szCs w:val="20"/>
          <w:color w:val="auto"/>
        </w:rPr>
      </w:pPr>
      <w:r>
        <w:rPr>
          <w:rFonts w:ascii="Times New Roman" w:cs="Times New Roman" w:eastAsia="Times New Roman" w:hAnsi="Times New Roman"/>
          <w:sz w:val="11"/>
          <w:szCs w:val="11"/>
          <w:color w:val="auto"/>
        </w:rPr>
        <w:t>In 2023, Nokia filed patent applications on more than 2 300 new inventions, enabling 5G networks, connected 5G devices and more</w:t>
      </w:r>
    </w:p>
    <w:p>
      <w:pPr>
        <w:spacing w:after="0" w:line="50" w:lineRule="exact"/>
        <w:rPr>
          <w:sz w:val="20"/>
          <w:szCs w:val="20"/>
          <w:color w:val="auto"/>
        </w:rPr>
      </w:pPr>
    </w:p>
    <w:p>
      <w:pPr>
        <w:ind w:left="120" w:right="320"/>
        <w:spacing w:after="0" w:line="270" w:lineRule="auto"/>
        <w:rPr>
          <w:sz w:val="20"/>
          <w:szCs w:val="20"/>
          <w:color w:val="auto"/>
        </w:rPr>
      </w:pPr>
      <w:r>
        <w:rPr>
          <w:rFonts w:ascii="Times New Roman" w:cs="Times New Roman" w:eastAsia="Times New Roman" w:hAnsi="Times New Roman"/>
          <w:sz w:val="13"/>
          <w:szCs w:val="13"/>
          <w:color w:val="auto"/>
        </w:rPr>
        <w:t>Annual number of patent filings expected to grow</w:t>
      </w:r>
    </w:p>
    <w:p>
      <w:pPr>
        <w:spacing w:after="0" w:line="1"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due to continued</w:t>
      </w:r>
    </w:p>
    <w:p>
      <w:pPr>
        <w:spacing w:after="0" w:line="2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investments in R&amp;D and</w:t>
      </w:r>
    </w:p>
    <w:p>
      <w:pPr>
        <w:spacing w:after="0" w:line="10"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1"/>
          <w:szCs w:val="11"/>
          <w:color w:val="auto"/>
        </w:rPr>
        <w:t>standardization</w:t>
      </w:r>
    </w:p>
    <w:p>
      <w:pPr>
        <w:spacing w:after="0" w:line="84"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Entire industries</w:t>
      </w:r>
    </w:p>
    <w:p>
      <w:pPr>
        <w:spacing w:after="0" w:line="25"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powered by our</w:t>
      </w:r>
    </w:p>
    <w:p>
      <w:pPr>
        <w:spacing w:after="0" w:line="1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fundamental cellular</w:t>
      </w:r>
    </w:p>
    <w:p>
      <w:pPr>
        <w:spacing w:after="0" w:line="1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and multimedia</w:t>
      </w:r>
    </w:p>
    <w:p>
      <w:pPr>
        <w:spacing w:after="0" w:line="1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3"/>
          <w:szCs w:val="13"/>
          <w:color w:val="auto"/>
        </w:rPr>
        <w:t>inventions</w:t>
      </w:r>
    </w:p>
    <w:p>
      <w:pPr>
        <w:spacing w:after="0" w:line="20" w:lineRule="exact"/>
        <w:rPr>
          <w:sz w:val="20"/>
          <w:szCs w:val="20"/>
          <w:color w:val="auto"/>
        </w:rPr>
      </w:pPr>
    </w:p>
    <w:p>
      <w:pPr>
        <w:ind w:left="120" w:right="320"/>
        <w:spacing w:after="0" w:line="269" w:lineRule="auto"/>
        <w:rPr>
          <w:sz w:val="20"/>
          <w:szCs w:val="20"/>
          <w:color w:val="auto"/>
        </w:rPr>
      </w:pPr>
      <w:r>
        <w:rPr>
          <w:rFonts w:ascii="Times New Roman" w:cs="Times New Roman" w:eastAsia="Times New Roman" w:hAnsi="Times New Roman"/>
          <w:sz w:val="11"/>
          <w:szCs w:val="11"/>
          <w:color w:val="auto"/>
        </w:rPr>
        <w:t>providing us with the opportunity to expand our licensing coverage; we are making good progress in our growth areas of consumer electronics, automotive and IoT</w:t>
      </w:r>
    </w:p>
    <w:p>
      <w:pPr>
        <w:sectPr>
          <w:pgSz w:w="11900" w:h="16838" w:orient="portrait"/>
          <w:cols w:equalWidth="0" w:num="4">
            <w:col w:w="2920" w:space="480"/>
            <w:col w:w="1400" w:space="460"/>
            <w:col w:w="2360" w:space="700"/>
            <w:col w:w="1660"/>
          </w:cols>
          <w:pgMar w:left="960" w:top="409" w:right="959" w:bottom="1440" w:gutter="0" w:footer="0" w:header="0"/>
          <w:type w:val="continuous"/>
        </w:sectPr>
      </w:pPr>
    </w:p>
    <w:bookmarkStart w:id="22" w:name="page23"/>
    <w:bookmarkEnd w:id="22"/>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strategy</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Our strategy</w:t>
      </w:r>
    </w:p>
    <w:p>
      <w:pPr>
        <w:spacing w:after="0" w:line="1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Networks are the key enabler for the digitalization of</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9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The six pillars are:</w:t>
      </w:r>
    </w:p>
    <w:p>
      <w:pPr>
        <w:spacing w:after="0" w:line="100" w:lineRule="exact"/>
        <w:rPr>
          <w:sz w:val="20"/>
          <w:szCs w:val="20"/>
          <w:color w:val="auto"/>
        </w:rPr>
      </w:pPr>
    </w:p>
    <w:tbl>
      <w:tblPr>
        <w:tblLayout w:type="fixed"/>
        <w:tblInd w:w="0" w:type="dxa"/>
        <w:tblCellMar>
          <w:top w:w="0" w:type="dxa"/>
          <w:left w:w="0" w:type="dxa"/>
          <w:bottom w:w="0" w:type="dxa"/>
          <w:right w:w="0" w:type="dxa"/>
        </w:tblCellMar>
      </w:tblPr>
      <w:tr>
        <w:trPr>
          <w:trHeight w:val="233"/>
        </w:trPr>
        <w:tc>
          <w:tcPr>
            <w:tcW w:w="1940" w:type="dxa"/>
            <w:vAlign w:val="bottom"/>
            <w:shd w:val="clear" w:color="auto" w:fill="005AFF"/>
          </w:tcPr>
          <w:p>
            <w:pPr>
              <w:ind w:left="120"/>
              <w:spacing w:after="0"/>
              <w:rPr>
                <w:sz w:val="20"/>
                <w:szCs w:val="20"/>
                <w:color w:val="auto"/>
              </w:rPr>
            </w:pPr>
            <w:r>
              <w:rPr>
                <w:rFonts w:ascii="Times New Roman" w:cs="Times New Roman" w:eastAsia="Times New Roman" w:hAnsi="Times New Roman"/>
                <w:sz w:val="15"/>
                <w:szCs w:val="15"/>
                <w:color w:val="FFFFFF"/>
              </w:rPr>
              <w:t>Grow CSP business</w:t>
            </w:r>
          </w:p>
        </w:tc>
        <w:tc>
          <w:tcPr>
            <w:tcW w:w="200" w:type="dxa"/>
            <w:vAlign w:val="bottom"/>
            <w:shd w:val="clear" w:color="auto" w:fill="001135"/>
          </w:tcPr>
          <w:p>
            <w:pPr>
              <w:jc w:val="right"/>
              <w:spacing w:after="0"/>
              <w:rPr>
                <w:sz w:val="20"/>
                <w:szCs w:val="20"/>
                <w:color w:val="auto"/>
              </w:rPr>
            </w:pPr>
            <w:r>
              <w:rPr>
                <w:rFonts w:ascii="Times New Roman" w:cs="Times New Roman" w:eastAsia="Times New Roman" w:hAnsi="Times New Roman"/>
                <w:sz w:val="16"/>
                <w:szCs w:val="16"/>
                <w:color w:val="FFFFFF"/>
              </w:rPr>
              <w:t>1</w:t>
            </w:r>
          </w:p>
        </w:tc>
        <w:tc>
          <w:tcPr>
            <w:tcW w:w="140" w:type="dxa"/>
            <w:vAlign w:val="bottom"/>
          </w:tcPr>
          <w:p>
            <w:pPr>
              <w:spacing w:after="0"/>
              <w:rPr>
                <w:sz w:val="20"/>
                <w:szCs w:val="20"/>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Expand the share of</w:t>
            </w:r>
          </w:p>
        </w:tc>
        <w:tc>
          <w:tcPr>
            <w:tcW w:w="200" w:type="dxa"/>
            <w:vAlign w:val="bottom"/>
            <w:shd w:val="clear" w:color="auto" w:fill="12233A"/>
          </w:tcPr>
          <w:p>
            <w:pPr>
              <w:jc w:val="right"/>
              <w:spacing w:after="0"/>
              <w:rPr>
                <w:sz w:val="20"/>
                <w:szCs w:val="20"/>
                <w:color w:val="auto"/>
              </w:rPr>
            </w:pPr>
            <w:r>
              <w:rPr>
                <w:rFonts w:ascii="Times New Roman" w:cs="Times New Roman" w:eastAsia="Times New Roman" w:hAnsi="Times New Roman"/>
                <w:sz w:val="16"/>
                <w:szCs w:val="16"/>
                <w:color w:val="FFFFFF"/>
              </w:rPr>
              <w:t>2</w:t>
            </w:r>
          </w:p>
        </w:tc>
        <w:tc>
          <w:tcPr>
            <w:tcW w:w="140" w:type="dxa"/>
            <w:vAlign w:val="bottom"/>
          </w:tcPr>
          <w:p>
            <w:pPr>
              <w:spacing w:after="0"/>
              <w:rPr>
                <w:sz w:val="20"/>
                <w:szCs w:val="20"/>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Actively manage</w:t>
            </w:r>
          </w:p>
        </w:tc>
        <w:tc>
          <w:tcPr>
            <w:tcW w:w="220" w:type="dxa"/>
            <w:vAlign w:val="bottom"/>
            <w:shd w:val="clear" w:color="auto" w:fill="001135"/>
          </w:tcPr>
          <w:p>
            <w:pPr>
              <w:jc w:val="right"/>
              <w:spacing w:after="0"/>
              <w:rPr>
                <w:sz w:val="20"/>
                <w:szCs w:val="20"/>
                <w:color w:val="auto"/>
              </w:rPr>
            </w:pPr>
            <w:r>
              <w:rPr>
                <w:rFonts w:ascii="Times New Roman" w:cs="Times New Roman" w:eastAsia="Times New Roman" w:hAnsi="Times New Roman"/>
                <w:sz w:val="16"/>
                <w:szCs w:val="16"/>
                <w:color w:val="FFFFFF"/>
              </w:rPr>
              <w:t>3</w:t>
            </w:r>
          </w:p>
        </w:tc>
      </w:tr>
      <w:tr>
        <w:trPr>
          <w:trHeight w:val="175"/>
        </w:trPr>
        <w:tc>
          <w:tcPr>
            <w:tcW w:w="1940" w:type="dxa"/>
            <w:vAlign w:val="bottom"/>
            <w:shd w:val="clear" w:color="auto" w:fill="005AFF"/>
          </w:tcPr>
          <w:p>
            <w:pPr>
              <w:ind w:left="120"/>
              <w:spacing w:after="0"/>
              <w:rPr>
                <w:sz w:val="20"/>
                <w:szCs w:val="20"/>
                <w:color w:val="auto"/>
              </w:rPr>
            </w:pPr>
            <w:r>
              <w:rPr>
                <w:rFonts w:ascii="Times New Roman" w:cs="Times New Roman" w:eastAsia="Times New Roman" w:hAnsi="Times New Roman"/>
                <w:sz w:val="15"/>
                <w:szCs w:val="15"/>
                <w:color w:val="FFFFFF"/>
              </w:rPr>
              <w:t>faster than market</w:t>
            </w:r>
          </w:p>
        </w:tc>
        <w:tc>
          <w:tcPr>
            <w:tcW w:w="200" w:type="dxa"/>
            <w:vAlign w:val="bottom"/>
            <w:shd w:val="clear" w:color="auto" w:fill="005AFF"/>
          </w:tcPr>
          <w:p>
            <w:pPr>
              <w:spacing w:after="0"/>
              <w:rPr>
                <w:sz w:val="15"/>
                <w:szCs w:val="15"/>
                <w:color w:val="auto"/>
              </w:rPr>
            </w:pPr>
          </w:p>
        </w:tc>
        <w:tc>
          <w:tcPr>
            <w:tcW w:w="140" w:type="dxa"/>
            <w:vAlign w:val="bottom"/>
          </w:tcPr>
          <w:p>
            <w:pPr>
              <w:spacing w:after="0"/>
              <w:rPr>
                <w:sz w:val="15"/>
                <w:szCs w:val="15"/>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enterprise in our business</w:t>
            </w:r>
          </w:p>
        </w:tc>
        <w:tc>
          <w:tcPr>
            <w:tcW w:w="200" w:type="dxa"/>
            <w:vAlign w:val="bottom"/>
            <w:shd w:val="clear" w:color="auto" w:fill="005AFF"/>
          </w:tcPr>
          <w:p>
            <w:pPr>
              <w:spacing w:after="0"/>
              <w:rPr>
                <w:sz w:val="15"/>
                <w:szCs w:val="15"/>
                <w:color w:val="auto"/>
              </w:rPr>
            </w:pPr>
          </w:p>
        </w:tc>
        <w:tc>
          <w:tcPr>
            <w:tcW w:w="140" w:type="dxa"/>
            <w:vAlign w:val="bottom"/>
          </w:tcPr>
          <w:p>
            <w:pPr>
              <w:spacing w:after="0"/>
              <w:rPr>
                <w:sz w:val="15"/>
                <w:szCs w:val="15"/>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our portfolio</w:t>
            </w:r>
          </w:p>
        </w:tc>
        <w:tc>
          <w:tcPr>
            <w:tcW w:w="220" w:type="dxa"/>
            <w:vAlign w:val="bottom"/>
            <w:shd w:val="clear" w:color="auto" w:fill="005AFF"/>
          </w:tcPr>
          <w:p>
            <w:pPr>
              <w:spacing w:after="0"/>
              <w:rPr>
                <w:sz w:val="15"/>
                <w:szCs w:val="15"/>
                <w:color w:val="auto"/>
              </w:rPr>
            </w:pPr>
          </w:p>
        </w:tc>
      </w:tr>
      <w:tr>
        <w:trPr>
          <w:trHeight w:val="37"/>
        </w:trPr>
        <w:tc>
          <w:tcPr>
            <w:tcW w:w="1940" w:type="dxa"/>
            <w:vAlign w:val="bottom"/>
            <w:shd w:val="clear" w:color="auto" w:fill="005AFF"/>
          </w:tcPr>
          <w:p>
            <w:pPr>
              <w:spacing w:after="0"/>
              <w:rPr>
                <w:sz w:val="3"/>
                <w:szCs w:val="3"/>
                <w:color w:val="auto"/>
              </w:rPr>
            </w:pPr>
          </w:p>
        </w:tc>
        <w:tc>
          <w:tcPr>
            <w:tcW w:w="200" w:type="dxa"/>
            <w:vAlign w:val="bottom"/>
            <w:shd w:val="clear" w:color="auto" w:fill="005AFF"/>
          </w:tcPr>
          <w:p>
            <w:pPr>
              <w:spacing w:after="0"/>
              <w:rPr>
                <w:sz w:val="3"/>
                <w:szCs w:val="3"/>
                <w:color w:val="auto"/>
              </w:rPr>
            </w:pPr>
          </w:p>
        </w:tc>
        <w:tc>
          <w:tcPr>
            <w:tcW w:w="140" w:type="dxa"/>
            <w:vAlign w:val="bottom"/>
          </w:tcPr>
          <w:p>
            <w:pPr>
              <w:spacing w:after="0"/>
              <w:rPr>
                <w:sz w:val="3"/>
                <w:szCs w:val="3"/>
                <w:color w:val="auto"/>
              </w:rPr>
            </w:pPr>
          </w:p>
        </w:tc>
        <w:tc>
          <w:tcPr>
            <w:tcW w:w="1920" w:type="dxa"/>
            <w:vAlign w:val="bottom"/>
            <w:shd w:val="clear" w:color="auto" w:fill="005AFF"/>
          </w:tcPr>
          <w:p>
            <w:pPr>
              <w:spacing w:after="0"/>
              <w:rPr>
                <w:sz w:val="3"/>
                <w:szCs w:val="3"/>
                <w:color w:val="auto"/>
              </w:rPr>
            </w:pPr>
          </w:p>
        </w:tc>
        <w:tc>
          <w:tcPr>
            <w:tcW w:w="200" w:type="dxa"/>
            <w:vAlign w:val="bottom"/>
            <w:shd w:val="clear" w:color="auto" w:fill="005AFF"/>
          </w:tcPr>
          <w:p>
            <w:pPr>
              <w:spacing w:after="0"/>
              <w:rPr>
                <w:sz w:val="3"/>
                <w:szCs w:val="3"/>
                <w:color w:val="auto"/>
              </w:rPr>
            </w:pPr>
          </w:p>
        </w:tc>
        <w:tc>
          <w:tcPr>
            <w:tcW w:w="140" w:type="dxa"/>
            <w:vAlign w:val="bottom"/>
          </w:tcPr>
          <w:p>
            <w:pPr>
              <w:spacing w:after="0"/>
              <w:rPr>
                <w:sz w:val="3"/>
                <w:szCs w:val="3"/>
                <w:color w:val="auto"/>
              </w:rPr>
            </w:pPr>
          </w:p>
        </w:tc>
        <w:tc>
          <w:tcPr>
            <w:tcW w:w="1920" w:type="dxa"/>
            <w:vAlign w:val="bottom"/>
            <w:shd w:val="clear" w:color="auto" w:fill="005AFF"/>
          </w:tcPr>
          <w:p>
            <w:pPr>
              <w:spacing w:after="0"/>
              <w:rPr>
                <w:sz w:val="3"/>
                <w:szCs w:val="3"/>
                <w:color w:val="auto"/>
              </w:rPr>
            </w:pPr>
          </w:p>
        </w:tc>
        <w:tc>
          <w:tcPr>
            <w:tcW w:w="220" w:type="dxa"/>
            <w:vAlign w:val="bottom"/>
            <w:shd w:val="clear" w:color="auto" w:fill="005AFF"/>
          </w:tcPr>
          <w:p>
            <w:pPr>
              <w:spacing w:after="0"/>
              <w:rPr>
                <w:sz w:val="3"/>
                <w:szCs w:val="3"/>
                <w:color w:val="auto"/>
              </w:rPr>
            </w:pPr>
          </w:p>
        </w:tc>
      </w:tr>
    </w:tbl>
    <w:p>
      <w:pPr>
        <w:spacing w:after="0" w:line="87" w:lineRule="exact"/>
        <w:rPr>
          <w:sz w:val="20"/>
          <w:szCs w:val="20"/>
          <w:color w:val="auto"/>
        </w:rPr>
      </w:pPr>
    </w:p>
    <w:p>
      <w:pPr>
        <w:sectPr>
          <w:pgSz w:w="11900" w:h="16838" w:orient="portrait"/>
          <w:cols w:equalWidth="0" w:num="2">
            <w:col w:w="2860" w:space="540"/>
            <w:col w:w="6700"/>
          </w:cols>
          <w:pgMar w:left="960" w:top="409" w:right="839" w:bottom="1440" w:gutter="0" w:footer="0" w:header="0"/>
        </w:sectPr>
      </w:pPr>
    </w:p>
    <w:p>
      <w:pPr>
        <w:ind w:right="20"/>
        <w:spacing w:after="0" w:line="267" w:lineRule="auto"/>
        <w:rPr>
          <w:sz w:val="20"/>
          <w:szCs w:val="20"/>
          <w:color w:val="auto"/>
        </w:rPr>
      </w:pPr>
      <w:r>
        <w:rPr>
          <w:rFonts w:ascii="Times New Roman" w:cs="Times New Roman" w:eastAsia="Times New Roman" w:hAnsi="Times New Roman"/>
          <w:sz w:val="13"/>
          <w:szCs w:val="13"/>
          <w:color w:val="auto"/>
        </w:rPr>
        <w:t>industries and the realization of the broader potential of the metaverse.</w:t>
      </w:r>
    </w:p>
    <w:p>
      <w:pPr>
        <w:spacing w:after="0" w:line="1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2021, Nokia set out its strategy to deliver sustainable,</w:t>
      </w:r>
    </w:p>
    <w:p>
      <w:pPr>
        <w:spacing w:after="0" w:line="25"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profitable growth by becoming a B2B technology innovation leader, accompanied by a new purpose and operating model. In 2023, Nokia made an evolution in this strategy and how we</w:t>
      </w:r>
    </w:p>
    <w:p>
      <w:pPr>
        <w:spacing w:after="0" w:line="20" w:lineRule="exact"/>
        <w:rPr>
          <w:sz w:val="20"/>
          <w:szCs w:val="20"/>
          <w:color w:val="auto"/>
        </w:rPr>
      </w:pPr>
      <w:r>
        <w:rPr>
          <w:sz w:val="20"/>
          <w:szCs w:val="20"/>
          <w:color w:val="auto"/>
        </w:rPr>
        <w:br w:type="column"/>
      </w:r>
    </w:p>
    <w:p>
      <w:pPr>
        <w:spacing w:after="0" w:line="258" w:lineRule="auto"/>
        <w:rPr>
          <w:sz w:val="20"/>
          <w:szCs w:val="20"/>
          <w:color w:val="auto"/>
        </w:rPr>
      </w:pPr>
      <w:r>
        <w:rPr>
          <w:rFonts w:ascii="Times New Roman" w:cs="Times New Roman" w:eastAsia="Times New Roman" w:hAnsi="Times New Roman"/>
          <w:sz w:val="10"/>
          <w:szCs w:val="10"/>
          <w:color w:val="auto"/>
        </w:rPr>
        <w:t>CSPs will continue to be our biggest customer segment. We will leverage our strong technological position, investment in technology leadership and emerging opportunities to grow our share in key markets, with geopolitical considerations supporting this ambition.</w:t>
      </w:r>
    </w:p>
    <w:p>
      <w:pPr>
        <w:spacing w:after="0" w:line="20" w:lineRule="exact"/>
        <w:rPr>
          <w:sz w:val="20"/>
          <w:szCs w:val="20"/>
          <w:color w:val="auto"/>
        </w:rPr>
      </w:pPr>
      <w:r>
        <w:rPr>
          <w:sz w:val="20"/>
          <w:szCs w:val="20"/>
          <w:color w:val="auto"/>
        </w:rPr>
        <w:br w:type="column"/>
      </w:r>
    </w:p>
    <w:p>
      <w:pPr>
        <w:spacing w:after="0" w:line="291" w:lineRule="auto"/>
        <w:rPr>
          <w:sz w:val="20"/>
          <w:szCs w:val="20"/>
          <w:color w:val="auto"/>
        </w:rPr>
      </w:pPr>
      <w:r>
        <w:rPr>
          <w:rFonts w:ascii="Times New Roman" w:cs="Times New Roman" w:eastAsia="Times New Roman" w:hAnsi="Times New Roman"/>
          <w:sz w:val="9"/>
          <w:szCs w:val="9"/>
          <w:color w:val="auto"/>
        </w:rPr>
        <w:t>Enterprise verticals and webscalers are deploying campus networks, wide area private wireless networks, enterprise physical networks and data centers at an accelerated rate to digitalize their operations. Being a technology leader in all these domains, we pursue these opportunities to grow our enterprise business.</w:t>
      </w:r>
    </w:p>
    <w:p>
      <w:pPr>
        <w:spacing w:after="0" w:line="20" w:lineRule="exact"/>
        <w:rPr>
          <w:sz w:val="20"/>
          <w:szCs w:val="20"/>
          <w:color w:val="auto"/>
        </w:rPr>
      </w:pPr>
      <w:r>
        <w:rPr>
          <w:sz w:val="20"/>
          <w:szCs w:val="20"/>
          <w:color w:val="auto"/>
        </w:rPr>
        <w:br w:type="column"/>
      </w:r>
    </w:p>
    <w:p>
      <w:pPr>
        <w:ind w:right="480"/>
        <w:spacing w:after="0" w:line="257" w:lineRule="auto"/>
        <w:rPr>
          <w:sz w:val="20"/>
          <w:szCs w:val="20"/>
          <w:color w:val="auto"/>
        </w:rPr>
      </w:pPr>
      <w:r>
        <w:rPr>
          <w:rFonts w:ascii="Times New Roman" w:cs="Times New Roman" w:eastAsia="Times New Roman" w:hAnsi="Times New Roman"/>
          <w:sz w:val="10"/>
          <w:szCs w:val="10"/>
          <w:color w:val="auto"/>
        </w:rPr>
        <w:t>Maintaining our portfolio segments at number one or number two position, through several routes including active portfolio management, is critical for a profitable and sustainable business. There may be cases where a leadership position is not possible and for these cases, we will consider alternatives.</w:t>
      </w:r>
    </w:p>
    <w:p>
      <w:pPr>
        <w:spacing w:after="0" w:line="59" w:lineRule="exact"/>
        <w:rPr>
          <w:sz w:val="20"/>
          <w:szCs w:val="20"/>
          <w:color w:val="auto"/>
        </w:rPr>
      </w:pPr>
    </w:p>
    <w:p>
      <w:pPr>
        <w:sectPr>
          <w:pgSz w:w="11900" w:h="16838" w:orient="portrait"/>
          <w:cols w:equalWidth="0" w:num="4">
            <w:col w:w="2860" w:space="660"/>
            <w:col w:w="1660" w:space="600"/>
            <w:col w:w="1740" w:space="520"/>
            <w:col w:w="2060"/>
          </w:cols>
          <w:pgMar w:left="960" w:top="409" w:right="839" w:bottom="1440" w:gutter="0" w:footer="0" w:header="0"/>
          <w:type w:val="continuous"/>
        </w:sectPr>
      </w:pPr>
    </w:p>
    <w:p>
      <w:pPr>
        <w:ind w:right="40"/>
        <w:spacing w:after="0" w:line="259" w:lineRule="auto"/>
        <w:rPr>
          <w:sz w:val="20"/>
          <w:szCs w:val="20"/>
          <w:color w:val="auto"/>
        </w:rPr>
      </w:pPr>
      <w:r>
        <w:rPr>
          <w:rFonts w:ascii="Times New Roman" w:cs="Times New Roman" w:eastAsia="Times New Roman" w:hAnsi="Times New Roman"/>
          <w:sz w:val="11"/>
          <w:szCs w:val="11"/>
          <w:color w:val="auto"/>
        </w:rPr>
        <w:t>deliver against it with the introduction of six strategic pillars. These pillars are the key objectives that will define Nokia’s success in the future and enable it to achieve its long-term ambitions. Each of Nokia’s business groups which will</w:t>
      </w:r>
    </w:p>
    <w:p>
      <w:pPr>
        <w:spacing w:after="0" w:line="351" w:lineRule="auto"/>
        <w:rPr>
          <w:sz w:val="20"/>
          <w:szCs w:val="20"/>
          <w:color w:val="auto"/>
        </w:rPr>
      </w:pPr>
      <w:r>
        <w:rPr>
          <w:rFonts w:ascii="Times New Roman" w:cs="Times New Roman" w:eastAsia="Times New Roman" w:hAnsi="Times New Roman"/>
          <w:sz w:val="10"/>
          <w:szCs w:val="10"/>
          <w:color w:val="auto"/>
        </w:rPr>
        <w:t>be introduced in the following sections, are focused on implementing these strategic pillars in their respective businesses.</w:t>
      </w:r>
    </w:p>
    <w:p>
      <w:pPr>
        <w:spacing w:after="0" w:line="20" w:lineRule="exact"/>
        <w:rPr>
          <w:sz w:val="20"/>
          <w:szCs w:val="20"/>
          <w:color w:val="auto"/>
        </w:rPr>
      </w:pPr>
      <w:r>
        <w:rPr>
          <w:sz w:val="20"/>
          <w:szCs w:val="20"/>
          <w:color w:val="auto"/>
        </w:rPr>
        <w:br w:type="column"/>
      </w:r>
    </w:p>
    <w:p>
      <w:pPr>
        <w:spacing w:after="0" w:line="148"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233"/>
        </w:trPr>
        <w:tc>
          <w:tcPr>
            <w:tcW w:w="1940" w:type="dxa"/>
            <w:vAlign w:val="bottom"/>
            <w:shd w:val="clear" w:color="auto" w:fill="005AFF"/>
          </w:tcPr>
          <w:p>
            <w:pPr>
              <w:ind w:left="120"/>
              <w:spacing w:after="0"/>
              <w:rPr>
                <w:sz w:val="20"/>
                <w:szCs w:val="20"/>
                <w:color w:val="auto"/>
              </w:rPr>
            </w:pPr>
            <w:r>
              <w:rPr>
                <w:rFonts w:ascii="Times New Roman" w:cs="Times New Roman" w:eastAsia="Times New Roman" w:hAnsi="Times New Roman"/>
                <w:sz w:val="15"/>
                <w:szCs w:val="15"/>
                <w:color w:val="FFFFFF"/>
              </w:rPr>
              <w:t>Secure business longevity</w:t>
            </w:r>
          </w:p>
        </w:tc>
        <w:tc>
          <w:tcPr>
            <w:tcW w:w="200" w:type="dxa"/>
            <w:vAlign w:val="bottom"/>
            <w:shd w:val="clear" w:color="auto" w:fill="12233A"/>
          </w:tcPr>
          <w:p>
            <w:pPr>
              <w:jc w:val="right"/>
              <w:spacing w:after="0"/>
              <w:rPr>
                <w:sz w:val="20"/>
                <w:szCs w:val="20"/>
                <w:color w:val="auto"/>
              </w:rPr>
            </w:pPr>
            <w:r>
              <w:rPr>
                <w:rFonts w:ascii="Times New Roman" w:cs="Times New Roman" w:eastAsia="Times New Roman" w:hAnsi="Times New Roman"/>
                <w:sz w:val="16"/>
                <w:szCs w:val="16"/>
                <w:color w:val="FFFFFF"/>
              </w:rPr>
              <w:t>4</w:t>
            </w:r>
          </w:p>
        </w:tc>
        <w:tc>
          <w:tcPr>
            <w:tcW w:w="140" w:type="dxa"/>
            <w:vAlign w:val="bottom"/>
          </w:tcPr>
          <w:p>
            <w:pPr>
              <w:spacing w:after="0"/>
              <w:rPr>
                <w:sz w:val="20"/>
                <w:szCs w:val="20"/>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Build new</w:t>
            </w:r>
          </w:p>
        </w:tc>
        <w:tc>
          <w:tcPr>
            <w:tcW w:w="200" w:type="dxa"/>
            <w:vAlign w:val="bottom"/>
            <w:shd w:val="clear" w:color="auto" w:fill="001135"/>
          </w:tcPr>
          <w:p>
            <w:pPr>
              <w:jc w:val="right"/>
              <w:spacing w:after="0"/>
              <w:rPr>
                <w:sz w:val="20"/>
                <w:szCs w:val="20"/>
                <w:color w:val="auto"/>
              </w:rPr>
            </w:pPr>
            <w:r>
              <w:rPr>
                <w:rFonts w:ascii="Times New Roman" w:cs="Times New Roman" w:eastAsia="Times New Roman" w:hAnsi="Times New Roman"/>
                <w:sz w:val="16"/>
                <w:szCs w:val="16"/>
                <w:color w:val="FFFFFF"/>
              </w:rPr>
              <w:t>5</w:t>
            </w:r>
          </w:p>
        </w:tc>
        <w:tc>
          <w:tcPr>
            <w:tcW w:w="140" w:type="dxa"/>
            <w:vAlign w:val="bottom"/>
          </w:tcPr>
          <w:p>
            <w:pPr>
              <w:spacing w:after="0"/>
              <w:rPr>
                <w:sz w:val="20"/>
                <w:szCs w:val="20"/>
                <w:color w:val="auto"/>
              </w:rPr>
            </w:pPr>
          </w:p>
        </w:tc>
        <w:tc>
          <w:tcPr>
            <w:tcW w:w="19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Develop ESG into a</w:t>
            </w:r>
          </w:p>
        </w:tc>
        <w:tc>
          <w:tcPr>
            <w:tcW w:w="220" w:type="dxa"/>
            <w:vAlign w:val="bottom"/>
            <w:shd w:val="clear" w:color="auto" w:fill="12233A"/>
          </w:tcPr>
          <w:p>
            <w:pPr>
              <w:jc w:val="right"/>
              <w:spacing w:after="0"/>
              <w:rPr>
                <w:sz w:val="20"/>
                <w:szCs w:val="20"/>
                <w:color w:val="auto"/>
              </w:rPr>
            </w:pPr>
            <w:r>
              <w:rPr>
                <w:rFonts w:ascii="Times New Roman" w:cs="Times New Roman" w:eastAsia="Times New Roman" w:hAnsi="Times New Roman"/>
                <w:sz w:val="16"/>
                <w:szCs w:val="16"/>
                <w:color w:val="FFFFFF"/>
              </w:rPr>
              <w:t>6</w:t>
            </w:r>
          </w:p>
        </w:tc>
      </w:tr>
      <w:tr>
        <w:trPr>
          <w:trHeight w:val="192"/>
        </w:trPr>
        <w:tc>
          <w:tcPr>
            <w:tcW w:w="1940" w:type="dxa"/>
            <w:vAlign w:val="bottom"/>
            <w:tcBorders>
              <w:bottom w:val="single" w:sz="8" w:color="005AFF"/>
            </w:tcBorders>
            <w:shd w:val="clear" w:color="auto" w:fill="005AFF"/>
          </w:tcPr>
          <w:p>
            <w:pPr>
              <w:ind w:left="120"/>
              <w:spacing w:after="0"/>
              <w:rPr>
                <w:sz w:val="20"/>
                <w:szCs w:val="20"/>
                <w:color w:val="auto"/>
              </w:rPr>
            </w:pPr>
            <w:r>
              <w:rPr>
                <w:rFonts w:ascii="Times New Roman" w:cs="Times New Roman" w:eastAsia="Times New Roman" w:hAnsi="Times New Roman"/>
                <w:sz w:val="15"/>
                <w:szCs w:val="15"/>
                <w:color w:val="FFFFFF"/>
              </w:rPr>
              <w:t>in Nokia Technologies</w:t>
            </w:r>
          </w:p>
        </w:tc>
        <w:tc>
          <w:tcPr>
            <w:tcW w:w="200" w:type="dxa"/>
            <w:vAlign w:val="bottom"/>
            <w:tcBorders>
              <w:bottom w:val="single" w:sz="8" w:color="005AFF"/>
            </w:tcBorders>
            <w:shd w:val="clear" w:color="auto" w:fill="005AFF"/>
          </w:tcPr>
          <w:p>
            <w:pPr>
              <w:spacing w:after="0"/>
              <w:rPr>
                <w:sz w:val="16"/>
                <w:szCs w:val="16"/>
                <w:color w:val="auto"/>
              </w:rPr>
            </w:pPr>
          </w:p>
        </w:tc>
        <w:tc>
          <w:tcPr>
            <w:tcW w:w="140" w:type="dxa"/>
            <w:vAlign w:val="bottom"/>
          </w:tcPr>
          <w:p>
            <w:pPr>
              <w:spacing w:after="0"/>
              <w:rPr>
                <w:sz w:val="16"/>
                <w:szCs w:val="16"/>
                <w:color w:val="auto"/>
              </w:rPr>
            </w:pPr>
          </w:p>
        </w:tc>
        <w:tc>
          <w:tcPr>
            <w:tcW w:w="1920" w:type="dxa"/>
            <w:vAlign w:val="bottom"/>
            <w:tcBorders>
              <w:bottom w:val="single" w:sz="8" w:color="005AFF"/>
            </w:tcBorders>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business models</w:t>
            </w:r>
          </w:p>
        </w:tc>
        <w:tc>
          <w:tcPr>
            <w:tcW w:w="200" w:type="dxa"/>
            <w:vAlign w:val="bottom"/>
            <w:tcBorders>
              <w:bottom w:val="single" w:sz="8" w:color="005AFF"/>
            </w:tcBorders>
            <w:shd w:val="clear" w:color="auto" w:fill="005AFF"/>
          </w:tcPr>
          <w:p>
            <w:pPr>
              <w:spacing w:after="0"/>
              <w:rPr>
                <w:sz w:val="16"/>
                <w:szCs w:val="16"/>
                <w:color w:val="auto"/>
              </w:rPr>
            </w:pPr>
          </w:p>
        </w:tc>
        <w:tc>
          <w:tcPr>
            <w:tcW w:w="140" w:type="dxa"/>
            <w:vAlign w:val="bottom"/>
          </w:tcPr>
          <w:p>
            <w:pPr>
              <w:spacing w:after="0"/>
              <w:rPr>
                <w:sz w:val="16"/>
                <w:szCs w:val="16"/>
                <w:color w:val="auto"/>
              </w:rPr>
            </w:pPr>
          </w:p>
        </w:tc>
        <w:tc>
          <w:tcPr>
            <w:tcW w:w="1920" w:type="dxa"/>
            <w:vAlign w:val="bottom"/>
            <w:tcBorders>
              <w:bottom w:val="single" w:sz="8" w:color="005AFF"/>
            </w:tcBorders>
            <w:shd w:val="clear" w:color="auto" w:fill="005AFF"/>
          </w:tcPr>
          <w:p>
            <w:pPr>
              <w:ind w:left="100"/>
              <w:spacing w:after="0"/>
              <w:rPr>
                <w:sz w:val="20"/>
                <w:szCs w:val="20"/>
                <w:color w:val="auto"/>
              </w:rPr>
            </w:pPr>
            <w:r>
              <w:rPr>
                <w:rFonts w:ascii="Times New Roman" w:cs="Times New Roman" w:eastAsia="Times New Roman" w:hAnsi="Times New Roman"/>
                <w:sz w:val="15"/>
                <w:szCs w:val="15"/>
                <w:color w:val="FFFFFF"/>
              </w:rPr>
              <w:t>competitive advantage</w:t>
            </w:r>
          </w:p>
        </w:tc>
        <w:tc>
          <w:tcPr>
            <w:tcW w:w="220" w:type="dxa"/>
            <w:vAlign w:val="bottom"/>
            <w:tcBorders>
              <w:bottom w:val="single" w:sz="8" w:color="005AFF"/>
            </w:tcBorders>
            <w:shd w:val="clear" w:color="auto" w:fill="005AFF"/>
          </w:tcPr>
          <w:p>
            <w:pPr>
              <w:spacing w:after="0"/>
              <w:rPr>
                <w:sz w:val="16"/>
                <w:szCs w:val="16"/>
                <w:color w:val="auto"/>
              </w:rPr>
            </w:pPr>
          </w:p>
        </w:tc>
      </w:tr>
      <w:tr>
        <w:trPr>
          <w:trHeight w:val="213"/>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We are investing to ensure the sustained</w:t>
            </w:r>
          </w:p>
        </w:tc>
        <w:tc>
          <w:tcPr>
            <w:tcW w:w="200" w:type="dxa"/>
            <w:vAlign w:val="bottom"/>
            <w:shd w:val="clear" w:color="auto" w:fill="F0F5FF"/>
          </w:tcPr>
          <w:p>
            <w:pPr>
              <w:spacing w:after="0"/>
              <w:rPr>
                <w:sz w:val="18"/>
                <w:szCs w:val="18"/>
                <w:color w:val="auto"/>
              </w:rPr>
            </w:pPr>
          </w:p>
        </w:tc>
        <w:tc>
          <w:tcPr>
            <w:tcW w:w="140" w:type="dxa"/>
            <w:vAlign w:val="bottom"/>
          </w:tcPr>
          <w:p>
            <w:pPr>
              <w:spacing w:after="0"/>
              <w:rPr>
                <w:sz w:val="18"/>
                <w:szCs w:val="18"/>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To broaden our customer base and</w:t>
            </w:r>
          </w:p>
        </w:tc>
        <w:tc>
          <w:tcPr>
            <w:tcW w:w="200" w:type="dxa"/>
            <w:vAlign w:val="bottom"/>
            <w:shd w:val="clear" w:color="auto" w:fill="F0F5FF"/>
          </w:tcPr>
          <w:p>
            <w:pPr>
              <w:spacing w:after="0"/>
              <w:rPr>
                <w:sz w:val="18"/>
                <w:szCs w:val="18"/>
                <w:color w:val="auto"/>
              </w:rPr>
            </w:pPr>
          </w:p>
        </w:tc>
        <w:tc>
          <w:tcPr>
            <w:tcW w:w="140" w:type="dxa"/>
            <w:vAlign w:val="bottom"/>
          </w:tcPr>
          <w:p>
            <w:pPr>
              <w:spacing w:after="0"/>
              <w:rPr>
                <w:sz w:val="18"/>
                <w:szCs w:val="18"/>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ESG is increasingly important for</w:t>
            </w:r>
          </w:p>
        </w:tc>
        <w:tc>
          <w:tcPr>
            <w:tcW w:w="220" w:type="dxa"/>
            <w:vAlign w:val="bottom"/>
            <w:shd w:val="clear" w:color="auto" w:fill="F0F5FF"/>
          </w:tcPr>
          <w:p>
            <w:pPr>
              <w:spacing w:after="0"/>
              <w:rPr>
                <w:sz w:val="18"/>
                <w:szCs w:val="18"/>
                <w:color w:val="auto"/>
              </w:rPr>
            </w:pPr>
          </w:p>
        </w:tc>
      </w:tr>
      <w:tr>
        <w:trPr>
          <w:trHeight w:val="121"/>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competitiveness of our patent portfolio.</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change our margin profile, we see potential</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customers, investors, regulators, partners</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We will continue to pursue opportunities</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in new platform business models within</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and Nokia employees. There is space in our</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from sectors outside mobile devices, such</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the broader ecosystem. We engage with</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industry to become the ‘trusted provider’</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as automotive, consumer electronics, IoT</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service providers, webscalers, industrial</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and Nokia aims to claim this position.</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ind w:left="120"/>
              <w:spacing w:after="0"/>
              <w:rPr>
                <w:sz w:val="20"/>
                <w:szCs w:val="20"/>
                <w:color w:val="auto"/>
              </w:rPr>
            </w:pPr>
            <w:r>
              <w:rPr>
                <w:rFonts w:ascii="Times New Roman" w:cs="Times New Roman" w:eastAsia="Times New Roman" w:hAnsi="Times New Roman"/>
                <w:sz w:val="10"/>
                <w:szCs w:val="10"/>
                <w:color w:val="auto"/>
              </w:rPr>
              <w:t>and video services.</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giants and emerging players like app</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Our ESG strategy lays out how we will do</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spacing w:after="0"/>
              <w:rPr>
                <w:sz w:val="10"/>
                <w:szCs w:val="10"/>
                <w:color w:val="auto"/>
              </w:rPr>
            </w:pP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developers and start-ups, to drive the</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this and our specific areas of focus.</w:t>
            </w: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spacing w:after="0"/>
              <w:rPr>
                <w:sz w:val="10"/>
                <w:szCs w:val="10"/>
                <w:color w:val="auto"/>
              </w:rPr>
            </w:pP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creation of new products, services, and</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spacing w:after="0"/>
              <w:rPr>
                <w:sz w:val="10"/>
                <w:szCs w:val="10"/>
                <w:color w:val="auto"/>
              </w:rPr>
            </w:pP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spacing w:after="0"/>
              <w:rPr>
                <w:sz w:val="10"/>
                <w:szCs w:val="10"/>
                <w:color w:val="auto"/>
              </w:rPr>
            </w:pP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solutions, and to explore new business</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spacing w:after="0"/>
              <w:rPr>
                <w:sz w:val="10"/>
                <w:szCs w:val="10"/>
                <w:color w:val="auto"/>
              </w:rPr>
            </w:pPr>
          </w:p>
        </w:tc>
        <w:tc>
          <w:tcPr>
            <w:tcW w:w="220" w:type="dxa"/>
            <w:vAlign w:val="bottom"/>
            <w:shd w:val="clear" w:color="auto" w:fill="F0F5FF"/>
          </w:tcPr>
          <w:p>
            <w:pPr>
              <w:spacing w:after="0"/>
              <w:rPr>
                <w:sz w:val="10"/>
                <w:szCs w:val="10"/>
                <w:color w:val="auto"/>
              </w:rPr>
            </w:pPr>
          </w:p>
        </w:tc>
      </w:tr>
      <w:tr>
        <w:trPr>
          <w:trHeight w:val="121"/>
        </w:trPr>
        <w:tc>
          <w:tcPr>
            <w:tcW w:w="1940" w:type="dxa"/>
            <w:vAlign w:val="bottom"/>
            <w:shd w:val="clear" w:color="auto" w:fill="F0F5FF"/>
          </w:tcPr>
          <w:p>
            <w:pPr>
              <w:spacing w:after="0"/>
              <w:rPr>
                <w:sz w:val="10"/>
                <w:szCs w:val="10"/>
                <w:color w:val="auto"/>
              </w:rPr>
            </w:pP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models including Cloud RAN, Network as</w:t>
            </w:r>
          </w:p>
        </w:tc>
        <w:tc>
          <w:tcPr>
            <w:tcW w:w="200" w:type="dxa"/>
            <w:vAlign w:val="bottom"/>
            <w:shd w:val="clear" w:color="auto" w:fill="F0F5FF"/>
          </w:tcPr>
          <w:p>
            <w:pPr>
              <w:spacing w:after="0"/>
              <w:rPr>
                <w:sz w:val="10"/>
                <w:szCs w:val="10"/>
                <w:color w:val="auto"/>
              </w:rPr>
            </w:pPr>
          </w:p>
        </w:tc>
        <w:tc>
          <w:tcPr>
            <w:tcW w:w="140" w:type="dxa"/>
            <w:vAlign w:val="bottom"/>
          </w:tcPr>
          <w:p>
            <w:pPr>
              <w:spacing w:after="0"/>
              <w:rPr>
                <w:sz w:val="10"/>
                <w:szCs w:val="10"/>
                <w:color w:val="auto"/>
              </w:rPr>
            </w:pPr>
          </w:p>
        </w:tc>
        <w:tc>
          <w:tcPr>
            <w:tcW w:w="1920" w:type="dxa"/>
            <w:vAlign w:val="bottom"/>
            <w:shd w:val="clear" w:color="auto" w:fill="F0F5FF"/>
          </w:tcPr>
          <w:p>
            <w:pPr>
              <w:spacing w:after="0"/>
              <w:rPr>
                <w:sz w:val="10"/>
                <w:szCs w:val="10"/>
                <w:color w:val="auto"/>
              </w:rPr>
            </w:pPr>
          </w:p>
        </w:tc>
        <w:tc>
          <w:tcPr>
            <w:tcW w:w="220" w:type="dxa"/>
            <w:vAlign w:val="bottom"/>
            <w:shd w:val="clear" w:color="auto" w:fill="F0F5FF"/>
          </w:tcPr>
          <w:p>
            <w:pPr>
              <w:spacing w:after="0"/>
              <w:rPr>
                <w:sz w:val="10"/>
                <w:szCs w:val="10"/>
                <w:color w:val="auto"/>
              </w:rPr>
            </w:pPr>
          </w:p>
        </w:tc>
      </w:tr>
      <w:tr>
        <w:trPr>
          <w:trHeight w:val="130"/>
        </w:trPr>
        <w:tc>
          <w:tcPr>
            <w:tcW w:w="1940" w:type="dxa"/>
            <w:vAlign w:val="bottom"/>
            <w:shd w:val="clear" w:color="auto" w:fill="F0F5FF"/>
          </w:tcPr>
          <w:p>
            <w:pPr>
              <w:spacing w:after="0"/>
              <w:rPr>
                <w:sz w:val="11"/>
                <w:szCs w:val="11"/>
                <w:color w:val="auto"/>
              </w:rPr>
            </w:pPr>
          </w:p>
        </w:tc>
        <w:tc>
          <w:tcPr>
            <w:tcW w:w="20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1920" w:type="dxa"/>
            <w:vAlign w:val="bottom"/>
            <w:shd w:val="clear" w:color="auto" w:fill="F0F5FF"/>
          </w:tcPr>
          <w:p>
            <w:pPr>
              <w:ind w:left="100"/>
              <w:spacing w:after="0"/>
              <w:rPr>
                <w:sz w:val="20"/>
                <w:szCs w:val="20"/>
                <w:color w:val="auto"/>
              </w:rPr>
            </w:pPr>
            <w:r>
              <w:rPr>
                <w:rFonts w:ascii="Times New Roman" w:cs="Times New Roman" w:eastAsia="Times New Roman" w:hAnsi="Times New Roman"/>
                <w:sz w:val="10"/>
                <w:szCs w:val="10"/>
                <w:color w:val="auto"/>
              </w:rPr>
              <w:t>Code and as-a-Service.</w:t>
            </w:r>
          </w:p>
        </w:tc>
        <w:tc>
          <w:tcPr>
            <w:tcW w:w="20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1920" w:type="dxa"/>
            <w:vAlign w:val="bottom"/>
            <w:shd w:val="clear" w:color="auto" w:fill="F0F5FF"/>
          </w:tcPr>
          <w:p>
            <w:pPr>
              <w:spacing w:after="0"/>
              <w:rPr>
                <w:sz w:val="11"/>
                <w:szCs w:val="11"/>
                <w:color w:val="auto"/>
              </w:rPr>
            </w:pPr>
          </w:p>
        </w:tc>
        <w:tc>
          <w:tcPr>
            <w:tcW w:w="220" w:type="dxa"/>
            <w:vAlign w:val="bottom"/>
            <w:shd w:val="clear" w:color="auto" w:fill="F0F5FF"/>
          </w:tcPr>
          <w:p>
            <w:pPr>
              <w:spacing w:after="0"/>
              <w:rPr>
                <w:sz w:val="11"/>
                <w:szCs w:val="11"/>
                <w:color w:val="auto"/>
              </w:rPr>
            </w:pPr>
          </w:p>
        </w:tc>
      </w:tr>
      <w:tr>
        <w:trPr>
          <w:trHeight w:val="71"/>
        </w:trPr>
        <w:tc>
          <w:tcPr>
            <w:tcW w:w="1940" w:type="dxa"/>
            <w:vAlign w:val="bottom"/>
            <w:shd w:val="clear" w:color="auto" w:fill="F0F5FF"/>
          </w:tcPr>
          <w:p>
            <w:pPr>
              <w:spacing w:after="0"/>
              <w:rPr>
                <w:sz w:val="6"/>
                <w:szCs w:val="6"/>
                <w:color w:val="auto"/>
              </w:rPr>
            </w:pPr>
          </w:p>
        </w:tc>
        <w:tc>
          <w:tcPr>
            <w:tcW w:w="200" w:type="dxa"/>
            <w:vAlign w:val="bottom"/>
            <w:shd w:val="clear" w:color="auto" w:fill="F0F5FF"/>
          </w:tcPr>
          <w:p>
            <w:pPr>
              <w:spacing w:after="0"/>
              <w:rPr>
                <w:sz w:val="6"/>
                <w:szCs w:val="6"/>
                <w:color w:val="auto"/>
              </w:rPr>
            </w:pPr>
          </w:p>
        </w:tc>
        <w:tc>
          <w:tcPr>
            <w:tcW w:w="140" w:type="dxa"/>
            <w:vAlign w:val="bottom"/>
          </w:tcPr>
          <w:p>
            <w:pPr>
              <w:spacing w:after="0"/>
              <w:rPr>
                <w:sz w:val="6"/>
                <w:szCs w:val="6"/>
                <w:color w:val="auto"/>
              </w:rPr>
            </w:pPr>
          </w:p>
        </w:tc>
        <w:tc>
          <w:tcPr>
            <w:tcW w:w="1920" w:type="dxa"/>
            <w:vAlign w:val="bottom"/>
            <w:shd w:val="clear" w:color="auto" w:fill="F0F5FF"/>
          </w:tcPr>
          <w:p>
            <w:pPr>
              <w:spacing w:after="0"/>
              <w:rPr>
                <w:sz w:val="6"/>
                <w:szCs w:val="6"/>
                <w:color w:val="auto"/>
              </w:rPr>
            </w:pPr>
          </w:p>
        </w:tc>
        <w:tc>
          <w:tcPr>
            <w:tcW w:w="200" w:type="dxa"/>
            <w:vAlign w:val="bottom"/>
            <w:shd w:val="clear" w:color="auto" w:fill="F0F5FF"/>
          </w:tcPr>
          <w:p>
            <w:pPr>
              <w:spacing w:after="0"/>
              <w:rPr>
                <w:sz w:val="6"/>
                <w:szCs w:val="6"/>
                <w:color w:val="auto"/>
              </w:rPr>
            </w:pPr>
          </w:p>
        </w:tc>
        <w:tc>
          <w:tcPr>
            <w:tcW w:w="140" w:type="dxa"/>
            <w:vAlign w:val="bottom"/>
          </w:tcPr>
          <w:p>
            <w:pPr>
              <w:spacing w:after="0"/>
              <w:rPr>
                <w:sz w:val="6"/>
                <w:szCs w:val="6"/>
                <w:color w:val="auto"/>
              </w:rPr>
            </w:pPr>
          </w:p>
        </w:tc>
        <w:tc>
          <w:tcPr>
            <w:tcW w:w="1920" w:type="dxa"/>
            <w:vAlign w:val="bottom"/>
            <w:shd w:val="clear" w:color="auto" w:fill="F0F5FF"/>
          </w:tcPr>
          <w:p>
            <w:pPr>
              <w:spacing w:after="0"/>
              <w:rPr>
                <w:sz w:val="6"/>
                <w:szCs w:val="6"/>
                <w:color w:val="auto"/>
              </w:rPr>
            </w:pPr>
          </w:p>
        </w:tc>
        <w:tc>
          <w:tcPr>
            <w:tcW w:w="220" w:type="dxa"/>
            <w:vAlign w:val="bottom"/>
            <w:shd w:val="clear" w:color="auto" w:fill="F0F5FF"/>
          </w:tcPr>
          <w:p>
            <w:pPr>
              <w:spacing w:after="0"/>
              <w:rPr>
                <w:sz w:val="6"/>
                <w:szCs w:val="6"/>
                <w:color w:val="auto"/>
              </w:rPr>
            </w:pPr>
          </w:p>
        </w:tc>
      </w:tr>
    </w:tbl>
    <w:p>
      <w:pPr>
        <w:spacing w:after="0" w:line="14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6"/>
          <w:szCs w:val="16"/>
          <w:color w:val="005AFF"/>
        </w:rPr>
        <w:t>The six pillars are underpinned by four enablers:</w:t>
      </w:r>
    </w:p>
    <w:p>
      <w:pPr>
        <w:spacing w:after="0" w:line="100" w:lineRule="exact"/>
        <w:rPr>
          <w:sz w:val="20"/>
          <w:szCs w:val="20"/>
          <w:color w:val="auto"/>
        </w:rPr>
      </w:pPr>
    </w:p>
    <w:tbl>
      <w:tblPr>
        <w:tblLayout w:type="fixed"/>
        <w:tblInd w:w="0" w:type="dxa"/>
        <w:tblCellMar>
          <w:top w:w="0" w:type="dxa"/>
          <w:left w:w="0" w:type="dxa"/>
          <w:bottom w:w="0" w:type="dxa"/>
          <w:right w:w="0" w:type="dxa"/>
        </w:tblCellMar>
      </w:tblPr>
      <w:tr>
        <w:trPr>
          <w:trHeight w:val="190"/>
        </w:trPr>
        <w:tc>
          <w:tcPr>
            <w:tcW w:w="1620" w:type="dxa"/>
            <w:vAlign w:val="bottom"/>
            <w:shd w:val="clear" w:color="auto" w:fill="005AFF"/>
          </w:tcPr>
          <w:p>
            <w:pPr>
              <w:ind w:left="80"/>
              <w:spacing w:after="0"/>
              <w:rPr>
                <w:sz w:val="20"/>
                <w:szCs w:val="20"/>
                <w:color w:val="auto"/>
              </w:rPr>
            </w:pPr>
            <w:r>
              <w:rPr>
                <w:rFonts w:ascii="Times New Roman" w:cs="Times New Roman" w:eastAsia="Times New Roman" w:hAnsi="Times New Roman"/>
                <w:sz w:val="13"/>
                <w:szCs w:val="13"/>
                <w:color w:val="FFFFFF"/>
              </w:rPr>
              <w:t>Develop future-</w:t>
            </w:r>
          </w:p>
        </w:tc>
        <w:tc>
          <w:tcPr>
            <w:tcW w:w="40" w:type="dxa"/>
            <w:vAlign w:val="bottom"/>
          </w:tcPr>
          <w:p>
            <w:pPr>
              <w:spacing w:after="0"/>
              <w:rPr>
                <w:sz w:val="16"/>
                <w:szCs w:val="16"/>
                <w:color w:val="auto"/>
              </w:rPr>
            </w:pPr>
          </w:p>
        </w:tc>
        <w:tc>
          <w:tcPr>
            <w:tcW w:w="1700" w:type="dxa"/>
            <w:vAlign w:val="bottom"/>
            <w:shd w:val="clear" w:color="auto" w:fill="005AFF"/>
          </w:tcPr>
          <w:p>
            <w:pPr>
              <w:ind w:left="20"/>
              <w:spacing w:after="0"/>
              <w:rPr>
                <w:sz w:val="20"/>
                <w:szCs w:val="20"/>
                <w:color w:val="auto"/>
              </w:rPr>
            </w:pPr>
            <w:r>
              <w:rPr>
                <w:rFonts w:ascii="Times New Roman" w:cs="Times New Roman" w:eastAsia="Times New Roman" w:hAnsi="Times New Roman"/>
                <w:sz w:val="13"/>
                <w:szCs w:val="13"/>
                <w:color w:val="FFFFFF"/>
              </w:rPr>
              <w:t>Invest in long-term</w:t>
            </w:r>
          </w:p>
        </w:tc>
        <w:tc>
          <w:tcPr>
            <w:tcW w:w="40" w:type="dxa"/>
            <w:vAlign w:val="bottom"/>
          </w:tcPr>
          <w:p>
            <w:pPr>
              <w:spacing w:after="0"/>
              <w:rPr>
                <w:sz w:val="16"/>
                <w:szCs w:val="16"/>
                <w:color w:val="auto"/>
              </w:rPr>
            </w:pPr>
          </w:p>
        </w:tc>
        <w:tc>
          <w:tcPr>
            <w:tcW w:w="1640" w:type="dxa"/>
            <w:vAlign w:val="bottom"/>
            <w:shd w:val="clear" w:color="auto" w:fill="005AFF"/>
          </w:tcPr>
          <w:p>
            <w:pPr>
              <w:ind w:left="20"/>
              <w:spacing w:after="0"/>
              <w:rPr>
                <w:sz w:val="20"/>
                <w:szCs w:val="20"/>
                <w:color w:val="auto"/>
              </w:rPr>
            </w:pPr>
            <w:r>
              <w:rPr>
                <w:rFonts w:ascii="Times New Roman" w:cs="Times New Roman" w:eastAsia="Times New Roman" w:hAnsi="Times New Roman"/>
                <w:sz w:val="13"/>
                <w:szCs w:val="13"/>
                <w:color w:val="FFFFFF"/>
              </w:rPr>
              <w:t>Digitalize our own</w:t>
            </w:r>
          </w:p>
        </w:tc>
        <w:tc>
          <w:tcPr>
            <w:tcW w:w="40" w:type="dxa"/>
            <w:vAlign w:val="bottom"/>
          </w:tcPr>
          <w:p>
            <w:pPr>
              <w:spacing w:after="0"/>
              <w:rPr>
                <w:sz w:val="16"/>
                <w:szCs w:val="16"/>
                <w:color w:val="auto"/>
              </w:rPr>
            </w:pPr>
          </w:p>
        </w:tc>
        <w:tc>
          <w:tcPr>
            <w:tcW w:w="1620" w:type="dxa"/>
            <w:vAlign w:val="bottom"/>
            <w:shd w:val="clear" w:color="auto" w:fill="005AFF"/>
          </w:tcPr>
          <w:p>
            <w:pPr>
              <w:ind w:left="40"/>
              <w:spacing w:after="0"/>
              <w:rPr>
                <w:sz w:val="20"/>
                <w:szCs w:val="20"/>
                <w:color w:val="auto"/>
              </w:rPr>
            </w:pPr>
            <w:r>
              <w:rPr>
                <w:rFonts w:ascii="Times New Roman" w:cs="Times New Roman" w:eastAsia="Times New Roman" w:hAnsi="Times New Roman"/>
                <w:sz w:val="13"/>
                <w:szCs w:val="13"/>
                <w:color w:val="FFFFFF"/>
              </w:rPr>
              <w:t>Refresh</w:t>
            </w:r>
          </w:p>
        </w:tc>
      </w:tr>
      <w:tr>
        <w:trPr>
          <w:trHeight w:val="185"/>
        </w:trPr>
        <w:tc>
          <w:tcPr>
            <w:tcW w:w="1620" w:type="dxa"/>
            <w:vAlign w:val="bottom"/>
            <w:shd w:val="clear" w:color="auto" w:fill="005AFF"/>
          </w:tcPr>
          <w:p>
            <w:pPr>
              <w:ind w:left="80"/>
              <w:spacing w:after="0"/>
              <w:rPr>
                <w:sz w:val="20"/>
                <w:szCs w:val="20"/>
                <w:color w:val="auto"/>
              </w:rPr>
            </w:pPr>
            <w:r>
              <w:rPr>
                <w:rFonts w:ascii="Times New Roman" w:cs="Times New Roman" w:eastAsia="Times New Roman" w:hAnsi="Times New Roman"/>
                <w:sz w:val="13"/>
                <w:szCs w:val="13"/>
                <w:color w:val="FFFFFF"/>
              </w:rPr>
              <w:t>fit-talent</w:t>
            </w:r>
          </w:p>
        </w:tc>
        <w:tc>
          <w:tcPr>
            <w:tcW w:w="40" w:type="dxa"/>
            <w:vAlign w:val="bottom"/>
          </w:tcPr>
          <w:p>
            <w:pPr>
              <w:spacing w:after="0"/>
              <w:rPr>
                <w:sz w:val="16"/>
                <w:szCs w:val="16"/>
                <w:color w:val="auto"/>
              </w:rPr>
            </w:pPr>
          </w:p>
        </w:tc>
        <w:tc>
          <w:tcPr>
            <w:tcW w:w="1700" w:type="dxa"/>
            <w:vAlign w:val="bottom"/>
            <w:shd w:val="clear" w:color="auto" w:fill="005AFF"/>
          </w:tcPr>
          <w:p>
            <w:pPr>
              <w:ind w:left="20"/>
              <w:spacing w:after="0"/>
              <w:rPr>
                <w:sz w:val="20"/>
                <w:szCs w:val="20"/>
                <w:color w:val="auto"/>
              </w:rPr>
            </w:pPr>
            <w:r>
              <w:rPr>
                <w:rFonts w:ascii="Times New Roman" w:cs="Times New Roman" w:eastAsia="Times New Roman" w:hAnsi="Times New Roman"/>
                <w:sz w:val="13"/>
                <w:szCs w:val="13"/>
                <w:color w:val="FFFFFF"/>
              </w:rPr>
              <w:t>research</w:t>
            </w:r>
          </w:p>
        </w:tc>
        <w:tc>
          <w:tcPr>
            <w:tcW w:w="40" w:type="dxa"/>
            <w:vAlign w:val="bottom"/>
          </w:tcPr>
          <w:p>
            <w:pPr>
              <w:spacing w:after="0"/>
              <w:rPr>
                <w:sz w:val="16"/>
                <w:szCs w:val="16"/>
                <w:color w:val="auto"/>
              </w:rPr>
            </w:pPr>
          </w:p>
        </w:tc>
        <w:tc>
          <w:tcPr>
            <w:tcW w:w="1640" w:type="dxa"/>
            <w:vAlign w:val="bottom"/>
            <w:shd w:val="clear" w:color="auto" w:fill="005AFF"/>
          </w:tcPr>
          <w:p>
            <w:pPr>
              <w:ind w:left="20"/>
              <w:spacing w:after="0"/>
              <w:rPr>
                <w:sz w:val="20"/>
                <w:szCs w:val="20"/>
                <w:color w:val="auto"/>
              </w:rPr>
            </w:pPr>
            <w:r>
              <w:rPr>
                <w:rFonts w:ascii="Times New Roman" w:cs="Times New Roman" w:eastAsia="Times New Roman" w:hAnsi="Times New Roman"/>
                <w:sz w:val="13"/>
                <w:szCs w:val="13"/>
                <w:color w:val="FFFFFF"/>
              </w:rPr>
              <w:t>operations</w:t>
            </w:r>
          </w:p>
        </w:tc>
        <w:tc>
          <w:tcPr>
            <w:tcW w:w="40" w:type="dxa"/>
            <w:vAlign w:val="bottom"/>
          </w:tcPr>
          <w:p>
            <w:pPr>
              <w:spacing w:after="0"/>
              <w:rPr>
                <w:sz w:val="16"/>
                <w:szCs w:val="16"/>
                <w:color w:val="auto"/>
              </w:rPr>
            </w:pPr>
          </w:p>
        </w:tc>
        <w:tc>
          <w:tcPr>
            <w:tcW w:w="1620" w:type="dxa"/>
            <w:vAlign w:val="bottom"/>
            <w:shd w:val="clear" w:color="auto" w:fill="005AFF"/>
          </w:tcPr>
          <w:p>
            <w:pPr>
              <w:ind w:left="40"/>
              <w:spacing w:after="0"/>
              <w:rPr>
                <w:sz w:val="20"/>
                <w:szCs w:val="20"/>
                <w:color w:val="auto"/>
              </w:rPr>
            </w:pPr>
            <w:r>
              <w:rPr>
                <w:rFonts w:ascii="Times New Roman" w:cs="Times New Roman" w:eastAsia="Times New Roman" w:hAnsi="Times New Roman"/>
                <w:sz w:val="13"/>
                <w:szCs w:val="13"/>
                <w:color w:val="FFFFFF"/>
              </w:rPr>
              <w:t>our brand</w:t>
            </w:r>
          </w:p>
        </w:tc>
      </w:tr>
    </w:tbl>
    <w:p>
      <w:pPr>
        <w:spacing w:after="0" w:line="21" w:lineRule="exact"/>
        <w:rPr>
          <w:sz w:val="20"/>
          <w:szCs w:val="20"/>
          <w:color w:val="auto"/>
        </w:rPr>
      </w:pPr>
    </w:p>
    <w:p>
      <w:pPr>
        <w:sectPr>
          <w:pgSz w:w="11900" w:h="16838" w:orient="portrait"/>
          <w:cols w:equalWidth="0" w:num="2">
            <w:col w:w="2840" w:space="560"/>
            <w:col w:w="6700"/>
          </w:cols>
          <w:pgMar w:left="960" w:top="409" w:right="83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We have launched and are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executing a new people strategy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focused on growth, skills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development. We build the right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future skills for our employees in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technical domains identified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in our technology vision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strategy, and the commercial</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skills to support our expansion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into new domains.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Sustained technology leadership</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is a key driver of our success: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it requires us to anticipate, shape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and invest in the next technology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waves and breakthroughs. We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continue to invest in long-term</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research to ensure a leadership</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position in line with our Technology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Vision 2030. We are also deeply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engaged in leading and influencing</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standards and developing standard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essential patents.</w:t>
      </w:r>
    </w:p>
    <w:p>
      <w:pPr>
        <w:spacing w:after="0" w:line="20" w:lineRule="exact"/>
        <w:rPr>
          <w:sz w:val="20"/>
          <w:szCs w:val="20"/>
          <w:color w:val="auto"/>
        </w:rPr>
      </w:pPr>
      <w:r>
        <w:rPr>
          <w:sz w:val="20"/>
          <w:szCs w:val="20"/>
          <w:color w:val="auto"/>
        </w:rPr>
        <w:br w:type="column"/>
      </w:r>
    </w:p>
    <w:p>
      <w:pPr>
        <w:spacing w:after="0" w:line="257" w:lineRule="auto"/>
        <w:rPr>
          <w:sz w:val="20"/>
          <w:szCs w:val="20"/>
          <w:color w:val="auto"/>
        </w:rPr>
      </w:pPr>
      <w:r>
        <w:rPr>
          <w:rFonts w:ascii="Times New Roman" w:cs="Times New Roman" w:eastAsia="Times New Roman" w:hAnsi="Times New Roman"/>
          <w:sz w:val="10"/>
          <w:szCs w:val="10"/>
          <w:color w:val="auto"/>
        </w:rPr>
        <w:t>We are increasing the digitalization of our own operations to lead by example with a set of ambitious, company-wide strategic initiatives to increase the company’s performance and competitiveness, focused on efficiency, productivity and agility in internal operations, customer experience and R&amp;D.</w:t>
      </w:r>
    </w:p>
    <w:p>
      <w:pPr>
        <w:spacing w:after="0" w:line="20" w:lineRule="exact"/>
        <w:rPr>
          <w:sz w:val="20"/>
          <w:szCs w:val="20"/>
          <w:color w:val="auto"/>
        </w:rPr>
      </w:pPr>
      <w:r>
        <w:rPr>
          <w:sz w:val="20"/>
          <w:szCs w:val="20"/>
          <w:color w:val="auto"/>
        </w:rPr>
        <w:br w:type="column"/>
      </w:r>
    </w:p>
    <w:p>
      <w:pPr>
        <w:ind w:right="280"/>
        <w:spacing w:after="0" w:line="259" w:lineRule="auto"/>
        <w:rPr>
          <w:sz w:val="20"/>
          <w:szCs w:val="20"/>
          <w:color w:val="auto"/>
        </w:rPr>
      </w:pPr>
      <w:r>
        <w:rPr>
          <w:rFonts w:ascii="Times New Roman" w:cs="Times New Roman" w:eastAsia="Times New Roman" w:hAnsi="Times New Roman"/>
          <w:sz w:val="10"/>
          <w:szCs w:val="10"/>
          <w:color w:val="auto"/>
        </w:rPr>
        <w:t>To ensure Nokia is recognized as a B2B technology innovation leader, we refreshed our brand in 2023. Our new visual identity is emblematic of an energized, dynamic and modern Nokia.</w:t>
      </w:r>
    </w:p>
    <w:p>
      <w:pPr>
        <w:sectPr>
          <w:pgSz w:w="11900" w:h="16838" w:orient="portrait"/>
          <w:cols w:equalWidth="0" w:num="5">
            <w:col w:w="2760" w:space="720"/>
            <w:col w:w="1340" w:space="260"/>
            <w:col w:w="1480" w:space="260"/>
            <w:col w:w="1440" w:space="260"/>
            <w:col w:w="1580"/>
          </w:cols>
          <w:pgMar w:left="960" w:top="409" w:right="839" w:bottom="1440" w:gutter="0" w:footer="0" w:header="0"/>
          <w:type w:val="continuous"/>
        </w:sectPr>
      </w:pPr>
    </w:p>
    <w:bookmarkStart w:id="23" w:name="page24"/>
    <w:bookmarkEnd w:id="23"/>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strategy continued</w:t>
      </w:r>
    </w:p>
    <w:p>
      <w:pPr>
        <w:spacing w:after="0" w:line="318" w:lineRule="exact"/>
        <w:rPr>
          <w:sz w:val="20"/>
          <w:szCs w:val="20"/>
          <w:color w:val="auto"/>
        </w:rPr>
      </w:pPr>
    </w:p>
    <w:p>
      <w:pPr>
        <w:jc w:val="both"/>
        <w:ind w:right="20"/>
        <w:spacing w:after="0" w:line="275" w:lineRule="auto"/>
        <w:rPr>
          <w:sz w:val="20"/>
          <w:szCs w:val="20"/>
          <w:color w:val="auto"/>
        </w:rPr>
      </w:pPr>
      <w:r>
        <w:rPr>
          <w:rFonts w:ascii="Times New Roman" w:cs="Times New Roman" w:eastAsia="Times New Roman" w:hAnsi="Times New Roman"/>
          <w:sz w:val="16"/>
          <w:szCs w:val="16"/>
          <w:color w:val="005AFF"/>
        </w:rPr>
        <w:t>Accelerating strategy execution – providing business groups with greater autonomy</w:t>
      </w:r>
    </w:p>
    <w:p>
      <w:pPr>
        <w:spacing w:after="0" w:line="1"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In 2021, Nokia significantly streamlined its operating model, moving from a matrix organization and creating four P&amp;L-responsible business groups structured around unique customer offerings. Since then, its business groups have increased investments in R&amp;D, strengthened their technology leadership, and rebalanced their portfolio while growing faster than the market and expanding into new growth areas.</w:t>
      </w:r>
    </w:p>
    <w:p>
      <w:pPr>
        <w:spacing w:after="0" w:line="64" w:lineRule="exact"/>
        <w:rPr>
          <w:sz w:val="20"/>
          <w:szCs w:val="20"/>
          <w:color w:val="auto"/>
        </w:rPr>
      </w:pPr>
    </w:p>
    <w:p>
      <w:pPr>
        <w:ind w:left="180" w:right="80" w:hanging="171"/>
        <w:spacing w:after="0" w:line="297" w:lineRule="auto"/>
        <w:tabs>
          <w:tab w:leader="none" w:pos="180" w:val="left"/>
        </w:tabs>
        <w:numPr>
          <w:ilvl w:val="0"/>
          <w:numId w:val="1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Network Infrastructure has extended its technology leadership position and is growing faster than the market</w:t>
      </w:r>
    </w:p>
    <w:p>
      <w:pPr>
        <w:ind w:left="180" w:right="340" w:hanging="171"/>
        <w:spacing w:after="0" w:line="279" w:lineRule="auto"/>
        <w:tabs>
          <w:tab w:leader="none" w:pos="180" w:val="left"/>
        </w:tabs>
        <w:numPr>
          <w:ilvl w:val="0"/>
          <w:numId w:val="1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Mobile Networks substantially improved the competitiveness of its products, taking a leadership position in 5G and gaining market share</w:t>
      </w:r>
    </w:p>
    <w:p>
      <w:pPr>
        <w:spacing w:after="0" w:line="13" w:lineRule="exact"/>
        <w:rPr>
          <w:rFonts w:ascii="Times New Roman" w:cs="Times New Roman" w:eastAsia="Times New Roman" w:hAnsi="Times New Roman"/>
          <w:sz w:val="11"/>
          <w:szCs w:val="11"/>
          <w:color w:val="005AFF"/>
        </w:rPr>
      </w:pPr>
    </w:p>
    <w:p>
      <w:pPr>
        <w:ind w:left="180" w:right="100" w:hanging="171"/>
        <w:spacing w:after="0" w:line="279" w:lineRule="auto"/>
        <w:tabs>
          <w:tab w:leader="none" w:pos="180" w:val="left"/>
        </w:tabs>
        <w:numPr>
          <w:ilvl w:val="0"/>
          <w:numId w:val="1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Cloud and Network Services has grown faster than the market in its five growth segments, including Enterprise private wireless, while rebalancing its portfolio</w:t>
      </w:r>
    </w:p>
    <w:p>
      <w:pPr>
        <w:spacing w:after="0" w:line="13" w:lineRule="exact"/>
        <w:rPr>
          <w:rFonts w:ascii="Times New Roman" w:cs="Times New Roman" w:eastAsia="Times New Roman" w:hAnsi="Times New Roman"/>
          <w:sz w:val="11"/>
          <w:szCs w:val="11"/>
          <w:color w:val="005AFF"/>
        </w:rPr>
      </w:pPr>
    </w:p>
    <w:p>
      <w:pPr>
        <w:ind w:left="180" w:right="280" w:hanging="171"/>
        <w:spacing w:after="0" w:line="265" w:lineRule="auto"/>
        <w:tabs>
          <w:tab w:leader="none" w:pos="180" w:val="left"/>
        </w:tabs>
        <w:numPr>
          <w:ilvl w:val="0"/>
          <w:numId w:val="1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Nokia Technologies has expanded into areas such as automotive, multimedia and consumer electronics,</w:t>
      </w:r>
    </w:p>
    <w:p>
      <w:pPr>
        <w:ind w:left="180" w:right="260"/>
        <w:spacing w:after="0" w:line="297" w:lineRule="auto"/>
        <w:rPr>
          <w:sz w:val="20"/>
          <w:szCs w:val="20"/>
          <w:color w:val="auto"/>
        </w:rPr>
      </w:pPr>
      <w:r>
        <w:rPr>
          <w:rFonts w:ascii="Times New Roman" w:cs="Times New Roman" w:eastAsia="Times New Roman" w:hAnsi="Times New Roman"/>
          <w:sz w:val="11"/>
          <w:szCs w:val="11"/>
          <w:color w:val="auto"/>
        </w:rPr>
        <w:t>and has signed new patent license agreements with Apple and Samsung</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In Q4 2023, Nokia accelerated its strategy execution through providing its four business groups with increased operational autonomy and agility along with embedding sales teams directly into the business rather than the central sales organization the company has utilized until now. This will enable the business groups to better address opportunities in their distinctive markets with our existing and new customers. They will be empowered to diversify faster, build new ecosystem partnerships, implement new business models and invest for technology leadership.</w:t>
      </w:r>
    </w:p>
    <w:p>
      <w:pPr>
        <w:spacing w:after="0" w:line="54"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Dedicated sales teams with a strong product and customer connection will enable business groups to better seize growth opportunities with our existing and new customers and diversify into enterprise, webscale and government sectors. This change will bring highly empowered teams in front of customers that are able to make quicker decisions based</w:t>
      </w:r>
    </w:p>
    <w:p>
      <w:pPr>
        <w:spacing w:after="0" w:line="1" w:lineRule="exact"/>
        <w:rPr>
          <w:sz w:val="20"/>
          <w:szCs w:val="20"/>
          <w:color w:val="auto"/>
        </w:rPr>
      </w:pPr>
    </w:p>
    <w:p>
      <w:pPr>
        <w:jc w:val="both"/>
        <w:ind w:right="100"/>
        <w:spacing w:after="0" w:line="273" w:lineRule="auto"/>
        <w:rPr>
          <w:sz w:val="20"/>
          <w:szCs w:val="20"/>
          <w:color w:val="auto"/>
        </w:rPr>
      </w:pPr>
      <w:r>
        <w:rPr>
          <w:rFonts w:ascii="Times New Roman" w:cs="Times New Roman" w:eastAsia="Times New Roman" w:hAnsi="Times New Roman"/>
          <w:sz w:val="11"/>
          <w:szCs w:val="11"/>
          <w:color w:val="auto"/>
        </w:rPr>
        <w:t>on their needs. Sales teams will collaborate across Nokia to ensure customers continue to benefit from the breadth of all Nokia offers.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16</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20"/>
        <w:spacing w:after="0" w:line="266" w:lineRule="auto"/>
        <w:rPr>
          <w:sz w:val="20"/>
          <w:szCs w:val="20"/>
          <w:color w:val="auto"/>
        </w:rPr>
      </w:pPr>
      <w:r>
        <w:rPr>
          <w:rFonts w:ascii="Times New Roman" w:cs="Times New Roman" w:eastAsia="Times New Roman" w:hAnsi="Times New Roman"/>
          <w:sz w:val="11"/>
          <w:szCs w:val="11"/>
          <w:color w:val="auto"/>
        </w:rPr>
        <w:t>Nokia’s lean corporate center will act as a strategic architect, providing oversight in key areas, including target setting and performance management and portfolio development along with governance and compliance. The company will continue its commitment to long-term research through Nokia Bell Labs, as evidenced by its recent announcement of a new venture studio and venture capital partnerships to unleash the full commercial potential of Nokia Bell Labs technologies beyond the needs of Nokia’s business groups.</w:t>
      </w:r>
    </w:p>
    <w:p>
      <w:pPr>
        <w:spacing w:after="0" w:line="63" w:lineRule="exact"/>
        <w:rPr>
          <w:sz w:val="20"/>
          <w:szCs w:val="20"/>
          <w:color w:val="auto"/>
        </w:rPr>
      </w:pPr>
    </w:p>
    <w:p>
      <w:pPr>
        <w:ind w:right="200"/>
        <w:spacing w:after="0" w:line="269" w:lineRule="auto"/>
        <w:rPr>
          <w:sz w:val="20"/>
          <w:szCs w:val="20"/>
          <w:color w:val="auto"/>
        </w:rPr>
      </w:pPr>
      <w:r>
        <w:rPr>
          <w:rFonts w:ascii="Times New Roman" w:cs="Times New Roman" w:eastAsia="Times New Roman" w:hAnsi="Times New Roman"/>
          <w:sz w:val="11"/>
          <w:szCs w:val="11"/>
          <w:color w:val="auto"/>
        </w:rPr>
        <w:t>Accompanying the move towards more autonomous business groups and to provide investors with greater transparency in assessing their financial performance, Nokia will begin reporting a cash flow metric and regional sales at the business group level in 2024.</w:t>
      </w:r>
    </w:p>
    <w:p>
      <w:pPr>
        <w:sectPr>
          <w:pgSz w:w="11900" w:h="16838" w:orient="portrait"/>
          <w:cols w:equalWidth="0" w:num="3">
            <w:col w:w="2860" w:space="540"/>
            <w:col w:w="2840" w:space="560"/>
            <w:col w:w="3180"/>
          </w:cols>
          <w:pgMar w:left="960" w:top="409" w:right="959" w:bottom="1440" w:gutter="0" w:footer="0" w:header="0"/>
        </w:sectPr>
      </w:pPr>
    </w:p>
    <w:bookmarkStart w:id="24" w:name="page25"/>
    <w:bookmarkEnd w:id="24"/>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strategy continued</w:t>
      </w:r>
    </w:p>
    <w:p>
      <w:pPr>
        <w:spacing w:after="0" w:line="262" w:lineRule="exact"/>
        <w:rPr>
          <w:sz w:val="20"/>
          <w:szCs w:val="20"/>
          <w:color w:val="auto"/>
        </w:rPr>
      </w:pPr>
    </w:p>
    <w:p>
      <w:pPr>
        <w:ind w:right="840"/>
        <w:spacing w:after="0" w:line="226" w:lineRule="auto"/>
        <w:rPr>
          <w:sz w:val="20"/>
          <w:szCs w:val="20"/>
          <w:color w:val="auto"/>
        </w:rPr>
      </w:pPr>
      <w:r>
        <w:rPr>
          <w:rFonts w:ascii="Times New Roman" w:cs="Times New Roman" w:eastAsia="Times New Roman" w:hAnsi="Times New Roman"/>
          <w:sz w:val="45"/>
          <w:szCs w:val="45"/>
          <w:color w:val="auto"/>
        </w:rPr>
        <w:t>Our path to continued technology leadership</w:t>
      </w:r>
    </w:p>
    <w:p>
      <w:pPr>
        <w:spacing w:after="0" w:line="76"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3"/>
          <w:szCs w:val="13"/>
          <w:color w:val="auto"/>
        </w:rPr>
        <w:t>As one of the industry’s leading investors in communication technology research and development (R&amp;D), we drive innovation across a comprehensive portfolio of network equipment, software, services and licensing opportunities .</w:t>
      </w:r>
    </w:p>
    <w:p>
      <w:pPr>
        <w:spacing w:after="0" w:line="95" w:lineRule="exact"/>
        <w:rPr>
          <w:sz w:val="20"/>
          <w:szCs w:val="20"/>
          <w:color w:val="auto"/>
        </w:rPr>
      </w:pPr>
    </w:p>
    <w:p>
      <w:pPr>
        <w:ind w:right="620"/>
        <w:spacing w:after="0" w:line="275" w:lineRule="auto"/>
        <w:rPr>
          <w:sz w:val="20"/>
          <w:szCs w:val="20"/>
          <w:color w:val="auto"/>
        </w:rPr>
      </w:pPr>
      <w:r>
        <w:rPr>
          <w:rFonts w:ascii="Times New Roman" w:cs="Times New Roman" w:eastAsia="Times New Roman" w:hAnsi="Times New Roman"/>
          <w:sz w:val="16"/>
          <w:szCs w:val="16"/>
          <w:color w:val="005AFF"/>
        </w:rPr>
        <w:t>Nokia’s world-leading research and development</w:t>
      </w:r>
    </w:p>
    <w:p>
      <w:pPr>
        <w:spacing w:after="0" w:line="1" w:lineRule="exact"/>
        <w:rPr>
          <w:sz w:val="20"/>
          <w:szCs w:val="20"/>
          <w:color w:val="auto"/>
        </w:rPr>
      </w:pPr>
    </w:p>
    <w:p>
      <w:pPr>
        <w:ind w:right="20"/>
        <w:spacing w:after="0" w:line="269" w:lineRule="auto"/>
        <w:rPr>
          <w:sz w:val="20"/>
          <w:szCs w:val="20"/>
          <w:color w:val="auto"/>
        </w:rPr>
      </w:pPr>
      <w:r>
        <w:rPr>
          <w:rFonts w:ascii="Times New Roman" w:cs="Times New Roman" w:eastAsia="Times New Roman" w:hAnsi="Times New Roman"/>
          <w:sz w:val="11"/>
          <w:szCs w:val="11"/>
          <w:color w:val="auto"/>
        </w:rPr>
        <w:t>We have a global network of R&amp;D centers, each with specialties and ecosystems built around both competencies and technologies. Most of our near- to mid-term R&amp;D is conducted within the business groups’ structures and is further elaborated in the business group-specific sections of this report.</w:t>
      </w:r>
    </w:p>
    <w:p>
      <w:pPr>
        <w:spacing w:after="0" w:line="93" w:lineRule="exact"/>
        <w:rPr>
          <w:sz w:val="20"/>
          <w:szCs w:val="20"/>
          <w:color w:val="auto"/>
        </w:rPr>
      </w:pPr>
    </w:p>
    <w:p>
      <w:pPr>
        <w:ind w:right="40"/>
        <w:spacing w:after="0" w:line="262" w:lineRule="auto"/>
        <w:rPr>
          <w:sz w:val="20"/>
          <w:szCs w:val="20"/>
          <w:color w:val="auto"/>
        </w:rPr>
      </w:pPr>
      <w:r>
        <w:rPr>
          <w:rFonts w:ascii="Times New Roman" w:cs="Times New Roman" w:eastAsia="Times New Roman" w:hAnsi="Times New Roman"/>
          <w:sz w:val="16"/>
          <w:szCs w:val="16"/>
          <w:color w:val="005AFF"/>
        </w:rPr>
        <w:t>Laying the path for Nokia’s future technology innovation and identifying the most promising areas for new value creation</w:t>
      </w:r>
    </w:p>
    <w:p>
      <w:pPr>
        <w:spacing w:after="0" w:line="2" w:lineRule="exact"/>
        <w:rPr>
          <w:sz w:val="20"/>
          <w:szCs w:val="20"/>
          <w:color w:val="auto"/>
        </w:rPr>
      </w:pPr>
    </w:p>
    <w:p>
      <w:pPr>
        <w:ind w:right="120"/>
        <w:spacing w:after="0" w:line="274" w:lineRule="auto"/>
        <w:rPr>
          <w:sz w:val="20"/>
          <w:szCs w:val="20"/>
          <w:color w:val="auto"/>
        </w:rPr>
      </w:pPr>
      <w:r>
        <w:rPr>
          <w:rFonts w:ascii="Times New Roman" w:cs="Times New Roman" w:eastAsia="Times New Roman" w:hAnsi="Times New Roman"/>
          <w:sz w:val="11"/>
          <w:szCs w:val="11"/>
          <w:color w:val="auto"/>
        </w:rPr>
        <w:t>Beyond the R&amp;D of our business groups, Nokia’s dedicated Strategy and Technology (S&amp;T) organization is focused</w:t>
      </w:r>
    </w:p>
    <w:p>
      <w:pPr>
        <w:spacing w:after="0" w:line="1" w:lineRule="exact"/>
        <w:rPr>
          <w:sz w:val="20"/>
          <w:szCs w:val="20"/>
          <w:color w:val="auto"/>
        </w:rPr>
      </w:pPr>
    </w:p>
    <w:p>
      <w:pPr>
        <w:ind w:right="260"/>
        <w:spacing w:after="0" w:line="266" w:lineRule="auto"/>
        <w:rPr>
          <w:sz w:val="20"/>
          <w:szCs w:val="20"/>
          <w:color w:val="auto"/>
        </w:rPr>
      </w:pPr>
      <w:r>
        <w:rPr>
          <w:rFonts w:ascii="Times New Roman" w:cs="Times New Roman" w:eastAsia="Times New Roman" w:hAnsi="Times New Roman"/>
          <w:sz w:val="11"/>
          <w:szCs w:val="11"/>
          <w:color w:val="auto"/>
        </w:rPr>
        <w:t>on longer-term technology cycles. S&amp;T is responsible for formulating a coherent corporate strategy and establishing a technology and architecture vision across the company. It is also overseeing the implementation of this vision in partnership with Nokia’s business groups.</w:t>
      </w:r>
    </w:p>
    <w:p>
      <w:pPr>
        <w:spacing w:after="0" w:line="61"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S&amp;T drives company-wide internal technology alignment and, through the transfer of technologies to the business groups, contributes to the evolution of Nokia’s portfolio to enable continued technology leadership.</w:t>
      </w:r>
    </w:p>
    <w:p>
      <w:pPr>
        <w:spacing w:after="0" w:line="20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Nokia Bell Labs</w:t>
      </w:r>
    </w:p>
    <w:p>
      <w:pPr>
        <w:spacing w:after="0" w:line="36"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As Nokia’s industrial research lab, Nokia Bell Labs solves human needs through the power of human intellect. Throughout its nearly 100-year history, Nokia Bell Labs has been bringing together the brightest minds in mathematics, physics, computing and engineering to work on the world’s biggest scientific challenges. In 2023, we added our 10th Nobel Prize for work completed at Bell Labs with the Nobel Prize in Chemistry awarded to our alumnus Louis Brus.</w:t>
      </w:r>
    </w:p>
    <w:p>
      <w:pPr>
        <w:spacing w:after="0" w:line="52"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1"/>
          <w:szCs w:val="11"/>
          <w:color w:val="auto"/>
        </w:rPr>
        <w:t>Nokia Bell Labs’ primary research areas are network fundamentals, automation, semiconductors and devices, AI and software systems. As an industrial research lab, we innovate with purpose, pursuing responsible, sustainable technologies that will have a demonstrable impact on society. Nokia Bell Labs believes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17</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7" w:lineRule="exact"/>
        <w:rPr>
          <w:sz w:val="20"/>
          <w:szCs w:val="20"/>
          <w:color w:val="auto"/>
        </w:rPr>
      </w:pPr>
    </w:p>
    <w:p>
      <w:pPr>
        <w:ind w:right="480"/>
        <w:spacing w:after="0" w:line="290" w:lineRule="auto"/>
        <w:rPr>
          <w:sz w:val="20"/>
          <w:szCs w:val="20"/>
          <w:color w:val="auto"/>
        </w:rPr>
      </w:pPr>
      <w:r>
        <w:rPr>
          <w:rFonts w:ascii="Times New Roman" w:cs="Times New Roman" w:eastAsia="Times New Roman" w:hAnsi="Times New Roman"/>
          <w:sz w:val="11"/>
          <w:szCs w:val="11"/>
          <w:color w:val="auto"/>
        </w:rPr>
        <w:t>that the best research is done in an inclusive, collaborative manner, taking multiple diverse points of view into account.</w:t>
      </w:r>
    </w:p>
    <w:p>
      <w:pPr>
        <w:spacing w:after="0" w:line="38" w:lineRule="exact"/>
        <w:rPr>
          <w:sz w:val="20"/>
          <w:szCs w:val="20"/>
          <w:color w:val="auto"/>
        </w:rPr>
      </w:pPr>
    </w:p>
    <w:p>
      <w:pPr>
        <w:ind w:right="340"/>
        <w:spacing w:after="0" w:line="266" w:lineRule="auto"/>
        <w:rPr>
          <w:sz w:val="20"/>
          <w:szCs w:val="20"/>
          <w:color w:val="auto"/>
        </w:rPr>
      </w:pPr>
      <w:r>
        <w:rPr>
          <w:rFonts w:ascii="Times New Roman" w:cs="Times New Roman" w:eastAsia="Times New Roman" w:hAnsi="Times New Roman"/>
          <w:sz w:val="11"/>
          <w:szCs w:val="11"/>
          <w:color w:val="auto"/>
        </w:rPr>
        <w:t>With Nokia Bell Labs, we continue our heritage of pioneering significant innovations in the essential technologies driving communication networks and systems. Many of the fundamental technologies that are used in 5G standards were invented at Nokia, and now we are focused on technology leadership beyond 5G. We are finalizing standardization work for the first release of the 5G-Advanced era, known as 3GPP Release 18, and have started to work on the upcoming Release 19.</w:t>
      </w:r>
    </w:p>
    <w:p>
      <w:pPr>
        <w:sectPr>
          <w:pgSz w:w="11900" w:h="16838" w:orient="portrait"/>
          <w:cols w:equalWidth="0" w:num="3">
            <w:col w:w="2920" w:space="480"/>
            <w:col w:w="3020" w:space="380"/>
            <w:col w:w="3180"/>
          </w:cols>
          <w:pgMar w:left="960" w:top="409" w:right="959" w:bottom="1440" w:gutter="0" w:footer="0" w:header="0"/>
        </w:sectPr>
      </w:pPr>
    </w:p>
    <w:bookmarkStart w:id="25" w:name="page26"/>
    <w:bookmarkEnd w:id="25"/>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strategy continued</w:t>
      </w:r>
    </w:p>
    <w:p>
      <w:pPr>
        <w:spacing w:after="0" w:line="326" w:lineRule="exact"/>
        <w:rPr>
          <w:sz w:val="20"/>
          <w:szCs w:val="20"/>
          <w:color w:val="auto"/>
        </w:rPr>
      </w:pPr>
    </w:p>
    <w:p>
      <w:pPr>
        <w:ind w:right="40"/>
        <w:spacing w:after="0" w:line="269" w:lineRule="auto"/>
        <w:rPr>
          <w:sz w:val="20"/>
          <w:szCs w:val="20"/>
          <w:color w:val="auto"/>
        </w:rPr>
      </w:pPr>
      <w:r>
        <w:rPr>
          <w:rFonts w:ascii="Times New Roman" w:cs="Times New Roman" w:eastAsia="Times New Roman" w:hAnsi="Times New Roman"/>
          <w:sz w:val="11"/>
          <w:szCs w:val="11"/>
          <w:color w:val="auto"/>
        </w:rPr>
        <w:t>Nokia continues to be at the forefront of 6G research. Since January 2023, we have led Hexa-X-II, the second phase of the European Commission’s flagship 6G initiative for research into the next generation of wireless networks. In 2023, Nokia also launched a first-of-its-kind 6G Lab in India to research foundational 6G technologies like network as a sensor, network exposure and automation.</w:t>
      </w:r>
    </w:p>
    <w:p>
      <w:pPr>
        <w:spacing w:after="0" w:line="39"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In 2023, we achieved two key technological milestones on the path to 6G. First, the implementation of AI and machine learning (ML) into the radio air interface, effectively granting 6G radios the ability to learn. Secondly, we utilized new sub-terahertz (sub-THz) spectrum frequencies to substantially increase network capacity. At the 2023 Mobile World Congress, we presented a live demonstration of a 6G joint communication and sensing proof-of-concept.</w:t>
      </w:r>
    </w:p>
    <w:p>
      <w:pPr>
        <w:spacing w:after="0" w:line="47" w:lineRule="exact"/>
        <w:rPr>
          <w:sz w:val="20"/>
          <w:szCs w:val="20"/>
          <w:color w:val="auto"/>
        </w:rPr>
      </w:pPr>
    </w:p>
    <w:p>
      <w:pPr>
        <w:ind w:right="80"/>
        <w:spacing w:after="0" w:line="269" w:lineRule="auto"/>
        <w:rPr>
          <w:sz w:val="20"/>
          <w:szCs w:val="20"/>
          <w:color w:val="auto"/>
        </w:rPr>
      </w:pPr>
      <w:r>
        <w:rPr>
          <w:rFonts w:ascii="Times New Roman" w:cs="Times New Roman" w:eastAsia="Times New Roman" w:hAnsi="Times New Roman"/>
          <w:sz w:val="11"/>
          <w:szCs w:val="11"/>
          <w:color w:val="auto"/>
        </w:rPr>
        <w:t>In 2023, Nokia Bell Labs also set four new world records for submarine optical communications, and optical and fixed networks with research that set a path to long-term technology leadership in the next generation of network infrastructures.</w:t>
      </w:r>
    </w:p>
    <w:p>
      <w:pPr>
        <w:spacing w:after="0" w:line="50" w:lineRule="exact"/>
        <w:rPr>
          <w:sz w:val="20"/>
          <w:szCs w:val="20"/>
          <w:color w:val="auto"/>
        </w:rPr>
      </w:pPr>
    </w:p>
    <w:p>
      <w:pPr>
        <w:ind w:right="60"/>
        <w:spacing w:after="0" w:line="261" w:lineRule="auto"/>
        <w:rPr>
          <w:sz w:val="20"/>
          <w:szCs w:val="20"/>
          <w:color w:val="auto"/>
        </w:rPr>
      </w:pPr>
      <w:r>
        <w:rPr>
          <w:rFonts w:ascii="Times New Roman" w:cs="Times New Roman" w:eastAsia="Times New Roman" w:hAnsi="Times New Roman"/>
          <w:sz w:val="11"/>
          <w:szCs w:val="11"/>
          <w:color w:val="auto"/>
        </w:rPr>
        <w:t>Nokia Bell Labs is also at the forefront of non-traditional network research with a focus on AI and machine learning that is needed for future advanced communication capabilities. We believe it is important to develop AI in an ethical, responsible and sustainable way, and this led us to create a cross-organization AI Center of Excellence.</w:t>
      </w:r>
    </w:p>
    <w:p>
      <w:pPr>
        <w:spacing w:after="0" w:line="54" w:lineRule="exact"/>
        <w:rPr>
          <w:sz w:val="20"/>
          <w:szCs w:val="20"/>
          <w:color w:val="auto"/>
        </w:rPr>
      </w:pPr>
    </w:p>
    <w:p>
      <w:pPr>
        <w:spacing w:after="0" w:line="257" w:lineRule="auto"/>
        <w:rPr>
          <w:sz w:val="20"/>
          <w:szCs w:val="20"/>
          <w:color w:val="auto"/>
        </w:rPr>
      </w:pPr>
      <w:r>
        <w:rPr>
          <w:rFonts w:ascii="Times New Roman" w:cs="Times New Roman" w:eastAsia="Times New Roman" w:hAnsi="Times New Roman"/>
          <w:sz w:val="11"/>
          <w:szCs w:val="11"/>
          <w:color w:val="auto"/>
        </w:rPr>
        <w:t>Nokia Bell Labs has had recent success in collaborating with government agencies and businesses on distinct commercial contracts. This includes additional funded agreements with the US Government for the future of space communication and lunar communication architecture studies with Nokia Bell Labs being chosen by DARPA for the LunA-10 Capability Study to design an integrated multi-service architecture to support a thriving economy on the Moon in the next decade and beyond. Nokia Bell Labs is regarded as a leading industry and thought leader on lunar surface communication networks, which NASA recently recognized by giving it the FY2023 NASA Langley Research Center Large Business Prime Contractor of the Year Award. Nokia Bell Labs also signed a memorandum of understanding with Aramco Digital for joint R&amp;D collaboration and innovation on digitalization and industrial automation use cases.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6"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Nokia Bell Labs continues to explore new concepts that could lead to growth in both neighboring and nascent markets. We launched UNEXT, a new research initiative for a future Network Software System that creates a unified networking experience for autonomous service creation leveraging distributed computing and new business environments. Just as Bell Labs’ invention of UNIX transformed computing, our UNEXT research initiative is poised to transform networking, by breaking down barriers that have traditionally prevented network elements from interoperating.</w:t>
      </w:r>
    </w:p>
    <w:p>
      <w:pPr>
        <w:spacing w:after="0" w:line="193" w:lineRule="exact"/>
        <w:rPr>
          <w:sz w:val="20"/>
          <w:szCs w:val="20"/>
          <w:color w:val="auto"/>
        </w:rPr>
      </w:pPr>
    </w:p>
    <w:p>
      <w:pPr>
        <w:ind w:right="140"/>
        <w:spacing w:after="0" w:line="275" w:lineRule="auto"/>
        <w:rPr>
          <w:sz w:val="20"/>
          <w:szCs w:val="20"/>
          <w:color w:val="auto"/>
        </w:rPr>
      </w:pPr>
      <w:r>
        <w:rPr>
          <w:rFonts w:ascii="Times New Roman" w:cs="Times New Roman" w:eastAsia="Times New Roman" w:hAnsi="Times New Roman"/>
          <w:sz w:val="11"/>
          <w:szCs w:val="11"/>
          <w:color w:val="auto"/>
        </w:rPr>
        <w:t>Nokia is actively engaged in leading and influencing standards and developing new standard-essential patents (SEPs), shaping future technologies and systems while strengthening its IPR portfolio.</w:t>
      </w:r>
    </w:p>
    <w:p>
      <w:pPr>
        <w:spacing w:after="0" w:line="47" w:lineRule="exact"/>
        <w:rPr>
          <w:sz w:val="20"/>
          <w:szCs w:val="20"/>
          <w:color w:val="auto"/>
        </w:rPr>
      </w:pPr>
    </w:p>
    <w:p>
      <w:pPr>
        <w:ind w:right="100"/>
        <w:spacing w:after="0" w:line="274" w:lineRule="auto"/>
        <w:rPr>
          <w:sz w:val="20"/>
          <w:szCs w:val="20"/>
          <w:color w:val="auto"/>
        </w:rPr>
      </w:pPr>
      <w:r>
        <w:rPr>
          <w:rFonts w:ascii="Times New Roman" w:cs="Times New Roman" w:eastAsia="Times New Roman" w:hAnsi="Times New Roman"/>
          <w:sz w:val="11"/>
          <w:szCs w:val="11"/>
          <w:color w:val="auto"/>
        </w:rPr>
        <w:t>We also pursue future growth platforms through investment in NGP Capital innovation funds, and the in-house incubation and commercialization of venture projects. In 2023, we saw our first venture projects going to market and winning their first customer deals.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ind w:left="3060"/>
        <w:spacing w:after="0"/>
        <w:rPr>
          <w:sz w:val="20"/>
          <w:szCs w:val="20"/>
          <w:color w:val="auto"/>
        </w:rPr>
      </w:pPr>
      <w:r>
        <w:rPr>
          <w:rFonts w:ascii="Times New Roman" w:cs="Times New Roman" w:eastAsia="Times New Roman" w:hAnsi="Times New Roman"/>
          <w:sz w:val="12"/>
          <w:szCs w:val="12"/>
          <w:color w:val="auto"/>
        </w:rPr>
        <w:t>18</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9" w:lineRule="exact"/>
        <w:rPr>
          <w:sz w:val="20"/>
          <w:szCs w:val="20"/>
          <w:color w:val="auto"/>
        </w:rPr>
      </w:pPr>
    </w:p>
    <w:p>
      <w:pPr>
        <w:ind w:right="340"/>
        <w:spacing w:after="0" w:line="265" w:lineRule="auto"/>
        <w:rPr>
          <w:sz w:val="20"/>
          <w:szCs w:val="20"/>
          <w:color w:val="auto"/>
        </w:rPr>
      </w:pPr>
      <w:r>
        <w:rPr>
          <w:rFonts w:ascii="Times New Roman" w:cs="Times New Roman" w:eastAsia="Times New Roman" w:hAnsi="Times New Roman"/>
          <w:sz w:val="11"/>
          <w:szCs w:val="11"/>
          <w:color w:val="auto"/>
        </w:rPr>
        <w:t>We also launched new venture capital partnerships with America’s Frontier Fund, Roadrunner Venture Studios and Celesta Capital to aid in the creation and funding of spinouts that can maximize the commercial potential of Nokia Bell Labs innovations and the creation of long-term value for Nokia.</w:t>
      </w:r>
    </w:p>
    <w:p>
      <w:pPr>
        <w:spacing w:after="0" w:line="1" w:lineRule="exact"/>
        <w:rPr>
          <w:sz w:val="20"/>
          <w:szCs w:val="20"/>
          <w:color w:val="auto"/>
        </w:rPr>
      </w:pPr>
    </w:p>
    <w:p>
      <w:pPr>
        <w:ind w:right="520"/>
        <w:spacing w:after="0" w:line="268" w:lineRule="auto"/>
        <w:rPr>
          <w:sz w:val="20"/>
          <w:szCs w:val="20"/>
          <w:color w:val="auto"/>
        </w:rPr>
      </w:pPr>
      <w:r>
        <w:rPr>
          <w:rFonts w:ascii="Times New Roman" w:cs="Times New Roman" w:eastAsia="Times New Roman" w:hAnsi="Times New Roman"/>
          <w:sz w:val="11"/>
          <w:szCs w:val="11"/>
          <w:color w:val="auto"/>
        </w:rPr>
        <w:t>In S&amp;T, we are also focused on enabling Nokia to evolve as a best-in-class digital enterprise and identifying security requirements, trends and evolving risks, to position Nokia as a trusted security partner for the 5G era and beyond.</w:t>
      </w:r>
    </w:p>
    <w:p>
      <w:pPr>
        <w:spacing w:after="0" w:line="93" w:lineRule="exact"/>
        <w:rPr>
          <w:sz w:val="20"/>
          <w:szCs w:val="20"/>
          <w:color w:val="auto"/>
        </w:rPr>
      </w:pPr>
    </w:p>
    <w:p>
      <w:pPr>
        <w:ind w:left="20"/>
        <w:spacing w:after="0"/>
        <w:rPr>
          <w:sz w:val="20"/>
          <w:szCs w:val="20"/>
          <w:color w:val="auto"/>
        </w:rPr>
      </w:pPr>
      <w:r>
        <w:rPr>
          <w:rFonts w:ascii="Times New Roman" w:cs="Times New Roman" w:eastAsia="Times New Roman" w:hAnsi="Times New Roman"/>
          <w:sz w:val="20"/>
          <w:szCs w:val="20"/>
          <w:color w:val="001135"/>
        </w:rPr>
        <w:t>“Nokia is actively engaged</w:t>
      </w:r>
    </w:p>
    <w:p>
      <w:pPr>
        <w:spacing w:after="0" w:line="15" w:lineRule="exact"/>
        <w:rPr>
          <w:sz w:val="20"/>
          <w:szCs w:val="20"/>
          <w:color w:val="auto"/>
        </w:rPr>
      </w:pPr>
    </w:p>
    <w:p>
      <w:pPr>
        <w:ind w:left="80" w:firstLine="2"/>
        <w:spacing w:after="0" w:line="235" w:lineRule="auto"/>
        <w:rPr>
          <w:sz w:val="20"/>
          <w:szCs w:val="20"/>
          <w:color w:val="auto"/>
        </w:rPr>
      </w:pPr>
      <w:r>
        <w:rPr>
          <w:rFonts w:ascii="Times New Roman" w:cs="Times New Roman" w:eastAsia="Times New Roman" w:hAnsi="Times New Roman"/>
          <w:sz w:val="20"/>
          <w:szCs w:val="20"/>
          <w:color w:val="001135"/>
        </w:rPr>
        <w:t>in leading and influencing standards and developing new standard-essential patents (SEPs), shaping future technologies and systems while strengthening its IPR portfolio.”</w:t>
      </w:r>
    </w:p>
    <w:p>
      <w:pPr>
        <w:sectPr>
          <w:pgSz w:w="11900" w:h="16838" w:orient="portrait"/>
          <w:cols w:equalWidth="0" w:num="3">
            <w:col w:w="2940" w:space="460"/>
            <w:col w:w="3020" w:space="380"/>
            <w:col w:w="3260"/>
          </w:cols>
          <w:pgMar w:left="960" w:top="409" w:right="879" w:bottom="1440" w:gutter="0" w:footer="0" w:header="0"/>
        </w:sectPr>
      </w:pPr>
    </w:p>
    <w:bookmarkStart w:id="26" w:name="page27"/>
    <w:bookmarkEnd w:id="26"/>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Our strategy continued</w:t>
      </w:r>
    </w:p>
    <w:p>
      <w:pPr>
        <w:spacing w:after="0" w:line="262" w:lineRule="exact"/>
        <w:rPr>
          <w:sz w:val="20"/>
          <w:szCs w:val="20"/>
          <w:color w:val="auto"/>
        </w:rPr>
      </w:pPr>
    </w:p>
    <w:p>
      <w:pPr>
        <w:spacing w:after="0" w:line="254" w:lineRule="auto"/>
        <w:rPr>
          <w:sz w:val="20"/>
          <w:szCs w:val="20"/>
          <w:color w:val="auto"/>
        </w:rPr>
      </w:pPr>
      <w:r>
        <w:rPr>
          <w:rFonts w:ascii="Times New Roman" w:cs="Times New Roman" w:eastAsia="Times New Roman" w:hAnsi="Times New Roman"/>
          <w:sz w:val="45"/>
          <w:szCs w:val="45"/>
          <w:color w:val="auto"/>
        </w:rPr>
        <w:t>Our Technology Strategy 2030</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1951" w:lineRule="exact"/>
        <w:rPr>
          <w:sz w:val="20"/>
          <w:szCs w:val="20"/>
          <w:color w:val="auto"/>
        </w:rPr>
      </w:pPr>
    </w:p>
    <w:p>
      <w:pPr>
        <w:sectPr>
          <w:pgSz w:w="11900" w:h="16838" w:orient="portrait"/>
          <w:cols w:equalWidth="0" w:num="2">
            <w:col w:w="2980" w:space="420"/>
            <w:col w:w="6580"/>
          </w:cols>
          <w:pgMar w:left="960" w:top="409" w:right="959" w:bottom="1440" w:gutter="0" w:footer="0" w:header="0"/>
        </w:sectPr>
      </w:pPr>
    </w:p>
    <w:p>
      <w:pPr>
        <w:spacing w:after="0" w:line="295" w:lineRule="exact"/>
        <w:rPr>
          <w:sz w:val="20"/>
          <w:szCs w:val="20"/>
          <w:color w:val="auto"/>
        </w:rPr>
      </w:pPr>
    </w:p>
    <w:p>
      <w:pPr>
        <w:spacing w:after="0" w:line="253" w:lineRule="auto"/>
        <w:rPr>
          <w:sz w:val="20"/>
          <w:szCs w:val="20"/>
          <w:color w:val="auto"/>
        </w:rPr>
      </w:pPr>
      <w:r>
        <w:rPr>
          <w:rFonts w:ascii="Times New Roman" w:cs="Times New Roman" w:eastAsia="Times New Roman" w:hAnsi="Times New Roman"/>
          <w:sz w:val="13"/>
          <w:szCs w:val="13"/>
          <w:color w:val="auto"/>
        </w:rPr>
        <w:t>The network is critical to realizing the enormous range of potential that emerging innovations and technologies such as AI, the metaverse and the cloud open in the communication provider, industrial, enterprise and consumer spheres as we approach 2030.</w:t>
      </w:r>
    </w:p>
    <w:p>
      <w:pPr>
        <w:spacing w:after="0" w:line="122"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In 2023, we revealed our Technology Strategy 2030, a roadmap to emerging technologies and future network architecture. Unparalleled technological advancement will drive major changes in the way we live and work in the upcoming decade. The global rate of technology adoption will be impacted</w:t>
      </w:r>
    </w:p>
    <w:p>
      <w:pPr>
        <w:spacing w:after="0" w:line="1" w:lineRule="exact"/>
        <w:rPr>
          <w:sz w:val="20"/>
          <w:szCs w:val="20"/>
          <w:color w:val="auto"/>
        </w:rPr>
      </w:pPr>
    </w:p>
    <w:p>
      <w:pPr>
        <w:ind w:right="40"/>
        <w:spacing w:after="0" w:line="264" w:lineRule="auto"/>
        <w:rPr>
          <w:sz w:val="20"/>
          <w:szCs w:val="20"/>
          <w:color w:val="auto"/>
        </w:rPr>
      </w:pPr>
      <w:r>
        <w:rPr>
          <w:rFonts w:ascii="Times New Roman" w:cs="Times New Roman" w:eastAsia="Times New Roman" w:hAnsi="Times New Roman"/>
          <w:sz w:val="11"/>
          <w:szCs w:val="11"/>
          <w:color w:val="auto"/>
        </w:rPr>
        <w:t>by trends such as a deepening focus on environmental sustainability, cybersecurity and inclusion. Advances in semiconductors, software, artificial intelligence and machine learning, metaverse technologies, Web3 and cloud technologies will continue to accelerate. These technologies will significantly extend the scope of what is possible, connecting and merging the human, physical and digital worlds to help solve some of the greatest global challenges we face.</w:t>
      </w:r>
    </w:p>
    <w:p>
      <w:pPr>
        <w:spacing w:after="0" w:line="53"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Building on our Technology Vision 2030, describing how we expect emerging technologies to impact the world in the coming years, Nokia’s Technology Strategy 2030 outlines the insights, priorities and actions necessary for businesses to</w:t>
      </w:r>
    </w:p>
    <w:p>
      <w:pPr>
        <w:spacing w:after="0" w:line="20" w:lineRule="exact"/>
        <w:rPr>
          <w:sz w:val="20"/>
          <w:szCs w:val="20"/>
          <w:color w:val="auto"/>
        </w:rPr>
      </w:pPr>
      <w:r>
        <w:rPr>
          <w:sz w:val="20"/>
          <w:szCs w:val="20"/>
          <w:color w:val="auto"/>
        </w:rPr>
        <w:br w:type="column"/>
      </w:r>
    </w:p>
    <w:p>
      <w:pPr>
        <w:spacing w:after="0" w:line="26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Network demand continues to accelerate</w:t>
      </w:r>
    </w:p>
    <w:p>
      <w:pPr>
        <w:spacing w:after="0" w:line="36"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1"/>
          <w:szCs w:val="11"/>
          <w:color w:val="auto"/>
        </w:rPr>
        <w:t>Network traffic is continuing to grow and will rise dramatically as AI, ML, extended reality (XR), digital twins, automation, and billions of additional devices proliferate. According to our new Global Network Traffic 2030 report, end-user data traffic demand will increase at a compounded annual growth rate</w:t>
      </w:r>
    </w:p>
    <w:p>
      <w:pPr>
        <w:spacing w:after="0" w:line="1"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of 22% to 25% from 2022 through 2030 and g lobal network traffic demand is expected to reach between 2 443 and</w:t>
      </w:r>
    </w:p>
    <w:p>
      <w:pPr>
        <w:spacing w:after="0"/>
        <w:rPr>
          <w:sz w:val="20"/>
          <w:szCs w:val="20"/>
          <w:color w:val="auto"/>
        </w:rPr>
      </w:pPr>
      <w:r>
        <w:rPr>
          <w:rFonts w:ascii="Times New Roman" w:cs="Times New Roman" w:eastAsia="Times New Roman" w:hAnsi="Times New Roman"/>
          <w:sz w:val="11"/>
          <w:szCs w:val="11"/>
          <w:color w:val="auto"/>
        </w:rPr>
        <w:t>3 109 exabytes per month in 2030.</w:t>
      </w:r>
    </w:p>
    <w:p>
      <w:pPr>
        <w:spacing w:after="0" w:line="84" w:lineRule="exact"/>
        <w:rPr>
          <w:sz w:val="20"/>
          <w:szCs w:val="20"/>
          <w:color w:val="auto"/>
        </w:rPr>
      </w:pPr>
    </w:p>
    <w:p>
      <w:pPr>
        <w:ind w:right="320"/>
        <w:spacing w:after="0" w:line="266" w:lineRule="auto"/>
        <w:rPr>
          <w:sz w:val="20"/>
          <w:szCs w:val="20"/>
          <w:color w:val="auto"/>
        </w:rPr>
      </w:pPr>
      <w:r>
        <w:rPr>
          <w:rFonts w:ascii="Times New Roman" w:cs="Times New Roman" w:eastAsia="Times New Roman" w:hAnsi="Times New Roman"/>
          <w:sz w:val="11"/>
          <w:szCs w:val="11"/>
          <w:color w:val="auto"/>
        </w:rPr>
        <w:t>Our Technology Strategy 2030 addresses the interplay of expanding technologies, the impact on network capabilities and demand and how Nokia will stay ahead of evolving customer requirements. In the years ahead, networks will undergo significant evolution and must become cognitive and automated ecosystems capable of addressing the transformative needs and operating models of diverse organizations, industries and consumers.</w:t>
      </w:r>
    </w:p>
    <w:p>
      <w:pPr>
        <w:spacing w:after="0" w:line="20" w:lineRule="exact"/>
        <w:rPr>
          <w:sz w:val="20"/>
          <w:szCs w:val="20"/>
          <w:color w:val="auto"/>
        </w:rPr>
      </w:pPr>
      <w:r>
        <w:rPr>
          <w:sz w:val="20"/>
          <w:szCs w:val="20"/>
          <w:color w:val="auto"/>
        </w:rPr>
        <w:br w:type="column"/>
      </w:r>
    </w:p>
    <w:p>
      <w:pPr>
        <w:spacing w:after="0" w:line="26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Future network architecture</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network architecture of the future will need to be more</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dynamic and agile, to swiftly adapt to the shifting landscape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applications and service demands, as well as new business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operating models. We have developed a future network</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architecture that leverages network digital twin technology 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 central building block. The architecture brings networks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clouds together to optimize both the user experience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resource utilization. This future network brings enhancements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management and orchestration with the help of digital twin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technology and AI to deliver optimal life-cycle management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deployed assets and applications. Unified Application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Programming Interfaces (APIs) facilitate the development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an ecosystem where services and applications can be easily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developed, deployed, and interoperated through the network.</w:t>
      </w:r>
    </w:p>
    <w:p>
      <w:pPr>
        <w:spacing w:after="0" w:line="89"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To achieve our goals over the coming years we will continue to anticipate future challenges for our customers and understand how emerging technologies impact their evolving networks, infrastructures and business models through continuous assessment, monitoring and governance of our technology strategy, which guides our portfolio development.</w:t>
      </w:r>
    </w:p>
    <w:p>
      <w:pPr>
        <w:spacing w:after="0" w:line="258" w:lineRule="exact"/>
        <w:rPr>
          <w:sz w:val="20"/>
          <w:szCs w:val="20"/>
          <w:color w:val="auto"/>
        </w:rPr>
      </w:pPr>
    </w:p>
    <w:p>
      <w:pPr>
        <w:sectPr>
          <w:pgSz w:w="11900" w:h="16838" w:orient="portrait"/>
          <w:cols w:equalWidth="0" w:num="3">
            <w:col w:w="3000" w:space="400"/>
            <w:col w:w="3040" w:space="360"/>
            <w:col w:w="3180"/>
          </w:cols>
          <w:pgMar w:left="960" w:top="409" w:right="959" w:bottom="1440" w:gutter="0" w:footer="0" w:header="0"/>
          <w:type w:val="continuous"/>
        </w:sectPr>
      </w:pPr>
    </w:p>
    <w:p>
      <w:pPr>
        <w:spacing w:after="0" w:line="271" w:lineRule="auto"/>
        <w:rPr>
          <w:sz w:val="20"/>
          <w:szCs w:val="20"/>
          <w:color w:val="auto"/>
        </w:rPr>
      </w:pPr>
      <w:r>
        <w:rPr>
          <w:rFonts w:ascii="Times New Roman" w:cs="Times New Roman" w:eastAsia="Times New Roman" w:hAnsi="Times New Roman"/>
          <w:sz w:val="11"/>
          <w:szCs w:val="11"/>
          <w:color w:val="auto"/>
        </w:rPr>
        <w:t>remain proactive in response to these accelerating technological advancements and the digital economy interplay and how, together with our customers and the industry, we must evolve networks to meet the challenges of tomorrow and beyond.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38" w:lineRule="exact"/>
        <w:rPr>
          <w:sz w:val="20"/>
          <w:szCs w:val="20"/>
          <w:color w:val="auto"/>
        </w:rPr>
      </w:pPr>
    </w:p>
    <w:p>
      <w:pPr>
        <w:ind w:right="540" w:hanging="56"/>
        <w:spacing w:after="0"/>
        <w:rPr>
          <w:sz w:val="20"/>
          <w:szCs w:val="20"/>
          <w:color w:val="auto"/>
        </w:rPr>
      </w:pPr>
      <w:r>
        <w:rPr>
          <w:rFonts w:ascii="Times New Roman" w:cs="Times New Roman" w:eastAsia="Times New Roman" w:hAnsi="Times New Roman"/>
          <w:sz w:val="20"/>
          <w:szCs w:val="20"/>
          <w:color w:val="001135"/>
        </w:rPr>
        <w:t>“Nokia’s Technology Strategy 2030 outlines the insights, priorities and actions necessary for businesses to remain proactive in response to accelerating technological advancements and the digital economy interplay and how, together with our customers and the industry, we must evolve networks to meet the challenges of tomorrow and beyond.”</w:t>
      </w:r>
    </w:p>
    <w:p>
      <w:pPr>
        <w:sectPr>
          <w:pgSz w:w="11900" w:h="16838" w:orient="portrait"/>
          <w:cols w:equalWidth="0" w:num="2">
            <w:col w:w="2880" w:space="600"/>
            <w:col w:w="6500"/>
          </w:cols>
          <w:pgMar w:left="960" w:top="409" w:right="959" w:bottom="1440" w:gutter="0" w:footer="0" w:header="0"/>
          <w:type w:val="continuous"/>
        </w:sectPr>
      </w:pPr>
    </w:p>
    <w:bookmarkStart w:id="27" w:name="page28"/>
    <w:bookmarkEnd w:id="27"/>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Our strategy continued</w:t>
      </w:r>
    </w:p>
    <w:p>
      <w:pPr>
        <w:spacing w:after="0" w:line="200" w:lineRule="exact"/>
        <w:rPr>
          <w:sz w:val="20"/>
          <w:szCs w:val="20"/>
          <w:color w:val="auto"/>
        </w:rPr>
      </w:pPr>
    </w:p>
    <w:p>
      <w:pPr>
        <w:spacing w:after="0" w:line="26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The network and digital economy interplay</w:t>
      </w:r>
    </w:p>
    <w:p>
      <w:pPr>
        <w:spacing w:after="0" w:line="36"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Evolution of network technologies will shape the future of the digital era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28" w:name="page29"/>
    <w:bookmarkEnd w:id="28"/>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21</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Our history</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Our history</w:t>
      </w:r>
    </w:p>
    <w:p>
      <w:pPr>
        <w:spacing w:after="0" w:line="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Nokia has been adapting to the needs of an ever-changing world for over 155 years.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29" w:name="page30"/>
    <w:bookmarkEnd w:id="29"/>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22</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Our history 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30" w:name="page31"/>
    <w:bookmarkEnd w:id="30"/>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Business groups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23</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820" w:space="580"/>
            <w:col w:w="6660"/>
          </w:cols>
          <w:pgMar w:left="960" w:top="409" w:right="879" w:bottom="1440" w:gutter="0" w:footer="0" w:header="0"/>
        </w:sectPr>
      </w:pPr>
    </w:p>
    <w:p>
      <w:pPr>
        <w:spacing w:after="0" w:line="93" w:lineRule="exact"/>
        <w:rPr>
          <w:sz w:val="20"/>
          <w:szCs w:val="20"/>
          <w:color w:val="auto"/>
        </w:rPr>
      </w:pPr>
    </w:p>
    <w:p>
      <w:pPr>
        <w:ind w:right="360"/>
        <w:spacing w:after="0" w:line="249" w:lineRule="auto"/>
        <w:rPr>
          <w:sz w:val="20"/>
          <w:szCs w:val="20"/>
          <w:color w:val="auto"/>
        </w:rPr>
      </w:pPr>
      <w:r>
        <w:rPr>
          <w:rFonts w:ascii="Times New Roman" w:cs="Times New Roman" w:eastAsia="Times New Roman" w:hAnsi="Times New Roman"/>
          <w:sz w:val="45"/>
          <w:szCs w:val="45"/>
          <w:color w:val="FFFFFF"/>
        </w:rPr>
        <w:t>Network Infrastructure</w:t>
      </w:r>
    </w:p>
    <w:p>
      <w:pPr>
        <w:spacing w:after="0" w:line="62"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3"/>
          <w:szCs w:val="13"/>
          <w:color w:val="FFFFFF"/>
        </w:rPr>
        <w:t>Network Infrastructure delivers fixed access, IP routing, data center networks and optical transport, both terrestrial and subsea, for business-critical and mission-critical applications for CSP, enterprise and webscale customers.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FFFFF"/>
        </w:rPr>
        <w:t>2023 in brief</w:t>
      </w:r>
    </w:p>
    <w:p>
      <w:pPr>
        <w:spacing w:after="0" w:line="36" w:lineRule="exact"/>
        <w:rPr>
          <w:sz w:val="20"/>
          <w:szCs w:val="20"/>
          <w:color w:val="auto"/>
        </w:rPr>
      </w:pPr>
    </w:p>
    <w:p>
      <w:pPr>
        <w:ind w:right="300"/>
        <w:spacing w:after="0" w:line="269" w:lineRule="auto"/>
        <w:rPr>
          <w:sz w:val="20"/>
          <w:szCs w:val="20"/>
          <w:color w:val="auto"/>
        </w:rPr>
      </w:pPr>
      <w:r>
        <w:rPr>
          <w:rFonts w:ascii="Times New Roman" w:cs="Times New Roman" w:eastAsia="Times New Roman" w:hAnsi="Times New Roman"/>
          <w:sz w:val="11"/>
          <w:szCs w:val="11"/>
          <w:color w:val="FFFFFF"/>
        </w:rPr>
        <w:t>In 2023, Network Infrastructure’s net sales declined by 11% from 2022, based on a strong first half with a more challenging latter part to the year. While a build-up in customer inventory – along with macroeconomic uncertainty – acted to depress revenue, strong demand for our technology innovation helped raise segment operating margin by 90 basis points to 13.1%.</w:t>
      </w:r>
    </w:p>
    <w:p>
      <w:pPr>
        <w:spacing w:after="0" w:line="49" w:lineRule="exact"/>
        <w:rPr>
          <w:sz w:val="20"/>
          <w:szCs w:val="20"/>
          <w:color w:val="auto"/>
        </w:rPr>
      </w:pPr>
    </w:p>
    <w:p>
      <w:pPr>
        <w:ind w:left="180" w:hanging="171"/>
        <w:spacing w:after="0"/>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First to announce the manufacture of broadband</w:t>
      </w:r>
    </w:p>
    <w:p>
      <w:pPr>
        <w:spacing w:after="0" w:line="21" w:lineRule="exact"/>
        <w:rPr>
          <w:rFonts w:ascii="Times New Roman" w:cs="Times New Roman" w:eastAsia="Times New Roman" w:hAnsi="Times New Roman"/>
          <w:sz w:val="11"/>
          <w:szCs w:val="11"/>
          <w:color w:val="FFFFFF"/>
        </w:rPr>
      </w:pPr>
    </w:p>
    <w:p>
      <w:pPr>
        <w:ind w:left="180"/>
        <w:spacing w:after="0"/>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network electronics products for the U.S. BEAD program</w:t>
      </w:r>
    </w:p>
    <w:p>
      <w:pPr>
        <w:spacing w:after="0" w:line="10" w:lineRule="exact"/>
        <w:rPr>
          <w:rFonts w:ascii="Times New Roman" w:cs="Times New Roman" w:eastAsia="Times New Roman" w:hAnsi="Times New Roman"/>
          <w:sz w:val="11"/>
          <w:szCs w:val="11"/>
          <w:color w:val="FFFFFF"/>
        </w:rPr>
      </w:pPr>
    </w:p>
    <w:p>
      <w:pPr>
        <w:ind w:left="180" w:hanging="171"/>
        <w:spacing w:after="0" w:line="262" w:lineRule="auto"/>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Chosen by GFiber Labs (Google Fiber) to deliver a 20 Gig service to residential and enterprise customers with existing fiber networks</w:t>
      </w:r>
    </w:p>
    <w:p>
      <w:pPr>
        <w:ind w:left="180" w:right="320" w:hanging="171"/>
        <w:spacing w:after="0" w:line="259" w:lineRule="auto"/>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Began Swisscom’s service migration to a new high-capacity optical transport network</w:t>
      </w:r>
    </w:p>
    <w:p>
      <w:pPr>
        <w:ind w:left="180" w:right="460" w:hanging="171"/>
        <w:spacing w:after="0" w:line="263" w:lineRule="auto"/>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Selected by OpenColo to expand data center site connectivity using 800GE routing interfaces</w:t>
      </w:r>
    </w:p>
    <w:p>
      <w:pPr>
        <w:ind w:left="180" w:right="60" w:hanging="171"/>
        <w:spacing w:after="0" w:line="259" w:lineRule="auto"/>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Began work with Nomios Group to triple capacity for the GÉANT European research network: the first research network to deploy 800GE routing interfaces</w:t>
      </w:r>
    </w:p>
    <w:p>
      <w:pPr>
        <w:ind w:left="180" w:right="100" w:hanging="171"/>
        <w:spacing w:after="0" w:line="268" w:lineRule="auto"/>
        <w:tabs>
          <w:tab w:leader="none" w:pos="180" w:val="left"/>
        </w:tabs>
        <w:numPr>
          <w:ilvl w:val="0"/>
          <w:numId w:val="14"/>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Completed the Amitié subsea cable system – the highest capacity transoceanic communications cable ever deployed – in a project led by Aqua Comms, Meta, Microsoft and Vodafone</w:t>
      </w:r>
    </w:p>
    <w:p>
      <w:pPr>
        <w:spacing w:after="0" w:line="18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5" w:lineRule="exact"/>
        <w:rPr>
          <w:sz w:val="20"/>
          <w:szCs w:val="20"/>
          <w:color w:val="auto"/>
        </w:rPr>
      </w:pPr>
    </w:p>
    <w:p>
      <w:pPr>
        <w:spacing w:after="0" w:line="191" w:lineRule="exact"/>
        <w:rPr>
          <w:sz w:val="20"/>
          <w:szCs w:val="20"/>
          <w:color w:val="auto"/>
        </w:rPr>
      </w:pPr>
      <w:r>
        <w:rPr>
          <w:rFonts w:ascii="MS PGothic" w:cs="MS PGothic" w:eastAsia="MS PGothic" w:hAnsi="MS PGothic"/>
          <w:sz w:val="19"/>
          <w:szCs w:val="19"/>
          <w:color w:val="auto"/>
          <w:shd w:val="clear" w:color="auto" w:fill="005AFF"/>
        </w:rPr>
        <w:t>↗</w:t>
      </w:r>
    </w:p>
    <w:p>
      <w:pPr>
        <w:spacing w:after="0" w:line="56"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005AFF"/>
        </w:rPr>
        <w:t>FEDERICO GUILLÉN</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005AFF"/>
        </w:rPr>
        <w:t>PRESIDENT, NETWORK INFRASTRUCTURE</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37CC73"/>
        </w:rPr>
        <w:t>Market overview</w:t>
      </w:r>
    </w:p>
    <w:p>
      <w:pPr>
        <w:spacing w:after="0" w:line="36" w:lineRule="exact"/>
        <w:rPr>
          <w:sz w:val="20"/>
          <w:szCs w:val="20"/>
          <w:color w:val="auto"/>
        </w:rPr>
      </w:pPr>
    </w:p>
    <w:p>
      <w:pPr>
        <w:ind w:right="200"/>
        <w:spacing w:after="0" w:line="265" w:lineRule="auto"/>
        <w:rPr>
          <w:sz w:val="20"/>
          <w:szCs w:val="20"/>
          <w:color w:val="auto"/>
        </w:rPr>
      </w:pPr>
      <w:r>
        <w:rPr>
          <w:rFonts w:ascii="Times New Roman" w:cs="Times New Roman" w:eastAsia="Times New Roman" w:hAnsi="Times New Roman"/>
          <w:sz w:val="11"/>
          <w:szCs w:val="11"/>
          <w:color w:val="auto"/>
        </w:rPr>
        <w:t>During 2023, technology developments such as the emergence of generative AI and high profile announcements of plans for virtual reality devices underpinned our belief – supported by the research work of Nokia Bell Labs – that demand for connectivity will continue to grow over time to support pervasive technologies including digitalization and the metaverse. At the same time Network Infrastructure saw a number of short-term challenges that made for a tough latter part of the year. These range from a build-up of customer inventory in response to the recent supply chain crunch to some delays in customer investment prompted by ongoing macroeconomic uncertainty.</w:t>
      </w:r>
    </w:p>
    <w:p>
      <w:pPr>
        <w:spacing w:after="0" w:line="53"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In the face of these challenges, Network Infrastructure’s strategy remains concentrated on technology leadership and customer focus. We launched several significant new products during 2023. These include the PSE6-s photonic service engine, which delivers a competitive edge in terms of scale, performance and sustainability; the 7730 Service Interconnect Router, using our new FPcx silicon and run under Nokia SR Linux to bring significant benefits to customers in terms of security, capability, power and speed; and the industry’s first carrier-grade Wi-Fi 7 product portfolio, three times faster than Wi-Fi 6 and based on our innovative Corteca software, designed to</w:t>
      </w:r>
    </w:p>
    <w:p>
      <w:pPr>
        <w:spacing w:after="0" w:line="5" w:lineRule="exact"/>
        <w:rPr>
          <w:sz w:val="20"/>
          <w:szCs w:val="20"/>
          <w:color w:val="auto"/>
        </w:rPr>
      </w:pPr>
    </w:p>
    <w:p>
      <w:pPr>
        <w:spacing w:after="0"/>
        <w:tabs>
          <w:tab w:leader="none" w:pos="2040" w:val="left"/>
        </w:tabs>
        <w:rPr>
          <w:sz w:val="20"/>
          <w:szCs w:val="20"/>
          <w:color w:val="auto"/>
        </w:rPr>
      </w:pPr>
      <w:r>
        <w:rPr>
          <w:rFonts w:ascii="Times New Roman" w:cs="Times New Roman" w:eastAsia="Times New Roman" w:hAnsi="Times New Roman"/>
          <w:sz w:val="11"/>
          <w:szCs w:val="11"/>
          <w:color w:val="auto"/>
        </w:rPr>
        <w:t>help customers monetize their networks</w:t>
      </w:r>
      <w:r>
        <w:rPr>
          <w:sz w:val="20"/>
          <w:szCs w:val="20"/>
          <w:color w:val="auto"/>
        </w:rPr>
        <w:tab/>
      </w:r>
      <w:r>
        <w:rPr>
          <w:rFonts w:ascii="Times New Roman" w:cs="Times New Roman" w:eastAsia="Times New Roman" w:hAnsi="Times New Roman"/>
          <w:sz w:val="11"/>
          <w:szCs w:val="11"/>
          <w:color w:val="auto"/>
        </w:rPr>
        <w:t>. As a result, we have</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ind w:left="20" w:hanging="56"/>
        <w:spacing w:after="0"/>
        <w:rPr>
          <w:sz w:val="20"/>
          <w:szCs w:val="20"/>
          <w:color w:val="auto"/>
        </w:rPr>
      </w:pPr>
      <w:r>
        <w:rPr>
          <w:rFonts w:ascii="Times New Roman" w:cs="Times New Roman" w:eastAsia="Times New Roman" w:hAnsi="Times New Roman"/>
          <w:sz w:val="20"/>
          <w:szCs w:val="20"/>
          <w:color w:val="001135"/>
        </w:rPr>
        <w:t>“Network Infrastructure maintained focus in 2023 – despite market-driven challenges in the latter part of the year – continuing to bring innovative technologies to customers worldwide.”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9" w:lineRule="exact"/>
        <w:rPr>
          <w:sz w:val="20"/>
          <w:szCs w:val="20"/>
          <w:color w:val="auto"/>
        </w:rPr>
      </w:pPr>
    </w:p>
    <w:p>
      <w:pPr>
        <w:jc w:val="both"/>
        <w:ind w:right="580"/>
        <w:spacing w:after="0" w:line="279" w:lineRule="auto"/>
        <w:rPr>
          <w:sz w:val="20"/>
          <w:szCs w:val="20"/>
          <w:color w:val="auto"/>
        </w:rPr>
      </w:pPr>
      <w:r>
        <w:rPr>
          <w:rFonts w:ascii="Times New Roman" w:cs="Times New Roman" w:eastAsia="Times New Roman" w:hAnsi="Times New Roman"/>
          <w:sz w:val="11"/>
          <w:szCs w:val="11"/>
          <w:color w:val="auto"/>
        </w:rPr>
        <w:t>maintained or grown market share in all of our businesses, made progress in the enterprise customer segment and laid the foundation for future profitable growth.</w:t>
      </w:r>
    </w:p>
    <w:p>
      <w:pPr>
        <w:spacing w:after="0" w:line="54" w:lineRule="exact"/>
        <w:rPr>
          <w:sz w:val="20"/>
          <w:szCs w:val="20"/>
          <w:color w:val="auto"/>
        </w:rPr>
      </w:pPr>
    </w:p>
    <w:p>
      <w:pPr>
        <w:ind w:right="240"/>
        <w:spacing w:after="0" w:line="290" w:lineRule="auto"/>
        <w:rPr>
          <w:sz w:val="20"/>
          <w:szCs w:val="20"/>
          <w:color w:val="auto"/>
        </w:rPr>
      </w:pPr>
      <w:r>
        <w:rPr>
          <w:rFonts w:ascii="Times New Roman" w:cs="Times New Roman" w:eastAsia="Times New Roman" w:hAnsi="Times New Roman"/>
          <w:sz w:val="11"/>
          <w:szCs w:val="11"/>
          <w:color w:val="auto"/>
        </w:rPr>
        <w:t>The estimated Network Infrastructure addressable market, excluding Submarine Networks for 2023 was EUR 43 billion.</w:t>
      </w:r>
    </w:p>
    <w:p>
      <w:pPr>
        <w:spacing w:after="0" w:line="41"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37CC73"/>
        </w:rPr>
        <w:t>Business overview and organization</w:t>
      </w:r>
    </w:p>
    <w:p>
      <w:pPr>
        <w:spacing w:after="0" w:line="36" w:lineRule="exact"/>
        <w:rPr>
          <w:sz w:val="20"/>
          <w:szCs w:val="20"/>
          <w:color w:val="auto"/>
        </w:rPr>
      </w:pPr>
    </w:p>
    <w:p>
      <w:pPr>
        <w:ind w:right="600"/>
        <w:spacing w:after="0" w:line="309" w:lineRule="auto"/>
        <w:rPr>
          <w:sz w:val="20"/>
          <w:szCs w:val="20"/>
          <w:color w:val="auto"/>
        </w:rPr>
      </w:pPr>
      <w:r>
        <w:rPr>
          <w:rFonts w:ascii="Times New Roman" w:cs="Times New Roman" w:eastAsia="Times New Roman" w:hAnsi="Times New Roman"/>
          <w:sz w:val="11"/>
          <w:szCs w:val="11"/>
          <w:color w:val="auto"/>
        </w:rPr>
        <w:t>Our business divisions are: Fixed Networks, IP Networks, Optical Networks and Submarine Networks.</w:t>
      </w:r>
    </w:p>
    <w:p>
      <w:pPr>
        <w:spacing w:after="0" w:line="26" w:lineRule="exact"/>
        <w:rPr>
          <w:sz w:val="20"/>
          <w:szCs w:val="20"/>
          <w:color w:val="auto"/>
        </w:rPr>
      </w:pPr>
    </w:p>
    <w:p>
      <w:pPr>
        <w:ind w:right="260"/>
        <w:spacing w:after="0" w:line="256" w:lineRule="auto"/>
        <w:rPr>
          <w:sz w:val="20"/>
          <w:szCs w:val="20"/>
          <w:color w:val="auto"/>
        </w:rPr>
      </w:pPr>
      <w:r>
        <w:rPr>
          <w:rFonts w:ascii="Times New Roman" w:cs="Times New Roman" w:eastAsia="Times New Roman" w:hAnsi="Times New Roman"/>
          <w:sz w:val="11"/>
          <w:szCs w:val="11"/>
          <w:b w:val="1"/>
          <w:bCs w:val="1"/>
          <w:color w:val="auto"/>
        </w:rPr>
        <w:t xml:space="preserve">Fixed Networks </w:t>
      </w:r>
      <w:r>
        <w:rPr>
          <w:rFonts w:ascii="Times New Roman" w:cs="Times New Roman" w:eastAsia="Times New Roman" w:hAnsi="Times New Roman"/>
          <w:sz w:val="11"/>
          <w:szCs w:val="11"/>
          <w:color w:val="auto"/>
        </w:rPr>
        <w:t>is a leading provider of access infrastructure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 xml:space="preserve">(fiber and copper), in-home Wi-Fi solutions, cloud solutions and virtualization. In 2023, we maintained our leading position in passive optical networks </w:t>
      </w: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and we have more than 400 fiber customers in 130 countries. We are leaders in 25G-PON (now being deployed by Google Fiber) as well as XGS-PON. Fixed Networks continues to play a leading role in the dynamic fixed wireless access market, with 50 FWA 5G deployments (including mmWave) globally. In 2023, additions to our portfolio included the industry’s first carrier-grade Wi-Fi 7 product portfolio,</w:t>
      </w:r>
    </w:p>
    <w:p>
      <w:pPr>
        <w:spacing w:after="0" w:line="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new 5G FWA devices and extensions to our software offerings</w:t>
      </w:r>
    </w:p>
    <w:p>
      <w:pPr>
        <w:spacing w:after="0" w:line="8" w:lineRule="exact"/>
        <w:rPr>
          <w:sz w:val="20"/>
          <w:szCs w:val="20"/>
          <w:color w:val="auto"/>
        </w:rPr>
      </w:pPr>
    </w:p>
    <w:tbl>
      <w:tblPr>
        <w:tblLayout w:type="fixed"/>
        <w:tblInd w:w="0" w:type="dxa"/>
        <w:tblCellMar>
          <w:top w:w="0" w:type="dxa"/>
          <w:left w:w="0" w:type="dxa"/>
          <w:bottom w:w="0" w:type="dxa"/>
          <w:right w:w="0" w:type="dxa"/>
        </w:tblCellMar>
      </w:tblPr>
      <w:tr>
        <w:trPr>
          <w:trHeight w:val="126"/>
        </w:trPr>
        <w:tc>
          <w:tcPr>
            <w:tcW w:w="2720" w:type="dxa"/>
            <w:vAlign w:val="bottom"/>
          </w:tcPr>
          <w:p>
            <w:pPr>
              <w:spacing w:after="0"/>
              <w:rPr>
                <w:sz w:val="20"/>
                <w:szCs w:val="20"/>
                <w:color w:val="auto"/>
              </w:rPr>
            </w:pPr>
            <w:r>
              <w:rPr>
                <w:rFonts w:ascii="Times New Roman" w:cs="Times New Roman" w:eastAsia="Times New Roman" w:hAnsi="Times New Roman"/>
                <w:sz w:val="11"/>
                <w:szCs w:val="11"/>
                <w:color w:val="auto"/>
              </w:rPr>
              <w:t>including the Corteca home connectivity solution to enable</w:t>
            </w:r>
          </w:p>
        </w:tc>
        <w:tc>
          <w:tcPr>
            <w:tcW w:w="460" w:type="dxa"/>
            <w:vAlign w:val="bottom"/>
          </w:tcPr>
          <w:p>
            <w:pPr>
              <w:spacing w:after="0"/>
              <w:rPr>
                <w:sz w:val="10"/>
                <w:szCs w:val="10"/>
                <w:color w:val="auto"/>
              </w:rPr>
            </w:pPr>
          </w:p>
        </w:tc>
      </w:tr>
      <w:tr>
        <w:trPr>
          <w:trHeight w:val="142"/>
        </w:trPr>
        <w:tc>
          <w:tcPr>
            <w:tcW w:w="2720" w:type="dxa"/>
            <w:vAlign w:val="bottom"/>
          </w:tcPr>
          <w:p>
            <w:pPr>
              <w:spacing w:after="0"/>
              <w:rPr>
                <w:sz w:val="20"/>
                <w:szCs w:val="20"/>
                <w:color w:val="auto"/>
              </w:rPr>
            </w:pPr>
            <w:r>
              <w:rPr>
                <w:rFonts w:ascii="Times New Roman" w:cs="Times New Roman" w:eastAsia="Times New Roman" w:hAnsi="Times New Roman"/>
                <w:sz w:val="11"/>
                <w:szCs w:val="11"/>
                <w:color w:val="auto"/>
              </w:rPr>
              <w:t>CSPs to better monetize their networks. Nokia was also</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w w:val="97"/>
              </w:rPr>
              <w:t>the first to</w:t>
            </w:r>
          </w:p>
        </w:tc>
      </w:tr>
      <w:tr>
        <w:trPr>
          <w:trHeight w:val="142"/>
        </w:trPr>
        <w:tc>
          <w:tcPr>
            <w:tcW w:w="31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announce the manufacturing of broadband network electronics</w:t>
            </w:r>
          </w:p>
        </w:tc>
      </w:tr>
      <w:tr>
        <w:trPr>
          <w:trHeight w:val="148"/>
        </w:trPr>
        <w:tc>
          <w:tcPr>
            <w:tcW w:w="2720" w:type="dxa"/>
            <w:vAlign w:val="bottom"/>
          </w:tcPr>
          <w:p>
            <w:pPr>
              <w:spacing w:after="0"/>
              <w:rPr>
                <w:sz w:val="20"/>
                <w:szCs w:val="20"/>
                <w:color w:val="auto"/>
              </w:rPr>
            </w:pPr>
            <w:r>
              <w:rPr>
                <w:rFonts w:ascii="Times New Roman" w:cs="Times New Roman" w:eastAsia="Times New Roman" w:hAnsi="Times New Roman"/>
                <w:sz w:val="11"/>
                <w:szCs w:val="11"/>
                <w:color w:val="auto"/>
              </w:rPr>
              <w:t>products for the U.S. BEAD government stimulus program</w:t>
            </w:r>
          </w:p>
        </w:tc>
        <w:tc>
          <w:tcPr>
            <w:tcW w:w="460" w:type="dxa"/>
            <w:vAlign w:val="bottom"/>
          </w:tcPr>
          <w:p>
            <w:pPr>
              <w:jc w:val="right"/>
              <w:ind w:right="143"/>
              <w:spacing w:after="0"/>
              <w:rPr>
                <w:sz w:val="20"/>
                <w:szCs w:val="20"/>
                <w:color w:val="auto"/>
              </w:rPr>
            </w:pPr>
            <w:r>
              <w:rPr>
                <w:rFonts w:ascii="Times New Roman" w:cs="Times New Roman" w:eastAsia="Times New Roman" w:hAnsi="Times New Roman"/>
                <w:sz w:val="11"/>
                <w:szCs w:val="11"/>
                <w:color w:val="auto"/>
              </w:rPr>
              <w:t>.</w:t>
            </w:r>
          </w:p>
        </w:tc>
      </w:tr>
    </w:tbl>
    <w:p>
      <w:pPr>
        <w:sectPr>
          <w:pgSz w:w="11900" w:h="16838" w:orient="portrait"/>
          <w:cols w:equalWidth="0" w:num="3">
            <w:col w:w="2860" w:space="540"/>
            <w:col w:w="3060" w:space="340"/>
            <w:col w:w="3260"/>
          </w:cols>
          <w:pgMar w:left="960" w:top="409" w:right="879" w:bottom="1440" w:gutter="0" w:footer="0" w:header="0"/>
          <w:type w:val="continuous"/>
        </w:sectPr>
      </w:pPr>
    </w:p>
    <w:bookmarkStart w:id="31" w:name="page32"/>
    <w:bookmarkEnd w:id="31"/>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Business groups continued</w:t>
      </w:r>
    </w:p>
    <w:p>
      <w:pPr>
        <w:spacing w:after="0" w:line="324" w:lineRule="exact"/>
        <w:rPr>
          <w:sz w:val="20"/>
          <w:szCs w:val="20"/>
          <w:color w:val="auto"/>
        </w:rPr>
      </w:pPr>
    </w:p>
    <w:p>
      <w:pPr>
        <w:spacing w:after="0" w:line="255" w:lineRule="auto"/>
        <w:rPr>
          <w:sz w:val="20"/>
          <w:szCs w:val="20"/>
          <w:color w:val="auto"/>
        </w:rPr>
      </w:pPr>
      <w:r>
        <w:rPr>
          <w:rFonts w:ascii="Times New Roman" w:cs="Times New Roman" w:eastAsia="Times New Roman" w:hAnsi="Times New Roman"/>
          <w:sz w:val="11"/>
          <w:szCs w:val="11"/>
          <w:b w:val="1"/>
          <w:bCs w:val="1"/>
          <w:color w:val="auto"/>
        </w:rPr>
        <w:t xml:space="preserve">IP Networks </w:t>
      </w:r>
      <w:r>
        <w:rPr>
          <w:rFonts w:ascii="Times New Roman" w:cs="Times New Roman" w:eastAsia="Times New Roman" w:hAnsi="Times New Roman"/>
          <w:sz w:val="11"/>
          <w:szCs w:val="11"/>
          <w:color w:val="auto"/>
        </w:rPr>
        <w:t>is the leading global vendor in IP edge routing in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EMEA</w:t>
      </w:r>
      <w:r>
        <w:rPr>
          <w:rFonts w:ascii="Times New Roman" w:cs="Times New Roman" w:eastAsia="Times New Roman" w:hAnsi="Times New Roman"/>
          <w:sz w:val="14"/>
          <w:szCs w:val="14"/>
          <w:color w:val="auto"/>
          <w:vertAlign w:val="superscript"/>
        </w:rPr>
        <w:t>(2)</w:t>
      </w:r>
      <w:r>
        <w:rPr>
          <w:rFonts w:ascii="Times New Roman" w:cs="Times New Roman" w:eastAsia="Times New Roman" w:hAnsi="Times New Roman"/>
          <w:sz w:val="11"/>
          <w:szCs w:val="11"/>
          <w:color w:val="auto"/>
        </w:rPr>
        <w:t xml:space="preserve"> and holds the number two position in the global total routing market (excluding China) </w:t>
      </w:r>
      <w:r>
        <w:rPr>
          <w:rFonts w:ascii="Times New Roman" w:cs="Times New Roman" w:eastAsia="Times New Roman" w:hAnsi="Times New Roman"/>
          <w:sz w:val="14"/>
          <w:szCs w:val="14"/>
          <w:color w:val="auto"/>
          <w:vertAlign w:val="superscript"/>
        </w:rPr>
        <w:t>(3)</w:t>
      </w:r>
      <w:r>
        <w:rPr>
          <w:rFonts w:ascii="Times New Roman" w:cs="Times New Roman" w:eastAsia="Times New Roman" w:hAnsi="Times New Roman"/>
          <w:sz w:val="11"/>
          <w:szCs w:val="11"/>
          <w:color w:val="auto"/>
        </w:rPr>
        <w:t>. The business delivers high-performance IP access, aggregation, edge and core routing solutions with a focus on service provider , mission-critical enterprise, and webscale networks. Named a ‘leader’ and ‘outperformer’ in 2023 for data center fabric solutions by Gigaom, we deliver advanced data center networking solutions for telco, webscale and enterprise cloud requirements. In 2023, we continued to lead the market in next generation 800 Gigabit Ethernet IP routing, announcing wins with Nomios Group for the GÉANT European research network and with etisalat by e&amp; UAE. We were chosen to deploy 800GE links in the world’s fastest live supercomputing network showcase at the SC 2023 conference . IP Networks expanded its portfolio during the year with the launch of the 7730 Service Interconnect Router product family and FPcx fully programmable routing silicon. This will bring the power of Nokia’s routing portfolio to new parts of the network and n ew mission-critical and CSP customers.</w:t>
      </w:r>
    </w:p>
    <w:p>
      <w:pPr>
        <w:spacing w:after="0" w:line="339" w:lineRule="exact"/>
        <w:rPr>
          <w:sz w:val="20"/>
          <w:szCs w:val="20"/>
          <w:color w:val="auto"/>
        </w:rPr>
      </w:pPr>
    </w:p>
    <w:p>
      <w:pPr>
        <w:ind w:right="140"/>
        <w:spacing w:after="0" w:line="252" w:lineRule="auto"/>
        <w:rPr>
          <w:sz w:val="20"/>
          <w:szCs w:val="20"/>
          <w:color w:val="auto"/>
        </w:rPr>
      </w:pPr>
      <w:r>
        <w:rPr>
          <w:rFonts w:ascii="Times New Roman" w:cs="Times New Roman" w:eastAsia="Times New Roman" w:hAnsi="Times New Roman"/>
          <w:sz w:val="11"/>
          <w:szCs w:val="11"/>
          <w:b w:val="1"/>
          <w:bCs w:val="1"/>
          <w:color w:val="auto"/>
        </w:rPr>
        <w:t xml:space="preserve">Optical Networks </w:t>
      </w:r>
      <w:r>
        <w:rPr>
          <w:rFonts w:ascii="Times New Roman" w:cs="Times New Roman" w:eastAsia="Times New Roman" w:hAnsi="Times New Roman"/>
          <w:sz w:val="11"/>
          <w:szCs w:val="11"/>
          <w:color w:val="auto"/>
        </w:rPr>
        <w:t>is a leader in optical transport networks for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 xml:space="preserve">metro, regional and long-haul applications and collaborates with our Submarine Networks on innovation-led subsea applications. We hold the number two position in the optical market worldwide, excluding China </w:t>
      </w:r>
      <w:r>
        <w:rPr>
          <w:rFonts w:ascii="Times New Roman" w:cs="Times New Roman" w:eastAsia="Times New Roman" w:hAnsi="Times New Roman"/>
          <w:sz w:val="14"/>
          <w:szCs w:val="14"/>
          <w:color w:val="auto"/>
          <w:vertAlign w:val="superscript"/>
        </w:rPr>
        <w:t>(4)</w:t>
      </w:r>
      <w:r>
        <w:rPr>
          <w:rFonts w:ascii="Times New Roman" w:cs="Times New Roman" w:eastAsia="Times New Roman" w:hAnsi="Times New Roman"/>
          <w:sz w:val="11"/>
          <w:szCs w:val="11"/>
          <w:color w:val="auto"/>
        </w:rPr>
        <w:t>. We have more than</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100 customers for our fifth generation Photonic Service Engine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coherent digital signal processor, PSE-V, which was launched in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2020. And, in Q1 2023, we announced the PSE-6s, a ground-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breaking new solution that sets new milestones in scale,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performance and sustainability for optical transport networks.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These include unmatched 2.4Tb/s scale; three times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previous reach for 800 Gigabit per second (Gb/s) wavelengths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sustainable network evolution with 60 percent less network</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power consumption per 100 Gbit equivalent, by comparison</w:t>
      </w:r>
    </w:p>
    <w:p>
      <w:pPr>
        <w:spacing w:after="0" w:line="10" w:lineRule="exact"/>
        <w:rPr>
          <w:sz w:val="20"/>
          <w:szCs w:val="20"/>
          <w:color w:val="auto"/>
        </w:rPr>
      </w:pPr>
    </w:p>
    <w:p>
      <w:pPr>
        <w:spacing w:after="0"/>
        <w:tabs>
          <w:tab w:leader="none" w:pos="1240" w:val="left"/>
        </w:tabs>
        <w:rPr>
          <w:sz w:val="20"/>
          <w:szCs w:val="20"/>
          <w:color w:val="auto"/>
        </w:rPr>
      </w:pPr>
      <w:r>
        <w:rPr>
          <w:rFonts w:ascii="Times New Roman" w:cs="Times New Roman" w:eastAsia="Times New Roman" w:hAnsi="Times New Roman"/>
          <w:sz w:val="11"/>
          <w:szCs w:val="11"/>
          <w:color w:val="auto"/>
        </w:rPr>
        <w:t>with earlier generations.</w:t>
        <w:tab/>
        <w:t>PSE-6s was used by GlobalConnect to</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demonstrate a record-breaking 1.2Tb/s coherent transmission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over a single wavelength in a live network and has also been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demonstrated in live networks by customers including Colt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network wholesaler, lyntia.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2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820" w:type="dxa"/>
            <w:vAlign w:val="bottom"/>
          </w:tcPr>
          <w:p>
            <w:pPr>
              <w:ind w:left="60"/>
              <w:spacing w:after="0"/>
              <w:rPr>
                <w:sz w:val="20"/>
                <w:szCs w:val="20"/>
                <w:color w:val="auto"/>
              </w:rPr>
            </w:pPr>
            <w:r>
              <w:rPr>
                <w:rFonts w:ascii="Times New Roman" w:cs="Times New Roman" w:eastAsia="Times New Roman" w:hAnsi="Times New Roman"/>
                <w:sz w:val="9"/>
                <w:szCs w:val="9"/>
                <w:color w:val="auto"/>
              </w:rPr>
              <w:t>Financial</w:t>
            </w:r>
          </w:p>
        </w:tc>
        <w:tc>
          <w:tcPr>
            <w:tcW w:w="2880" w:type="dxa"/>
            <w:vAlign w:val="bottom"/>
          </w:tcPr>
          <w:p>
            <w:pPr>
              <w:ind w:left="260"/>
              <w:spacing w:after="0"/>
              <w:rPr>
                <w:sz w:val="20"/>
                <w:szCs w:val="20"/>
                <w:color w:val="auto"/>
              </w:rPr>
            </w:pPr>
            <w:r>
              <w:rPr>
                <w:rFonts w:ascii="Times New Roman" w:cs="Times New Roman" w:eastAsia="Times New Roman" w:hAnsi="Times New Roman"/>
                <w:sz w:val="9"/>
                <w:szCs w:val="9"/>
                <w:color w:val="auto"/>
              </w:rPr>
              <w:t>Other</w:t>
            </w:r>
          </w:p>
        </w:tc>
        <w:tc>
          <w:tcPr>
            <w:tcW w:w="18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24</w:t>
            </w:r>
          </w:p>
        </w:tc>
        <w:tc>
          <w:tcPr>
            <w:tcW w:w="0" w:type="dxa"/>
            <w:vAlign w:val="bottom"/>
          </w:tcPr>
          <w:p>
            <w:pPr>
              <w:spacing w:after="0"/>
              <w:rPr>
                <w:sz w:val="1"/>
                <w:szCs w:val="1"/>
                <w:color w:val="auto"/>
              </w:rPr>
            </w:pPr>
          </w:p>
        </w:tc>
      </w:tr>
      <w:tr>
        <w:trPr>
          <w:trHeight w:val="130"/>
        </w:trPr>
        <w:tc>
          <w:tcPr>
            <w:tcW w:w="102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820" w:type="dxa"/>
            <w:vAlign w:val="bottom"/>
          </w:tcPr>
          <w:p>
            <w:pPr>
              <w:ind w:left="60"/>
              <w:spacing w:after="0"/>
              <w:rPr>
                <w:sz w:val="20"/>
                <w:szCs w:val="20"/>
                <w:color w:val="auto"/>
              </w:rPr>
            </w:pPr>
            <w:r>
              <w:rPr>
                <w:rFonts w:ascii="Times New Roman" w:cs="Times New Roman" w:eastAsia="Times New Roman" w:hAnsi="Times New Roman"/>
                <w:sz w:val="9"/>
                <w:szCs w:val="9"/>
                <w:color w:val="auto"/>
              </w:rPr>
              <w:t>statements</w:t>
            </w:r>
          </w:p>
        </w:tc>
        <w:tc>
          <w:tcPr>
            <w:tcW w:w="2880" w:type="dxa"/>
            <w:vAlign w:val="bottom"/>
          </w:tcPr>
          <w:p>
            <w:pPr>
              <w:ind w:left="260"/>
              <w:spacing w:after="0"/>
              <w:rPr>
                <w:sz w:val="20"/>
                <w:szCs w:val="20"/>
                <w:color w:val="auto"/>
              </w:rPr>
            </w:pPr>
            <w:r>
              <w:rPr>
                <w:rFonts w:ascii="Times New Roman" w:cs="Times New Roman" w:eastAsia="Times New Roman" w:hAnsi="Times New Roman"/>
                <w:sz w:val="9"/>
                <w:szCs w:val="9"/>
                <w:color w:val="auto"/>
              </w:rPr>
              <w:t>information</w:t>
            </w:r>
          </w:p>
        </w:tc>
        <w:tc>
          <w:tcPr>
            <w:tcW w:w="18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1"/>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 xml:space="preserve">Submarine Networks  </w:t>
            </w:r>
            <w:r>
              <w:rPr>
                <w:rFonts w:ascii="Times New Roman" w:cs="Times New Roman" w:eastAsia="Times New Roman" w:hAnsi="Times New Roman"/>
                <w:sz w:val="11"/>
                <w:szCs w:val="11"/>
                <w:color w:val="auto"/>
              </w:rPr>
              <w:t>continues to be a leader in the growing</w:t>
            </w:r>
          </w:p>
        </w:tc>
        <w:tc>
          <w:tcPr>
            <w:tcW w:w="18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2"/>
        </w:trPr>
        <w:tc>
          <w:tcPr>
            <w:tcW w:w="18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undersea telecoms networks segment</w:t>
            </w:r>
          </w:p>
        </w:tc>
        <w:tc>
          <w:tcPr>
            <w:tcW w:w="2880" w:type="dxa"/>
            <w:vAlign w:val="bottom"/>
          </w:tcPr>
          <w:p>
            <w:pPr>
              <w:ind w:left="100"/>
              <w:spacing w:after="0" w:line="143" w:lineRule="exact"/>
              <w:rPr>
                <w:sz w:val="20"/>
                <w:szCs w:val="20"/>
                <w:color w:val="auto"/>
              </w:rPr>
            </w:pPr>
            <w:r>
              <w:rPr>
                <w:rFonts w:ascii="Times New Roman" w:cs="Times New Roman" w:eastAsia="Times New Roman" w:hAnsi="Times New Roman"/>
                <w:sz w:val="14"/>
                <w:szCs w:val="14"/>
                <w:color w:val="auto"/>
                <w:vertAlign w:val="superscript"/>
              </w:rPr>
              <w:t>(5)</w:t>
            </w:r>
            <w:r>
              <w:rPr>
                <w:rFonts w:ascii="Times New Roman" w:cs="Times New Roman" w:eastAsia="Times New Roman" w:hAnsi="Times New Roman"/>
                <w:sz w:val="11"/>
                <w:szCs w:val="11"/>
                <w:color w:val="auto"/>
              </w:rPr>
              <w:t>, which today carries</w:t>
            </w:r>
          </w:p>
        </w:tc>
        <w:tc>
          <w:tcPr>
            <w:tcW w:w="18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99% of worldwide internet traffic. As the industry’s only</w:t>
            </w:r>
          </w:p>
        </w:tc>
        <w:tc>
          <w:tcPr>
            <w:tcW w:w="18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end-to-end turnkey supplier, Submarine Networks is able</w:t>
            </w:r>
          </w:p>
        </w:tc>
        <w:tc>
          <w:tcPr>
            <w:tcW w:w="18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to capitalize on projects from a diverse range of customers</w:t>
            </w:r>
          </w:p>
        </w:tc>
        <w:tc>
          <w:tcPr>
            <w:tcW w:w="18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including CSPs, hyperscalers, private investors and energy</w:t>
            </w:r>
          </w:p>
        </w:tc>
        <w:tc>
          <w:tcPr>
            <w:tcW w:w="18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1020" w:type="dxa"/>
            <w:vAlign w:val="bottom"/>
          </w:tcPr>
          <w:p>
            <w:pPr>
              <w:spacing w:after="0"/>
              <w:rPr>
                <w:sz w:val="20"/>
                <w:szCs w:val="20"/>
                <w:color w:val="auto"/>
              </w:rPr>
            </w:pPr>
            <w:r>
              <w:rPr>
                <w:rFonts w:ascii="Times New Roman" w:cs="Times New Roman" w:eastAsia="Times New Roman" w:hAnsi="Times New Roman"/>
                <w:sz w:val="11"/>
                <w:szCs w:val="11"/>
                <w:color w:val="auto"/>
              </w:rPr>
              <w:t>solutions companies.</w:t>
            </w:r>
          </w:p>
        </w:tc>
        <w:tc>
          <w:tcPr>
            <w:tcW w:w="3700" w:type="dxa"/>
            <w:vAlign w:val="bottom"/>
            <w:gridSpan w:val="2"/>
          </w:tcPr>
          <w:p>
            <w:pPr>
              <w:ind w:left="80"/>
              <w:spacing w:after="0"/>
              <w:rPr>
                <w:sz w:val="20"/>
                <w:szCs w:val="20"/>
                <w:color w:val="auto"/>
              </w:rPr>
            </w:pPr>
            <w:r>
              <w:rPr>
                <w:rFonts w:ascii="Times New Roman" w:cs="Times New Roman" w:eastAsia="Times New Roman" w:hAnsi="Times New Roman"/>
                <w:sz w:val="11"/>
                <w:szCs w:val="11"/>
                <w:color w:val="auto"/>
              </w:rPr>
              <w:t>With a substantial backlog of projects</w:t>
            </w:r>
          </w:p>
        </w:tc>
        <w:tc>
          <w:tcPr>
            <w:tcW w:w="18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18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supporting demand in 2024 and 2025,</w:t>
            </w:r>
          </w:p>
        </w:tc>
        <w:tc>
          <w:tcPr>
            <w:tcW w:w="288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Submarine Networks</w:t>
            </w:r>
          </w:p>
        </w:tc>
        <w:tc>
          <w:tcPr>
            <w:tcW w:w="18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8"/>
        </w:trPr>
        <w:tc>
          <w:tcPr>
            <w:tcW w:w="47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has significant long-term prospects, which we are addressing</w:t>
            </w:r>
          </w:p>
        </w:tc>
        <w:tc>
          <w:tcPr>
            <w:tcW w:w="186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-1513840</wp:posOffset>
            </wp:positionV>
            <wp:extent cx="7216140" cy="51181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right="3640"/>
        <w:spacing w:after="0" w:line="259" w:lineRule="auto"/>
        <w:rPr>
          <w:sz w:val="20"/>
          <w:szCs w:val="20"/>
          <w:color w:val="auto"/>
        </w:rPr>
      </w:pPr>
      <w:r>
        <w:rPr>
          <w:rFonts w:ascii="Times New Roman" w:cs="Times New Roman" w:eastAsia="Times New Roman" w:hAnsi="Times New Roman"/>
          <w:sz w:val="11"/>
          <w:szCs w:val="11"/>
          <w:color w:val="auto"/>
        </w:rPr>
        <w:t>with investments in R&amp;D in areas including capacity increase, terrestrial/submarine integration and solutions in the area</w:t>
      </w:r>
    </w:p>
    <w:p>
      <w:pPr>
        <w:spacing w:after="0"/>
        <w:rPr>
          <w:sz w:val="20"/>
          <w:szCs w:val="20"/>
          <w:color w:val="auto"/>
        </w:rPr>
      </w:pPr>
      <w:r>
        <w:rPr>
          <w:rFonts w:ascii="Times New Roman" w:cs="Times New Roman" w:eastAsia="Times New Roman" w:hAnsi="Times New Roman"/>
          <w:sz w:val="11"/>
          <w:szCs w:val="11"/>
          <w:color w:val="auto"/>
        </w:rPr>
        <w:t>of environmental standard development.</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37CC73"/>
        </w:rPr>
        <w:t>Competition</w:t>
      </w:r>
    </w:p>
    <w:p>
      <w:pPr>
        <w:spacing w:after="0" w:line="36" w:lineRule="exact"/>
        <w:rPr>
          <w:sz w:val="20"/>
          <w:szCs w:val="20"/>
          <w:color w:val="auto"/>
        </w:rPr>
      </w:pPr>
    </w:p>
    <w:p>
      <w:pPr>
        <w:ind w:right="3640"/>
        <w:spacing w:after="0" w:line="275" w:lineRule="auto"/>
        <w:rPr>
          <w:sz w:val="20"/>
          <w:szCs w:val="20"/>
          <w:color w:val="auto"/>
        </w:rPr>
      </w:pPr>
      <w:r>
        <w:rPr>
          <w:rFonts w:ascii="Times New Roman" w:cs="Times New Roman" w:eastAsia="Times New Roman" w:hAnsi="Times New Roman"/>
          <w:sz w:val="11"/>
          <w:szCs w:val="11"/>
          <w:color w:val="auto"/>
        </w:rPr>
        <w:t>Our competitors include Huawei and ZTE, along with Calix and Adtran (Fixed Networks), Cisco and Juniper (IP Networks), Ciena and Infinera (Optical Networks), and Subcom and NEC (Submarine Networks).</w:t>
      </w:r>
    </w:p>
    <w:p>
      <w:pPr>
        <w:spacing w:after="0" w:line="51" w:lineRule="exact"/>
        <w:rPr>
          <w:sz w:val="20"/>
          <w:szCs w:val="20"/>
          <w:color w:val="auto"/>
        </w:rPr>
      </w:pPr>
    </w:p>
    <w:p>
      <w:pPr>
        <w:jc w:val="both"/>
        <w:ind w:left="200" w:right="3580" w:hanging="199"/>
        <w:spacing w:after="0" w:line="305" w:lineRule="auto"/>
        <w:tabs>
          <w:tab w:leader="none" w:pos="200" w:val="left"/>
        </w:tabs>
        <w:numPr>
          <w:ilvl w:val="0"/>
          <w:numId w:val="15"/>
        </w:numPr>
        <w:rPr>
          <w:rFonts w:ascii="Times New Roman" w:cs="Times New Roman" w:eastAsia="Times New Roman" w:hAnsi="Times New Roman"/>
          <w:sz w:val="7"/>
          <w:szCs w:val="7"/>
          <w:color w:val="auto"/>
        </w:rPr>
      </w:pPr>
      <w:r>
        <w:rPr>
          <w:rFonts w:ascii="Times New Roman" w:cs="Times New Roman" w:eastAsia="Times New Roman" w:hAnsi="Times New Roman"/>
          <w:sz w:val="7"/>
          <w:szCs w:val="7"/>
          <w:color w:val="auto"/>
        </w:rPr>
        <w:t>Number one position globally in xPON OLT shipments and number one in XGS-PON OLT/ONT globally. Number one in G.fast globally. All data, Dell’Oro, September 2023.</w:t>
      </w:r>
    </w:p>
    <w:p>
      <w:pPr>
        <w:ind w:left="200" w:hanging="199"/>
        <w:spacing w:after="0"/>
        <w:tabs>
          <w:tab w:leader="none" w:pos="200" w:val="left"/>
        </w:tabs>
        <w:numPr>
          <w:ilvl w:val="0"/>
          <w:numId w:val="1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Dell’Oro, 2Q23 four-quarter rolling average.</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Dell’Oro 2Q23.</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Omdia Q3 2023.</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Nokia’s own estimate.</w:t>
      </w:r>
    </w:p>
    <w:p>
      <w:pPr>
        <w:spacing w:after="0" w:line="163"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2.4 Tb/s</w:t>
      </w:r>
    </w:p>
    <w:p>
      <w:pPr>
        <w:ind w:right="4040"/>
        <w:spacing w:after="0" w:line="267" w:lineRule="auto"/>
        <w:rPr>
          <w:sz w:val="20"/>
          <w:szCs w:val="20"/>
          <w:color w:val="auto"/>
        </w:rPr>
      </w:pPr>
      <w:r>
        <w:rPr>
          <w:rFonts w:ascii="Times New Roman" w:cs="Times New Roman" w:eastAsia="Times New Roman" w:hAnsi="Times New Roman"/>
          <w:sz w:val="11"/>
          <w:szCs w:val="11"/>
          <w:color w:val="auto"/>
        </w:rPr>
        <w:t>Optical transport enabled by Nokia’s new PSE-6s super coherent optical engines</w:t>
      </w:r>
    </w:p>
    <w:p>
      <w:pPr>
        <w:spacing w:after="0" w:line="125"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150 million</w:t>
      </w:r>
    </w:p>
    <w:p>
      <w:pPr>
        <w:ind w:right="3840"/>
        <w:spacing w:after="0" w:line="239" w:lineRule="auto"/>
        <w:rPr>
          <w:sz w:val="20"/>
          <w:szCs w:val="20"/>
          <w:color w:val="auto"/>
        </w:rPr>
      </w:pPr>
      <w:r>
        <w:rPr>
          <w:rFonts w:ascii="Times New Roman" w:cs="Times New Roman" w:eastAsia="Times New Roman" w:hAnsi="Times New Roman"/>
          <w:sz w:val="11"/>
          <w:szCs w:val="11"/>
          <w:color w:val="auto"/>
        </w:rPr>
        <w:t>Passive optical network (PON) lines shipped to broadband providers around the world by Nokia by end 2023 (includes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5 million XGS-PON and 1 million 25G PON-enabled lines)</w:t>
      </w:r>
    </w:p>
    <w:p>
      <w:pPr>
        <w:spacing w:after="0" w:line="138"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65%</w:t>
      </w:r>
    </w:p>
    <w:p>
      <w:pPr>
        <w:spacing w:after="0"/>
        <w:rPr>
          <w:sz w:val="20"/>
          <w:szCs w:val="20"/>
          <w:color w:val="auto"/>
        </w:rPr>
      </w:pPr>
      <w:r>
        <w:rPr>
          <w:rFonts w:ascii="Times New Roman" w:cs="Times New Roman" w:eastAsia="Times New Roman" w:hAnsi="Times New Roman"/>
          <w:sz w:val="11"/>
          <w:szCs w:val="11"/>
          <w:color w:val="auto"/>
        </w:rPr>
        <w:t>Reduction in IP network operations costs with the Nokia</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Network Services Platform network automation platform</w:t>
      </w:r>
    </w:p>
    <w:p>
      <w:pPr>
        <w:sectPr>
          <w:pgSz w:w="11900" w:h="16838" w:orient="portrait"/>
          <w:cols w:equalWidth="0" w:num="2">
            <w:col w:w="3040" w:space="360"/>
            <w:col w:w="6580"/>
          </w:cols>
          <w:pgMar w:left="960" w:top="409" w:right="959" w:bottom="1440" w:gutter="0" w:footer="0" w:header="0"/>
        </w:sectPr>
      </w:pPr>
    </w:p>
    <w:bookmarkStart w:id="32" w:name="page33"/>
    <w:bookmarkEnd w:id="32"/>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Business groups 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25</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820" w:space="580"/>
            <w:col w:w="6580"/>
          </w:cols>
          <w:pgMar w:left="960" w:top="409" w:right="959" w:bottom="1440" w:gutter="0" w:footer="0" w:header="0"/>
        </w:sectPr>
      </w:pPr>
    </w:p>
    <w:p>
      <w:pPr>
        <w:spacing w:after="0" w:line="62" w:lineRule="exact"/>
        <w:rPr>
          <w:sz w:val="20"/>
          <w:szCs w:val="20"/>
          <w:color w:val="auto"/>
        </w:rPr>
      </w:pPr>
    </w:p>
    <w:p>
      <w:pPr>
        <w:ind w:right="980"/>
        <w:spacing w:after="0" w:line="254" w:lineRule="auto"/>
        <w:rPr>
          <w:sz w:val="20"/>
          <w:szCs w:val="20"/>
          <w:color w:val="auto"/>
        </w:rPr>
      </w:pPr>
      <w:r>
        <w:rPr>
          <w:rFonts w:ascii="Times New Roman" w:cs="Times New Roman" w:eastAsia="Times New Roman" w:hAnsi="Times New Roman"/>
          <w:sz w:val="45"/>
          <w:szCs w:val="45"/>
          <w:color w:val="FFFFFF"/>
        </w:rPr>
        <w:t>Mobile Networks</w:t>
      </w:r>
    </w:p>
    <w:p>
      <w:pPr>
        <w:spacing w:after="0" w:line="50"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3"/>
          <w:szCs w:val="13"/>
          <w:color w:val="FFFFFF"/>
        </w:rPr>
        <w:t>Mobile Networks creates products and services covering all mobile technology generations. Its portfolio includes products for radio access networks and microwave radio links for transport networks, solutions for network management,</w:t>
      </w:r>
    </w:p>
    <w:p>
      <w:pPr>
        <w:spacing w:after="0" w:line="2"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3"/>
          <w:szCs w:val="13"/>
          <w:color w:val="FFFFFF"/>
        </w:rPr>
        <w:t>as well as network planning, optimization, network deployment and technical support services.</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6" w:lineRule="exact"/>
        <w:rPr>
          <w:sz w:val="20"/>
          <w:szCs w:val="20"/>
          <w:color w:val="auto"/>
        </w:rPr>
      </w:pPr>
    </w:p>
    <w:p>
      <w:pPr>
        <w:spacing w:after="0" w:line="191" w:lineRule="exact"/>
        <w:rPr>
          <w:sz w:val="20"/>
          <w:szCs w:val="20"/>
          <w:color w:val="auto"/>
        </w:rPr>
      </w:pPr>
      <w:r>
        <w:rPr>
          <w:rFonts w:ascii="MS PGothic" w:cs="MS PGothic" w:eastAsia="MS PGothic" w:hAnsi="MS PGothic"/>
          <w:sz w:val="19"/>
          <w:szCs w:val="19"/>
          <w:color w:val="auto"/>
          <w:shd w:val="clear" w:color="auto" w:fill="005AFF"/>
        </w:rPr>
        <w:t>↗</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ind w:right="80" w:hanging="56"/>
        <w:spacing w:after="0" w:line="236" w:lineRule="auto"/>
        <w:rPr>
          <w:sz w:val="20"/>
          <w:szCs w:val="20"/>
          <w:color w:val="auto"/>
        </w:rPr>
      </w:pPr>
      <w:r>
        <w:rPr>
          <w:rFonts w:ascii="Times New Roman" w:cs="Times New Roman" w:eastAsia="Times New Roman" w:hAnsi="Times New Roman"/>
          <w:sz w:val="20"/>
          <w:szCs w:val="20"/>
          <w:color w:val="001135"/>
        </w:rPr>
        <w:t>“2023 saw Mobile Networks making progress in securing technology leadership with new portfolio launches for high-performance, energy-efficient wireless networks. Customer satisfaction scores reached the highest levels since 2016, and we also grew our customer base and took market share, despite the severe decline of addressable market.”</w:t>
      </w:r>
    </w:p>
    <w:p>
      <w:pPr>
        <w:spacing w:after="0" w:line="131" w:lineRule="exact"/>
        <w:rPr>
          <w:sz w:val="20"/>
          <w:szCs w:val="20"/>
          <w:color w:val="auto"/>
        </w:rPr>
      </w:pPr>
    </w:p>
    <w:p>
      <w:pPr>
        <w:sectPr>
          <w:pgSz w:w="11900" w:h="16838" w:orient="portrait"/>
          <w:cols w:equalWidth="0" w:num="3">
            <w:col w:w="2760" w:space="640"/>
            <w:col w:w="2700" w:space="720"/>
            <w:col w:w="3160"/>
          </w:cols>
          <w:pgMar w:left="960" w:top="409"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FFFFF"/>
        </w:rPr>
        <w:t>2023 in brief</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In 2023, Mobile Networks net sales declined 8% to</w:t>
      </w:r>
    </w:p>
    <w:p>
      <w:pPr>
        <w:spacing w:after="0" w:line="22" w:lineRule="exact"/>
        <w:rPr>
          <w:sz w:val="20"/>
          <w:szCs w:val="20"/>
          <w:color w:val="auto"/>
        </w:rPr>
      </w:pPr>
    </w:p>
    <w:p>
      <w:pPr>
        <w:ind w:right="100"/>
        <w:spacing w:after="0" w:line="265" w:lineRule="auto"/>
        <w:rPr>
          <w:sz w:val="20"/>
          <w:szCs w:val="20"/>
          <w:color w:val="auto"/>
        </w:rPr>
      </w:pPr>
      <w:r>
        <w:rPr>
          <w:rFonts w:ascii="Times New Roman" w:cs="Times New Roman" w:eastAsia="Times New Roman" w:hAnsi="Times New Roman"/>
          <w:sz w:val="11"/>
          <w:szCs w:val="11"/>
          <w:color w:val="FFFFFF"/>
        </w:rPr>
        <w:t>EUR 9.8 billion. We delivered a segment operating margin of 7.4% thanks to improved product cost competitiveness, cost control measures, lower variable pay and strong execution.</w:t>
      </w:r>
    </w:p>
    <w:p>
      <w:pPr>
        <w:spacing w:after="0" w:line="62" w:lineRule="exact"/>
        <w:rPr>
          <w:sz w:val="20"/>
          <w:szCs w:val="20"/>
          <w:color w:val="auto"/>
        </w:rPr>
      </w:pPr>
    </w:p>
    <w:p>
      <w:pPr>
        <w:ind w:left="180" w:right="160" w:hanging="171"/>
        <w:spacing w:after="0" w:line="270" w:lineRule="auto"/>
        <w:tabs>
          <w:tab w:leader="none" w:pos="180" w:val="left"/>
        </w:tabs>
        <w:numPr>
          <w:ilvl w:val="0"/>
          <w:numId w:val="16"/>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Reached 319 commercial 5G deals and had more than 710 private wireless customers, with 159 in 5G</w:t>
      </w:r>
    </w:p>
    <w:p>
      <w:pPr>
        <w:ind w:left="180" w:hanging="171"/>
        <w:spacing w:after="0" w:line="261" w:lineRule="auto"/>
        <w:tabs>
          <w:tab w:leader="none" w:pos="180" w:val="left"/>
        </w:tabs>
        <w:numPr>
          <w:ilvl w:val="0"/>
          <w:numId w:val="16"/>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Launched new AirScale massive MIMO radios and ultra-performance AirScale baseband powered by ReefShark, bringing higher capacity and connectivity, network performance, power efficiency and easy deployment</w:t>
      </w:r>
    </w:p>
    <w:p>
      <w:pPr>
        <w:ind w:left="180" w:right="180" w:hanging="171"/>
        <w:spacing w:after="0" w:line="259" w:lineRule="auto"/>
        <w:tabs>
          <w:tab w:leader="none" w:pos="180" w:val="left"/>
        </w:tabs>
        <w:numPr>
          <w:ilvl w:val="0"/>
          <w:numId w:val="16"/>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Launched anyRAN to drive Cloud RAN partnerships enabling flexibility for mobile network operators and enterprises</w:t>
      </w:r>
    </w:p>
    <w:p>
      <w:pPr>
        <w:ind w:left="180" w:right="260" w:hanging="171"/>
        <w:spacing w:after="0" w:line="263" w:lineRule="auto"/>
        <w:tabs>
          <w:tab w:leader="none" w:pos="180" w:val="left"/>
        </w:tabs>
        <w:numPr>
          <w:ilvl w:val="0"/>
          <w:numId w:val="16"/>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Announced acquisition of Fenix Group in the US, which strengthens our offering to the defense sector</w:t>
      </w:r>
    </w:p>
    <w:p>
      <w:pPr>
        <w:jc w:val="both"/>
        <w:ind w:left="180" w:right="260" w:hanging="171"/>
        <w:spacing w:after="0" w:line="273" w:lineRule="auto"/>
        <w:tabs>
          <w:tab w:leader="none" w:pos="180" w:val="left"/>
        </w:tabs>
        <w:numPr>
          <w:ilvl w:val="0"/>
          <w:numId w:val="16"/>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Developed new sales channels for Private Wireless networks via partnerships with Cisco, HPE/Athonet and Microsoft Azure</w:t>
      </w:r>
    </w:p>
    <w:p>
      <w:pPr>
        <w:spacing w:after="0" w:line="200" w:lineRule="exact"/>
        <w:rPr>
          <w:sz w:val="20"/>
          <w:szCs w:val="20"/>
          <w:color w:val="auto"/>
        </w:rPr>
      </w:pPr>
    </w:p>
    <w:p>
      <w:pPr>
        <w:spacing w:after="0" w:line="3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9"/>
          <w:szCs w:val="9"/>
          <w:color w:val="005AFF"/>
        </w:rPr>
        <w:t>TOMMI UITTO</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005AFF"/>
        </w:rPr>
        <w:t>PRESIDENT, MOBILE NETWORKS</w:t>
      </w:r>
    </w:p>
    <w:p>
      <w:pPr>
        <w:spacing w:after="0" w:line="200" w:lineRule="exact"/>
        <w:rPr>
          <w:sz w:val="20"/>
          <w:szCs w:val="20"/>
          <w:color w:val="auto"/>
        </w:rPr>
      </w:pPr>
    </w:p>
    <w:p>
      <w:pPr>
        <w:spacing w:after="0" w:line="244" w:lineRule="exact"/>
        <w:rPr>
          <w:sz w:val="20"/>
          <w:szCs w:val="20"/>
          <w:color w:val="auto"/>
        </w:rPr>
      </w:pPr>
    </w:p>
    <w:tbl>
      <w:tblPr>
        <w:tblLayout w:type="fixed"/>
        <w:tblInd w:w="0" w:type="dxa"/>
        <w:tblCellMar>
          <w:top w:w="0" w:type="dxa"/>
          <w:left w:w="0" w:type="dxa"/>
          <w:bottom w:w="0" w:type="dxa"/>
          <w:right w:w="0" w:type="dxa"/>
        </w:tblCellMar>
      </w:tblPr>
      <w:tr>
        <w:trPr>
          <w:trHeight w:val="184"/>
        </w:trPr>
        <w:tc>
          <w:tcPr>
            <w:tcW w:w="2520" w:type="dxa"/>
            <w:vAlign w:val="bottom"/>
          </w:tcPr>
          <w:p>
            <w:pPr>
              <w:spacing w:after="0"/>
              <w:rPr>
                <w:sz w:val="20"/>
                <w:szCs w:val="20"/>
                <w:color w:val="auto"/>
              </w:rPr>
            </w:pPr>
            <w:r>
              <w:rPr>
                <w:rFonts w:ascii="Times New Roman" w:cs="Times New Roman" w:eastAsia="Times New Roman" w:hAnsi="Times New Roman"/>
                <w:sz w:val="16"/>
                <w:szCs w:val="16"/>
                <w:color w:val="F47F31"/>
              </w:rPr>
              <w:t>Market overview</w:t>
            </w:r>
          </w:p>
        </w:tc>
        <w:tc>
          <w:tcPr>
            <w:tcW w:w="560" w:type="dxa"/>
            <w:vAlign w:val="bottom"/>
          </w:tcPr>
          <w:p>
            <w:pPr>
              <w:spacing w:after="0"/>
              <w:rPr>
                <w:sz w:val="16"/>
                <w:szCs w:val="16"/>
                <w:color w:val="auto"/>
              </w:rPr>
            </w:pPr>
          </w:p>
        </w:tc>
        <w:tc>
          <w:tcPr>
            <w:tcW w:w="220" w:type="dxa"/>
            <w:vAlign w:val="bottom"/>
          </w:tcPr>
          <w:p>
            <w:pPr>
              <w:spacing w:after="0"/>
              <w:rPr>
                <w:sz w:val="16"/>
                <w:szCs w:val="16"/>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for example, with MTN in South Africa, Orange and Zain in</w:t>
            </w:r>
          </w:p>
        </w:tc>
        <w:tc>
          <w:tcPr>
            <w:tcW w:w="0" w:type="dxa"/>
            <w:vAlign w:val="bottom"/>
          </w:tcPr>
          <w:p>
            <w:pPr>
              <w:spacing w:after="0"/>
              <w:rPr>
                <w:sz w:val="1"/>
                <w:szCs w:val="1"/>
                <w:color w:val="auto"/>
              </w:rPr>
            </w:pPr>
          </w:p>
        </w:tc>
      </w:tr>
      <w:tr>
        <w:trPr>
          <w:trHeight w:val="121"/>
        </w:trPr>
        <w:tc>
          <w:tcPr>
            <w:tcW w:w="2520" w:type="dxa"/>
            <w:vAlign w:val="bottom"/>
          </w:tcPr>
          <w:p>
            <w:pPr>
              <w:spacing w:after="0" w:line="122" w:lineRule="exact"/>
              <w:rPr>
                <w:sz w:val="20"/>
                <w:szCs w:val="20"/>
                <w:color w:val="auto"/>
              </w:rPr>
            </w:pPr>
            <w:r>
              <w:rPr>
                <w:rFonts w:ascii="Times New Roman" w:cs="Times New Roman" w:eastAsia="Times New Roman" w:hAnsi="Times New Roman"/>
                <w:sz w:val="11"/>
                <w:szCs w:val="11"/>
                <w:color w:val="auto"/>
              </w:rPr>
              <w:t>The estimated Mobile Networks addressable market</w:t>
            </w:r>
          </w:p>
        </w:tc>
        <w:tc>
          <w:tcPr>
            <w:tcW w:w="780" w:type="dxa"/>
            <w:vAlign w:val="bottom"/>
            <w:gridSpan w:val="2"/>
          </w:tcPr>
          <w:p>
            <w:pPr>
              <w:jc w:val="right"/>
              <w:ind w:right="103"/>
              <w:spacing w:after="0" w:line="121" w:lineRule="exact"/>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for 2023</w:t>
            </w:r>
          </w:p>
        </w:tc>
        <w:tc>
          <w:tcPr>
            <w:tcW w:w="3080" w:type="dxa"/>
            <w:vAlign w:val="bottom"/>
            <w:gridSpan w:val="3"/>
          </w:tcPr>
          <w:p>
            <w:pPr>
              <w:ind w:left="100"/>
              <w:spacing w:after="0" w:line="122" w:lineRule="exact"/>
              <w:rPr>
                <w:sz w:val="20"/>
                <w:szCs w:val="20"/>
                <w:color w:val="auto"/>
              </w:rPr>
            </w:pPr>
            <w:r>
              <w:rPr>
                <w:rFonts w:ascii="Times New Roman" w:cs="Times New Roman" w:eastAsia="Times New Roman" w:hAnsi="Times New Roman"/>
                <w:sz w:val="11"/>
                <w:szCs w:val="11"/>
                <w:color w:val="auto"/>
              </w:rPr>
              <w:t>Jordan, Antina in Singapore, Charter Communications in the</w:t>
            </w:r>
          </w:p>
        </w:tc>
        <w:tc>
          <w:tcPr>
            <w:tcW w:w="0" w:type="dxa"/>
            <w:vAlign w:val="bottom"/>
          </w:tcPr>
          <w:p>
            <w:pPr>
              <w:spacing w:after="0"/>
              <w:rPr>
                <w:sz w:val="1"/>
                <w:szCs w:val="1"/>
                <w:color w:val="auto"/>
              </w:rPr>
            </w:pPr>
          </w:p>
        </w:tc>
      </w:tr>
      <w:tr>
        <w:trPr>
          <w:trHeight w:val="13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was EUR 43 billion and is estimated to have declined 13% in</w:t>
            </w:r>
          </w:p>
        </w:tc>
        <w:tc>
          <w:tcPr>
            <w:tcW w:w="220" w:type="dxa"/>
            <w:vAlign w:val="bottom"/>
          </w:tcPr>
          <w:p>
            <w:pPr>
              <w:spacing w:after="0"/>
              <w:rPr>
                <w:sz w:val="12"/>
                <w:szCs w:val="12"/>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United States, Eastlink in Canada, and Virgin Media O2 in the</w:t>
            </w:r>
          </w:p>
        </w:tc>
        <w:tc>
          <w:tcPr>
            <w:tcW w:w="0" w:type="dxa"/>
            <w:vAlign w:val="bottom"/>
          </w:tcPr>
          <w:p>
            <w:pPr>
              <w:spacing w:after="0"/>
              <w:rPr>
                <w:sz w:val="1"/>
                <w:szCs w:val="1"/>
                <w:color w:val="auto"/>
              </w:rPr>
            </w:pPr>
          </w:p>
        </w:tc>
      </w:tr>
      <w:tr>
        <w:trPr>
          <w:trHeight w:val="134"/>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2023. At the end of 2022 this market was expected to grow</w:t>
            </w:r>
          </w:p>
        </w:tc>
        <w:tc>
          <w:tcPr>
            <w:tcW w:w="220" w:type="dxa"/>
            <w:vAlign w:val="bottom"/>
          </w:tcPr>
          <w:p>
            <w:pPr>
              <w:spacing w:after="0"/>
              <w:rPr>
                <w:sz w:val="11"/>
                <w:szCs w:val="11"/>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United Kingdom. Nokia was also selected by Deutsche Telekom</w:t>
            </w:r>
          </w:p>
        </w:tc>
        <w:tc>
          <w:tcPr>
            <w:tcW w:w="0" w:type="dxa"/>
            <w:vAlign w:val="bottom"/>
          </w:tcPr>
          <w:p>
            <w:pPr>
              <w:spacing w:after="0"/>
              <w:rPr>
                <w:sz w:val="1"/>
                <w:szCs w:val="1"/>
                <w:color w:val="auto"/>
              </w:rPr>
            </w:pPr>
          </w:p>
        </w:tc>
      </w:tr>
      <w:tr>
        <w:trPr>
          <w:trHeight w:val="142"/>
        </w:trPr>
        <w:tc>
          <w:tcPr>
            <w:tcW w:w="2520" w:type="dxa"/>
            <w:vAlign w:val="bottom"/>
          </w:tcPr>
          <w:p>
            <w:pPr>
              <w:spacing w:after="0"/>
              <w:rPr>
                <w:sz w:val="20"/>
                <w:szCs w:val="20"/>
                <w:color w:val="auto"/>
              </w:rPr>
            </w:pPr>
            <w:r>
              <w:rPr>
                <w:rFonts w:ascii="Times New Roman" w:cs="Times New Roman" w:eastAsia="Times New Roman" w:hAnsi="Times New Roman"/>
                <w:sz w:val="11"/>
                <w:szCs w:val="11"/>
                <w:color w:val="auto"/>
              </w:rPr>
              <w:t>5% in FY2023.</w:t>
            </w:r>
          </w:p>
        </w:tc>
        <w:tc>
          <w:tcPr>
            <w:tcW w:w="56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for the deployment of a commercial Open RAN network.</w:t>
            </w:r>
          </w:p>
        </w:tc>
        <w:tc>
          <w:tcPr>
            <w:tcW w:w="0" w:type="dxa"/>
            <w:vAlign w:val="bottom"/>
          </w:tcPr>
          <w:p>
            <w:pPr>
              <w:spacing w:after="0"/>
              <w:rPr>
                <w:sz w:val="1"/>
                <w:szCs w:val="1"/>
                <w:color w:val="auto"/>
              </w:rPr>
            </w:pPr>
          </w:p>
        </w:tc>
      </w:tr>
      <w:tr>
        <w:trPr>
          <w:trHeight w:val="129"/>
        </w:trPr>
        <w:tc>
          <w:tcPr>
            <w:tcW w:w="252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Nokia was impacted by industry-wide macroeconomic</w:t>
            </w:r>
          </w:p>
        </w:tc>
        <w:tc>
          <w:tcPr>
            <w:tcW w:w="560" w:type="dxa"/>
            <w:vAlign w:val="bottom"/>
          </w:tcPr>
          <w:p>
            <w:pPr>
              <w:spacing w:after="0"/>
              <w:rPr>
                <w:sz w:val="11"/>
                <w:szCs w:val="11"/>
                <w:color w:val="auto"/>
              </w:rPr>
            </w:pPr>
          </w:p>
        </w:tc>
        <w:tc>
          <w:tcPr>
            <w:tcW w:w="220" w:type="dxa"/>
            <w:vAlign w:val="bottom"/>
          </w:tcPr>
          <w:p>
            <w:pPr>
              <w:spacing w:after="0"/>
              <w:rPr>
                <w:sz w:val="11"/>
                <w:szCs w:val="11"/>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This deal marks a significant return for Nokia into Deutsche</w:t>
            </w:r>
          </w:p>
        </w:tc>
        <w:tc>
          <w:tcPr>
            <w:tcW w:w="0" w:type="dxa"/>
            <w:vAlign w:val="bottom"/>
          </w:tcPr>
          <w:p>
            <w:pPr>
              <w:spacing w:after="0"/>
              <w:rPr>
                <w:sz w:val="1"/>
                <w:szCs w:val="1"/>
                <w:color w:val="auto"/>
              </w:rPr>
            </w:pPr>
          </w:p>
        </w:tc>
      </w:tr>
      <w:tr>
        <w:trPr>
          <w:trHeight w:val="114"/>
        </w:trPr>
        <w:tc>
          <w:tcPr>
            <w:tcW w:w="2520" w:type="dxa"/>
            <w:vAlign w:val="bottom"/>
            <w:vMerge w:val="continue"/>
          </w:tcPr>
          <w:p>
            <w:pPr>
              <w:spacing w:after="0"/>
              <w:rPr>
                <w:sz w:val="9"/>
                <w:szCs w:val="9"/>
                <w:color w:val="auto"/>
              </w:rPr>
            </w:pPr>
          </w:p>
        </w:tc>
        <w:tc>
          <w:tcPr>
            <w:tcW w:w="560" w:type="dxa"/>
            <w:vAlign w:val="bottom"/>
          </w:tcPr>
          <w:p>
            <w:pPr>
              <w:spacing w:after="0"/>
              <w:rPr>
                <w:sz w:val="9"/>
                <w:szCs w:val="9"/>
                <w:color w:val="auto"/>
              </w:rPr>
            </w:pPr>
          </w:p>
        </w:tc>
        <w:tc>
          <w:tcPr>
            <w:tcW w:w="220" w:type="dxa"/>
            <w:vAlign w:val="bottom"/>
          </w:tcPr>
          <w:p>
            <w:pPr>
              <w:spacing w:after="0"/>
              <w:rPr>
                <w:sz w:val="9"/>
                <w:szCs w:val="9"/>
                <w:color w:val="auto"/>
              </w:rPr>
            </w:pPr>
          </w:p>
        </w:tc>
        <w:tc>
          <w:tcPr>
            <w:tcW w:w="3080" w:type="dxa"/>
            <w:vAlign w:val="bottom"/>
            <w:gridSpan w:val="3"/>
          </w:tcPr>
          <w:p>
            <w:pPr>
              <w:ind w:left="100"/>
              <w:spacing w:after="0" w:line="114" w:lineRule="exact"/>
              <w:rPr>
                <w:sz w:val="20"/>
                <w:szCs w:val="20"/>
                <w:color w:val="auto"/>
              </w:rPr>
            </w:pPr>
            <w:r>
              <w:rPr>
                <w:rFonts w:ascii="Times New Roman" w:cs="Times New Roman" w:eastAsia="Times New Roman" w:hAnsi="Times New Roman"/>
                <w:sz w:val="11"/>
                <w:szCs w:val="11"/>
                <w:color w:val="auto"/>
              </w:rPr>
              <w:t>Telekom’s network in Germany. At the same time, against the</w:t>
            </w:r>
          </w:p>
        </w:tc>
        <w:tc>
          <w:tcPr>
            <w:tcW w:w="0" w:type="dxa"/>
            <w:vAlign w:val="bottom"/>
          </w:tcPr>
          <w:p>
            <w:pPr>
              <w:spacing w:after="0"/>
              <w:rPr>
                <w:sz w:val="1"/>
                <w:szCs w:val="1"/>
                <w:color w:val="auto"/>
              </w:rPr>
            </w:pPr>
          </w:p>
        </w:tc>
      </w:tr>
      <w:tr>
        <w:trPr>
          <w:trHeight w:val="142"/>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uncertainty in 2023, resulting in customers pausing spending,</w:t>
            </w:r>
          </w:p>
        </w:tc>
        <w:tc>
          <w:tcPr>
            <w:tcW w:w="220" w:type="dxa"/>
            <w:vAlign w:val="bottom"/>
          </w:tcPr>
          <w:p>
            <w:pPr>
              <w:spacing w:after="0"/>
              <w:rPr>
                <w:sz w:val="12"/>
                <w:szCs w:val="12"/>
                <w:color w:val="auto"/>
              </w:rPr>
            </w:pPr>
          </w:p>
        </w:tc>
        <w:tc>
          <w:tcPr>
            <w:tcW w:w="232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backdrop of a challenging market outlook, we</w:t>
            </w:r>
          </w:p>
        </w:tc>
        <w:tc>
          <w:tcPr>
            <w:tcW w:w="760" w:type="dxa"/>
            <w:vAlign w:val="bottom"/>
          </w:tcPr>
          <w:p>
            <w:pPr>
              <w:ind w:left="120"/>
              <w:spacing w:after="0"/>
              <w:rPr>
                <w:sz w:val="20"/>
                <w:szCs w:val="20"/>
                <w:color w:val="auto"/>
              </w:rPr>
            </w:pPr>
            <w:r>
              <w:rPr>
                <w:rFonts w:ascii="Times New Roman" w:cs="Times New Roman" w:eastAsia="Times New Roman" w:hAnsi="Times New Roman"/>
                <w:sz w:val="11"/>
                <w:szCs w:val="11"/>
                <w:color w:val="auto"/>
              </w:rPr>
              <w:t>began to take</w:t>
            </w:r>
          </w:p>
        </w:tc>
        <w:tc>
          <w:tcPr>
            <w:tcW w:w="0" w:type="dxa"/>
            <w:vAlign w:val="bottom"/>
          </w:tcPr>
          <w:p>
            <w:pPr>
              <w:spacing w:after="0"/>
              <w:rPr>
                <w:sz w:val="1"/>
                <w:szCs w:val="1"/>
                <w:color w:val="auto"/>
              </w:rPr>
            </w:pPr>
          </w:p>
        </w:tc>
      </w:tr>
      <w:tr>
        <w:trPr>
          <w:trHeight w:val="12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especially in North America. The resulting drop in revenues</w:t>
            </w:r>
          </w:p>
        </w:tc>
        <w:tc>
          <w:tcPr>
            <w:tcW w:w="220" w:type="dxa"/>
            <w:vAlign w:val="bottom"/>
          </w:tcPr>
          <w:p>
            <w:pPr>
              <w:spacing w:after="0"/>
              <w:rPr>
                <w:sz w:val="11"/>
                <w:szCs w:val="11"/>
                <w:color w:val="auto"/>
              </w:rPr>
            </w:pPr>
          </w:p>
        </w:tc>
        <w:tc>
          <w:tcPr>
            <w:tcW w:w="3080" w:type="dxa"/>
            <w:vAlign w:val="bottom"/>
            <w:gridSpan w:val="3"/>
            <w:vMerge w:val="restart"/>
          </w:tcPr>
          <w:p>
            <w:pPr>
              <w:ind w:left="100"/>
              <w:spacing w:after="0"/>
              <w:rPr>
                <w:sz w:val="20"/>
                <w:szCs w:val="20"/>
                <w:color w:val="auto"/>
              </w:rPr>
            </w:pPr>
            <w:r>
              <w:rPr>
                <w:rFonts w:ascii="Times New Roman" w:cs="Times New Roman" w:eastAsia="Times New Roman" w:hAnsi="Times New Roman"/>
                <w:sz w:val="11"/>
                <w:szCs w:val="11"/>
                <w:color w:val="auto"/>
              </w:rPr>
              <w:t>proactive measures to reduce our cost base to secure long-</w:t>
            </w:r>
          </w:p>
        </w:tc>
        <w:tc>
          <w:tcPr>
            <w:tcW w:w="0" w:type="dxa"/>
            <w:vAlign w:val="bottom"/>
          </w:tcPr>
          <w:p>
            <w:pPr>
              <w:spacing w:after="0"/>
              <w:rPr>
                <w:sz w:val="1"/>
                <w:szCs w:val="1"/>
                <w:color w:val="auto"/>
              </w:rPr>
            </w:pPr>
          </w:p>
        </w:tc>
      </w:tr>
      <w:tr>
        <w:trPr>
          <w:trHeight w:val="30"/>
        </w:trPr>
        <w:tc>
          <w:tcPr>
            <w:tcW w:w="252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was partly offset by India’s rapid   5G deployment.</w:t>
            </w:r>
          </w:p>
        </w:tc>
        <w:tc>
          <w:tcPr>
            <w:tcW w:w="56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The market</w:t>
            </w:r>
          </w:p>
        </w:tc>
        <w:tc>
          <w:tcPr>
            <w:tcW w:w="220" w:type="dxa"/>
            <w:vAlign w:val="bottom"/>
          </w:tcPr>
          <w:p>
            <w:pPr>
              <w:spacing w:after="0"/>
              <w:rPr>
                <w:sz w:val="2"/>
                <w:szCs w:val="2"/>
                <w:color w:val="auto"/>
              </w:rPr>
            </w:pPr>
          </w:p>
        </w:tc>
        <w:tc>
          <w:tcPr>
            <w:tcW w:w="3080" w:type="dxa"/>
            <w:vAlign w:val="bottom"/>
            <w:gridSpan w:val="3"/>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14"/>
        </w:trPr>
        <w:tc>
          <w:tcPr>
            <w:tcW w:w="2520" w:type="dxa"/>
            <w:vAlign w:val="bottom"/>
            <w:vMerge w:val="continue"/>
          </w:tcPr>
          <w:p>
            <w:pPr>
              <w:spacing w:after="0"/>
              <w:rPr>
                <w:sz w:val="9"/>
                <w:szCs w:val="9"/>
                <w:color w:val="auto"/>
              </w:rPr>
            </w:pPr>
          </w:p>
        </w:tc>
        <w:tc>
          <w:tcPr>
            <w:tcW w:w="560" w:type="dxa"/>
            <w:vAlign w:val="bottom"/>
            <w:vMerge w:val="continue"/>
          </w:tcPr>
          <w:p>
            <w:pPr>
              <w:spacing w:after="0"/>
              <w:rPr>
                <w:sz w:val="9"/>
                <w:szCs w:val="9"/>
                <w:color w:val="auto"/>
              </w:rPr>
            </w:pPr>
          </w:p>
        </w:tc>
        <w:tc>
          <w:tcPr>
            <w:tcW w:w="220" w:type="dxa"/>
            <w:vAlign w:val="bottom"/>
          </w:tcPr>
          <w:p>
            <w:pPr>
              <w:spacing w:after="0"/>
              <w:rPr>
                <w:sz w:val="9"/>
                <w:szCs w:val="9"/>
                <w:color w:val="auto"/>
              </w:rPr>
            </w:pPr>
          </w:p>
        </w:tc>
        <w:tc>
          <w:tcPr>
            <w:tcW w:w="1840" w:type="dxa"/>
            <w:vAlign w:val="bottom"/>
          </w:tcPr>
          <w:p>
            <w:pPr>
              <w:ind w:left="100"/>
              <w:spacing w:after="0" w:line="114" w:lineRule="exact"/>
              <w:rPr>
                <w:sz w:val="20"/>
                <w:szCs w:val="20"/>
                <w:color w:val="auto"/>
              </w:rPr>
            </w:pPr>
            <w:r>
              <w:rPr>
                <w:rFonts w:ascii="Times New Roman" w:cs="Times New Roman" w:eastAsia="Times New Roman" w:hAnsi="Times New Roman"/>
                <w:sz w:val="11"/>
                <w:szCs w:val="11"/>
                <w:color w:val="auto"/>
              </w:rPr>
              <w:t>term profitable growth.</w:t>
            </w:r>
          </w:p>
        </w:tc>
        <w:tc>
          <w:tcPr>
            <w:tcW w:w="480" w:type="dxa"/>
            <w:vAlign w:val="bottom"/>
          </w:tcPr>
          <w:p>
            <w:pPr>
              <w:spacing w:after="0"/>
              <w:rPr>
                <w:sz w:val="9"/>
                <w:szCs w:val="9"/>
                <w:color w:val="auto"/>
              </w:rPr>
            </w:pPr>
          </w:p>
        </w:tc>
        <w:tc>
          <w:tcPr>
            <w:tcW w:w="76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outlook continues to be uncertain, but we see a substantial</w:t>
            </w:r>
          </w:p>
        </w:tc>
        <w:tc>
          <w:tcPr>
            <w:tcW w:w="220" w:type="dxa"/>
            <w:vAlign w:val="bottom"/>
          </w:tcPr>
          <w:p>
            <w:pPr>
              <w:spacing w:after="0"/>
              <w:rPr>
                <w:sz w:val="11"/>
                <w:szCs w:val="11"/>
                <w:color w:val="auto"/>
              </w:rPr>
            </w:pPr>
          </w:p>
        </w:tc>
        <w:tc>
          <w:tcPr>
            <w:tcW w:w="184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Supporting our strategy to diversify</w:t>
            </w:r>
          </w:p>
        </w:tc>
        <w:tc>
          <w:tcPr>
            <w:tcW w:w="1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our customer base, we</w:t>
            </w:r>
          </w:p>
        </w:tc>
        <w:tc>
          <w:tcPr>
            <w:tcW w:w="0" w:type="dxa"/>
            <w:vAlign w:val="bottom"/>
          </w:tcPr>
          <w:p>
            <w:pPr>
              <w:spacing w:after="0"/>
              <w:rPr>
                <w:sz w:val="1"/>
                <w:szCs w:val="1"/>
                <w:color w:val="auto"/>
              </w:rPr>
            </w:pPr>
          </w:p>
        </w:tc>
      </w:tr>
      <w:tr>
        <w:trPr>
          <w:trHeight w:val="114"/>
        </w:trPr>
        <w:tc>
          <w:tcPr>
            <w:tcW w:w="2520" w:type="dxa"/>
            <w:vAlign w:val="bottom"/>
          </w:tcPr>
          <w:p>
            <w:pPr>
              <w:spacing w:after="0" w:line="114" w:lineRule="exact"/>
              <w:rPr>
                <w:sz w:val="20"/>
                <w:szCs w:val="20"/>
                <w:color w:val="auto"/>
              </w:rPr>
            </w:pPr>
            <w:r>
              <w:rPr>
                <w:rFonts w:ascii="Times New Roman" w:cs="Times New Roman" w:eastAsia="Times New Roman" w:hAnsi="Times New Roman"/>
                <w:sz w:val="11"/>
                <w:szCs w:val="11"/>
                <w:color w:val="auto"/>
              </w:rPr>
              <w:t>need for operators to invest in 5G globally with only</w:t>
            </w:r>
          </w:p>
        </w:tc>
        <w:tc>
          <w:tcPr>
            <w:tcW w:w="560" w:type="dxa"/>
            <w:vAlign w:val="bottom"/>
          </w:tcPr>
          <w:p>
            <w:pPr>
              <w:spacing w:after="0"/>
              <w:rPr>
                <w:sz w:val="9"/>
                <w:szCs w:val="9"/>
                <w:color w:val="auto"/>
              </w:rPr>
            </w:pPr>
          </w:p>
        </w:tc>
        <w:tc>
          <w:tcPr>
            <w:tcW w:w="220" w:type="dxa"/>
            <w:vAlign w:val="bottom"/>
          </w:tcPr>
          <w:p>
            <w:pPr>
              <w:spacing w:after="0"/>
              <w:rPr>
                <w:sz w:val="9"/>
                <w:szCs w:val="9"/>
                <w:color w:val="auto"/>
              </w:rPr>
            </w:pPr>
          </w:p>
        </w:tc>
        <w:tc>
          <w:tcPr>
            <w:tcW w:w="1840" w:type="dxa"/>
            <w:vAlign w:val="bottom"/>
            <w:vMerge w:val="continue"/>
          </w:tcPr>
          <w:p>
            <w:pPr>
              <w:spacing w:after="0"/>
              <w:rPr>
                <w:sz w:val="9"/>
                <w:szCs w:val="9"/>
                <w:color w:val="auto"/>
              </w:rPr>
            </w:pPr>
          </w:p>
        </w:tc>
        <w:tc>
          <w:tcPr>
            <w:tcW w:w="1240" w:type="dxa"/>
            <w:vAlign w:val="bottom"/>
            <w:gridSpan w:val="2"/>
            <w:vMerge w:val="continue"/>
          </w:tcPr>
          <w:p>
            <w:pPr>
              <w:spacing w:after="0"/>
              <w:rPr>
                <w:sz w:val="9"/>
                <w:szCs w:val="9"/>
                <w:color w:val="auto"/>
              </w:rPr>
            </w:pPr>
          </w:p>
        </w:tc>
        <w:tc>
          <w:tcPr>
            <w:tcW w:w="0" w:type="dxa"/>
            <w:vAlign w:val="bottom"/>
          </w:tcPr>
          <w:p>
            <w:pPr>
              <w:spacing w:after="0"/>
              <w:rPr>
                <w:sz w:val="1"/>
                <w:szCs w:val="1"/>
                <w:color w:val="auto"/>
              </w:rPr>
            </w:pPr>
          </w:p>
        </w:tc>
      </w:tr>
      <w:tr>
        <w:trPr>
          <w:trHeight w:val="142"/>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approximately 25% of the potential mid-band 5G high-capacity</w:t>
            </w:r>
          </w:p>
        </w:tc>
        <w:tc>
          <w:tcPr>
            <w:tcW w:w="220" w:type="dxa"/>
            <w:vAlign w:val="bottom"/>
          </w:tcPr>
          <w:p>
            <w:pPr>
              <w:spacing w:after="0"/>
              <w:rPr>
                <w:sz w:val="12"/>
                <w:szCs w:val="12"/>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shared developing new sales channels for Private Wireless</w:t>
            </w:r>
          </w:p>
        </w:tc>
        <w:tc>
          <w:tcPr>
            <w:tcW w:w="0" w:type="dxa"/>
            <w:vAlign w:val="bottom"/>
          </w:tcPr>
          <w:p>
            <w:pPr>
              <w:spacing w:after="0"/>
              <w:rPr>
                <w:sz w:val="1"/>
                <w:szCs w:val="1"/>
                <w:color w:val="auto"/>
              </w:rPr>
            </w:pPr>
          </w:p>
        </w:tc>
      </w:tr>
      <w:tr>
        <w:trPr>
          <w:trHeight w:val="13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base stations so far deployed outside China. We also see</w:t>
            </w:r>
          </w:p>
        </w:tc>
        <w:tc>
          <w:tcPr>
            <w:tcW w:w="220" w:type="dxa"/>
            <w:vAlign w:val="bottom"/>
          </w:tcPr>
          <w:p>
            <w:pPr>
              <w:spacing w:after="0"/>
              <w:rPr>
                <w:sz w:val="12"/>
                <w:szCs w:val="12"/>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networks via partnerships with Cisco, HPE/Athonet and</w:t>
            </w:r>
          </w:p>
        </w:tc>
        <w:tc>
          <w:tcPr>
            <w:tcW w:w="0" w:type="dxa"/>
            <w:vAlign w:val="bottom"/>
          </w:tcPr>
          <w:p>
            <w:pPr>
              <w:spacing w:after="0"/>
              <w:rPr>
                <w:sz w:val="1"/>
                <w:szCs w:val="1"/>
                <w:color w:val="auto"/>
              </w:rPr>
            </w:pPr>
          </w:p>
        </w:tc>
      </w:tr>
      <w:tr>
        <w:trPr>
          <w:trHeight w:val="134"/>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opportunities to grow in Private Wireless networks, Cloud RAN,</w:t>
            </w:r>
          </w:p>
        </w:tc>
        <w:tc>
          <w:tcPr>
            <w:tcW w:w="220" w:type="dxa"/>
            <w:vAlign w:val="bottom"/>
          </w:tcPr>
          <w:p>
            <w:pPr>
              <w:spacing w:after="0"/>
              <w:rPr>
                <w:sz w:val="11"/>
                <w:szCs w:val="11"/>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Microsoft Azure. We also announced the acquisition of Fenix</w:t>
            </w:r>
          </w:p>
        </w:tc>
        <w:tc>
          <w:tcPr>
            <w:tcW w:w="0" w:type="dxa"/>
            <w:vAlign w:val="bottom"/>
          </w:tcPr>
          <w:p>
            <w:pPr>
              <w:spacing w:after="0"/>
              <w:rPr>
                <w:sz w:val="1"/>
                <w:szCs w:val="1"/>
                <w:color w:val="auto"/>
              </w:rPr>
            </w:pPr>
          </w:p>
        </w:tc>
      </w:tr>
      <w:tr>
        <w:trPr>
          <w:trHeight w:val="142"/>
        </w:trPr>
        <w:tc>
          <w:tcPr>
            <w:tcW w:w="2520" w:type="dxa"/>
            <w:vAlign w:val="bottom"/>
          </w:tcPr>
          <w:p>
            <w:pPr>
              <w:spacing w:after="0"/>
              <w:rPr>
                <w:sz w:val="20"/>
                <w:szCs w:val="20"/>
                <w:color w:val="auto"/>
              </w:rPr>
            </w:pPr>
            <w:r>
              <w:rPr>
                <w:rFonts w:ascii="Times New Roman" w:cs="Times New Roman" w:eastAsia="Times New Roman" w:hAnsi="Times New Roman"/>
                <w:sz w:val="11"/>
                <w:szCs w:val="11"/>
                <w:color w:val="auto"/>
              </w:rPr>
              <w:t>and 3GPP RAN solutions for the defense sector.</w:t>
            </w:r>
          </w:p>
        </w:tc>
        <w:tc>
          <w:tcPr>
            <w:tcW w:w="56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308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Group in the United States, which strengthens our offering</w:t>
            </w:r>
          </w:p>
        </w:tc>
        <w:tc>
          <w:tcPr>
            <w:tcW w:w="0" w:type="dxa"/>
            <w:vAlign w:val="bottom"/>
          </w:tcPr>
          <w:p>
            <w:pPr>
              <w:spacing w:after="0"/>
              <w:rPr>
                <w:sz w:val="1"/>
                <w:szCs w:val="1"/>
                <w:color w:val="auto"/>
              </w:rPr>
            </w:pPr>
          </w:p>
        </w:tc>
      </w:tr>
      <w:tr>
        <w:trPr>
          <w:trHeight w:val="148"/>
        </w:trPr>
        <w:tc>
          <w:tcPr>
            <w:tcW w:w="2520" w:type="dxa"/>
            <w:vAlign w:val="bottom"/>
            <w:vMerge w:val="restart"/>
          </w:tcPr>
          <w:p>
            <w:pPr>
              <w:spacing w:after="0"/>
              <w:rPr>
                <w:sz w:val="20"/>
                <w:szCs w:val="20"/>
                <w:color w:val="auto"/>
              </w:rPr>
            </w:pPr>
            <w:r>
              <w:rPr>
                <w:rFonts w:ascii="Times New Roman" w:cs="Times New Roman" w:eastAsia="Times New Roman" w:hAnsi="Times New Roman"/>
                <w:sz w:val="16"/>
                <w:szCs w:val="16"/>
                <w:color w:val="F47F31"/>
              </w:rPr>
              <w:t>Business overview and organization</w:t>
            </w:r>
          </w:p>
        </w:tc>
        <w:tc>
          <w:tcPr>
            <w:tcW w:w="56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18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to the defense sector   .</w:t>
            </w:r>
          </w:p>
        </w:tc>
        <w:tc>
          <w:tcPr>
            <w:tcW w:w="480" w:type="dxa"/>
            <w:vAlign w:val="bottom"/>
          </w:tcPr>
          <w:p>
            <w:pPr>
              <w:spacing w:after="0"/>
              <w:rPr>
                <w:sz w:val="12"/>
                <w:szCs w:val="12"/>
                <w:color w:val="auto"/>
              </w:rPr>
            </w:pPr>
          </w:p>
        </w:tc>
        <w:tc>
          <w:tcPr>
            <w:tcW w:w="7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53"/>
        </w:trPr>
        <w:tc>
          <w:tcPr>
            <w:tcW w:w="2520" w:type="dxa"/>
            <w:vAlign w:val="bottom"/>
            <w:vMerge w:val="continue"/>
          </w:tcPr>
          <w:p>
            <w:pPr>
              <w:spacing w:after="0"/>
              <w:rPr>
                <w:sz w:val="13"/>
                <w:szCs w:val="13"/>
                <w:color w:val="auto"/>
              </w:rPr>
            </w:pPr>
          </w:p>
        </w:tc>
        <w:tc>
          <w:tcPr>
            <w:tcW w:w="560" w:type="dxa"/>
            <w:vAlign w:val="bottom"/>
          </w:tcPr>
          <w:p>
            <w:pPr>
              <w:spacing w:after="0"/>
              <w:rPr>
                <w:sz w:val="13"/>
                <w:szCs w:val="13"/>
                <w:color w:val="auto"/>
              </w:rPr>
            </w:pPr>
          </w:p>
        </w:tc>
        <w:tc>
          <w:tcPr>
            <w:tcW w:w="220" w:type="dxa"/>
            <w:vAlign w:val="bottom"/>
          </w:tcPr>
          <w:p>
            <w:pPr>
              <w:spacing w:after="0"/>
              <w:rPr>
                <w:sz w:val="13"/>
                <w:szCs w:val="13"/>
                <w:color w:val="auto"/>
              </w:rPr>
            </w:pPr>
          </w:p>
        </w:tc>
        <w:tc>
          <w:tcPr>
            <w:tcW w:w="3080" w:type="dxa"/>
            <w:vAlign w:val="bottom"/>
            <w:gridSpan w:val="3"/>
            <w:vMerge w:val="restart"/>
          </w:tcPr>
          <w:p>
            <w:pPr>
              <w:ind w:left="100"/>
              <w:spacing w:after="0"/>
              <w:rPr>
                <w:sz w:val="20"/>
                <w:szCs w:val="20"/>
                <w:color w:val="auto"/>
              </w:rPr>
            </w:pPr>
            <w:r>
              <w:rPr>
                <w:rFonts w:ascii="Times New Roman" w:cs="Times New Roman" w:eastAsia="Times New Roman" w:hAnsi="Times New Roman"/>
                <w:sz w:val="11"/>
                <w:szCs w:val="11"/>
                <w:color w:val="auto"/>
              </w:rPr>
              <w:t>In 2023, Mobile Networks launched new additions to its</w:t>
            </w:r>
          </w:p>
        </w:tc>
        <w:tc>
          <w:tcPr>
            <w:tcW w:w="0" w:type="dxa"/>
            <w:vAlign w:val="bottom"/>
          </w:tcPr>
          <w:p>
            <w:pPr>
              <w:spacing w:after="0"/>
              <w:rPr>
                <w:sz w:val="1"/>
                <w:szCs w:val="1"/>
                <w:color w:val="auto"/>
              </w:rPr>
            </w:pPr>
          </w:p>
        </w:tc>
      </w:tr>
      <w:tr>
        <w:trPr>
          <w:trHeight w:val="50"/>
        </w:trPr>
        <w:tc>
          <w:tcPr>
            <w:tcW w:w="308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Despite the challenging macroeconomic environment and</w:t>
            </w:r>
          </w:p>
        </w:tc>
        <w:tc>
          <w:tcPr>
            <w:tcW w:w="220" w:type="dxa"/>
            <w:vAlign w:val="bottom"/>
          </w:tcPr>
          <w:p>
            <w:pPr>
              <w:spacing w:after="0"/>
              <w:rPr>
                <w:sz w:val="4"/>
                <w:szCs w:val="4"/>
                <w:color w:val="auto"/>
              </w:rPr>
            </w:pPr>
          </w:p>
        </w:tc>
        <w:tc>
          <w:tcPr>
            <w:tcW w:w="308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01"/>
        </w:trPr>
        <w:tc>
          <w:tcPr>
            <w:tcW w:w="3080" w:type="dxa"/>
            <w:vAlign w:val="bottom"/>
            <w:gridSpan w:val="2"/>
            <w:vMerge w:val="continue"/>
          </w:tcPr>
          <w:p>
            <w:pPr>
              <w:spacing w:after="0"/>
              <w:rPr>
                <w:sz w:val="8"/>
                <w:szCs w:val="8"/>
                <w:color w:val="auto"/>
              </w:rPr>
            </w:pPr>
          </w:p>
        </w:tc>
        <w:tc>
          <w:tcPr>
            <w:tcW w:w="220" w:type="dxa"/>
            <w:vAlign w:val="bottom"/>
          </w:tcPr>
          <w:p>
            <w:pPr>
              <w:spacing w:after="0"/>
              <w:rPr>
                <w:sz w:val="8"/>
                <w:szCs w:val="8"/>
                <w:color w:val="auto"/>
              </w:rPr>
            </w:pPr>
          </w:p>
        </w:tc>
        <w:tc>
          <w:tcPr>
            <w:tcW w:w="3080" w:type="dxa"/>
            <w:vAlign w:val="bottom"/>
            <w:gridSpan w:val="3"/>
            <w:vMerge w:val="restart"/>
          </w:tcPr>
          <w:p>
            <w:pPr>
              <w:ind w:left="100"/>
              <w:spacing w:after="0"/>
              <w:rPr>
                <w:sz w:val="20"/>
                <w:szCs w:val="20"/>
                <w:color w:val="auto"/>
              </w:rPr>
            </w:pPr>
            <w:r>
              <w:rPr>
                <w:rFonts w:ascii="Times New Roman" w:cs="Times New Roman" w:eastAsia="Times New Roman" w:hAnsi="Times New Roman"/>
                <w:sz w:val="11"/>
                <w:szCs w:val="11"/>
                <w:color w:val="auto"/>
              </w:rPr>
              <w:t>AirScale radio access network portfolio, powered by the latest</w:t>
            </w:r>
          </w:p>
        </w:tc>
        <w:tc>
          <w:tcPr>
            <w:tcW w:w="0" w:type="dxa"/>
            <w:vAlign w:val="bottom"/>
          </w:tcPr>
          <w:p>
            <w:pPr>
              <w:spacing w:after="0"/>
              <w:rPr>
                <w:sz w:val="1"/>
                <w:szCs w:val="1"/>
                <w:color w:val="auto"/>
              </w:rPr>
            </w:pPr>
          </w:p>
        </w:tc>
      </w:tr>
      <w:tr>
        <w:trPr>
          <w:trHeight w:val="40"/>
        </w:trPr>
        <w:tc>
          <w:tcPr>
            <w:tcW w:w="308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losing the RAN business with AT&amp;T in the United States, Nokia</w:t>
            </w:r>
          </w:p>
        </w:tc>
        <w:tc>
          <w:tcPr>
            <w:tcW w:w="220" w:type="dxa"/>
            <w:vAlign w:val="bottom"/>
          </w:tcPr>
          <w:p>
            <w:pPr>
              <w:spacing w:after="0"/>
              <w:rPr>
                <w:sz w:val="3"/>
                <w:szCs w:val="3"/>
                <w:color w:val="auto"/>
              </w:rPr>
            </w:pPr>
          </w:p>
        </w:tc>
        <w:tc>
          <w:tcPr>
            <w:tcW w:w="3080" w:type="dxa"/>
            <w:vAlign w:val="bottom"/>
            <w:gridSpan w:val="3"/>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01"/>
        </w:trPr>
        <w:tc>
          <w:tcPr>
            <w:tcW w:w="3080" w:type="dxa"/>
            <w:vAlign w:val="bottom"/>
            <w:gridSpan w:val="2"/>
            <w:vMerge w:val="continue"/>
          </w:tcPr>
          <w:p>
            <w:pPr>
              <w:spacing w:after="0"/>
              <w:rPr>
                <w:sz w:val="8"/>
                <w:szCs w:val="8"/>
                <w:color w:val="auto"/>
              </w:rPr>
            </w:pPr>
          </w:p>
        </w:tc>
        <w:tc>
          <w:tcPr>
            <w:tcW w:w="220" w:type="dxa"/>
            <w:vAlign w:val="bottom"/>
          </w:tcPr>
          <w:p>
            <w:pPr>
              <w:spacing w:after="0"/>
              <w:rPr>
                <w:sz w:val="8"/>
                <w:szCs w:val="8"/>
                <w:color w:val="auto"/>
              </w:rPr>
            </w:pPr>
          </w:p>
        </w:tc>
        <w:tc>
          <w:tcPr>
            <w:tcW w:w="3080" w:type="dxa"/>
            <w:vAlign w:val="bottom"/>
            <w:gridSpan w:val="3"/>
            <w:vMerge w:val="restart"/>
          </w:tcPr>
          <w:p>
            <w:pPr>
              <w:ind w:left="100"/>
              <w:spacing w:after="0"/>
              <w:rPr>
                <w:sz w:val="20"/>
                <w:szCs w:val="20"/>
                <w:color w:val="auto"/>
              </w:rPr>
            </w:pPr>
            <w:r>
              <w:rPr>
                <w:rFonts w:ascii="Times New Roman" w:cs="Times New Roman" w:eastAsia="Times New Roman" w:hAnsi="Times New Roman"/>
                <w:sz w:val="11"/>
                <w:szCs w:val="11"/>
                <w:color w:val="auto"/>
              </w:rPr>
              <w:t>ReefShark System-on-Chip (SoC) technology. Those include</w:t>
            </w:r>
          </w:p>
        </w:tc>
        <w:tc>
          <w:tcPr>
            <w:tcW w:w="0" w:type="dxa"/>
            <w:vAlign w:val="bottom"/>
          </w:tcPr>
          <w:p>
            <w:pPr>
              <w:spacing w:after="0"/>
              <w:rPr>
                <w:sz w:val="1"/>
                <w:szCs w:val="1"/>
                <w:color w:val="auto"/>
              </w:rPr>
            </w:pPr>
          </w:p>
        </w:tc>
      </w:tr>
      <w:tr>
        <w:trPr>
          <w:trHeight w:val="30"/>
        </w:trPr>
        <w:tc>
          <w:tcPr>
            <w:tcW w:w="308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continued to grow its Radio Access Networks market share.</w:t>
            </w:r>
          </w:p>
        </w:tc>
        <w:tc>
          <w:tcPr>
            <w:tcW w:w="220" w:type="dxa"/>
            <w:vAlign w:val="bottom"/>
          </w:tcPr>
          <w:p>
            <w:pPr>
              <w:spacing w:after="0"/>
              <w:rPr>
                <w:sz w:val="2"/>
                <w:szCs w:val="2"/>
                <w:color w:val="auto"/>
              </w:rPr>
            </w:pPr>
          </w:p>
        </w:tc>
        <w:tc>
          <w:tcPr>
            <w:tcW w:w="3080" w:type="dxa"/>
            <w:vAlign w:val="bottom"/>
            <w:gridSpan w:val="3"/>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14"/>
        </w:trPr>
        <w:tc>
          <w:tcPr>
            <w:tcW w:w="3080" w:type="dxa"/>
            <w:vAlign w:val="bottom"/>
            <w:gridSpan w:val="2"/>
            <w:vMerge w:val="continue"/>
          </w:tcPr>
          <w:p>
            <w:pPr>
              <w:spacing w:after="0"/>
              <w:rPr>
                <w:sz w:val="9"/>
                <w:szCs w:val="9"/>
                <w:color w:val="auto"/>
              </w:rPr>
            </w:pPr>
          </w:p>
        </w:tc>
        <w:tc>
          <w:tcPr>
            <w:tcW w:w="220" w:type="dxa"/>
            <w:vAlign w:val="bottom"/>
          </w:tcPr>
          <w:p>
            <w:pPr>
              <w:spacing w:after="0"/>
              <w:rPr>
                <w:sz w:val="9"/>
                <w:szCs w:val="9"/>
                <w:color w:val="auto"/>
              </w:rPr>
            </w:pPr>
          </w:p>
        </w:tc>
        <w:tc>
          <w:tcPr>
            <w:tcW w:w="3080" w:type="dxa"/>
            <w:vAlign w:val="bottom"/>
            <w:gridSpan w:val="3"/>
          </w:tcPr>
          <w:p>
            <w:pPr>
              <w:ind w:left="100"/>
              <w:spacing w:after="0" w:line="114" w:lineRule="exact"/>
              <w:rPr>
                <w:sz w:val="20"/>
                <w:szCs w:val="20"/>
                <w:color w:val="auto"/>
              </w:rPr>
            </w:pPr>
            <w:r>
              <w:rPr>
                <w:rFonts w:ascii="Times New Roman" w:cs="Times New Roman" w:eastAsia="Times New Roman" w:hAnsi="Times New Roman"/>
                <w:sz w:val="11"/>
                <w:szCs w:val="11"/>
                <w:color w:val="auto"/>
              </w:rPr>
              <w:t>new high-performance Massive MIMO radios as well as new</w:t>
            </w:r>
          </w:p>
        </w:tc>
        <w:tc>
          <w:tcPr>
            <w:tcW w:w="0" w:type="dxa"/>
            <w:vAlign w:val="bottom"/>
          </w:tcPr>
          <w:p>
            <w:pPr>
              <w:spacing w:after="0"/>
              <w:rPr>
                <w:sz w:val="1"/>
                <w:szCs w:val="1"/>
                <w:color w:val="auto"/>
              </w:rPr>
            </w:pPr>
          </w:p>
        </w:tc>
      </w:tr>
      <w:tr>
        <w:trPr>
          <w:trHeight w:val="12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According to Dell’Oro, Nokia has increased its 5G RAN market</w:t>
            </w:r>
          </w:p>
        </w:tc>
        <w:tc>
          <w:tcPr>
            <w:tcW w:w="220" w:type="dxa"/>
            <w:vAlign w:val="bottom"/>
            <w:vMerge w:val="restart"/>
          </w:tcPr>
          <w:p>
            <w:pPr>
              <w:jc w:val="right"/>
              <w:ind w:right="63"/>
              <w:spacing w:after="0"/>
              <w:rPr>
                <w:sz w:val="20"/>
                <w:szCs w:val="20"/>
                <w:color w:val="auto"/>
              </w:rPr>
            </w:pPr>
            <w:r>
              <w:rPr>
                <w:rFonts w:ascii="Times New Roman" w:cs="Times New Roman" w:eastAsia="Times New Roman" w:hAnsi="Times New Roman"/>
                <w:sz w:val="7"/>
                <w:szCs w:val="7"/>
                <w:color w:val="auto"/>
              </w:rPr>
              <w:t>(2)</w:t>
            </w:r>
          </w:p>
        </w:tc>
        <w:tc>
          <w:tcPr>
            <w:tcW w:w="3080" w:type="dxa"/>
            <w:vAlign w:val="bottom"/>
            <w:gridSpan w:val="3"/>
            <w:vMerge w:val="restart"/>
          </w:tcPr>
          <w:p>
            <w:pPr>
              <w:ind w:left="100"/>
              <w:spacing w:after="0"/>
              <w:rPr>
                <w:sz w:val="20"/>
                <w:szCs w:val="20"/>
                <w:color w:val="auto"/>
              </w:rPr>
            </w:pPr>
            <w:r>
              <w:rPr>
                <w:rFonts w:ascii="Times New Roman" w:cs="Times New Roman" w:eastAsia="Times New Roman" w:hAnsi="Times New Roman"/>
                <w:sz w:val="11"/>
                <w:szCs w:val="11"/>
                <w:color w:val="auto"/>
              </w:rPr>
              <w:t>baseband capacity and control cards, ready for 5G-Advanced</w:t>
            </w:r>
          </w:p>
        </w:tc>
        <w:tc>
          <w:tcPr>
            <w:tcW w:w="0" w:type="dxa"/>
            <w:vAlign w:val="bottom"/>
          </w:tcPr>
          <w:p>
            <w:pPr>
              <w:spacing w:after="0"/>
              <w:rPr>
                <w:sz w:val="1"/>
                <w:szCs w:val="1"/>
                <w:color w:val="auto"/>
              </w:rPr>
            </w:pPr>
          </w:p>
        </w:tc>
      </w:tr>
      <w:tr>
        <w:trPr>
          <w:trHeight w:val="30"/>
        </w:trPr>
        <w:tc>
          <w:tcPr>
            <w:tcW w:w="308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share (excl. China) faster than any competitor since Q1 2022.</w:t>
            </w:r>
          </w:p>
        </w:tc>
        <w:tc>
          <w:tcPr>
            <w:tcW w:w="220" w:type="dxa"/>
            <w:vAlign w:val="bottom"/>
            <w:vMerge w:val="continue"/>
          </w:tcPr>
          <w:p>
            <w:pPr>
              <w:spacing w:after="0"/>
              <w:rPr>
                <w:sz w:val="2"/>
                <w:szCs w:val="2"/>
                <w:color w:val="auto"/>
              </w:rPr>
            </w:pPr>
          </w:p>
        </w:tc>
        <w:tc>
          <w:tcPr>
            <w:tcW w:w="3080" w:type="dxa"/>
            <w:vAlign w:val="bottom"/>
            <w:gridSpan w:val="3"/>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65"/>
        </w:trPr>
        <w:tc>
          <w:tcPr>
            <w:tcW w:w="3080" w:type="dxa"/>
            <w:vAlign w:val="bottom"/>
            <w:gridSpan w:val="2"/>
            <w:vMerge w:val="continue"/>
          </w:tcPr>
          <w:p>
            <w:pPr>
              <w:spacing w:after="0"/>
              <w:rPr>
                <w:sz w:val="5"/>
                <w:szCs w:val="5"/>
                <w:color w:val="auto"/>
              </w:rPr>
            </w:pPr>
          </w:p>
        </w:tc>
        <w:tc>
          <w:tcPr>
            <w:tcW w:w="220" w:type="dxa"/>
            <w:vAlign w:val="bottom"/>
            <w:vMerge w:val="continue"/>
          </w:tcPr>
          <w:p>
            <w:pPr>
              <w:spacing w:after="0"/>
              <w:rPr>
                <w:sz w:val="5"/>
                <w:szCs w:val="5"/>
                <w:color w:val="auto"/>
              </w:rPr>
            </w:pPr>
          </w:p>
        </w:tc>
        <w:tc>
          <w:tcPr>
            <w:tcW w:w="3080" w:type="dxa"/>
            <w:vAlign w:val="bottom"/>
            <w:gridSpan w:val="3"/>
            <w:vMerge w:val="restart"/>
          </w:tcPr>
          <w:p>
            <w:pPr>
              <w:ind w:left="100"/>
              <w:spacing w:after="0" w:line="114" w:lineRule="exact"/>
              <w:rPr>
                <w:sz w:val="20"/>
                <w:szCs w:val="20"/>
                <w:color w:val="auto"/>
              </w:rPr>
            </w:pPr>
            <w:r>
              <w:rPr>
                <w:rFonts w:ascii="Times New Roman" w:cs="Times New Roman" w:eastAsia="Times New Roman" w:hAnsi="Times New Roman"/>
                <w:sz w:val="11"/>
                <w:szCs w:val="11"/>
                <w:color w:val="auto"/>
              </w:rPr>
              <w:t>and delivering unprecedented connectivity, capacity, and</w:t>
            </w:r>
          </w:p>
        </w:tc>
        <w:tc>
          <w:tcPr>
            <w:tcW w:w="0" w:type="dxa"/>
            <w:vAlign w:val="bottom"/>
          </w:tcPr>
          <w:p>
            <w:pPr>
              <w:spacing w:after="0"/>
              <w:rPr>
                <w:sz w:val="1"/>
                <w:szCs w:val="1"/>
                <w:color w:val="auto"/>
              </w:rPr>
            </w:pPr>
          </w:p>
        </w:tc>
      </w:tr>
      <w:tr>
        <w:trPr>
          <w:trHeight w:val="49"/>
        </w:trPr>
        <w:tc>
          <w:tcPr>
            <w:tcW w:w="3080" w:type="dxa"/>
            <w:vAlign w:val="bottom"/>
            <w:gridSpan w:val="2"/>
            <w:vMerge w:val="continue"/>
          </w:tcPr>
          <w:p>
            <w:pPr>
              <w:spacing w:after="0"/>
              <w:rPr>
                <w:sz w:val="4"/>
                <w:szCs w:val="4"/>
                <w:color w:val="auto"/>
              </w:rPr>
            </w:pPr>
          </w:p>
        </w:tc>
        <w:tc>
          <w:tcPr>
            <w:tcW w:w="220" w:type="dxa"/>
            <w:vAlign w:val="bottom"/>
          </w:tcPr>
          <w:p>
            <w:pPr>
              <w:spacing w:after="0"/>
              <w:rPr>
                <w:sz w:val="4"/>
                <w:szCs w:val="4"/>
                <w:color w:val="auto"/>
              </w:rPr>
            </w:pPr>
          </w:p>
        </w:tc>
        <w:tc>
          <w:tcPr>
            <w:tcW w:w="308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29"/>
        </w:trPr>
        <w:tc>
          <w:tcPr>
            <w:tcW w:w="30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While continuing major 5G deployments for Bharti Airtel and</w:t>
            </w:r>
          </w:p>
        </w:tc>
        <w:tc>
          <w:tcPr>
            <w:tcW w:w="220" w:type="dxa"/>
            <w:vAlign w:val="bottom"/>
          </w:tcPr>
          <w:p>
            <w:pPr>
              <w:spacing w:after="0"/>
              <w:rPr>
                <w:sz w:val="11"/>
                <w:szCs w:val="11"/>
                <w:color w:val="auto"/>
              </w:rPr>
            </w:pPr>
          </w:p>
        </w:tc>
        <w:tc>
          <w:tcPr>
            <w:tcW w:w="184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energy efficiency.</w:t>
            </w:r>
          </w:p>
        </w:tc>
        <w:tc>
          <w:tcPr>
            <w:tcW w:w="480" w:type="dxa"/>
            <w:vAlign w:val="bottom"/>
          </w:tcPr>
          <w:p>
            <w:pPr>
              <w:spacing w:after="0"/>
              <w:rPr>
                <w:sz w:val="11"/>
                <w:szCs w:val="11"/>
                <w:color w:val="auto"/>
              </w:rPr>
            </w:pPr>
          </w:p>
        </w:tc>
        <w:tc>
          <w:tcPr>
            <w:tcW w:w="7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47"/>
        </w:trPr>
        <w:tc>
          <w:tcPr>
            <w:tcW w:w="308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Reliance Jio in India, Nokia announced new 5G deals in 2023,</w:t>
            </w:r>
          </w:p>
        </w:tc>
        <w:tc>
          <w:tcPr>
            <w:tcW w:w="220" w:type="dxa"/>
            <w:vAlign w:val="bottom"/>
          </w:tcPr>
          <w:p>
            <w:pPr>
              <w:spacing w:after="0"/>
              <w:rPr>
                <w:sz w:val="4"/>
                <w:szCs w:val="4"/>
                <w:color w:val="auto"/>
              </w:rPr>
            </w:pPr>
          </w:p>
        </w:tc>
        <w:tc>
          <w:tcPr>
            <w:tcW w:w="1840" w:type="dxa"/>
            <w:vAlign w:val="bottom"/>
            <w:vMerge w:val="continue"/>
          </w:tcPr>
          <w:p>
            <w:pPr>
              <w:spacing w:after="0"/>
              <w:rPr>
                <w:sz w:val="4"/>
                <w:szCs w:val="4"/>
                <w:color w:val="auto"/>
              </w:rPr>
            </w:pPr>
          </w:p>
        </w:tc>
        <w:tc>
          <w:tcPr>
            <w:tcW w:w="480" w:type="dxa"/>
            <w:vAlign w:val="bottom"/>
          </w:tcPr>
          <w:p>
            <w:pPr>
              <w:spacing w:after="0"/>
              <w:rPr>
                <w:sz w:val="4"/>
                <w:szCs w:val="4"/>
                <w:color w:val="auto"/>
              </w:rPr>
            </w:pPr>
          </w:p>
        </w:tc>
        <w:tc>
          <w:tcPr>
            <w:tcW w:w="76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01"/>
        </w:trPr>
        <w:tc>
          <w:tcPr>
            <w:tcW w:w="3080" w:type="dxa"/>
            <w:vAlign w:val="bottom"/>
            <w:gridSpan w:val="2"/>
            <w:vMerge w:val="continue"/>
          </w:tcPr>
          <w:p>
            <w:pPr>
              <w:spacing w:after="0"/>
              <w:rPr>
                <w:sz w:val="8"/>
                <w:szCs w:val="8"/>
                <w:color w:val="auto"/>
              </w:rPr>
            </w:pPr>
          </w:p>
        </w:tc>
        <w:tc>
          <w:tcPr>
            <w:tcW w:w="220" w:type="dxa"/>
            <w:vAlign w:val="bottom"/>
          </w:tcPr>
          <w:p>
            <w:pPr>
              <w:spacing w:after="0"/>
              <w:rPr>
                <w:sz w:val="8"/>
                <w:szCs w:val="8"/>
                <w:color w:val="auto"/>
              </w:rPr>
            </w:pPr>
          </w:p>
        </w:tc>
        <w:tc>
          <w:tcPr>
            <w:tcW w:w="1840" w:type="dxa"/>
            <w:vAlign w:val="bottom"/>
          </w:tcPr>
          <w:p>
            <w:pPr>
              <w:spacing w:after="0"/>
              <w:rPr>
                <w:sz w:val="8"/>
                <w:szCs w:val="8"/>
                <w:color w:val="auto"/>
              </w:rPr>
            </w:pPr>
          </w:p>
        </w:tc>
        <w:tc>
          <w:tcPr>
            <w:tcW w:w="480" w:type="dxa"/>
            <w:vAlign w:val="bottom"/>
          </w:tcPr>
          <w:p>
            <w:pPr>
              <w:spacing w:after="0"/>
              <w:rPr>
                <w:sz w:val="8"/>
                <w:szCs w:val="8"/>
                <w:color w:val="auto"/>
              </w:rPr>
            </w:pPr>
          </w:p>
        </w:tc>
        <w:tc>
          <w:tcPr>
            <w:tcW w:w="760" w:type="dxa"/>
            <w:vAlign w:val="bottom"/>
          </w:tcPr>
          <w:p>
            <w:pPr>
              <w:spacing w:after="0"/>
              <w:rPr>
                <w:sz w:val="8"/>
                <w:szCs w:val="8"/>
                <w:color w:val="auto"/>
              </w:rPr>
            </w:pPr>
          </w:p>
        </w:tc>
        <w:tc>
          <w:tcPr>
            <w:tcW w:w="0" w:type="dxa"/>
            <w:vAlign w:val="bottom"/>
          </w:tcPr>
          <w:p>
            <w:pPr>
              <w:spacing w:after="0"/>
              <w:rPr>
                <w:sz w:val="1"/>
                <w:szCs w:val="1"/>
                <w:color w:val="auto"/>
              </w:rPr>
            </w:pPr>
          </w:p>
        </w:tc>
      </w:tr>
    </w:tbl>
    <w:p>
      <w:pPr>
        <w:sectPr>
          <w:pgSz w:w="11900" w:h="16838" w:orient="portrait"/>
          <w:cols w:equalWidth="0" w:num="2">
            <w:col w:w="2800" w:space="600"/>
            <w:col w:w="6580"/>
          </w:cols>
          <w:pgMar w:left="960" w:top="409" w:right="959" w:bottom="1440" w:gutter="0" w:footer="0" w:header="0"/>
          <w:type w:val="continuous"/>
        </w:sectPr>
      </w:pPr>
    </w:p>
    <w:bookmarkStart w:id="33" w:name="page34"/>
    <w:bookmarkEnd w:id="33"/>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Business groups continued</w:t>
      </w:r>
    </w:p>
    <w:p>
      <w:pPr>
        <w:spacing w:after="0" w:line="326" w:lineRule="exact"/>
        <w:rPr>
          <w:sz w:val="20"/>
          <w:szCs w:val="20"/>
          <w:color w:val="auto"/>
        </w:rPr>
      </w:pPr>
    </w:p>
    <w:p>
      <w:pPr>
        <w:ind w:right="160"/>
        <w:spacing w:after="0" w:line="269" w:lineRule="auto"/>
        <w:rPr>
          <w:sz w:val="20"/>
          <w:szCs w:val="20"/>
          <w:color w:val="auto"/>
        </w:rPr>
      </w:pPr>
      <w:r>
        <w:rPr>
          <w:rFonts w:ascii="Times New Roman" w:cs="Times New Roman" w:eastAsia="Times New Roman" w:hAnsi="Times New Roman"/>
          <w:sz w:val="11"/>
          <w:szCs w:val="11"/>
          <w:color w:val="auto"/>
        </w:rPr>
        <w:t>We also launched anyRAN, a new approach that leverages collaboration with leading cloud infrastructure and computing hardware suppliers. The approach offers flexibility of choice for operators and enterprises on their evolution path towards Cloud RAN and ensures high performance, energy efficiency, resiliency, service and feature parity, and security across hybrid networks of co-existing Cloud RAN and purpose-built RAN.</w:t>
      </w:r>
    </w:p>
    <w:p>
      <w:pPr>
        <w:spacing w:after="0" w:line="59"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We continued integrating artificial intelligence and machine learning capabilities into our products and solutions, for example in our new network management solutions, as well as in services where AI/ML-based safety crew checks, digital site surveys and driverless acceptance solutions improve the health, safety and service delivery quality of our field teams. Furthermore, we introduced new radios in our Wavence microwave transport portfolio, which help expand 5G capacity and coverage, to support the connectivity needs of communications service providers, enterprises and industries.</w:t>
      </w:r>
    </w:p>
    <w:p>
      <w:pPr>
        <w:spacing w:after="0" w:line="204"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Mobile Networks proactively develops new approaches to building networks. In 2023 for example, we showcased an industry-first successful aggregation of 5G Standalone spectrum using Five Components Carrier Aggregation (5CCA) in sub-6 GHz spectrum, together with Qualcomm and T-Mobile in the US. Nokia also achieved sustained average downlink speeds of over 2 Gbps using millimeter wave spectrum for 5G Fixed Wireless Access, over a distance of almost 11 kilometers. With AST SpaceMobile, we achieved 5G cellular broadband connectivity from space using everyday smartphones with Nokia technology.</w:t>
      </w:r>
    </w:p>
    <w:p>
      <w:pPr>
        <w:spacing w:after="0" w:line="18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47F31"/>
        </w:rPr>
        <w:t>Competition</w:t>
      </w:r>
    </w:p>
    <w:p>
      <w:pPr>
        <w:spacing w:after="0" w:line="36"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The RAN market is a highly consolidated market. Our main competitors are Huawei, Ericsson, Samsung and ZTE, but there are also a number of smaller competitors competing in specific technology or regional sub-segments, such as NEC and Fujitsu. In microwave, our key competitors include Ceragon, NEC and Aviat, alongside Huawei and Ericsson.</w:t>
      </w:r>
    </w:p>
    <w:p>
      <w:pPr>
        <w:spacing w:after="0" w:line="63" w:lineRule="exact"/>
        <w:rPr>
          <w:sz w:val="20"/>
          <w:szCs w:val="20"/>
          <w:color w:val="auto"/>
        </w:rPr>
      </w:pPr>
    </w:p>
    <w:p>
      <w:pPr>
        <w:ind w:left="200" w:hanging="199"/>
        <w:spacing w:after="0"/>
        <w:tabs>
          <w:tab w:leader="none" w:pos="200" w:val="left"/>
        </w:tabs>
        <w:numPr>
          <w:ilvl w:val="0"/>
          <w:numId w:val="1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Excluding China, Russia and Belarus.</w:t>
      </w:r>
    </w:p>
    <w:p>
      <w:pPr>
        <w:spacing w:after="0" w:line="12"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Dell’Oro Group Inc., Mobile RAN quarterly report 4Q23 (rolling 4Q).</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26</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12"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#2</w:t>
      </w:r>
    </w:p>
    <w:p>
      <w:pPr>
        <w:spacing w:after="0"/>
        <w:rPr>
          <w:sz w:val="20"/>
          <w:szCs w:val="20"/>
          <w:color w:val="auto"/>
        </w:rPr>
      </w:pPr>
      <w:r>
        <w:rPr>
          <w:rFonts w:ascii="Times New Roman" w:cs="Times New Roman" w:eastAsia="Times New Roman" w:hAnsi="Times New Roman"/>
          <w:sz w:val="11"/>
          <w:szCs w:val="11"/>
          <w:color w:val="auto"/>
        </w:rPr>
        <w:t>in 4G/5G Radio Access Networks global market share,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excluding China</w:t>
      </w:r>
    </w:p>
    <w:p>
      <w:pPr>
        <w:spacing w:after="0" w:line="154"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319</w:t>
      </w:r>
    </w:p>
    <w:p>
      <w:pPr>
        <w:spacing w:after="0"/>
        <w:rPr>
          <w:sz w:val="20"/>
          <w:szCs w:val="20"/>
          <w:color w:val="auto"/>
        </w:rPr>
      </w:pPr>
      <w:r>
        <w:rPr>
          <w:rFonts w:ascii="Times New Roman" w:cs="Times New Roman" w:eastAsia="Times New Roman" w:hAnsi="Times New Roman"/>
          <w:sz w:val="11"/>
          <w:szCs w:val="11"/>
          <w:color w:val="auto"/>
        </w:rPr>
        <w:t>Commercial 5G deals</w:t>
      </w:r>
    </w:p>
    <w:p>
      <w:pPr>
        <w:sectPr>
          <w:pgSz w:w="11900" w:h="16838" w:orient="portrait"/>
          <w:cols w:equalWidth="0" w:num="2">
            <w:col w:w="3060" w:space="340"/>
            <w:col w:w="6580"/>
          </w:cols>
          <w:pgMar w:left="960" w:top="409" w:right="959" w:bottom="1440" w:gutter="0" w:footer="0" w:header="0"/>
        </w:sectPr>
      </w:pPr>
    </w:p>
    <w:bookmarkStart w:id="34" w:name="page35"/>
    <w:bookmarkEnd w:id="34"/>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Business groups 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27</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820" w:space="580"/>
            <w:col w:w="6740"/>
          </w:cols>
          <w:pgMar w:left="960" w:top="409" w:right="799" w:bottom="1440" w:gutter="0" w:footer="0" w:header="0"/>
        </w:sectPr>
      </w:pPr>
    </w:p>
    <w:p>
      <w:pPr>
        <w:spacing w:after="0" w:line="62" w:lineRule="exact"/>
        <w:rPr>
          <w:sz w:val="20"/>
          <w:szCs w:val="20"/>
          <w:color w:val="auto"/>
        </w:rPr>
      </w:pPr>
    </w:p>
    <w:p>
      <w:pPr>
        <w:ind w:right="1000"/>
        <w:spacing w:after="0" w:line="235" w:lineRule="auto"/>
        <w:rPr>
          <w:sz w:val="20"/>
          <w:szCs w:val="20"/>
          <w:color w:val="auto"/>
        </w:rPr>
      </w:pPr>
      <w:r>
        <w:rPr>
          <w:rFonts w:ascii="Times New Roman" w:cs="Times New Roman" w:eastAsia="Times New Roman" w:hAnsi="Times New Roman"/>
          <w:sz w:val="45"/>
          <w:szCs w:val="45"/>
          <w:color w:val="FFFFFF"/>
        </w:rPr>
        <w:t>Cloud and Network Services</w:t>
      </w:r>
    </w:p>
    <w:p>
      <w:pPr>
        <w:spacing w:after="0" w:line="81"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3"/>
          <w:szCs w:val="13"/>
          <w:color w:val="FFFFFF"/>
        </w:rPr>
        <w:t>Cloud and Network Services (CNS) serves communications service providers, enterprises, hyperscale customers, digital developers and partners. Our strategy is focused on a new digital ecosystem encompassing 5G Core, secure autonomous operations, private wireless and campus edge, Network as Code and SaaS. These fast-growing areas are important to our customer b ase, are the focal point of CNS investment priorities, and reflect our view of the digital ecosystem that is essential to 5G value creation.</w:t>
      </w:r>
    </w:p>
    <w:p>
      <w:pPr>
        <w:spacing w:after="0" w:line="27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FFFFF"/>
        </w:rPr>
        <w:t>2023 in brief</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Net sales declined 4% year-on-year while our operational</w:t>
      </w:r>
    </w:p>
    <w:p>
      <w:pPr>
        <w:spacing w:after="0" w:line="22" w:lineRule="exact"/>
        <w:rPr>
          <w:sz w:val="20"/>
          <w:szCs w:val="20"/>
          <w:color w:val="auto"/>
        </w:rPr>
      </w:pPr>
    </w:p>
    <w:p>
      <w:pPr>
        <w:ind w:right="120"/>
        <w:spacing w:after="0" w:line="266" w:lineRule="auto"/>
        <w:rPr>
          <w:sz w:val="20"/>
          <w:szCs w:val="20"/>
          <w:color w:val="auto"/>
        </w:rPr>
      </w:pPr>
      <w:r>
        <w:rPr>
          <w:rFonts w:ascii="Times New Roman" w:cs="Times New Roman" w:eastAsia="Times New Roman" w:hAnsi="Times New Roman"/>
          <w:sz w:val="11"/>
          <w:szCs w:val="11"/>
          <w:color w:val="FFFFFF"/>
        </w:rPr>
        <w:t>discipline contributed to an approximately 3 percentage point increase in the segment operating marg in. These results were accompanied by a host of customer wins and deployments, as well as the introduction of new products and services, including the following key developments:</w:t>
      </w:r>
    </w:p>
    <w:p>
      <w:pPr>
        <w:spacing w:after="0" w:line="61" w:lineRule="exact"/>
        <w:rPr>
          <w:sz w:val="20"/>
          <w:szCs w:val="20"/>
          <w:color w:val="auto"/>
        </w:rPr>
      </w:pPr>
    </w:p>
    <w:p>
      <w:pPr>
        <w:ind w:left="180" w:right="360" w:hanging="168"/>
        <w:spacing w:after="0" w:line="291" w:lineRule="auto"/>
        <w:tabs>
          <w:tab w:leader="none" w:pos="183" w:val="left"/>
        </w:tabs>
        <w:numPr>
          <w:ilvl w:val="0"/>
          <w:numId w:val="18"/>
        </w:numPr>
        <w:rPr>
          <w:rFonts w:ascii="Times New Roman" w:cs="Times New Roman" w:eastAsia="Times New Roman" w:hAnsi="Times New Roman"/>
          <w:sz w:val="10"/>
          <w:szCs w:val="10"/>
          <w:color w:val="FFFFFF"/>
        </w:rPr>
      </w:pPr>
      <w:r>
        <w:rPr>
          <w:rFonts w:ascii="Times New Roman" w:cs="Times New Roman" w:eastAsia="Times New Roman" w:hAnsi="Times New Roman"/>
          <w:sz w:val="10"/>
          <w:szCs w:val="10"/>
          <w:color w:val="FFFFFF"/>
        </w:rPr>
        <w:t>Launching our Network as Code platform to accelerate network programmability and monetization</w:t>
      </w:r>
    </w:p>
    <w:p>
      <w:pPr>
        <w:ind w:left="180" w:right="20" w:hanging="168"/>
        <w:spacing w:after="0" w:line="284" w:lineRule="auto"/>
        <w:tabs>
          <w:tab w:leader="none" w:pos="180" w:val="left"/>
        </w:tabs>
        <w:numPr>
          <w:ilvl w:val="0"/>
          <w:numId w:val="18"/>
        </w:numPr>
        <w:rPr>
          <w:rFonts w:ascii="Times New Roman" w:cs="Times New Roman" w:eastAsia="Times New Roman" w:hAnsi="Times New Roman"/>
          <w:sz w:val="10"/>
          <w:szCs w:val="10"/>
          <w:color w:val="FFFFFF"/>
        </w:rPr>
      </w:pPr>
      <w:r>
        <w:rPr>
          <w:rFonts w:ascii="Times New Roman" w:cs="Times New Roman" w:eastAsia="Times New Roman" w:hAnsi="Times New Roman"/>
          <w:sz w:val="10"/>
          <w:szCs w:val="10"/>
          <w:color w:val="FFFFFF"/>
        </w:rPr>
        <w:t>Introducing a new 4G and 5G Core Network software solution to meet the mission critical needs of enterprise verticals</w:t>
      </w:r>
    </w:p>
    <w:p>
      <w:pPr>
        <w:ind w:left="180" w:right="180" w:hanging="168"/>
        <w:spacing w:after="0" w:line="264" w:lineRule="auto"/>
        <w:tabs>
          <w:tab w:leader="none" w:pos="180" w:val="left"/>
        </w:tabs>
        <w:numPr>
          <w:ilvl w:val="0"/>
          <w:numId w:val="1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Seeing Nokia AVA for Energy SaaS solution chosen by O2 Telefónica Germany to curb energy use</w:t>
      </w:r>
    </w:p>
    <w:p>
      <w:pPr>
        <w:ind w:left="180" w:right="40" w:hanging="168"/>
        <w:spacing w:after="0" w:line="284" w:lineRule="auto"/>
        <w:tabs>
          <w:tab w:leader="none" w:pos="180" w:val="left"/>
        </w:tabs>
        <w:numPr>
          <w:ilvl w:val="0"/>
          <w:numId w:val="18"/>
        </w:numPr>
        <w:rPr>
          <w:rFonts w:ascii="Times New Roman" w:cs="Times New Roman" w:eastAsia="Times New Roman" w:hAnsi="Times New Roman"/>
          <w:sz w:val="10"/>
          <w:szCs w:val="10"/>
          <w:color w:val="FFFFFF"/>
        </w:rPr>
      </w:pPr>
      <w:r>
        <w:rPr>
          <w:rFonts w:ascii="Times New Roman" w:cs="Times New Roman" w:eastAsia="Times New Roman" w:hAnsi="Times New Roman"/>
          <w:sz w:val="10"/>
          <w:szCs w:val="10"/>
          <w:color w:val="FFFFFF"/>
        </w:rPr>
        <w:t>Adding 150 new enterprise campus private wireless customers, including Husky Terminal and The Ocean Cleanup</w:t>
      </w:r>
    </w:p>
    <w:p>
      <w:pPr>
        <w:ind w:left="180" w:right="60" w:hanging="168"/>
        <w:spacing w:after="0" w:line="277" w:lineRule="auto"/>
        <w:tabs>
          <w:tab w:leader="none" w:pos="183" w:val="left"/>
        </w:tabs>
        <w:numPr>
          <w:ilvl w:val="0"/>
          <w:numId w:val="1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Being selected by Belgium’s Citymesh for our 5G-connected drone platform to establish the world’s first nationwide drone network</w:t>
      </w:r>
    </w:p>
    <w:p>
      <w:pPr>
        <w:spacing w:after="0" w:line="200" w:lineRule="exact"/>
        <w:rPr>
          <w:sz w:val="20"/>
          <w:szCs w:val="20"/>
          <w:color w:val="auto"/>
        </w:rPr>
      </w:pPr>
    </w:p>
    <w:p>
      <w:pPr>
        <w:spacing w:after="0" w:line="2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5" w:lineRule="exact"/>
        <w:rPr>
          <w:sz w:val="20"/>
          <w:szCs w:val="20"/>
          <w:color w:val="auto"/>
        </w:rPr>
      </w:pPr>
    </w:p>
    <w:p>
      <w:pPr>
        <w:spacing w:after="0" w:line="191" w:lineRule="exact"/>
        <w:rPr>
          <w:sz w:val="20"/>
          <w:szCs w:val="20"/>
          <w:color w:val="auto"/>
        </w:rPr>
      </w:pPr>
      <w:r>
        <w:rPr>
          <w:rFonts w:ascii="MS PGothic" w:cs="MS PGothic" w:eastAsia="MS PGothic" w:hAnsi="MS PGothic"/>
          <w:sz w:val="19"/>
          <w:szCs w:val="19"/>
          <w:color w:val="auto"/>
          <w:shd w:val="clear" w:color="auto" w:fill="005AFF"/>
        </w:rPr>
        <w:t>↗</w:t>
      </w:r>
    </w:p>
    <w:p>
      <w:pPr>
        <w:spacing w:after="0" w:line="56"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005AFF"/>
        </w:rPr>
        <w:t>RAGHAV SAHGAL</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005AFF"/>
        </w:rPr>
        <w:t>PRESIDENT, CLOUD AND NETWORK SERVICES</w:t>
      </w:r>
    </w:p>
    <w:p>
      <w:pPr>
        <w:spacing w:after="0" w:line="200" w:lineRule="exact"/>
        <w:rPr>
          <w:sz w:val="20"/>
          <w:szCs w:val="20"/>
          <w:color w:val="auto"/>
        </w:rPr>
      </w:pPr>
    </w:p>
    <w:p>
      <w:pPr>
        <w:spacing w:after="0" w:line="33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7D33F2"/>
        </w:rPr>
        <w:t>Market overview</w:t>
      </w:r>
    </w:p>
    <w:p>
      <w:pPr>
        <w:spacing w:after="0" w:line="26" w:lineRule="exact"/>
        <w:rPr>
          <w:sz w:val="20"/>
          <w:szCs w:val="20"/>
          <w:color w:val="auto"/>
        </w:rPr>
      </w:pPr>
    </w:p>
    <w:p>
      <w:pPr>
        <w:ind w:right="320"/>
        <w:spacing w:after="0" w:line="265" w:lineRule="auto"/>
        <w:rPr>
          <w:sz w:val="20"/>
          <w:szCs w:val="20"/>
          <w:color w:val="auto"/>
        </w:rPr>
      </w:pPr>
      <w:r>
        <w:rPr>
          <w:rFonts w:ascii="Times New Roman" w:cs="Times New Roman" w:eastAsia="Times New Roman" w:hAnsi="Times New Roman"/>
          <w:sz w:val="11"/>
          <w:szCs w:val="11"/>
          <w:color w:val="auto"/>
        </w:rPr>
        <w:t>The necessity of monetizing 5G networks and services, deepening AI into network solutions and management, and transitioning to as-a-Service models requires our customers to find new ways to generate returns on their digital assets, reduce complexity, and mitigate security risks for their mission-critical networks.</w:t>
      </w:r>
    </w:p>
    <w:p>
      <w:pPr>
        <w:spacing w:after="0" w:line="52" w:lineRule="exact"/>
        <w:rPr>
          <w:sz w:val="20"/>
          <w:szCs w:val="20"/>
          <w:color w:val="auto"/>
        </w:rPr>
      </w:pPr>
    </w:p>
    <w:p>
      <w:pPr>
        <w:jc w:val="both"/>
        <w:ind w:right="400"/>
        <w:spacing w:after="0" w:line="274" w:lineRule="auto"/>
        <w:rPr>
          <w:sz w:val="20"/>
          <w:szCs w:val="20"/>
          <w:color w:val="auto"/>
        </w:rPr>
      </w:pPr>
      <w:r>
        <w:rPr>
          <w:rFonts w:ascii="Times New Roman" w:cs="Times New Roman" w:eastAsia="Times New Roman" w:hAnsi="Times New Roman"/>
          <w:sz w:val="11"/>
          <w:szCs w:val="11"/>
          <w:color w:val="auto"/>
        </w:rPr>
        <w:t>We support that work by delivering cloud-native software solutions and services that strengthen network efficiency,</w:t>
      </w:r>
    </w:p>
    <w:p>
      <w:pPr>
        <w:spacing w:after="0" w:line="1"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self-protection and self-healing, and energy management; by deploying industrial solutions that drive digital transformation and Industry 4.0; and by helping our customers automate network operations and manage security.</w:t>
      </w:r>
    </w:p>
    <w:p>
      <w:pPr>
        <w:spacing w:after="0" w:line="62" w:lineRule="exact"/>
        <w:rPr>
          <w:sz w:val="20"/>
          <w:szCs w:val="20"/>
          <w:color w:val="auto"/>
        </w:rPr>
      </w:pPr>
    </w:p>
    <w:p>
      <w:pPr>
        <w:ind w:right="640"/>
        <w:spacing w:after="0" w:line="309" w:lineRule="auto"/>
        <w:rPr>
          <w:sz w:val="20"/>
          <w:szCs w:val="20"/>
          <w:color w:val="auto"/>
        </w:rPr>
      </w:pPr>
      <w:r>
        <w:rPr>
          <w:rFonts w:ascii="Times New Roman" w:cs="Times New Roman" w:eastAsia="Times New Roman" w:hAnsi="Times New Roman"/>
          <w:sz w:val="11"/>
          <w:szCs w:val="11"/>
          <w:color w:val="auto"/>
        </w:rPr>
        <w:t>The estimated CNS addressable market in 2023 was approximately EUR 26.8 billion.</w:t>
      </w:r>
    </w:p>
    <w:p>
      <w:pPr>
        <w:spacing w:after="0" w:line="20" w:lineRule="exact"/>
        <w:rPr>
          <w:sz w:val="20"/>
          <w:szCs w:val="20"/>
          <w:color w:val="auto"/>
        </w:rPr>
      </w:pPr>
      <w:r>
        <w:rPr>
          <w:sz w:val="20"/>
          <w:szCs w:val="20"/>
          <w:color w:val="auto"/>
        </w:rPr>
        <w:br w:type="column"/>
      </w:r>
    </w:p>
    <w:p>
      <w:pPr>
        <w:spacing w:after="0" w:line="88" w:lineRule="exact"/>
        <w:rPr>
          <w:sz w:val="20"/>
          <w:szCs w:val="20"/>
          <w:color w:val="auto"/>
        </w:rPr>
      </w:pPr>
    </w:p>
    <w:p>
      <w:pPr>
        <w:ind w:hanging="56"/>
        <w:spacing w:after="0" w:line="235" w:lineRule="auto"/>
        <w:rPr>
          <w:sz w:val="20"/>
          <w:szCs w:val="20"/>
          <w:color w:val="auto"/>
        </w:rPr>
      </w:pPr>
      <w:r>
        <w:rPr>
          <w:rFonts w:ascii="Times New Roman" w:cs="Times New Roman" w:eastAsia="Times New Roman" w:hAnsi="Times New Roman"/>
          <w:sz w:val="20"/>
          <w:szCs w:val="20"/>
          <w:color w:val="001135"/>
        </w:rPr>
        <w:t>“Our consistent focus on helping customers and partners create new value and transform their business operations enabled CNS to deliver another year of meaningful progress in executing our strategy and managing our portfolio. This was highlighted by the launch of our strategic Network as Code platform and our announcement to make Red Hat the primary infrastructure platform for our Core Network applications.”</w:t>
      </w:r>
    </w:p>
    <w:p>
      <w:pPr>
        <w:spacing w:after="0" w:line="200" w:lineRule="exact"/>
        <w:rPr>
          <w:sz w:val="20"/>
          <w:szCs w:val="20"/>
          <w:color w:val="auto"/>
        </w:rPr>
      </w:pPr>
    </w:p>
    <w:p>
      <w:pPr>
        <w:spacing w:after="0" w:line="38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7D33F2"/>
        </w:rPr>
        <w:t>Business overview and organization</w:t>
      </w:r>
    </w:p>
    <w:p>
      <w:pPr>
        <w:spacing w:after="0" w:line="46" w:lineRule="exact"/>
        <w:rPr>
          <w:sz w:val="20"/>
          <w:szCs w:val="20"/>
          <w:color w:val="auto"/>
        </w:rPr>
      </w:pPr>
    </w:p>
    <w:p>
      <w:pPr>
        <w:ind w:right="260"/>
        <w:spacing w:after="0" w:line="279" w:lineRule="auto"/>
        <w:rPr>
          <w:sz w:val="20"/>
          <w:szCs w:val="20"/>
          <w:color w:val="auto"/>
        </w:rPr>
      </w:pPr>
      <w:r>
        <w:rPr>
          <w:rFonts w:ascii="Times New Roman" w:cs="Times New Roman" w:eastAsia="Times New Roman" w:hAnsi="Times New Roman"/>
          <w:sz w:val="11"/>
          <w:szCs w:val="11"/>
          <w:color w:val="auto"/>
        </w:rPr>
        <w:t>In 2023, CNS was composed of five units: Business Applications, Cloud and Cognitive Services, Core Networks, Enterprise Campus Edge Solutions, and Network Monetization Platform.</w:t>
      </w:r>
    </w:p>
    <w:p>
      <w:pPr>
        <w:spacing w:after="0" w:line="44" w:lineRule="exact"/>
        <w:rPr>
          <w:sz w:val="20"/>
          <w:szCs w:val="20"/>
          <w:color w:val="auto"/>
        </w:rPr>
      </w:pPr>
    </w:p>
    <w:p>
      <w:pPr>
        <w:ind w:right="400" w:firstLine="2"/>
        <w:spacing w:after="0" w:line="264" w:lineRule="auto"/>
        <w:rPr>
          <w:sz w:val="20"/>
          <w:szCs w:val="20"/>
          <w:color w:val="auto"/>
        </w:rPr>
      </w:pPr>
      <w:r>
        <w:rPr>
          <w:rFonts w:ascii="Times New Roman" w:cs="Times New Roman" w:eastAsia="Times New Roman" w:hAnsi="Times New Roman"/>
          <w:sz w:val="11"/>
          <w:szCs w:val="11"/>
          <w:color w:val="auto"/>
        </w:rPr>
        <w:t>In October 2023, Nokia announced operational changes to help the company execute more quickly on its strategy. As part of that announcement, CNS made the decision to integrate Core Networks and Business Applications into three new units: Product &amp; Engineering, Services &amp; Care, and Emerging Technologies. Those changes took effect 1 January 2024. The Cloud &amp; Cognitive Services, Enterprise Campus Edge Solutions, and Network Monetization Platform units were not impacted by</w:t>
      </w:r>
    </w:p>
    <w:p>
      <w:pPr>
        <w:spacing w:after="0" w:line="1" w:lineRule="exact"/>
        <w:rPr>
          <w:sz w:val="20"/>
          <w:szCs w:val="20"/>
          <w:color w:val="auto"/>
        </w:rPr>
      </w:pPr>
    </w:p>
    <w:p>
      <w:pPr>
        <w:spacing w:after="0"/>
        <w:tabs>
          <w:tab w:leader="none" w:pos="1300" w:val="left"/>
        </w:tabs>
        <w:rPr>
          <w:sz w:val="20"/>
          <w:szCs w:val="20"/>
          <w:color w:val="auto"/>
        </w:rPr>
      </w:pPr>
      <w:r>
        <w:rPr>
          <w:rFonts w:ascii="Times New Roman" w:cs="Times New Roman" w:eastAsia="Times New Roman" w:hAnsi="Times New Roman"/>
          <w:sz w:val="11"/>
          <w:szCs w:val="11"/>
          <w:color w:val="auto"/>
        </w:rPr>
        <w:t>the organizational changes</w:t>
        <w:tab/>
        <w:t>.</w:t>
      </w:r>
    </w:p>
    <w:p>
      <w:pPr>
        <w:spacing w:after="0" w:line="84" w:lineRule="exact"/>
        <w:rPr>
          <w:sz w:val="20"/>
          <w:szCs w:val="20"/>
          <w:color w:val="auto"/>
        </w:rPr>
      </w:pPr>
    </w:p>
    <w:p>
      <w:pPr>
        <w:ind w:right="640"/>
        <w:spacing w:after="0" w:line="279" w:lineRule="auto"/>
        <w:rPr>
          <w:sz w:val="20"/>
          <w:szCs w:val="20"/>
          <w:color w:val="auto"/>
        </w:rPr>
      </w:pPr>
      <w:r>
        <w:rPr>
          <w:rFonts w:ascii="Times New Roman" w:cs="Times New Roman" w:eastAsia="Times New Roman" w:hAnsi="Times New Roman"/>
          <w:sz w:val="11"/>
          <w:szCs w:val="11"/>
          <w:color w:val="auto"/>
        </w:rPr>
        <w:t>Our growing Software-as-a-Service (SaaS) delivery model supports each unit to help customers transition to greater network flexibility and achieve faster time to value.</w:t>
      </w:r>
    </w:p>
    <w:p>
      <w:pPr>
        <w:spacing w:after="0" w:line="54" w:lineRule="exact"/>
        <w:rPr>
          <w:sz w:val="20"/>
          <w:szCs w:val="20"/>
          <w:color w:val="auto"/>
        </w:rPr>
      </w:pPr>
    </w:p>
    <w:p>
      <w:pPr>
        <w:ind w:right="420"/>
        <w:spacing w:after="0" w:line="265" w:lineRule="auto"/>
        <w:rPr>
          <w:sz w:val="20"/>
          <w:szCs w:val="20"/>
          <w:color w:val="auto"/>
        </w:rPr>
      </w:pPr>
      <w:r>
        <w:rPr>
          <w:rFonts w:ascii="Times New Roman" w:cs="Times New Roman" w:eastAsia="Times New Roman" w:hAnsi="Times New Roman"/>
          <w:sz w:val="11"/>
          <w:szCs w:val="11"/>
          <w:color w:val="auto"/>
        </w:rPr>
        <w:t>The Network Monetization Platform unit introduced another critical ecosystem enabler in September 2023 with our Network</w:t>
      </w:r>
    </w:p>
    <w:p>
      <w:pPr>
        <w:ind w:right="480"/>
        <w:spacing w:after="0" w:line="259" w:lineRule="auto"/>
        <w:rPr>
          <w:sz w:val="20"/>
          <w:szCs w:val="20"/>
          <w:color w:val="auto"/>
        </w:rPr>
      </w:pPr>
      <w:r>
        <w:rPr>
          <w:rFonts w:ascii="Times New Roman" w:cs="Times New Roman" w:eastAsia="Times New Roman" w:hAnsi="Times New Roman"/>
          <w:sz w:val="11"/>
          <w:szCs w:val="11"/>
          <w:color w:val="auto"/>
        </w:rPr>
        <w:t>as Code platform that allows application developers and CSPs to accelerate the work of producing software applications for</w:t>
      </w:r>
    </w:p>
    <w:p>
      <w:pPr>
        <w:spacing w:after="0"/>
        <w:tabs>
          <w:tab w:leader="none" w:pos="1300" w:val="left"/>
        </w:tabs>
        <w:rPr>
          <w:sz w:val="20"/>
          <w:szCs w:val="20"/>
          <w:color w:val="auto"/>
        </w:rPr>
      </w:pPr>
      <w:r>
        <w:rPr>
          <w:rFonts w:ascii="Times New Roman" w:cs="Times New Roman" w:eastAsia="Times New Roman" w:hAnsi="Times New Roman"/>
          <w:sz w:val="11"/>
          <w:szCs w:val="11"/>
          <w:color w:val="auto"/>
        </w:rPr>
        <w:t>new enterprise, industrial</w:t>
        <w:tab/>
        <w:t>and consumer use cases, and</w:t>
      </w:r>
    </w:p>
    <w:p>
      <w:pPr>
        <w:spacing w:after="0" w:line="15" w:lineRule="exact"/>
        <w:rPr>
          <w:sz w:val="20"/>
          <w:szCs w:val="20"/>
          <w:color w:val="auto"/>
        </w:rPr>
      </w:pPr>
    </w:p>
    <w:p>
      <w:pPr>
        <w:spacing w:after="0"/>
        <w:tabs>
          <w:tab w:leader="none" w:pos="3180" w:val="left"/>
        </w:tabs>
        <w:rPr>
          <w:sz w:val="20"/>
          <w:szCs w:val="20"/>
          <w:color w:val="auto"/>
        </w:rPr>
      </w:pPr>
      <w:r>
        <w:rPr>
          <w:rFonts w:ascii="Times New Roman" w:cs="Times New Roman" w:eastAsia="Times New Roman" w:hAnsi="Times New Roman"/>
          <w:sz w:val="11"/>
          <w:szCs w:val="11"/>
          <w:color w:val="auto"/>
        </w:rPr>
        <w:t>monetizing 5G and 4G network assets beyond basic connectivity</w:t>
      </w:r>
      <w:r>
        <w:rPr>
          <w:sz w:val="20"/>
          <w:szCs w:val="20"/>
          <w:color w:val="auto"/>
        </w:rPr>
        <w:tab/>
      </w:r>
      <w:r>
        <w:rPr>
          <w:rFonts w:ascii="Times New Roman" w:cs="Times New Roman" w:eastAsia="Times New Roman" w:hAnsi="Times New Roman"/>
          <w:sz w:val="11"/>
          <w:szCs w:val="11"/>
          <w:color w:val="auto"/>
        </w:rPr>
        <w:t>.</w:t>
      </w:r>
    </w:p>
    <w:p>
      <w:pPr>
        <w:sectPr>
          <w:pgSz w:w="11900" w:h="16838" w:orient="portrait"/>
          <w:cols w:equalWidth="0" w:num="3">
            <w:col w:w="2900" w:space="500"/>
            <w:col w:w="3040" w:space="360"/>
            <w:col w:w="3340"/>
          </w:cols>
          <w:pgMar w:left="960" w:top="409" w:right="799" w:bottom="1440" w:gutter="0" w:footer="0" w:header="0"/>
          <w:type w:val="continuous"/>
        </w:sectPr>
      </w:pPr>
    </w:p>
    <w:bookmarkStart w:id="35" w:name="page36"/>
    <w:bookmarkEnd w:id="35"/>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28</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Business groups 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ind w:right="320"/>
        <w:spacing w:after="0" w:line="269" w:lineRule="auto"/>
        <w:rPr>
          <w:sz w:val="20"/>
          <w:szCs w:val="20"/>
          <w:color w:val="auto"/>
        </w:rPr>
      </w:pPr>
      <w:r>
        <w:rPr>
          <w:rFonts w:ascii="Times New Roman" w:cs="Times New Roman" w:eastAsia="Times New Roman" w:hAnsi="Times New Roman"/>
          <w:sz w:val="11"/>
          <w:szCs w:val="11"/>
          <w:color w:val="auto"/>
        </w:rPr>
        <w:t>During the year, we made solid progress actively managing our portfolio, with announcements to divest Nokia’s VitalQIP products to Cygna Labs Corp; to make Red Hat the primary infrastructure platform for Nokia Core Network applications; and to sell Nokia’s Device Management and Service Management Platform businesses to Lumine Group Inc.</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7D33F2"/>
        </w:rPr>
        <w:t>Competition</w:t>
      </w:r>
    </w:p>
    <w:p>
      <w:pPr>
        <w:spacing w:after="0" w:line="36"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The market in which we compete has vendors and other industry participants which may on occasion be a customer, a partner , or a direct competitor, depending on the nature of the engagement. We are regularly building and nurturing alliances with partners such as IT vendors, hyperscalers, and systems integrators, which are increasingly influential in this space.</w:t>
      </w:r>
    </w:p>
    <w:p>
      <w:pPr>
        <w:spacing w:after="0" w:line="60"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1"/>
          <w:szCs w:val="11"/>
          <w:color w:val="auto"/>
        </w:rPr>
        <w:t>The competitive environment comprises many networking companies, infrastructure and application software suppliers, services specialists, hyperscalers, cloud providers, and a wide range of industry segment businesses.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Nokia was ranked #1 again by Omdia for our Core</w:t>
      </w:r>
    </w:p>
    <w:p>
      <w:pPr>
        <w:spacing w:after="0" w:line="229" w:lineRule="auto"/>
        <w:tabs>
          <w:tab w:leader="none" w:pos="2420" w:val="left"/>
        </w:tabs>
        <w:rPr>
          <w:sz w:val="20"/>
          <w:szCs w:val="20"/>
          <w:color w:val="auto"/>
        </w:rPr>
      </w:pPr>
      <w:r>
        <w:rPr>
          <w:rFonts w:ascii="Times New Roman" w:cs="Times New Roman" w:eastAsia="Times New Roman" w:hAnsi="Times New Roman"/>
          <w:sz w:val="11"/>
          <w:szCs w:val="11"/>
          <w:color w:val="auto"/>
        </w:rPr>
        <w:t>portfolio breadth and competitiveness strength</w:t>
      </w:r>
      <w:r>
        <w:rPr>
          <w:sz w:val="20"/>
          <w:szCs w:val="20"/>
          <w:color w:val="auto"/>
        </w:rPr>
        <w:tab/>
      </w: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0"/>
          <w:szCs w:val="10"/>
          <w:color w:val="auto"/>
        </w:rPr>
        <w:t>; rated #1</w:t>
      </w:r>
    </w:p>
    <w:p>
      <w:pPr>
        <w:spacing w:after="0" w:line="211" w:lineRule="auto"/>
        <w:tabs>
          <w:tab w:leader="none" w:pos="2480" w:val="left"/>
        </w:tabs>
        <w:rPr>
          <w:sz w:val="20"/>
          <w:szCs w:val="20"/>
          <w:color w:val="auto"/>
        </w:rPr>
      </w:pPr>
      <w:r>
        <w:rPr>
          <w:rFonts w:ascii="Times New Roman" w:cs="Times New Roman" w:eastAsia="Times New Roman" w:hAnsi="Times New Roman"/>
          <w:sz w:val="11"/>
          <w:szCs w:val="11"/>
          <w:color w:val="auto"/>
        </w:rPr>
        <w:t>again in automated assurance by Analysys Mason</w:t>
      </w:r>
      <w:r>
        <w:rPr>
          <w:sz w:val="20"/>
          <w:szCs w:val="20"/>
          <w:color w:val="auto"/>
        </w:rPr>
        <w:tab/>
      </w:r>
      <w:r>
        <w:rPr>
          <w:rFonts w:ascii="Times New Roman" w:cs="Times New Roman" w:eastAsia="Times New Roman" w:hAnsi="Times New Roman"/>
          <w:sz w:val="14"/>
          <w:szCs w:val="14"/>
          <w:color w:val="auto"/>
          <w:vertAlign w:val="superscript"/>
        </w:rPr>
        <w:t>(2)</w:t>
      </w:r>
      <w:r>
        <w:rPr>
          <w:rFonts w:ascii="Times New Roman" w:cs="Times New Roman" w:eastAsia="Times New Roman" w:hAnsi="Times New Roman"/>
          <w:sz w:val="10"/>
          <w:szCs w:val="10"/>
          <w:color w:val="auto"/>
        </w:rPr>
        <w:t>; rated #1 in</w:t>
      </w:r>
    </w:p>
    <w:p>
      <w:pPr>
        <w:spacing w:after="0" w:line="235" w:lineRule="auto"/>
        <w:tabs>
          <w:tab w:leader="none" w:pos="2700" w:val="left"/>
        </w:tabs>
        <w:rPr>
          <w:sz w:val="20"/>
          <w:szCs w:val="20"/>
          <w:color w:val="auto"/>
        </w:rPr>
      </w:pPr>
      <w:r>
        <w:rPr>
          <w:rFonts w:ascii="Times New Roman" w:cs="Times New Roman" w:eastAsia="Times New Roman" w:hAnsi="Times New Roman"/>
          <w:sz w:val="11"/>
          <w:szCs w:val="11"/>
          <w:color w:val="auto"/>
        </w:rPr>
        <w:t>network automation software by Appledore Research</w:t>
      </w:r>
      <w:r>
        <w:rPr>
          <w:sz w:val="20"/>
          <w:szCs w:val="20"/>
          <w:color w:val="auto"/>
        </w:rPr>
        <w:tab/>
      </w:r>
      <w:r>
        <w:rPr>
          <w:rFonts w:ascii="Times New Roman" w:cs="Times New Roman" w:eastAsia="Times New Roman" w:hAnsi="Times New Roman"/>
          <w:sz w:val="13"/>
          <w:szCs w:val="13"/>
          <w:color w:val="auto"/>
          <w:vertAlign w:val="superscript"/>
        </w:rPr>
        <w:t>(3)</w:t>
      </w:r>
      <w:r>
        <w:rPr>
          <w:rFonts w:ascii="Times New Roman" w:cs="Times New Roman" w:eastAsia="Times New Roman" w:hAnsi="Times New Roman"/>
          <w:sz w:val="10"/>
          <w:szCs w:val="10"/>
          <w:color w:val="auto"/>
        </w:rPr>
        <w:t>; rated</w:t>
      </w:r>
    </w:p>
    <w:p>
      <w:pPr>
        <w:ind w:right="220"/>
        <w:spacing w:after="0" w:line="242" w:lineRule="auto"/>
        <w:rPr>
          <w:sz w:val="20"/>
          <w:szCs w:val="20"/>
          <w:color w:val="auto"/>
        </w:rPr>
      </w:pPr>
      <w:r>
        <w:rPr>
          <w:rFonts w:ascii="Times New Roman" w:cs="Times New Roman" w:eastAsia="Times New Roman" w:hAnsi="Times New Roman"/>
          <w:sz w:val="11"/>
          <w:szCs w:val="11"/>
          <w:color w:val="auto"/>
        </w:rPr>
        <w:t xml:space="preserve">by Kaleido Intelligence as the #1 Champion in Private Network Hardware, Private Network Software, and Private Network Management </w:t>
      </w:r>
      <w:r>
        <w:rPr>
          <w:rFonts w:ascii="Times New Roman" w:cs="Times New Roman" w:eastAsia="Times New Roman" w:hAnsi="Times New Roman"/>
          <w:sz w:val="14"/>
          <w:szCs w:val="14"/>
          <w:color w:val="auto"/>
          <w:vertAlign w:val="superscript"/>
        </w:rPr>
        <w:t>(4)</w:t>
      </w:r>
      <w:r>
        <w:rPr>
          <w:rFonts w:ascii="Times New Roman" w:cs="Times New Roman" w:eastAsia="Times New Roman" w:hAnsi="Times New Roman"/>
          <w:sz w:val="11"/>
          <w:szCs w:val="11"/>
          <w:color w:val="auto"/>
        </w:rPr>
        <w:t xml:space="preserve">; rated as a leader in service orchestration by GlobalData </w:t>
      </w:r>
      <w:r>
        <w:rPr>
          <w:rFonts w:ascii="Times New Roman" w:cs="Times New Roman" w:eastAsia="Times New Roman" w:hAnsi="Times New Roman"/>
          <w:sz w:val="14"/>
          <w:szCs w:val="14"/>
          <w:color w:val="auto"/>
          <w:vertAlign w:val="superscript"/>
        </w:rPr>
        <w:t>(5)</w:t>
      </w:r>
      <w:r>
        <w:rPr>
          <w:rFonts w:ascii="Times New Roman" w:cs="Times New Roman" w:eastAsia="Times New Roman" w:hAnsi="Times New Roman"/>
          <w:sz w:val="11"/>
          <w:szCs w:val="11"/>
          <w:color w:val="auto"/>
        </w:rPr>
        <w:t xml:space="preserve">; and ranked as an industry leader in network security by GigaOm for our extended detection response market (XDR) security platform </w:t>
      </w:r>
      <w:r>
        <w:rPr>
          <w:rFonts w:ascii="Times New Roman" w:cs="Times New Roman" w:eastAsia="Times New Roman" w:hAnsi="Times New Roman"/>
          <w:sz w:val="14"/>
          <w:szCs w:val="14"/>
          <w:color w:val="auto"/>
          <w:vertAlign w:val="superscript"/>
        </w:rPr>
        <w:t>(6)</w:t>
      </w:r>
      <w:r>
        <w:rPr>
          <w:rFonts w:ascii="Times New Roman" w:cs="Times New Roman" w:eastAsia="Times New Roman" w:hAnsi="Times New Roman"/>
          <w:sz w:val="11"/>
          <w:szCs w:val="11"/>
          <w:color w:val="auto"/>
        </w:rPr>
        <w:t>.</w:t>
      </w:r>
    </w:p>
    <w:p>
      <w:pPr>
        <w:spacing w:after="0" w:line="18" w:lineRule="exact"/>
        <w:rPr>
          <w:sz w:val="20"/>
          <w:szCs w:val="20"/>
          <w:color w:val="auto"/>
        </w:rPr>
      </w:pPr>
    </w:p>
    <w:p>
      <w:pPr>
        <w:ind w:right="440"/>
        <w:spacing w:after="0" w:line="309" w:lineRule="auto"/>
        <w:rPr>
          <w:sz w:val="20"/>
          <w:szCs w:val="20"/>
          <w:color w:val="auto"/>
        </w:rPr>
      </w:pPr>
      <w:r>
        <w:rPr>
          <w:rFonts w:ascii="Times New Roman" w:cs="Times New Roman" w:eastAsia="Times New Roman" w:hAnsi="Times New Roman"/>
          <w:sz w:val="11"/>
          <w:szCs w:val="11"/>
          <w:color w:val="auto"/>
        </w:rPr>
        <w:t>Nokia had the most CSP customers of 5G Standalone Core in the industry, with a total of 107 at the end of 2023.</w:t>
      </w:r>
    </w:p>
    <w:p>
      <w:pPr>
        <w:spacing w:after="0" w:line="28" w:lineRule="exact"/>
        <w:rPr>
          <w:sz w:val="20"/>
          <w:szCs w:val="20"/>
          <w:color w:val="auto"/>
        </w:rPr>
      </w:pPr>
    </w:p>
    <w:p>
      <w:pPr>
        <w:ind w:right="260"/>
        <w:spacing w:after="0" w:line="309" w:lineRule="auto"/>
        <w:rPr>
          <w:sz w:val="20"/>
          <w:szCs w:val="20"/>
          <w:color w:val="auto"/>
        </w:rPr>
      </w:pPr>
      <w:r>
        <w:rPr>
          <w:rFonts w:ascii="Times New Roman" w:cs="Times New Roman" w:eastAsia="Times New Roman" w:hAnsi="Times New Roman"/>
          <w:sz w:val="11"/>
          <w:szCs w:val="11"/>
          <w:color w:val="auto"/>
        </w:rPr>
        <w:t>We continued t o have marketplace leadership i n private wireless networking with 710 customers; of which 159 are 5G.</w:t>
      </w:r>
    </w:p>
    <w:p>
      <w:pPr>
        <w:spacing w:after="0" w:line="42" w:lineRule="exact"/>
        <w:rPr>
          <w:sz w:val="20"/>
          <w:szCs w:val="20"/>
          <w:color w:val="auto"/>
        </w:rPr>
      </w:pPr>
    </w:p>
    <w:p>
      <w:pPr>
        <w:ind w:left="200" w:hanging="199"/>
        <w:spacing w:after="0"/>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Omdia Market Landscape: Core 2023, June 2023.</w:t>
      </w:r>
    </w:p>
    <w:p>
      <w:pPr>
        <w:spacing w:after="0" w:line="19" w:lineRule="exact"/>
        <w:rPr>
          <w:rFonts w:ascii="Times New Roman" w:cs="Times New Roman" w:eastAsia="Times New Roman" w:hAnsi="Times New Roman"/>
          <w:sz w:val="8"/>
          <w:szCs w:val="8"/>
          <w:color w:val="auto"/>
        </w:rPr>
      </w:pPr>
    </w:p>
    <w:p>
      <w:pPr>
        <w:ind w:left="200" w:right="240" w:hanging="199"/>
        <w:spacing w:after="0" w:line="261" w:lineRule="auto"/>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Analysys Mason, Automated assurance: worldwide market shares 2022, September 2023.</w:t>
      </w:r>
    </w:p>
    <w:p>
      <w:pPr>
        <w:ind w:left="200" w:hanging="199"/>
        <w:spacing w:after="0"/>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Appledore Research, Leading Suppliers in Network Automation Software, June 2023</w:t>
      </w:r>
    </w:p>
    <w:p>
      <w:pPr>
        <w:spacing w:after="0" w:line="4" w:lineRule="exact"/>
        <w:rPr>
          <w:rFonts w:ascii="Times New Roman" w:cs="Times New Roman" w:eastAsia="Times New Roman" w:hAnsi="Times New Roman"/>
          <w:sz w:val="8"/>
          <w:szCs w:val="8"/>
          <w:color w:val="auto"/>
        </w:rPr>
      </w:pPr>
    </w:p>
    <w:p>
      <w:pPr>
        <w:ind w:left="200" w:right="220" w:hanging="199"/>
        <w:spacing w:after="0" w:line="257" w:lineRule="auto"/>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Kaleido Intelligence, Connectivity Vendor Hub: Private Networks 2023, 24 October, 2023.</w:t>
      </w:r>
    </w:p>
    <w:p>
      <w:pPr>
        <w:ind w:left="200" w:right="300" w:hanging="199"/>
        <w:spacing w:after="0" w:line="250" w:lineRule="auto"/>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GlobalData, Network Service Orchestration: Competitive Landscape Assessment, August 2023.</w:t>
      </w:r>
    </w:p>
    <w:p>
      <w:pPr>
        <w:ind w:left="200" w:hanging="199"/>
        <w:spacing w:after="0"/>
        <w:tabs>
          <w:tab w:leader="none" w:pos="200" w:val="left"/>
        </w:tabs>
        <w:numPr>
          <w:ilvl w:val="0"/>
          <w:numId w:val="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GigaOM, GigaOm Radar for Extended Detection and Response (XDR), April 2023.</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ind w:right="4660"/>
        <w:spacing w:after="0" w:line="262" w:lineRule="auto"/>
        <w:rPr>
          <w:sz w:val="20"/>
          <w:szCs w:val="20"/>
          <w:color w:val="auto"/>
        </w:rPr>
      </w:pPr>
      <w:r>
        <w:rPr>
          <w:rFonts w:ascii="Times New Roman" w:cs="Times New Roman" w:eastAsia="Times New Roman" w:hAnsi="Times New Roman"/>
          <w:sz w:val="11"/>
          <w:szCs w:val="11"/>
          <w:color w:val="auto"/>
        </w:rPr>
        <w:t>Nokia had the most CSP customers of 5G Standalone Core in the industry, with</w:t>
      </w:r>
    </w:p>
    <w:p>
      <w:pPr>
        <w:spacing w:after="0" w:line="206" w:lineRule="auto"/>
        <w:rPr>
          <w:sz w:val="20"/>
          <w:szCs w:val="20"/>
          <w:color w:val="auto"/>
        </w:rPr>
      </w:pPr>
      <w:r>
        <w:rPr>
          <w:rFonts w:ascii="Times New Roman" w:cs="Times New Roman" w:eastAsia="Times New Roman" w:hAnsi="Times New Roman"/>
          <w:sz w:val="50"/>
          <w:szCs w:val="50"/>
          <w:color w:val="005AFF"/>
        </w:rPr>
        <w:t>107</w:t>
      </w:r>
    </w:p>
    <w:p>
      <w:pPr>
        <w:spacing w:after="0" w:line="1" w:lineRule="exact"/>
        <w:rPr>
          <w:sz w:val="20"/>
          <w:szCs w:val="20"/>
          <w:color w:val="auto"/>
        </w:rPr>
      </w:pPr>
    </w:p>
    <w:p>
      <w:pPr>
        <w:spacing w:after="0"/>
        <w:tabs>
          <w:tab w:leader="none" w:pos="680" w:val="left"/>
        </w:tabs>
        <w:rPr>
          <w:sz w:val="20"/>
          <w:szCs w:val="20"/>
          <w:color w:val="auto"/>
        </w:rPr>
      </w:pPr>
      <w:r>
        <w:rPr>
          <w:rFonts w:ascii="Times New Roman" w:cs="Times New Roman" w:eastAsia="Times New Roman" w:hAnsi="Times New Roman"/>
          <w:sz w:val="11"/>
          <w:szCs w:val="11"/>
          <w:color w:val="auto"/>
        </w:rPr>
        <w:t>at the end of</w:t>
        <w:tab/>
        <w:t>2023</w:t>
      </w:r>
    </w:p>
    <w:p>
      <w:pPr>
        <w:spacing w:after="0" w:line="124" w:lineRule="exact"/>
        <w:rPr>
          <w:sz w:val="20"/>
          <w:szCs w:val="20"/>
          <w:color w:val="auto"/>
        </w:rPr>
      </w:pPr>
    </w:p>
    <w:p>
      <w:pPr>
        <w:ind w:right="4460"/>
        <w:spacing w:after="0" w:line="262" w:lineRule="auto"/>
        <w:rPr>
          <w:sz w:val="20"/>
          <w:szCs w:val="20"/>
          <w:color w:val="auto"/>
        </w:rPr>
      </w:pPr>
      <w:r>
        <w:rPr>
          <w:rFonts w:ascii="Times New Roman" w:cs="Times New Roman" w:eastAsia="Times New Roman" w:hAnsi="Times New Roman"/>
          <w:sz w:val="11"/>
          <w:szCs w:val="11"/>
          <w:color w:val="auto"/>
        </w:rPr>
        <w:t>We continued to have marketplace leadership in private wireless networking with more than</w:t>
      </w:r>
    </w:p>
    <w:p>
      <w:pPr>
        <w:spacing w:after="0" w:line="206" w:lineRule="auto"/>
        <w:rPr>
          <w:sz w:val="20"/>
          <w:szCs w:val="20"/>
          <w:color w:val="auto"/>
        </w:rPr>
      </w:pPr>
      <w:r>
        <w:rPr>
          <w:rFonts w:ascii="Times New Roman" w:cs="Times New Roman" w:eastAsia="Times New Roman" w:hAnsi="Times New Roman"/>
          <w:sz w:val="50"/>
          <w:szCs w:val="50"/>
          <w:color w:val="005AFF"/>
        </w:rPr>
        <w:t>710</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customers; of which</w:t>
      </w:r>
    </w:p>
    <w:p>
      <w:pPr>
        <w:spacing w:after="0" w:line="208" w:lineRule="auto"/>
        <w:rPr>
          <w:sz w:val="20"/>
          <w:szCs w:val="20"/>
          <w:color w:val="auto"/>
        </w:rPr>
      </w:pPr>
      <w:r>
        <w:rPr>
          <w:rFonts w:ascii="Times New Roman" w:cs="Times New Roman" w:eastAsia="Times New Roman" w:hAnsi="Times New Roman"/>
          <w:sz w:val="50"/>
          <w:szCs w:val="50"/>
          <w:color w:val="005AFF"/>
        </w:rPr>
        <w:t>159</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are 5G</w:t>
      </w:r>
    </w:p>
    <w:p>
      <w:pPr>
        <w:spacing w:after="0" w:line="3381" w:lineRule="exact"/>
        <w:rPr>
          <w:sz w:val="20"/>
          <w:szCs w:val="20"/>
          <w:color w:val="auto"/>
        </w:rPr>
      </w:pPr>
    </w:p>
    <w:p>
      <w:pPr>
        <w:sectPr>
          <w:pgSz w:w="11900" w:h="16838" w:orient="portrait"/>
          <w:cols w:equalWidth="0" w:num="2">
            <w:col w:w="3140" w:space="260"/>
            <w:col w:w="6580"/>
          </w:cols>
          <w:pgMar w:left="960" w:top="409"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2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36" w:name="page37"/>
    <w:bookmarkEnd w:id="36"/>
    <w:p>
      <w:pPr>
        <w:ind w:left="20"/>
        <w:spacing w:after="0"/>
        <w:tabs>
          <w:tab w:leader="none" w:pos="900" w:val="left"/>
          <w:tab w:leader="none" w:pos="1920" w:val="left"/>
          <w:tab w:leader="none" w:pos="3380" w:val="left"/>
          <w:tab w:leader="none" w:pos="4460" w:val="left"/>
          <w:tab w:leader="none" w:pos="5480" w:val="left"/>
        </w:tabs>
        <w:rPr>
          <w:sz w:val="20"/>
          <w:szCs w:val="20"/>
          <w:color w:val="auto"/>
        </w:rPr>
      </w:pPr>
      <w:r>
        <w:rPr>
          <w:rFonts w:ascii="Times New Roman" w:cs="Times New Roman" w:eastAsia="Times New Roman" w:hAnsi="Times New Roman"/>
          <w:sz w:val="9"/>
          <w:szCs w:val="9"/>
          <w:color w:val="FFFFFF"/>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r>
        <w:rPr>
          <w:sz w:val="20"/>
          <w:szCs w:val="20"/>
          <w:color w:val="auto"/>
        </w:rPr>
        <w:tab/>
      </w: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18" w:lineRule="exact"/>
        <w:rPr>
          <w:sz w:val="20"/>
          <w:szCs w:val="20"/>
          <w:color w:val="auto"/>
        </w:rPr>
      </w:pPr>
    </w:p>
    <w:p>
      <w:pPr>
        <w:ind w:left="20"/>
        <w:spacing w:after="0"/>
        <w:tabs>
          <w:tab w:leader="none" w:pos="900" w:val="left"/>
          <w:tab w:leader="none" w:pos="1920" w:val="left"/>
          <w:tab w:leader="none" w:pos="3380" w:val="left"/>
          <w:tab w:leader="none" w:pos="4460" w:val="left"/>
          <w:tab w:leader="none" w:pos="548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r>
        <w:rPr>
          <w:sz w:val="20"/>
          <w:szCs w:val="20"/>
          <w:color w:val="auto"/>
        </w:rPr>
        <w:tab/>
      </w: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Business groups continued</w:t>
      </w:r>
    </w:p>
    <w:p>
      <w:pPr>
        <w:spacing w:after="0" w:line="251"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FFFFFF"/>
        </w:rPr>
        <w:t>Nokia</w:t>
      </w:r>
    </w:p>
    <w:p>
      <w:pPr>
        <w:spacing w:after="0"/>
        <w:rPr>
          <w:sz w:val="20"/>
          <w:szCs w:val="20"/>
          <w:color w:val="auto"/>
        </w:rPr>
      </w:pPr>
      <w:r>
        <w:rPr>
          <w:rFonts w:ascii="Times New Roman" w:cs="Times New Roman" w:eastAsia="Times New Roman" w:hAnsi="Times New Roman"/>
          <w:sz w:val="46"/>
          <w:szCs w:val="46"/>
          <w:color w:val="FFFFFF"/>
        </w:rPr>
        <w:t>Technologies</w:t>
      </w:r>
    </w:p>
    <w:p>
      <w:pPr>
        <w:spacing w:after="0" w:line="9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Nokia Technologies is responsible for managing</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Nokia’s patent portfolio and monetizing Nokia’s</w:t>
      </w:r>
    </w:p>
    <w:p>
      <w:pPr>
        <w:spacing w:after="0" w:line="1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intellectual property, including patents, technologies</w:t>
      </w:r>
    </w:p>
    <w:p>
      <w:pPr>
        <w:spacing w:after="0" w:line="1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and the Nokia brand.</w:t>
      </w:r>
    </w:p>
    <w:p>
      <w:pPr>
        <w:spacing w:after="0" w:line="370" w:lineRule="exact"/>
        <w:rPr>
          <w:sz w:val="20"/>
          <w:szCs w:val="20"/>
          <w:color w:val="auto"/>
        </w:rPr>
      </w:pPr>
    </w:p>
    <w:p>
      <w:pPr>
        <w:ind w:left="3420"/>
        <w:spacing w:after="0" w:line="191" w:lineRule="exact"/>
        <w:rPr>
          <w:sz w:val="20"/>
          <w:szCs w:val="20"/>
          <w:color w:val="auto"/>
        </w:rPr>
      </w:pPr>
      <w:r>
        <w:rPr>
          <w:rFonts w:ascii="MS PGothic" w:cs="MS PGothic" w:eastAsia="MS PGothic" w:hAnsi="MS PGothic"/>
          <w:sz w:val="19"/>
          <w:szCs w:val="19"/>
          <w:color w:val="auto"/>
          <w:shd w:val="clear" w:color="auto" w:fill="005AFF"/>
        </w:rPr>
        <w:t>↗</w:t>
      </w:r>
    </w:p>
    <w:p>
      <w:pPr>
        <w:spacing w:after="0" w:line="56" w:lineRule="exact"/>
        <w:rPr>
          <w:sz w:val="20"/>
          <w:szCs w:val="20"/>
          <w:color w:val="auto"/>
        </w:rPr>
      </w:pPr>
    </w:p>
    <w:p>
      <w:pPr>
        <w:ind w:left="3420"/>
        <w:spacing w:after="0"/>
        <w:rPr>
          <w:sz w:val="20"/>
          <w:szCs w:val="20"/>
          <w:color w:val="auto"/>
        </w:rPr>
      </w:pPr>
      <w:r>
        <w:rPr>
          <w:rFonts w:ascii="Times New Roman" w:cs="Times New Roman" w:eastAsia="Times New Roman" w:hAnsi="Times New Roman"/>
          <w:sz w:val="9"/>
          <w:szCs w:val="9"/>
          <w:color w:val="005AFF"/>
        </w:rPr>
        <w:t>JENNI LUKANDER</w:t>
      </w:r>
    </w:p>
    <w:p>
      <w:pPr>
        <w:spacing w:after="0" w:line="8" w:lineRule="exact"/>
        <w:rPr>
          <w:sz w:val="20"/>
          <w:szCs w:val="20"/>
          <w:color w:val="auto"/>
        </w:rPr>
      </w:pPr>
    </w:p>
    <w:p>
      <w:pPr>
        <w:ind w:left="3420"/>
        <w:spacing w:after="0"/>
        <w:rPr>
          <w:sz w:val="20"/>
          <w:szCs w:val="20"/>
          <w:color w:val="auto"/>
        </w:rPr>
      </w:pPr>
      <w:r>
        <w:rPr>
          <w:rFonts w:ascii="Times New Roman" w:cs="Times New Roman" w:eastAsia="Times New Roman" w:hAnsi="Times New Roman"/>
          <w:sz w:val="9"/>
          <w:szCs w:val="9"/>
          <w:color w:val="005AFF"/>
        </w:rPr>
        <w:t>PRESIDENT, NOKIA TECHNOLOGIES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29</w:t>
      </w:r>
    </w:p>
    <w:p>
      <w:pPr>
        <w:spacing w:after="0" w:line="200" w:lineRule="exact"/>
        <w:rPr>
          <w:sz w:val="20"/>
          <w:szCs w:val="20"/>
          <w:color w:val="auto"/>
        </w:rPr>
      </w:pPr>
    </w:p>
    <w:p>
      <w:pPr>
        <w:spacing w:after="0" w:line="200" w:lineRule="exact"/>
        <w:rPr>
          <w:sz w:val="20"/>
          <w:szCs w:val="20"/>
          <w:color w:val="auto"/>
        </w:rPr>
      </w:pPr>
    </w:p>
    <w:p>
      <w:pPr>
        <w:spacing w:after="0" w:line="363" w:lineRule="exact"/>
        <w:rPr>
          <w:sz w:val="20"/>
          <w:szCs w:val="20"/>
          <w:color w:val="auto"/>
        </w:rPr>
      </w:pPr>
    </w:p>
    <w:p>
      <w:pPr>
        <w:ind w:left="60" w:right="60" w:hanging="56"/>
        <w:spacing w:after="0"/>
        <w:rPr>
          <w:sz w:val="20"/>
          <w:szCs w:val="20"/>
          <w:color w:val="auto"/>
        </w:rPr>
      </w:pPr>
      <w:r>
        <w:rPr>
          <w:rFonts w:ascii="Times New Roman" w:cs="Times New Roman" w:eastAsia="Times New Roman" w:hAnsi="Times New Roman"/>
          <w:sz w:val="20"/>
          <w:szCs w:val="20"/>
          <w:color w:val="001135"/>
        </w:rPr>
        <w:t>“We are delighted to have signed new patent license agreements with Apple and Samsung this year. Together these provide long-term financial stability to our licensing business.”</w:t>
      </w:r>
    </w:p>
    <w:p>
      <w:pPr>
        <w:spacing w:after="0" w:line="1587" w:lineRule="exact"/>
        <w:rPr>
          <w:sz w:val="20"/>
          <w:szCs w:val="20"/>
          <w:color w:val="auto"/>
        </w:rPr>
      </w:pPr>
    </w:p>
    <w:p>
      <w:pPr>
        <w:sectPr>
          <w:pgSz w:w="11900" w:h="16838" w:orient="portrait"/>
          <w:cols w:equalWidth="0" w:num="2">
            <w:col w:w="6020" w:space="720"/>
            <w:col w:w="3240"/>
          </w:cols>
          <w:pgMar w:left="960" w:top="409" w:right="959" w:bottom="1440" w:gutter="0" w:footer="0" w:header="0"/>
        </w:sectPr>
      </w:pPr>
    </w:p>
    <w:p>
      <w:pPr>
        <w:spacing w:after="0" w:line="25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FFFFF"/>
        </w:rPr>
        <w:t>2023 in br ief</w:t>
      </w:r>
    </w:p>
    <w:p>
      <w:pPr>
        <w:spacing w:after="0" w:line="36" w:lineRule="exact"/>
        <w:rPr>
          <w:sz w:val="20"/>
          <w:szCs w:val="20"/>
          <w:color w:val="auto"/>
        </w:rPr>
      </w:pPr>
    </w:p>
    <w:p>
      <w:pPr>
        <w:spacing w:after="0" w:line="270" w:lineRule="auto"/>
        <w:rPr>
          <w:sz w:val="20"/>
          <w:szCs w:val="20"/>
          <w:color w:val="auto"/>
        </w:rPr>
      </w:pPr>
      <w:r>
        <w:rPr>
          <w:rFonts w:ascii="Times New Roman" w:cs="Times New Roman" w:eastAsia="Times New Roman" w:hAnsi="Times New Roman"/>
          <w:sz w:val="11"/>
          <w:szCs w:val="11"/>
          <w:color w:val="FFFFFF"/>
        </w:rPr>
        <w:t>Net sales for the full year decreased 32% to EUR 1 085 million and segment operating profit decreased 39% to</w:t>
      </w:r>
    </w:p>
    <w:p>
      <w:pPr>
        <w:ind w:right="260"/>
        <w:spacing w:after="0" w:line="277" w:lineRule="auto"/>
        <w:rPr>
          <w:sz w:val="20"/>
          <w:szCs w:val="20"/>
          <w:color w:val="auto"/>
        </w:rPr>
      </w:pPr>
      <w:r>
        <w:rPr>
          <w:rFonts w:ascii="Times New Roman" w:cs="Times New Roman" w:eastAsia="Times New Roman" w:hAnsi="Times New Roman"/>
          <w:sz w:val="11"/>
          <w:szCs w:val="11"/>
          <w:color w:val="FFFFFF"/>
        </w:rPr>
        <w:t>EUR 734 million. Significant progress was made with smartphone license renewals and expansion into growth areas:</w:t>
      </w:r>
    </w:p>
    <w:p>
      <w:pPr>
        <w:spacing w:after="0" w:line="46" w:lineRule="exact"/>
        <w:rPr>
          <w:sz w:val="20"/>
          <w:szCs w:val="20"/>
          <w:color w:val="auto"/>
        </w:rPr>
      </w:pPr>
    </w:p>
    <w:p>
      <w:pPr>
        <w:ind w:left="180" w:right="60" w:hanging="171"/>
        <w:spacing w:after="0" w:line="266" w:lineRule="auto"/>
        <w:tabs>
          <w:tab w:leader="none" w:pos="180" w:val="left"/>
        </w:tabs>
        <w:numPr>
          <w:ilvl w:val="0"/>
          <w:numId w:val="20"/>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Drove innovation, filing patents on over 2 300 new inventions, and reaching 6 000 patent families declared as essential to the 5G standard</w:t>
      </w:r>
    </w:p>
    <w:p>
      <w:pPr>
        <w:ind w:left="180" w:hanging="171"/>
        <w:spacing w:after="0"/>
        <w:tabs>
          <w:tab w:leader="none" w:pos="180" w:val="left"/>
        </w:tabs>
        <w:numPr>
          <w:ilvl w:val="0"/>
          <w:numId w:val="20"/>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Signed over 50 new patent license agreements including</w:t>
      </w:r>
    </w:p>
    <w:p>
      <w:pPr>
        <w:spacing w:after="0" w:line="20" w:lineRule="exact"/>
        <w:rPr>
          <w:sz w:val="20"/>
          <w:szCs w:val="20"/>
          <w:color w:val="auto"/>
        </w:rPr>
      </w:pPr>
      <w:r>
        <w:rPr>
          <w:sz w:val="20"/>
          <w:szCs w:val="20"/>
          <w:color w:val="auto"/>
        </w:rPr>
        <w:br w:type="column"/>
      </w:r>
    </w:p>
    <w:p>
      <w:pPr>
        <w:spacing w:after="0" w:line="24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23ABB6"/>
        </w:rPr>
        <w:t>Market overview</w:t>
      </w:r>
    </w:p>
    <w:p>
      <w:pPr>
        <w:spacing w:after="0" w:line="36"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Nokia Technologies is responsible for managing Nokia’s patent portfolio and monetizing Nokia’s intellectual property, encompassing patents, technologies and the Nokia brand. This effort builds on Nokia’s continued innovation leadership, long-term investment in research and development, and decades of driving technology standards development. Licensees pay royalty fees for the use of our technology, which we reinvest, a long with additional investment, into developing the next generation of inventions.</w:t>
      </w:r>
    </w:p>
    <w:p>
      <w:pPr>
        <w:spacing w:after="0" w:line="20" w:lineRule="exact"/>
        <w:rPr>
          <w:sz w:val="20"/>
          <w:szCs w:val="20"/>
          <w:color w:val="auto"/>
        </w:rPr>
      </w:pPr>
      <w:r>
        <w:rPr>
          <w:sz w:val="20"/>
          <w:szCs w:val="20"/>
          <w:color w:val="auto"/>
        </w:rPr>
        <w:br w:type="column"/>
      </w:r>
    </w:p>
    <w:p>
      <w:pPr>
        <w:spacing w:after="0" w:line="24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23ABB6"/>
        </w:rPr>
        <w:t>Business overview and organization</w:t>
      </w:r>
    </w:p>
    <w:p>
      <w:pPr>
        <w:spacing w:after="0" w:line="36"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1"/>
          <w:szCs w:val="11"/>
          <w:color w:val="auto"/>
        </w:rPr>
        <w:t>Nokia Technologies has three business areas: Patent Licensing of Nokia’s patent portfolio, Technology Licensing of Nokia’s technologies for integration into consumer devices, and Brand Partnerships for licensing the Nokia brand.</w:t>
      </w:r>
    </w:p>
    <w:p>
      <w:pPr>
        <w:spacing w:after="0" w:line="45" w:lineRule="exact"/>
        <w:rPr>
          <w:sz w:val="20"/>
          <w:szCs w:val="20"/>
          <w:color w:val="auto"/>
        </w:rPr>
      </w:pPr>
    </w:p>
    <w:p>
      <w:pPr>
        <w:ind w:right="400"/>
        <w:spacing w:after="0" w:line="266" w:lineRule="auto"/>
        <w:rPr>
          <w:sz w:val="20"/>
          <w:szCs w:val="20"/>
          <w:color w:val="auto"/>
        </w:rPr>
      </w:pPr>
      <w:r>
        <w:rPr>
          <w:rFonts w:ascii="Times New Roman" w:cs="Times New Roman" w:eastAsia="Times New Roman" w:hAnsi="Times New Roman"/>
          <w:sz w:val="11"/>
          <w:szCs w:val="11"/>
          <w:b w:val="1"/>
          <w:bCs w:val="1"/>
          <w:color w:val="auto"/>
        </w:rPr>
        <w:t xml:space="preserve">Patent Licensing </w:t>
      </w:r>
      <w:r>
        <w:rPr>
          <w:rFonts w:ascii="Times New Roman" w:cs="Times New Roman" w:eastAsia="Times New Roman" w:hAnsi="Times New Roman"/>
          <w:sz w:val="11"/>
          <w:szCs w:val="11"/>
          <w:color w:val="auto"/>
        </w:rPr>
        <w:t>: We manage the Nokia patent portfolio,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working with other Nokia business groups, and continue to grow our patent licensing and monetization activities, which drive most of Nokia Technologies’ net sales. The core of our business is the mobile devices licensing program, where we</w:t>
      </w:r>
    </w:p>
    <w:p>
      <w:pPr>
        <w:spacing w:after="0" w:line="1" w:lineRule="exact"/>
        <w:rPr>
          <w:sz w:val="20"/>
          <w:szCs w:val="20"/>
          <w:color w:val="auto"/>
        </w:rPr>
      </w:pPr>
    </w:p>
    <w:p>
      <w:pPr>
        <w:sectPr>
          <w:pgSz w:w="11900" w:h="16838" w:orient="portrait"/>
          <w:cols w:equalWidth="0" w:num="3">
            <w:col w:w="2760" w:space="640"/>
            <w:col w:w="2860" w:space="540"/>
            <w:col w:w="3180"/>
          </w:cols>
          <w:pgMar w:left="960" w:top="409" w:right="959" w:bottom="1440" w:gutter="0" w:footer="0" w:header="0"/>
          <w:type w:val="continuous"/>
        </w:sectPr>
      </w:pPr>
    </w:p>
    <w:tbl>
      <w:tblPr>
        <w:tblLayout w:type="fixed"/>
        <w:tblInd w:w="0" w:type="dxa"/>
        <w:tblCellMar>
          <w:top w:w="0" w:type="dxa"/>
          <w:left w:w="0" w:type="dxa"/>
          <w:bottom w:w="0" w:type="dxa"/>
          <w:right w:w="0" w:type="dxa"/>
        </w:tblCellMar>
      </w:tblPr>
      <w:tr>
        <w:trPr>
          <w:trHeight w:val="120"/>
        </w:trPr>
        <w:tc>
          <w:tcPr>
            <w:tcW w:w="2900" w:type="dxa"/>
            <w:vAlign w:val="bottom"/>
          </w:tcPr>
          <w:p>
            <w:pPr>
              <w:ind w:left="180"/>
              <w:spacing w:after="0" w:line="121" w:lineRule="exact"/>
              <w:rPr>
                <w:sz w:val="20"/>
                <w:szCs w:val="20"/>
                <w:color w:val="auto"/>
              </w:rPr>
            </w:pPr>
            <w:r>
              <w:rPr>
                <w:rFonts w:ascii="Times New Roman" w:cs="Times New Roman" w:eastAsia="Times New Roman" w:hAnsi="Times New Roman"/>
                <w:sz w:val="11"/>
                <w:szCs w:val="11"/>
                <w:color w:val="FFFFFF"/>
              </w:rPr>
              <w:t>new agreements with Apple and Samsung</w:t>
            </w:r>
          </w:p>
        </w:tc>
        <w:tc>
          <w:tcPr>
            <w:tcW w:w="320" w:type="dxa"/>
            <w:vAlign w:val="bottom"/>
          </w:tcPr>
          <w:p>
            <w:pPr>
              <w:spacing w:after="0"/>
              <w:rPr>
                <w:sz w:val="10"/>
                <w:szCs w:val="10"/>
                <w:color w:val="auto"/>
              </w:rPr>
            </w:pPr>
          </w:p>
        </w:tc>
        <w:tc>
          <w:tcPr>
            <w:tcW w:w="3120" w:type="dxa"/>
            <w:vAlign w:val="bottom"/>
          </w:tcPr>
          <w:p>
            <w:pPr>
              <w:ind w:left="180"/>
              <w:spacing w:after="0" w:line="121" w:lineRule="exact"/>
              <w:rPr>
                <w:sz w:val="20"/>
                <w:szCs w:val="20"/>
                <w:color w:val="auto"/>
              </w:rPr>
            </w:pPr>
            <w:r>
              <w:rPr>
                <w:rFonts w:ascii="Times New Roman" w:cs="Times New Roman" w:eastAsia="Times New Roman" w:hAnsi="Times New Roman"/>
                <w:sz w:val="11"/>
                <w:szCs w:val="11"/>
                <w:color w:val="auto"/>
              </w:rPr>
              <w:t>Net sales for the full year decreased 32% to EUR 1 085 million</w:t>
            </w:r>
          </w:p>
        </w:tc>
      </w:tr>
      <w:tr>
        <w:trPr>
          <w:trHeight w:val="142"/>
        </w:trPr>
        <w:tc>
          <w:tcPr>
            <w:tcW w:w="2900" w:type="dxa"/>
            <w:vAlign w:val="bottom"/>
          </w:tcPr>
          <w:p>
            <w:pPr>
              <w:spacing w:after="0"/>
              <w:rPr>
                <w:sz w:val="20"/>
                <w:szCs w:val="20"/>
                <w:color w:val="auto"/>
              </w:rPr>
            </w:pPr>
            <w:r>
              <w:rPr>
                <w:rFonts w:ascii="Times New Roman" w:cs="Times New Roman" w:eastAsia="Times New Roman" w:hAnsi="Times New Roman"/>
                <w:sz w:val="11"/>
                <w:szCs w:val="11"/>
                <w:color w:val="FFFFFF"/>
              </w:rPr>
              <w:t>■  Expanded patent licensing efforts into new areas such</w:t>
            </w: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and segment  operating profit  decreased 39% at EUR 734</w:t>
            </w:r>
          </w:p>
        </w:tc>
      </w:tr>
      <w:tr>
        <w:trPr>
          <w:trHeight w:val="131"/>
        </w:trPr>
        <w:tc>
          <w:tcPr>
            <w:tcW w:w="2900" w:type="dxa"/>
            <w:vAlign w:val="bottom"/>
          </w:tcPr>
          <w:p>
            <w:pPr>
              <w:ind w:left="180"/>
              <w:spacing w:after="0"/>
              <w:rPr>
                <w:sz w:val="20"/>
                <w:szCs w:val="20"/>
                <w:color w:val="auto"/>
              </w:rPr>
            </w:pPr>
            <w:r>
              <w:rPr>
                <w:rFonts w:ascii="Times New Roman" w:cs="Times New Roman" w:eastAsia="Times New Roman" w:hAnsi="Times New Roman"/>
                <w:sz w:val="11"/>
                <w:szCs w:val="11"/>
                <w:color w:val="FFFFFF"/>
              </w:rPr>
              <w:t>as video streaming</w:t>
            </w:r>
          </w:p>
        </w:tc>
        <w:tc>
          <w:tcPr>
            <w:tcW w:w="320" w:type="dxa"/>
            <w:vAlign w:val="bottom"/>
          </w:tcPr>
          <w:p>
            <w:pPr>
              <w:spacing w:after="0"/>
              <w:rPr>
                <w:sz w:val="11"/>
                <w:szCs w:val="11"/>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million. We signed over 50 new patent license agreements</w:t>
            </w:r>
          </w:p>
        </w:tc>
      </w:tr>
      <w:tr>
        <w:trPr>
          <w:trHeight w:val="142"/>
        </w:trPr>
        <w:tc>
          <w:tcPr>
            <w:tcW w:w="2900" w:type="dxa"/>
            <w:vAlign w:val="bottom"/>
          </w:tcPr>
          <w:p>
            <w:pPr>
              <w:spacing w:after="0"/>
              <w:rPr>
                <w:sz w:val="20"/>
                <w:szCs w:val="20"/>
                <w:color w:val="auto"/>
              </w:rPr>
            </w:pPr>
            <w:r>
              <w:rPr>
                <w:rFonts w:ascii="Times New Roman" w:cs="Times New Roman" w:eastAsia="Times New Roman" w:hAnsi="Times New Roman"/>
                <w:sz w:val="11"/>
                <w:szCs w:val="11"/>
                <w:color w:val="FFFFFF"/>
              </w:rPr>
              <w:t>■  Our voice codec was selected as the Immersive Voice</w:t>
            </w: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across our licensing programs, including new agreements</w:t>
            </w:r>
          </w:p>
        </w:tc>
      </w:tr>
      <w:tr>
        <w:trPr>
          <w:trHeight w:val="142"/>
        </w:trPr>
        <w:tc>
          <w:tcPr>
            <w:tcW w:w="2900" w:type="dxa"/>
            <w:vAlign w:val="bottom"/>
          </w:tcPr>
          <w:p>
            <w:pPr>
              <w:ind w:left="180"/>
              <w:spacing w:after="0"/>
              <w:rPr>
                <w:sz w:val="20"/>
                <w:szCs w:val="20"/>
                <w:color w:val="auto"/>
              </w:rPr>
            </w:pPr>
            <w:r>
              <w:rPr>
                <w:rFonts w:ascii="Times New Roman" w:cs="Times New Roman" w:eastAsia="Times New Roman" w:hAnsi="Times New Roman"/>
                <w:sz w:val="11"/>
                <w:szCs w:val="11"/>
                <w:color w:val="FFFFFF"/>
              </w:rPr>
              <w:t>and Audio Services (IVAS) standard by the Third</w:t>
            </w: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with Apple and Samsung, and continued to make progress in</w:t>
            </w:r>
          </w:p>
        </w:tc>
      </w:tr>
      <w:tr>
        <w:trPr>
          <w:trHeight w:val="131"/>
        </w:trPr>
        <w:tc>
          <w:tcPr>
            <w:tcW w:w="2900" w:type="dxa"/>
            <w:vAlign w:val="bottom"/>
          </w:tcPr>
          <w:p>
            <w:pPr>
              <w:ind w:left="180"/>
              <w:spacing w:after="0"/>
              <w:rPr>
                <w:sz w:val="20"/>
                <w:szCs w:val="20"/>
                <w:color w:val="auto"/>
              </w:rPr>
            </w:pPr>
            <w:r>
              <w:rPr>
                <w:rFonts w:ascii="Times New Roman" w:cs="Times New Roman" w:eastAsia="Times New Roman" w:hAnsi="Times New Roman"/>
                <w:sz w:val="11"/>
                <w:szCs w:val="11"/>
                <w:color w:val="FFFFFF"/>
              </w:rPr>
              <w:t>Generation Partnership Project (3GPP)</w:t>
            </w:r>
          </w:p>
        </w:tc>
        <w:tc>
          <w:tcPr>
            <w:tcW w:w="320" w:type="dxa"/>
            <w:vAlign w:val="bottom"/>
          </w:tcPr>
          <w:p>
            <w:pPr>
              <w:spacing w:after="0"/>
              <w:rPr>
                <w:sz w:val="11"/>
                <w:szCs w:val="11"/>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our patent licensing growth areas with new deals in IoT and</w:t>
            </w:r>
          </w:p>
        </w:tc>
      </w:tr>
      <w:tr>
        <w:trPr>
          <w:trHeight w:val="142"/>
        </w:trPr>
        <w:tc>
          <w:tcPr>
            <w:tcW w:w="2900" w:type="dxa"/>
            <w:vAlign w:val="bottom"/>
          </w:tcPr>
          <w:p>
            <w:pPr>
              <w:spacing w:after="0"/>
              <w:rPr>
                <w:sz w:val="20"/>
                <w:szCs w:val="20"/>
                <w:color w:val="auto"/>
              </w:rPr>
            </w:pPr>
            <w:r>
              <w:rPr>
                <w:rFonts w:ascii="Times New Roman" w:cs="Times New Roman" w:eastAsia="Times New Roman" w:hAnsi="Times New Roman"/>
                <w:sz w:val="11"/>
                <w:szCs w:val="11"/>
                <w:color w:val="FFFFFF"/>
              </w:rPr>
              <w:t>■  Commenced legal action against Amazon and HP for the</w:t>
            </w: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Multimedia. And at the beginning of 2024, we agreed new 5G</w:t>
            </w:r>
          </w:p>
        </w:tc>
      </w:tr>
      <w:tr>
        <w:trPr>
          <w:trHeight w:val="142"/>
        </w:trPr>
        <w:tc>
          <w:tcPr>
            <w:tcW w:w="2900" w:type="dxa"/>
            <w:vAlign w:val="bottom"/>
          </w:tcPr>
          <w:p>
            <w:pPr>
              <w:ind w:left="180"/>
              <w:spacing w:after="0"/>
              <w:rPr>
                <w:sz w:val="20"/>
                <w:szCs w:val="20"/>
                <w:color w:val="auto"/>
              </w:rPr>
            </w:pPr>
            <w:r>
              <w:rPr>
                <w:rFonts w:ascii="Times New Roman" w:cs="Times New Roman" w:eastAsia="Times New Roman" w:hAnsi="Times New Roman"/>
                <w:sz w:val="11"/>
                <w:szCs w:val="11"/>
                <w:color w:val="FFFFFF"/>
              </w:rPr>
              <w:t>unauthorized use of Nokia’s video-related technologies</w:t>
            </w:r>
          </w:p>
        </w:tc>
        <w:tc>
          <w:tcPr>
            <w:tcW w:w="320" w:type="dxa"/>
            <w:vAlign w:val="bottom"/>
          </w:tcPr>
          <w:p>
            <w:pPr>
              <w:jc w:val="right"/>
              <w:ind w:right="103"/>
              <w:spacing w:after="0"/>
              <w:rPr>
                <w:sz w:val="20"/>
                <w:szCs w:val="20"/>
                <w:color w:val="auto"/>
              </w:rPr>
            </w:pPr>
            <w:r>
              <w:rPr>
                <w:rFonts w:ascii="Times New Roman" w:cs="Times New Roman" w:eastAsia="Times New Roman" w:hAnsi="Times New Roman"/>
                <w:sz w:val="11"/>
                <w:szCs w:val="11"/>
                <w:color w:val="auto"/>
              </w:rPr>
              <w:t>.</w:t>
            </w: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cross-license agreements with OPPO and vivo, resolving all</w:t>
            </w:r>
          </w:p>
        </w:tc>
      </w:tr>
      <w:tr>
        <w:trPr>
          <w:trHeight w:val="142"/>
        </w:trPr>
        <w:tc>
          <w:tcPr>
            <w:tcW w:w="290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pending patent litigation between the parties. Nokia will receive</w:t>
            </w:r>
          </w:p>
        </w:tc>
      </w:tr>
      <w:tr>
        <w:trPr>
          <w:trHeight w:val="131"/>
        </w:trPr>
        <w:tc>
          <w:tcPr>
            <w:tcW w:w="2900" w:type="dxa"/>
            <w:vAlign w:val="bottom"/>
          </w:tcPr>
          <w:p>
            <w:pPr>
              <w:spacing w:after="0"/>
              <w:rPr>
                <w:sz w:val="11"/>
                <w:szCs w:val="11"/>
                <w:color w:val="auto"/>
              </w:rPr>
            </w:pPr>
          </w:p>
        </w:tc>
        <w:tc>
          <w:tcPr>
            <w:tcW w:w="320" w:type="dxa"/>
            <w:vAlign w:val="bottom"/>
          </w:tcPr>
          <w:p>
            <w:pPr>
              <w:spacing w:after="0"/>
              <w:rPr>
                <w:sz w:val="11"/>
                <w:szCs w:val="11"/>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royalty payments from OPPO and vivo, along with catch-up</w:t>
            </w:r>
          </w:p>
        </w:tc>
      </w:tr>
      <w:tr>
        <w:trPr>
          <w:trHeight w:val="148"/>
        </w:trPr>
        <w:tc>
          <w:tcPr>
            <w:tcW w:w="290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1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payments to cover non-payment during the dispute period.</w:t>
            </w:r>
          </w:p>
        </w:tc>
      </w:tr>
      <w:tr>
        <w:trPr>
          <w:trHeight w:val="605"/>
        </w:trPr>
        <w:tc>
          <w:tcPr>
            <w:tcW w:w="2900" w:type="dxa"/>
            <w:vAlign w:val="bottom"/>
          </w:tcPr>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tc>
        <w:tc>
          <w:tcPr>
            <w:tcW w:w="320" w:type="dxa"/>
            <w:vAlign w:val="bottom"/>
          </w:tcPr>
          <w:p>
            <w:pPr>
              <w:spacing w:after="0"/>
              <w:rPr>
                <w:sz w:val="24"/>
                <w:szCs w:val="24"/>
                <w:color w:val="auto"/>
              </w:rPr>
            </w:pPr>
          </w:p>
        </w:tc>
        <w:tc>
          <w:tcPr>
            <w:tcW w:w="3120" w:type="dxa"/>
            <w:vAlign w:val="bottom"/>
          </w:tcPr>
          <w:p>
            <w:pPr>
              <w:spacing w:after="0"/>
              <w:rPr>
                <w:sz w:val="24"/>
                <w:szCs w:val="24"/>
                <w:color w:val="auto"/>
              </w:rPr>
            </w:pPr>
          </w:p>
        </w:tc>
      </w:tr>
    </w:tbl>
    <w:p>
      <w:pPr>
        <w:spacing w:after="0" w:line="20" w:lineRule="exact"/>
        <w:rPr>
          <w:sz w:val="20"/>
          <w:szCs w:val="20"/>
          <w:color w:val="auto"/>
        </w:rPr>
      </w:pPr>
      <w:r>
        <w:rPr>
          <w:sz w:val="20"/>
          <w:szCs w:val="20"/>
          <w:color w:val="auto"/>
        </w:rPr>
        <w:br w:type="column"/>
      </w:r>
    </w:p>
    <w:p>
      <w:pPr>
        <w:ind w:right="320"/>
        <w:spacing w:after="0" w:line="277" w:lineRule="auto"/>
        <w:rPr>
          <w:sz w:val="20"/>
          <w:szCs w:val="20"/>
          <w:color w:val="auto"/>
        </w:rPr>
      </w:pPr>
      <w:r>
        <w:rPr>
          <w:rFonts w:ascii="Times New Roman" w:cs="Times New Roman" w:eastAsia="Times New Roman" w:hAnsi="Times New Roman"/>
          <w:sz w:val="11"/>
          <w:szCs w:val="11"/>
          <w:color w:val="auto"/>
        </w:rPr>
        <w:t>have agreements with most major smartphone vendors. We also have patent licensing programs for automotive, consumer electronics, IoT and video services.</w:t>
      </w:r>
    </w:p>
    <w:p>
      <w:pPr>
        <w:spacing w:after="0" w:line="44" w:lineRule="exact"/>
        <w:rPr>
          <w:sz w:val="20"/>
          <w:szCs w:val="20"/>
          <w:color w:val="auto"/>
        </w:rPr>
      </w:pPr>
    </w:p>
    <w:p>
      <w:pPr>
        <w:ind w:right="280"/>
        <w:spacing w:after="0" w:line="275" w:lineRule="auto"/>
        <w:rPr>
          <w:sz w:val="20"/>
          <w:szCs w:val="20"/>
          <w:color w:val="auto"/>
        </w:rPr>
      </w:pPr>
      <w:r>
        <w:rPr>
          <w:rFonts w:ascii="Times New Roman" w:cs="Times New Roman" w:eastAsia="Times New Roman" w:hAnsi="Times New Roman"/>
          <w:sz w:val="11"/>
          <w:szCs w:val="11"/>
          <w:b w:val="1"/>
          <w:bCs w:val="1"/>
          <w:color w:val="auto"/>
        </w:rPr>
        <w:t xml:space="preserve">Technology Licensing </w:t>
      </w:r>
      <w:r>
        <w:rPr>
          <w:rFonts w:ascii="Times New Roman" w:cs="Times New Roman" w:eastAsia="Times New Roman" w:hAnsi="Times New Roman"/>
          <w:sz w:val="11"/>
          <w:szCs w:val="11"/>
          <w:color w:val="auto"/>
        </w:rPr>
        <w:t>: We license our OZO Audio and OZO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Playback multimedia technologies to smartphone and camera manufacturers, and drive advanced audio and video research and standardization, along with product incubation for new, immersive voice and video solutions.</w:t>
      </w:r>
    </w:p>
    <w:p>
      <w:pPr>
        <w:sectPr>
          <w:pgSz w:w="11900" w:h="16838" w:orient="portrait"/>
          <w:cols w:equalWidth="0" w:num="2">
            <w:col w:w="6340" w:space="460"/>
            <w:col w:w="3180"/>
          </w:cols>
          <w:pgMar w:left="960" w:top="409" w:right="959" w:bottom="1440" w:gutter="0" w:footer="0" w:header="0"/>
          <w:type w:val="continuous"/>
        </w:sectPr>
      </w:pPr>
    </w:p>
    <w:bookmarkStart w:id="37" w:name="page38"/>
    <w:bookmarkEnd w:id="37"/>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1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440" w:type="dxa"/>
            <w:vAlign w:val="bottom"/>
            <w:tcBorders>
              <w:bottom w:val="single" w:sz="8" w:color="005AFF"/>
            </w:tcBorders>
          </w:tcPr>
          <w:p>
            <w:pPr>
              <w:spacing w:after="0"/>
              <w:rPr>
                <w:sz w:val="4"/>
                <w:szCs w:val="4"/>
                <w:color w:val="auto"/>
              </w:rPr>
            </w:pPr>
          </w:p>
        </w:tc>
        <w:tc>
          <w:tcPr>
            <w:tcW w:w="1220" w:type="dxa"/>
            <w:vAlign w:val="bottom"/>
          </w:tcPr>
          <w:p>
            <w:pPr>
              <w:spacing w:after="0"/>
              <w:rPr>
                <w:sz w:val="4"/>
                <w:szCs w:val="4"/>
                <w:color w:val="auto"/>
              </w:rPr>
            </w:pPr>
          </w:p>
        </w:tc>
        <w:tc>
          <w:tcPr>
            <w:tcW w:w="116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Business groups continued</w:t>
      </w:r>
    </w:p>
    <w:p>
      <w:pPr>
        <w:spacing w:after="0" w:line="32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b w:val="1"/>
          <w:bCs w:val="1"/>
          <w:color w:val="auto"/>
        </w:rPr>
        <w:t xml:space="preserve">Brand Partnerships </w:t>
      </w:r>
      <w:r>
        <w:rPr>
          <w:rFonts w:ascii="Times New Roman" w:cs="Times New Roman" w:eastAsia="Times New Roman" w:hAnsi="Times New Roman"/>
          <w:sz w:val="11"/>
          <w:szCs w:val="11"/>
          <w:color w:val="auto"/>
        </w:rPr>
        <w:t>: Nokia has a strategic agreement with HMD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Global Oy (HMD) granting HMD an exclusive global license to create Nokia-branded mobile phones and tablets. Under the agreement, Nokia receives royalty payments from HMD for sales of Nokia branded mobile phones and tablets, covering</w:t>
      </w:r>
    </w:p>
    <w:p>
      <w:pPr>
        <w:spacing w:after="0" w:line="1" w:lineRule="exact"/>
        <w:rPr>
          <w:sz w:val="20"/>
          <w:szCs w:val="20"/>
          <w:color w:val="auto"/>
        </w:rPr>
      </w:pPr>
    </w:p>
    <w:p>
      <w:pPr>
        <w:ind w:right="200"/>
        <w:spacing w:after="0" w:line="268" w:lineRule="auto"/>
        <w:rPr>
          <w:sz w:val="20"/>
          <w:szCs w:val="20"/>
          <w:color w:val="auto"/>
        </w:rPr>
      </w:pPr>
      <w:r>
        <w:rPr>
          <w:rFonts w:ascii="Times New Roman" w:cs="Times New Roman" w:eastAsia="Times New Roman" w:hAnsi="Times New Roman"/>
          <w:sz w:val="11"/>
          <w:szCs w:val="11"/>
          <w:color w:val="auto"/>
        </w:rPr>
        <w:t>both brand and patent licensing. The licensing agreement will expire by March 2026. In September 2023, HMD announced plans to transition to a multi-brand strategy which will include an HMD original range along with Nokia branded phones.</w:t>
      </w:r>
    </w:p>
    <w:p>
      <w:pPr>
        <w:spacing w:after="0" w:line="5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23ABB6"/>
        </w:rPr>
        <w:t>Innovation and standards leadership</w:t>
      </w:r>
    </w:p>
    <w:p>
      <w:pPr>
        <w:spacing w:after="0" w:line="36" w:lineRule="exact"/>
        <w:rPr>
          <w:sz w:val="20"/>
          <w:szCs w:val="20"/>
          <w:color w:val="auto"/>
        </w:rPr>
      </w:pPr>
    </w:p>
    <w:p>
      <w:pPr>
        <w:ind w:right="200"/>
        <w:spacing w:after="0" w:line="266" w:lineRule="auto"/>
        <w:rPr>
          <w:sz w:val="20"/>
          <w:szCs w:val="20"/>
          <w:color w:val="auto"/>
        </w:rPr>
      </w:pPr>
      <w:r>
        <w:rPr>
          <w:rFonts w:ascii="Times New Roman" w:cs="Times New Roman" w:eastAsia="Times New Roman" w:hAnsi="Times New Roman"/>
          <w:sz w:val="11"/>
          <w:szCs w:val="11"/>
          <w:color w:val="auto"/>
        </w:rPr>
        <w:t>Nokia has defined many of the fundamental technologies used in virtually all mobile devices and has a leading role in open standardization. Since 2000, Nokia has invested around</w:t>
      </w:r>
    </w:p>
    <w:p>
      <w:pPr>
        <w:spacing w:after="0" w:line="1" w:lineRule="exact"/>
        <w:rPr>
          <w:sz w:val="20"/>
          <w:szCs w:val="20"/>
          <w:color w:val="auto"/>
        </w:rPr>
      </w:pPr>
    </w:p>
    <w:p>
      <w:pPr>
        <w:ind w:right="40"/>
        <w:spacing w:after="0" w:line="259" w:lineRule="auto"/>
        <w:rPr>
          <w:sz w:val="20"/>
          <w:szCs w:val="20"/>
          <w:color w:val="auto"/>
        </w:rPr>
      </w:pPr>
      <w:r>
        <w:rPr>
          <w:rFonts w:ascii="Times New Roman" w:cs="Times New Roman" w:eastAsia="Times New Roman" w:hAnsi="Times New Roman"/>
          <w:sz w:val="11"/>
          <w:szCs w:val="11"/>
          <w:color w:val="auto"/>
        </w:rPr>
        <w:t>EUR 150 billion in research and development (R&amp;D). As a result, we own one of the broadest and strongest patent portfolios</w:t>
      </w:r>
    </w:p>
    <w:p>
      <w:pPr>
        <w:ind w:right="180"/>
        <w:spacing w:after="0" w:line="297" w:lineRule="auto"/>
        <w:rPr>
          <w:sz w:val="20"/>
          <w:szCs w:val="20"/>
          <w:color w:val="auto"/>
        </w:rPr>
      </w:pPr>
      <w:r>
        <w:rPr>
          <w:rFonts w:ascii="Times New Roman" w:cs="Times New Roman" w:eastAsia="Times New Roman" w:hAnsi="Times New Roman"/>
          <w:sz w:val="11"/>
          <w:szCs w:val="11"/>
          <w:color w:val="auto"/>
        </w:rPr>
        <w:t>in the telecommunications sector with around 20 000 patent families (each family can comprise several individual patents).</w:t>
      </w:r>
    </w:p>
    <w:p>
      <w:pPr>
        <w:spacing w:after="0" w:line="34" w:lineRule="exact"/>
        <w:rPr>
          <w:sz w:val="20"/>
          <w:szCs w:val="20"/>
          <w:color w:val="auto"/>
        </w:rPr>
      </w:pPr>
    </w:p>
    <w:p>
      <w:pPr>
        <w:ind w:right="20"/>
        <w:spacing w:after="0" w:line="267" w:lineRule="auto"/>
        <w:rPr>
          <w:sz w:val="20"/>
          <w:szCs w:val="20"/>
          <w:color w:val="auto"/>
        </w:rPr>
      </w:pPr>
      <w:r>
        <w:rPr>
          <w:rFonts w:ascii="Times New Roman" w:cs="Times New Roman" w:eastAsia="Times New Roman" w:hAnsi="Times New Roman"/>
          <w:sz w:val="11"/>
          <w:szCs w:val="11"/>
          <w:color w:val="auto"/>
        </w:rPr>
        <w:t xml:space="preserve">We own a leading share of Standard Essential Patents (SEPs) in every generation of cellular standards, with over 6 000 patent families declared as essential to the 5G standard. Our portfolio also covers significant multimedia assets, particularly in video compression technology, which allows large files to be shared across the internet. The work of Nokia’s inventors in video research and standardization has been recognized with numerous prestigious awards, including five Technology &amp; Engineering Emmy </w:t>
      </w:r>
      <w:r>
        <w:rPr>
          <w:rFonts w:ascii="Times New Roman" w:cs="Times New Roman" w:eastAsia="Times New Roman" w:hAnsi="Times New Roman"/>
          <w:sz w:val="14"/>
          <w:szCs w:val="14"/>
          <w:color w:val="auto"/>
          <w:vertAlign w:val="superscript"/>
        </w:rPr>
        <w:t>®</w:t>
      </w:r>
      <w:r>
        <w:rPr>
          <w:rFonts w:ascii="Times New Roman" w:cs="Times New Roman" w:eastAsia="Times New Roman" w:hAnsi="Times New Roman"/>
          <w:sz w:val="11"/>
          <w:szCs w:val="11"/>
          <w:color w:val="auto"/>
        </w:rPr>
        <w:t xml:space="preserve"> Awards.</w:t>
      </w:r>
    </w:p>
    <w:p>
      <w:pPr>
        <w:spacing w:after="0" w:line="161" w:lineRule="exact"/>
        <w:rPr>
          <w:sz w:val="20"/>
          <w:szCs w:val="20"/>
          <w:color w:val="auto"/>
        </w:rPr>
      </w:pPr>
    </w:p>
    <w:p>
      <w:pPr>
        <w:ind w:right="280"/>
        <w:spacing w:after="0" w:line="265" w:lineRule="auto"/>
        <w:rPr>
          <w:sz w:val="20"/>
          <w:szCs w:val="20"/>
          <w:color w:val="auto"/>
        </w:rPr>
      </w:pPr>
      <w:r>
        <w:rPr>
          <w:rFonts w:ascii="Times New Roman" w:cs="Times New Roman" w:eastAsia="Times New Roman" w:hAnsi="Times New Roman"/>
          <w:sz w:val="11"/>
          <w:szCs w:val="11"/>
          <w:color w:val="auto"/>
        </w:rPr>
        <w:t xml:space="preserve">Our inventors also continue to lead in voice communication. </w:t>
      </w:r>
      <w:r>
        <w:rPr>
          <w:rFonts w:ascii="Times New Roman" w:cs="Times New Roman" w:eastAsia="Times New Roman" w:hAnsi="Times New Roman"/>
          <w:sz w:val="11"/>
          <w:szCs w:val="11"/>
          <w:i w:val="1"/>
          <w:iCs w:val="1"/>
          <w:color w:val="auto"/>
        </w:rPr>
        <w:t>In 2023, the Third Generation Partnership Project (3GPP)</w:t>
      </w:r>
    </w:p>
    <w:p>
      <w:pPr>
        <w:ind w:right="160"/>
        <w:spacing w:after="0" w:line="259" w:lineRule="auto"/>
        <w:rPr>
          <w:sz w:val="20"/>
          <w:szCs w:val="20"/>
          <w:color w:val="auto"/>
        </w:rPr>
      </w:pPr>
      <w:r>
        <w:rPr>
          <w:rFonts w:ascii="Times New Roman" w:cs="Times New Roman" w:eastAsia="Times New Roman" w:hAnsi="Times New Roman"/>
          <w:sz w:val="11"/>
          <w:szCs w:val="11"/>
          <w:i w:val="1"/>
          <w:iCs w:val="1"/>
          <w:color w:val="auto"/>
        </w:rPr>
        <w:t>selected the Immersive Voice and Audio Services (IVAS) codec, developed together with our partners, as the next generation</w:t>
      </w:r>
    </w:p>
    <w:p>
      <w:pPr>
        <w:jc w:val="both"/>
        <w:ind w:right="240"/>
        <w:spacing w:after="0" w:line="273" w:lineRule="auto"/>
        <w:rPr>
          <w:sz w:val="20"/>
          <w:szCs w:val="20"/>
          <w:color w:val="auto"/>
        </w:rPr>
      </w:pPr>
      <w:r>
        <w:rPr>
          <w:rFonts w:ascii="Times New Roman" w:cs="Times New Roman" w:eastAsia="Times New Roman" w:hAnsi="Times New Roman"/>
          <w:sz w:val="11"/>
          <w:szCs w:val="11"/>
          <w:i w:val="1"/>
          <w:iCs w:val="1"/>
          <w:color w:val="auto"/>
        </w:rPr>
        <w:t xml:space="preserve">voice coding standard </w:t>
      </w:r>
      <w:r>
        <w:rPr>
          <w:rFonts w:ascii="Times New Roman" w:cs="Times New Roman" w:eastAsia="Times New Roman" w:hAnsi="Times New Roman"/>
          <w:sz w:val="11"/>
          <w:szCs w:val="11"/>
          <w:color w:val="auto"/>
        </w:rPr>
        <w:t>. IVAS brings spatial audio to mobile</w:t>
      </w:r>
      <w:r>
        <w:rPr>
          <w:rFonts w:ascii="Times New Roman" w:cs="Times New Roman" w:eastAsia="Times New Roman" w:hAnsi="Times New Roman"/>
          <w:sz w:val="11"/>
          <w:szCs w:val="11"/>
          <w:i w:val="1"/>
          <w:iCs w:val="1"/>
          <w:color w:val="auto"/>
        </w:rPr>
        <w:t xml:space="preserve"> </w:t>
      </w:r>
      <w:r>
        <w:rPr>
          <w:rFonts w:ascii="Times New Roman" w:cs="Times New Roman" w:eastAsia="Times New Roman" w:hAnsi="Times New Roman"/>
          <w:sz w:val="11"/>
          <w:szCs w:val="11"/>
          <w:color w:val="auto"/>
        </w:rPr>
        <w:t>communications for the first time, enabling more immersive calls by capturing and sharing the full spatial audio scene.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7"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Nokia was one of the first companies in the world to achieve the globally recognized ISO 9001 certification for our high-quality patent portfolio management processes. Our patent portfolio has a long lifetime, with the vast majority of patents still in force in ten years’ time. We continue to refresh our portfolio with new inventions every year. In 2023 , we filed patent applications on more than 2 300 new inventions, enabling 5G networks, connected 5G devices and more.</w:t>
      </w:r>
    </w:p>
    <w:p>
      <w:pPr>
        <w:spacing w:after="0" w:line="4" w:lineRule="exact"/>
        <w:rPr>
          <w:sz w:val="20"/>
          <w:szCs w:val="20"/>
          <w:color w:val="auto"/>
        </w:rPr>
      </w:pPr>
    </w:p>
    <w:p>
      <w:pPr>
        <w:ind w:right="80"/>
        <w:spacing w:after="0" w:line="297" w:lineRule="auto"/>
        <w:rPr>
          <w:sz w:val="20"/>
          <w:szCs w:val="20"/>
          <w:color w:val="auto"/>
        </w:rPr>
      </w:pPr>
      <w:r>
        <w:rPr>
          <w:rFonts w:ascii="Times New Roman" w:cs="Times New Roman" w:eastAsia="Times New Roman" w:hAnsi="Times New Roman"/>
          <w:sz w:val="11"/>
          <w:szCs w:val="11"/>
          <w:color w:val="auto"/>
        </w:rPr>
        <w:t>As we continue to invest heavily in R&amp;D and standardization, the annual number of filings is expected to grow.</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30</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7"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6 000+</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patent families declared as essential to the 5G standard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5 000+</w:t>
      </w:r>
    </w:p>
    <w:p>
      <w:pPr>
        <w:spacing w:after="0"/>
        <w:rPr>
          <w:sz w:val="20"/>
          <w:szCs w:val="20"/>
          <w:color w:val="auto"/>
        </w:rPr>
      </w:pPr>
      <w:r>
        <w:rPr>
          <w:rFonts w:ascii="Times New Roman" w:cs="Times New Roman" w:eastAsia="Times New Roman" w:hAnsi="Times New Roman"/>
          <w:sz w:val="11"/>
          <w:szCs w:val="11"/>
          <w:color w:val="auto"/>
        </w:rPr>
        <w:t>multimedia inventions</w:t>
      </w:r>
    </w:p>
    <w:p>
      <w:pPr>
        <w:sectPr>
          <w:pgSz w:w="11900" w:h="16838" w:orient="portrait"/>
          <w:cols w:equalWidth="0" w:num="3">
            <w:col w:w="3060" w:space="340"/>
            <w:col w:w="2920" w:space="480"/>
            <w:col w:w="3180"/>
          </w:cols>
          <w:pgMar w:left="960" w:top="409" w:right="959" w:bottom="1440" w:gutter="0" w:footer="0" w:header="0"/>
        </w:sectPr>
      </w:pPr>
    </w:p>
    <w:bookmarkStart w:id="38" w:name="page39"/>
    <w:bookmarkEnd w:id="38"/>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31</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Supply chain, sourcing and manufacturing</w:t>
      </w:r>
    </w:p>
    <w:p>
      <w:pPr>
        <w:sectPr>
          <w:pgSz w:w="11900" w:h="16838" w:orient="portrait"/>
          <w:cols w:equalWidth="0" w:num="1">
            <w:col w:w="9980"/>
          </w:cols>
          <w:pgMar w:left="960" w:top="409" w:right="959" w:bottom="1440" w:gutter="0" w:footer="0" w:header="0"/>
        </w:sectPr>
      </w:pPr>
    </w:p>
    <w:p>
      <w:pPr>
        <w:spacing w:after="0" w:line="262" w:lineRule="exact"/>
        <w:rPr>
          <w:sz w:val="20"/>
          <w:szCs w:val="20"/>
          <w:color w:val="auto"/>
        </w:rPr>
      </w:pPr>
    </w:p>
    <w:p>
      <w:pPr>
        <w:ind w:right="400"/>
        <w:spacing w:after="0" w:line="235" w:lineRule="auto"/>
        <w:rPr>
          <w:sz w:val="20"/>
          <w:szCs w:val="20"/>
          <w:color w:val="auto"/>
        </w:rPr>
      </w:pPr>
      <w:r>
        <w:rPr>
          <w:rFonts w:ascii="Times New Roman" w:cs="Times New Roman" w:eastAsia="Times New Roman" w:hAnsi="Times New Roman"/>
          <w:sz w:val="45"/>
          <w:szCs w:val="45"/>
          <w:color w:val="auto"/>
        </w:rPr>
        <w:t>Supply chain, sourcing and manufacturing</w:t>
      </w:r>
    </w:p>
    <w:p>
      <w:pPr>
        <w:spacing w:after="0" w:line="81" w:lineRule="exact"/>
        <w:rPr>
          <w:sz w:val="20"/>
          <w:szCs w:val="20"/>
          <w:color w:val="auto"/>
        </w:rPr>
      </w:pPr>
    </w:p>
    <w:p>
      <w:pPr>
        <w:spacing w:after="0" w:line="267" w:lineRule="auto"/>
        <w:rPr>
          <w:sz w:val="20"/>
          <w:szCs w:val="20"/>
          <w:color w:val="auto"/>
        </w:rPr>
      </w:pPr>
      <w:r>
        <w:rPr>
          <w:rFonts w:ascii="Times New Roman" w:cs="Times New Roman" w:eastAsia="Times New Roman" w:hAnsi="Times New Roman"/>
          <w:sz w:val="13"/>
          <w:szCs w:val="13"/>
          <w:color w:val="auto"/>
        </w:rPr>
        <w:t>In 2023, Nokia’s supply chain delivery capability was fully restored after the previous years’ constraints. This year, we focused on managing customer demand and further developing our risk management capabilities. We continued to optimize our manufacturing, distribution and supplier network across the regions.</w:t>
      </w:r>
    </w:p>
    <w:p>
      <w:pPr>
        <w:spacing w:after="0" w:line="114" w:lineRule="exact"/>
        <w:rPr>
          <w:sz w:val="20"/>
          <w:szCs w:val="20"/>
          <w:color w:val="auto"/>
        </w:rPr>
      </w:pPr>
    </w:p>
    <w:p>
      <w:pPr>
        <w:ind w:right="300"/>
        <w:spacing w:after="0" w:line="269" w:lineRule="auto"/>
        <w:rPr>
          <w:sz w:val="20"/>
          <w:szCs w:val="20"/>
          <w:color w:val="auto"/>
        </w:rPr>
      </w:pPr>
      <w:r>
        <w:rPr>
          <w:rFonts w:ascii="Times New Roman" w:cs="Times New Roman" w:eastAsia="Times New Roman" w:hAnsi="Times New Roman"/>
          <w:sz w:val="11"/>
          <w:szCs w:val="11"/>
          <w:color w:val="auto"/>
        </w:rPr>
        <w:t>Nokia’s supply chain is essential for our customers, our business, and for managing customer demand and supply for our hardware, software and contract manufactured products. Our end-to-end operations include sourcing, demand and supply planning, manufacturing, distribution and logistics.</w:t>
      </w:r>
    </w:p>
    <w:p>
      <w:pPr>
        <w:spacing w:after="0" w:line="60" w:lineRule="exact"/>
        <w:rPr>
          <w:sz w:val="20"/>
          <w:szCs w:val="20"/>
          <w:color w:val="auto"/>
        </w:rPr>
      </w:pPr>
    </w:p>
    <w:p>
      <w:pPr>
        <w:ind w:right="240"/>
        <w:spacing w:after="0" w:line="290" w:lineRule="auto"/>
        <w:rPr>
          <w:sz w:val="20"/>
          <w:szCs w:val="20"/>
          <w:color w:val="auto"/>
        </w:rPr>
      </w:pPr>
      <w:r>
        <w:rPr>
          <w:rFonts w:ascii="Times New Roman" w:cs="Times New Roman" w:eastAsia="Times New Roman" w:hAnsi="Times New Roman"/>
          <w:sz w:val="11"/>
          <w:szCs w:val="11"/>
          <w:color w:val="auto"/>
        </w:rPr>
        <w:t>In 2023, we purchased over EUR 13 billion worth of products and services from around 10 000 different suppliers.</w:t>
      </w:r>
    </w:p>
    <w:p>
      <w:pPr>
        <w:spacing w:after="0" w:line="48" w:lineRule="exact"/>
        <w:rPr>
          <w:sz w:val="20"/>
          <w:szCs w:val="20"/>
          <w:color w:val="auto"/>
        </w:rPr>
      </w:pPr>
    </w:p>
    <w:p>
      <w:pPr>
        <w:ind w:right="140"/>
        <w:spacing w:after="0" w:line="275" w:lineRule="auto"/>
        <w:rPr>
          <w:sz w:val="20"/>
          <w:szCs w:val="20"/>
          <w:color w:val="auto"/>
        </w:rPr>
      </w:pPr>
      <w:r>
        <w:rPr>
          <w:rFonts w:ascii="Times New Roman" w:cs="Times New Roman" w:eastAsia="Times New Roman" w:hAnsi="Times New Roman"/>
          <w:sz w:val="11"/>
          <w:szCs w:val="11"/>
          <w:color w:val="auto"/>
        </w:rPr>
        <w:t>While the volatile geopolitical operating environment continued to pose challenges to our supply chain management in 2023, global semiconductor shortages no longer created similar disruptions as in the past few years.</w:t>
      </w:r>
    </w:p>
    <w:p>
      <w:pPr>
        <w:spacing w:after="0" w:line="4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Focus on risk and cost management</w:t>
      </w:r>
    </w:p>
    <w:p>
      <w:pPr>
        <w:spacing w:after="0" w:line="46" w:lineRule="exact"/>
        <w:rPr>
          <w:sz w:val="20"/>
          <w:szCs w:val="20"/>
          <w:color w:val="auto"/>
        </w:rPr>
      </w:pPr>
    </w:p>
    <w:p>
      <w:pPr>
        <w:ind w:right="180"/>
        <w:spacing w:after="0" w:line="262" w:lineRule="auto"/>
        <w:rPr>
          <w:sz w:val="20"/>
          <w:szCs w:val="20"/>
          <w:color w:val="auto"/>
        </w:rPr>
      </w:pPr>
      <w:r>
        <w:rPr>
          <w:rFonts w:ascii="Times New Roman" w:cs="Times New Roman" w:eastAsia="Times New Roman" w:hAnsi="Times New Roman"/>
          <w:sz w:val="11"/>
          <w:szCs w:val="11"/>
          <w:color w:val="auto"/>
        </w:rPr>
        <w:t>Throughout 2023, we saw a softening of the global demand for our equipment, linked to the overall macroeconomic situation, as well as inventory digestion by some customers. In this context, we continued to work closely with our customers</w:t>
      </w:r>
    </w:p>
    <w:p>
      <w:pPr>
        <w:ind w:right="420"/>
        <w:spacing w:after="0" w:line="273" w:lineRule="auto"/>
        <w:rPr>
          <w:sz w:val="20"/>
          <w:szCs w:val="20"/>
          <w:color w:val="auto"/>
        </w:rPr>
      </w:pPr>
      <w:r>
        <w:rPr>
          <w:rFonts w:ascii="Times New Roman" w:cs="Times New Roman" w:eastAsia="Times New Roman" w:hAnsi="Times New Roman"/>
          <w:sz w:val="11"/>
          <w:szCs w:val="11"/>
          <w:color w:val="auto"/>
        </w:rPr>
        <w:t>to form the best possible forecast outlook in the mid and long term. In addition, we had a strong focus on inventory management to offset potential excess risks.</w:t>
      </w:r>
    </w:p>
    <w:p>
      <w:pPr>
        <w:spacing w:after="0" w:line="57" w:lineRule="exact"/>
        <w:rPr>
          <w:sz w:val="20"/>
          <w:szCs w:val="20"/>
          <w:color w:val="auto"/>
        </w:rPr>
      </w:pPr>
    </w:p>
    <w:p>
      <w:pPr>
        <w:ind w:right="280"/>
        <w:spacing w:after="0" w:line="265" w:lineRule="auto"/>
        <w:rPr>
          <w:sz w:val="20"/>
          <w:szCs w:val="20"/>
          <w:color w:val="auto"/>
        </w:rPr>
      </w:pPr>
      <w:r>
        <w:rPr>
          <w:rFonts w:ascii="Times New Roman" w:cs="Times New Roman" w:eastAsia="Times New Roman" w:hAnsi="Times New Roman"/>
          <w:sz w:val="11"/>
          <w:szCs w:val="11"/>
          <w:color w:val="auto"/>
        </w:rPr>
        <w:t>Furthermore, we developed our risk management capabilities supported by increased digitalization and automation</w:t>
      </w:r>
    </w:p>
    <w:p>
      <w:pPr>
        <w:ind w:right="440"/>
        <w:spacing w:after="0" w:line="297" w:lineRule="auto"/>
        <w:rPr>
          <w:sz w:val="20"/>
          <w:szCs w:val="20"/>
          <w:color w:val="auto"/>
        </w:rPr>
      </w:pPr>
      <w:r>
        <w:rPr>
          <w:rFonts w:ascii="Times New Roman" w:cs="Times New Roman" w:eastAsia="Times New Roman" w:hAnsi="Times New Roman"/>
          <w:sz w:val="11"/>
          <w:szCs w:val="11"/>
          <w:color w:val="auto"/>
        </w:rPr>
        <w:t>to navigate the rapidly changing business environment. Inventories and safety buffers were largely kept upstream</w:t>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ind w:right="3940"/>
        <w:spacing w:after="0" w:line="309" w:lineRule="auto"/>
        <w:rPr>
          <w:sz w:val="20"/>
          <w:szCs w:val="20"/>
          <w:color w:val="auto"/>
        </w:rPr>
      </w:pPr>
      <w:r>
        <w:rPr>
          <w:rFonts w:ascii="Times New Roman" w:cs="Times New Roman" w:eastAsia="Times New Roman" w:hAnsi="Times New Roman"/>
          <w:sz w:val="11"/>
          <w:szCs w:val="11"/>
          <w:color w:val="auto"/>
        </w:rPr>
        <w:t>on a component level, increasing the flexibility to react to any potential short-term product type changes.</w:t>
      </w:r>
    </w:p>
    <w:p>
      <w:pPr>
        <w:spacing w:after="0" w:line="38" w:lineRule="exact"/>
        <w:rPr>
          <w:sz w:val="20"/>
          <w:szCs w:val="20"/>
          <w:color w:val="auto"/>
        </w:rPr>
      </w:pPr>
    </w:p>
    <w:p>
      <w:pPr>
        <w:ind w:right="3700"/>
        <w:spacing w:after="0" w:line="269" w:lineRule="auto"/>
        <w:rPr>
          <w:sz w:val="20"/>
          <w:szCs w:val="20"/>
          <w:color w:val="auto"/>
        </w:rPr>
      </w:pPr>
      <w:r>
        <w:rPr>
          <w:rFonts w:ascii="Times New Roman" w:cs="Times New Roman" w:eastAsia="Times New Roman" w:hAnsi="Times New Roman"/>
          <w:sz w:val="11"/>
          <w:szCs w:val="11"/>
          <w:color w:val="auto"/>
        </w:rPr>
        <w:t>Cost inflation throughout the supply chain continued to impact our margins, but through sustained focus on improving our product cost and careful management of our customer pricing, we were able to keep this under control.</w:t>
      </w:r>
    </w:p>
    <w:p>
      <w:pPr>
        <w:spacing w:after="0" w:line="52" w:lineRule="exact"/>
        <w:rPr>
          <w:sz w:val="20"/>
          <w:szCs w:val="20"/>
          <w:color w:val="auto"/>
        </w:rPr>
      </w:pPr>
    </w:p>
    <w:p>
      <w:pPr>
        <w:ind w:right="4200"/>
        <w:spacing w:after="0" w:line="268" w:lineRule="auto"/>
        <w:rPr>
          <w:sz w:val="20"/>
          <w:szCs w:val="20"/>
          <w:color w:val="auto"/>
        </w:rPr>
      </w:pPr>
      <w:r>
        <w:rPr>
          <w:rFonts w:ascii="Times New Roman" w:cs="Times New Roman" w:eastAsia="Times New Roman" w:hAnsi="Times New Roman"/>
          <w:sz w:val="16"/>
          <w:szCs w:val="16"/>
          <w:color w:val="005AFF"/>
        </w:rPr>
        <w:t>Building resilience through strong partnerships and a regional approach</w:t>
      </w:r>
    </w:p>
    <w:p>
      <w:pPr>
        <w:spacing w:after="0" w:line="1" w:lineRule="exact"/>
        <w:rPr>
          <w:sz w:val="20"/>
          <w:szCs w:val="20"/>
          <w:color w:val="auto"/>
        </w:rPr>
      </w:pPr>
    </w:p>
    <w:p>
      <w:pPr>
        <w:ind w:right="3840"/>
        <w:spacing w:after="0" w:line="269" w:lineRule="auto"/>
        <w:rPr>
          <w:sz w:val="20"/>
          <w:szCs w:val="20"/>
          <w:color w:val="auto"/>
        </w:rPr>
      </w:pPr>
      <w:r>
        <w:rPr>
          <w:rFonts w:ascii="Times New Roman" w:cs="Times New Roman" w:eastAsia="Times New Roman" w:hAnsi="Times New Roman"/>
          <w:sz w:val="11"/>
          <w:szCs w:val="11"/>
          <w:color w:val="auto"/>
        </w:rPr>
        <w:t>As we further develop a robust and sustainable supply chain that can best serve our customers, maintaining focus on resilience is critical. We continuously optimize our manufacturing, distribution and supplier network across the regions in which we operate to better serve our customers. We also further leverage artificial intelligence and machine learning capabilities to better develop our supply chain and factory network.</w:t>
      </w:r>
    </w:p>
    <w:p>
      <w:pPr>
        <w:spacing w:after="0" w:line="49" w:lineRule="exact"/>
        <w:rPr>
          <w:sz w:val="20"/>
          <w:szCs w:val="20"/>
          <w:color w:val="auto"/>
        </w:rPr>
      </w:pPr>
    </w:p>
    <w:p>
      <w:pPr>
        <w:ind w:right="3680"/>
        <w:spacing w:after="0" w:line="263" w:lineRule="auto"/>
        <w:rPr>
          <w:sz w:val="20"/>
          <w:szCs w:val="20"/>
          <w:color w:val="auto"/>
        </w:rPr>
      </w:pPr>
      <w:r>
        <w:rPr>
          <w:rFonts w:ascii="Times New Roman" w:cs="Times New Roman" w:eastAsia="Times New Roman" w:hAnsi="Times New Roman"/>
          <w:sz w:val="11"/>
          <w:szCs w:val="11"/>
          <w:color w:val="auto"/>
        </w:rPr>
        <w:t>Our geographically dispersed manufacturing network consists of both our own manufacturing (18% of the network) and contract manufacturing partners to minimize geographic and geopolitical risks. Our network is strategically located around the world which breaks down by number of sites as: Europe 23%, Asia Pacific, Japan/India 30%, China 35% and the Americas 13%. Each year our spending by location will vary depending on our regional demand and in 2023 our spending was approximately broken down as: Europe 27%, Asia Pacific, Japan/India 42%, Greater China 18% and Americas 13%.</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regional approach will not only enable us to deliver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 more rapid response to our customers’ needs, but also</w:t>
      </w:r>
    </w:p>
    <w:p>
      <w:pPr>
        <w:spacing w:after="0" w:line="215" w:lineRule="auto"/>
        <w:tabs>
          <w:tab w:leader="none" w:pos="1820" w:val="left"/>
        </w:tabs>
        <w:rPr>
          <w:sz w:val="20"/>
          <w:szCs w:val="20"/>
          <w:color w:val="auto"/>
        </w:rPr>
      </w:pPr>
      <w:r>
        <w:rPr>
          <w:rFonts w:ascii="Times New Roman" w:cs="Times New Roman" w:eastAsia="Times New Roman" w:hAnsi="Times New Roman"/>
          <w:sz w:val="11"/>
          <w:szCs w:val="11"/>
          <w:color w:val="auto"/>
        </w:rPr>
        <w:t>reduce transportation costs and CO</w:t>
      </w:r>
      <w:r>
        <w:rPr>
          <w:sz w:val="20"/>
          <w:szCs w:val="20"/>
          <w:color w:val="auto"/>
        </w:rPr>
        <w:tab/>
      </w:r>
      <w:r>
        <w:rPr>
          <w:rFonts w:ascii="Times New Roman" w:cs="Times New Roman" w:eastAsia="Times New Roman" w:hAnsi="Times New Roman"/>
          <w:sz w:val="15"/>
          <w:szCs w:val="15"/>
          <w:color w:val="auto"/>
          <w:vertAlign w:val="subscript"/>
        </w:rPr>
        <w:t xml:space="preserve">2 </w:t>
      </w:r>
      <w:r>
        <w:rPr>
          <w:rFonts w:ascii="Times New Roman" w:cs="Times New Roman" w:eastAsia="Times New Roman" w:hAnsi="Times New Roman"/>
          <w:sz w:val="11"/>
          <w:szCs w:val="11"/>
          <w:color w:val="auto"/>
        </w:rPr>
        <w:t>emissions.</w:t>
      </w:r>
    </w:p>
    <w:p>
      <w:pPr>
        <w:sectPr>
          <w:pgSz w:w="11900" w:h="16838" w:orient="portrait"/>
          <w:cols w:equalWidth="0" w:num="2">
            <w:col w:w="3080" w:space="320"/>
            <w:col w:w="6580"/>
          </w:cols>
          <w:pgMar w:left="960" w:top="409" w:right="959" w:bottom="1440" w:gutter="0" w:footer="0" w:header="0"/>
          <w:type w:val="continuous"/>
        </w:sectPr>
      </w:pPr>
    </w:p>
    <w:bookmarkStart w:id="39" w:name="page40"/>
    <w:bookmarkEnd w:id="39"/>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Business</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32</w:t>
            </w:r>
          </w:p>
        </w:tc>
        <w:tc>
          <w:tcPr>
            <w:tcW w:w="0" w:type="dxa"/>
            <w:vAlign w:val="bottom"/>
          </w:tcPr>
          <w:p>
            <w:pPr>
              <w:spacing w:after="0"/>
              <w:rPr>
                <w:sz w:val="1"/>
                <w:szCs w:val="1"/>
                <w:color w:val="auto"/>
              </w:rPr>
            </w:pPr>
          </w:p>
        </w:tc>
      </w:tr>
      <w:tr>
        <w:trPr>
          <w:trHeight w:val="130"/>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overview</w:t>
            </w:r>
          </w:p>
        </w:tc>
        <w:tc>
          <w:tcPr>
            <w:tcW w:w="122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440" w:type="dxa"/>
            <w:vAlign w:val="bottom"/>
            <w:tcBorders>
              <w:bottom w:val="single" w:sz="8" w:color="005AFF"/>
            </w:tcBorders>
          </w:tcPr>
          <w:p>
            <w:pPr>
              <w:spacing w:after="0"/>
              <w:rPr>
                <w:sz w:val="3"/>
                <w:szCs w:val="3"/>
                <w:color w:val="auto"/>
              </w:rPr>
            </w:pPr>
          </w:p>
        </w:tc>
        <w:tc>
          <w:tcPr>
            <w:tcW w:w="12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Supply chain, sourcing and manufacturing  continued</w:t>
      </w:r>
    </w:p>
    <w:p>
      <w:pPr>
        <w:sectPr>
          <w:pgSz w:w="11900" w:h="16838" w:orient="portrait"/>
          <w:cols w:equalWidth="0" w:num="1">
            <w:col w:w="10060"/>
          </w:cols>
          <w:pgMar w:left="960" w:top="409" w:right="879" w:bottom="1440" w:gutter="0" w:footer="0" w:header="0"/>
        </w:sectPr>
      </w:pP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Sustainability enablement and innovation</w:t>
      </w:r>
    </w:p>
    <w:p>
      <w:pPr>
        <w:spacing w:after="0" w:line="46"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We clearly communicate our Third-party Code of Conduct and Nokia Supplier Requirements, incorporating the Responsible Business Alliance (RBA) Code of Conduct requirements, to our suppliers. These include standards for responsible sourcing in key areas such as the environment and human rights. Adherence to the standards is checked through audits and EcoVadis documentation assessments, before being followed-up via one-on-one sessions and webinars on various ESG topics.</w:t>
      </w:r>
    </w:p>
    <w:p>
      <w:pPr>
        <w:spacing w:after="0" w:line="49" w:lineRule="exact"/>
        <w:rPr>
          <w:sz w:val="20"/>
          <w:szCs w:val="20"/>
          <w:color w:val="auto"/>
        </w:rPr>
      </w:pPr>
    </w:p>
    <w:p>
      <w:pPr>
        <w:jc w:val="both"/>
        <w:ind w:right="80"/>
        <w:spacing w:after="0" w:line="279" w:lineRule="auto"/>
        <w:rPr>
          <w:sz w:val="20"/>
          <w:szCs w:val="20"/>
          <w:color w:val="auto"/>
        </w:rPr>
      </w:pPr>
      <w:r>
        <w:rPr>
          <w:rFonts w:ascii="Times New Roman" w:cs="Times New Roman" w:eastAsia="Times New Roman" w:hAnsi="Times New Roman"/>
          <w:sz w:val="11"/>
          <w:szCs w:val="11"/>
          <w:color w:val="auto"/>
        </w:rPr>
        <w:t>In 2023, we conducted supplier on-site audits to ensure good visibility over labor rights, health and safety and environmental issues. The number of audits significantly increased during 2023 as COVID-related restrictions were removed.</w:t>
      </w:r>
    </w:p>
    <w:p>
      <w:pPr>
        <w:spacing w:after="0" w:line="54" w:lineRule="exact"/>
        <w:rPr>
          <w:sz w:val="20"/>
          <w:szCs w:val="20"/>
          <w:color w:val="auto"/>
        </w:rPr>
      </w:pPr>
    </w:p>
    <w:p>
      <w:pPr>
        <w:ind w:right="40"/>
        <w:spacing w:after="0" w:line="275" w:lineRule="auto"/>
        <w:rPr>
          <w:sz w:val="20"/>
          <w:szCs w:val="20"/>
          <w:color w:val="auto"/>
        </w:rPr>
      </w:pPr>
      <w:r>
        <w:rPr>
          <w:rFonts w:ascii="Times New Roman" w:cs="Times New Roman" w:eastAsia="Times New Roman" w:hAnsi="Times New Roman"/>
          <w:sz w:val="11"/>
          <w:szCs w:val="11"/>
          <w:color w:val="auto"/>
        </w:rPr>
        <w:t>We are committed to cutting greenhouse gas emissions across our value chain by 50% by 2030, in line with our science-based target. Our own factories are on track to reach 100% renewable electricity by 2025. We also work closely with the entirety of our supply chain to develop new digital solutions and product innovations to cut emissions.</w:t>
      </w:r>
    </w:p>
    <w:p>
      <w:pPr>
        <w:spacing w:after="0" w:line="47"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In 2023, we continued to work with our electronics manufacturing services suppliers to track their roadmap activities as we look to achieve the mutually agreed target that the Nokia portion of their manufacturing reaches net zero by 2030. We also expanded deep dives into the roadmap designs for our energy-intense component supplier categories such as integrated circuits, semi-discretes, and printed wiring boards. As part of our circularity program, we introduced recycled material content targets to our mechanical suppliers and we recognized supplier climate and circularity innovations via our Supplier Diamond Award.</w:t>
      </w:r>
    </w:p>
    <w:p>
      <w:pPr>
        <w:spacing w:after="0" w:line="59"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“Design for Environment” is an integral part of our supply chain sustainability strategy. It aims to ensure Nokia products are in line with our policies and goals for product stewardship and environmental sustainability. We therefore continued to collaborate with our suppliers to encourage sustainable solutions in transportation, logistics and packaging, using alternative materials and optimized designs to deliver sustainable product packaging, reducing use of virgin plastics, and increasing recycled content materials. As an example, this year we have deployed FiberFlute and honeycomb cardboard solutions to replace plastic cushions in some product deliveries. Moreover, we are piloting other fiber-based solutions to replace plastic in our repair centers and are studying implementation on a wider scale.</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ind w:right="600"/>
        <w:spacing w:after="0" w:line="274" w:lineRule="auto"/>
        <w:rPr>
          <w:sz w:val="20"/>
          <w:szCs w:val="20"/>
          <w:color w:val="auto"/>
        </w:rPr>
      </w:pPr>
      <w:r>
        <w:rPr>
          <w:rFonts w:ascii="Times New Roman" w:cs="Times New Roman" w:eastAsia="Times New Roman" w:hAnsi="Times New Roman"/>
          <w:sz w:val="11"/>
          <w:szCs w:val="11"/>
          <w:color w:val="auto"/>
        </w:rPr>
        <w:t>Supply chain logistics is one of the areas in which we constantly look for innovative ways to reduce our carbon footprint. As an example, together with DHL Global Forwarding (DGF), we redesigned one of our key intercontinental logistics routes. Using a combination of transport modes, we were able to reduce the use of air freight with a resulting 68% reduction in transport carbon emissions compared to the previous logistics model.</w:t>
      </w:r>
    </w:p>
    <w:p>
      <w:pPr>
        <w:spacing w:after="0" w:line="47" w:lineRule="exact"/>
        <w:rPr>
          <w:sz w:val="20"/>
          <w:szCs w:val="20"/>
          <w:color w:val="auto"/>
        </w:rPr>
      </w:pPr>
    </w:p>
    <w:p>
      <w:pPr>
        <w:jc w:val="both"/>
        <w:ind w:right="560"/>
        <w:spacing w:after="0" w:line="275" w:lineRule="auto"/>
        <w:rPr>
          <w:sz w:val="20"/>
          <w:szCs w:val="20"/>
          <w:color w:val="auto"/>
        </w:rPr>
      </w:pPr>
      <w:r>
        <w:rPr>
          <w:rFonts w:ascii="Times New Roman" w:cs="Times New Roman" w:eastAsia="Times New Roman" w:hAnsi="Times New Roman"/>
          <w:sz w:val="11"/>
          <w:szCs w:val="11"/>
          <w:color w:val="auto"/>
        </w:rPr>
        <w:t>We are committed to prioritizing and strengthening resilience and sustainability across the end-to-end supply chain to help us deal effectively with challenges that arise. See the “Sustainability and corporate responsibility” section for more information on Nokia’s sustainability targets and achievements, including those related to supplier sustainability.</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Own manufacturing</w:t>
      </w:r>
    </w:p>
    <w:p>
      <w:pPr>
        <w:spacing w:after="0" w:line="36" w:lineRule="exact"/>
        <w:rPr>
          <w:sz w:val="20"/>
          <w:szCs w:val="20"/>
          <w:color w:val="auto"/>
        </w:rPr>
      </w:pPr>
    </w:p>
    <w:p>
      <w:pPr>
        <w:spacing w:after="0"/>
        <w:tabs>
          <w:tab w:leader="none" w:pos="980" w:val="left"/>
        </w:tabs>
        <w:rPr>
          <w:sz w:val="20"/>
          <w:szCs w:val="20"/>
          <w:color w:val="auto"/>
        </w:rPr>
      </w:pPr>
      <w:r>
        <w:rPr>
          <w:rFonts w:ascii="Times New Roman" w:cs="Times New Roman" w:eastAsia="Times New Roman" w:hAnsi="Times New Roman"/>
          <w:sz w:val="11"/>
          <w:szCs w:val="11"/>
          <w:color w:val="auto"/>
        </w:rPr>
        <w:t>As of 31 December</w:t>
        <w:tab/>
        <w:t>2023 , the production capacity for sites owned by us is noted below:</w:t>
      </w:r>
    </w:p>
    <w:p>
      <w:pPr>
        <w:spacing w:after="0" w:line="137" w:lineRule="exact"/>
        <w:rPr>
          <w:sz w:val="20"/>
          <w:szCs w:val="20"/>
          <w:color w:val="auto"/>
        </w:rPr>
      </w:pPr>
    </w:p>
    <w:tbl>
      <w:tblPr>
        <w:tblLayout w:type="fixed"/>
        <w:tblInd w:w="0" w:type="dxa"/>
        <w:tblCellMar>
          <w:top w:w="0" w:type="dxa"/>
          <w:left w:w="0" w:type="dxa"/>
          <w:bottom w:w="0" w:type="dxa"/>
          <w:right w:w="0" w:type="dxa"/>
        </w:tblCellMar>
      </w:tblPr>
      <w:tr>
        <w:trPr>
          <w:trHeight w:val="92"/>
        </w:trPr>
        <w:tc>
          <w:tcPr>
            <w:tcW w:w="500" w:type="dxa"/>
            <w:vAlign w:val="bottom"/>
          </w:tcPr>
          <w:p>
            <w:pPr>
              <w:spacing w:after="0"/>
              <w:rPr>
                <w:sz w:val="7"/>
                <w:szCs w:val="7"/>
                <w:color w:val="auto"/>
              </w:rPr>
            </w:pPr>
          </w:p>
        </w:tc>
        <w:tc>
          <w:tcPr>
            <w:tcW w:w="1540" w:type="dxa"/>
            <w:vAlign w:val="bottom"/>
          </w:tcPr>
          <w:p>
            <w:pPr>
              <w:spacing w:after="0"/>
              <w:rPr>
                <w:sz w:val="7"/>
                <w:szCs w:val="7"/>
                <w:color w:val="auto"/>
              </w:rPr>
            </w:pPr>
          </w:p>
        </w:tc>
        <w:tc>
          <w:tcPr>
            <w:tcW w:w="2120" w:type="dxa"/>
            <w:vAlign w:val="bottom"/>
          </w:tcPr>
          <w:p>
            <w:pPr>
              <w:spacing w:after="0"/>
              <w:rPr>
                <w:sz w:val="7"/>
                <w:szCs w:val="7"/>
                <w:color w:val="auto"/>
              </w:rPr>
            </w:pPr>
          </w:p>
        </w:tc>
        <w:tc>
          <w:tcPr>
            <w:tcW w:w="800" w:type="dxa"/>
            <w:vAlign w:val="bottom"/>
          </w:tcPr>
          <w:p>
            <w:pPr>
              <w:jc w:val="right"/>
              <w:ind w:right="35"/>
              <w:spacing w:after="0"/>
              <w:rPr>
                <w:sz w:val="20"/>
                <w:szCs w:val="20"/>
                <w:color w:val="auto"/>
              </w:rPr>
            </w:pPr>
            <w:r>
              <w:rPr>
                <w:rFonts w:ascii="Times New Roman" w:cs="Times New Roman" w:eastAsia="Times New Roman" w:hAnsi="Times New Roman"/>
                <w:sz w:val="8"/>
                <w:szCs w:val="8"/>
                <w:b w:val="1"/>
                <w:bCs w:val="1"/>
                <w:color w:val="005AFF"/>
              </w:rPr>
              <w:t>Productive</w:t>
            </w:r>
          </w:p>
        </w:tc>
        <w:tc>
          <w:tcPr>
            <w:tcW w:w="0" w:type="dxa"/>
            <w:vAlign w:val="bottom"/>
          </w:tcPr>
          <w:p>
            <w:pPr>
              <w:spacing w:after="0"/>
              <w:rPr>
                <w:sz w:val="1"/>
                <w:szCs w:val="1"/>
                <w:color w:val="auto"/>
              </w:rPr>
            </w:pPr>
          </w:p>
        </w:tc>
      </w:tr>
      <w:tr>
        <w:trPr>
          <w:trHeight w:val="100"/>
        </w:trPr>
        <w:tc>
          <w:tcPr>
            <w:tcW w:w="500" w:type="dxa"/>
            <w:vAlign w:val="bottom"/>
          </w:tcPr>
          <w:p>
            <w:pPr>
              <w:spacing w:after="0"/>
              <w:rPr>
                <w:sz w:val="8"/>
                <w:szCs w:val="8"/>
                <w:color w:val="auto"/>
              </w:rPr>
            </w:pPr>
          </w:p>
        </w:tc>
        <w:tc>
          <w:tcPr>
            <w:tcW w:w="1540" w:type="dxa"/>
            <w:vAlign w:val="bottom"/>
          </w:tcPr>
          <w:p>
            <w:pPr>
              <w:spacing w:after="0"/>
              <w:rPr>
                <w:sz w:val="8"/>
                <w:szCs w:val="8"/>
                <w:color w:val="auto"/>
              </w:rPr>
            </w:pPr>
          </w:p>
        </w:tc>
        <w:tc>
          <w:tcPr>
            <w:tcW w:w="2120" w:type="dxa"/>
            <w:vAlign w:val="bottom"/>
          </w:tcPr>
          <w:p>
            <w:pPr>
              <w:spacing w:after="0"/>
              <w:rPr>
                <w:sz w:val="8"/>
                <w:szCs w:val="8"/>
                <w:color w:val="auto"/>
              </w:rPr>
            </w:pPr>
          </w:p>
        </w:tc>
        <w:tc>
          <w:tcPr>
            <w:tcW w:w="800" w:type="dxa"/>
            <w:vAlign w:val="bottom"/>
          </w:tcPr>
          <w:p>
            <w:pPr>
              <w:jc w:val="right"/>
              <w:ind w:right="55"/>
              <w:spacing w:after="0"/>
              <w:rPr>
                <w:sz w:val="20"/>
                <w:szCs w:val="20"/>
                <w:color w:val="auto"/>
              </w:rPr>
            </w:pPr>
            <w:r>
              <w:rPr>
                <w:rFonts w:ascii="Times New Roman" w:cs="Times New Roman" w:eastAsia="Times New Roman" w:hAnsi="Times New Roman"/>
                <w:sz w:val="8"/>
                <w:szCs w:val="8"/>
                <w:b w:val="1"/>
                <w:bCs w:val="1"/>
                <w:color w:val="005AFF"/>
              </w:rPr>
              <w:t>capacity, net</w:t>
            </w:r>
          </w:p>
        </w:tc>
        <w:tc>
          <w:tcPr>
            <w:tcW w:w="0" w:type="dxa"/>
            <w:vAlign w:val="bottom"/>
          </w:tcPr>
          <w:p>
            <w:pPr>
              <w:spacing w:after="0"/>
              <w:rPr>
                <w:sz w:val="1"/>
                <w:szCs w:val="1"/>
                <w:color w:val="auto"/>
              </w:rPr>
            </w:pPr>
          </w:p>
        </w:tc>
      </w:tr>
      <w:tr>
        <w:trPr>
          <w:trHeight w:val="124"/>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Country</w:t>
            </w:r>
          </w:p>
        </w:tc>
        <w:tc>
          <w:tcPr>
            <w:tcW w:w="15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 xml:space="preserve">Location and products </w:t>
            </w:r>
            <w:r>
              <w:rPr>
                <w:rFonts w:ascii="Times New Roman" w:cs="Times New Roman" w:eastAsia="Times New Roman" w:hAnsi="Times New Roman"/>
                <w:sz w:val="10"/>
                <w:szCs w:val="10"/>
                <w:b w:val="1"/>
                <w:bCs w:val="1"/>
                <w:color w:val="005AFF"/>
                <w:vertAlign w:val="superscript"/>
              </w:rPr>
              <w:t>(1)</w:t>
            </w:r>
          </w:p>
        </w:tc>
        <w:tc>
          <w:tcPr>
            <w:tcW w:w="2120" w:type="dxa"/>
            <w:vAlign w:val="bottom"/>
            <w:tcBorders>
              <w:bottom w:val="single" w:sz="8" w:color="005AFF"/>
            </w:tcBorders>
          </w:tcPr>
          <w:p>
            <w:pPr>
              <w:spacing w:after="0"/>
              <w:rPr>
                <w:sz w:val="10"/>
                <w:szCs w:val="10"/>
                <w:color w:val="auto"/>
              </w:rPr>
            </w:pPr>
          </w:p>
        </w:tc>
        <w:tc>
          <w:tcPr>
            <w:tcW w:w="800" w:type="dxa"/>
            <w:vAlign w:val="bottom"/>
            <w:tcBorders>
              <w:bottom w:val="single" w:sz="8" w:color="005AFF"/>
            </w:tcBorders>
          </w:tcPr>
          <w:p>
            <w:pPr>
              <w:jc w:val="right"/>
              <w:spacing w:after="0" w:line="124" w:lineRule="exact"/>
              <w:rPr>
                <w:sz w:val="20"/>
                <w:szCs w:val="20"/>
                <w:color w:val="auto"/>
              </w:rPr>
            </w:pPr>
            <w:r>
              <w:rPr>
                <w:rFonts w:ascii="Times New Roman" w:cs="Times New Roman" w:eastAsia="Times New Roman" w:hAnsi="Times New Roman"/>
                <w:sz w:val="14"/>
                <w:szCs w:val="14"/>
                <w:b w:val="1"/>
                <w:bCs w:val="1"/>
                <w:color w:val="005AFF"/>
                <w:vertAlign w:val="subscript"/>
              </w:rPr>
              <w:t>(m</w:t>
            </w:r>
            <w:r>
              <w:rPr>
                <w:rFonts w:ascii="Times New Roman" w:cs="Times New Roman" w:eastAsia="Times New Roman" w:hAnsi="Times New Roman"/>
                <w:sz w:val="5"/>
                <w:szCs w:val="5"/>
                <w:b w:val="1"/>
                <w:bCs w:val="1"/>
                <w:color w:val="005AFF"/>
              </w:rPr>
              <w:t>2</w:t>
            </w:r>
            <w:r>
              <w:rPr>
                <w:rFonts w:ascii="Times New Roman" w:cs="Times New Roman" w:eastAsia="Times New Roman" w:hAnsi="Times New Roman"/>
                <w:sz w:val="14"/>
                <w:szCs w:val="14"/>
                <w:b w:val="1"/>
                <w:bCs w:val="1"/>
                <w:color w:val="005AFF"/>
                <w:vertAlign w:val="subscript"/>
              </w:rPr>
              <w:t>)</w:t>
            </w:r>
            <w:r>
              <w:rPr>
                <w:rFonts w:ascii="Times New Roman" w:cs="Times New Roman" w:eastAsia="Times New Roman" w:hAnsi="Times New Roman"/>
                <w:sz w:val="5"/>
                <w:szCs w:val="5"/>
                <w:b w:val="1"/>
                <w:bCs w:val="1"/>
                <w:color w:val="005AFF"/>
              </w:rPr>
              <w:t>(2)</w:t>
            </w:r>
          </w:p>
        </w:tc>
        <w:tc>
          <w:tcPr>
            <w:tcW w:w="0" w:type="dxa"/>
            <w:vAlign w:val="bottom"/>
          </w:tcPr>
          <w:p>
            <w:pPr>
              <w:spacing w:after="0"/>
              <w:rPr>
                <w:sz w:val="1"/>
                <w:szCs w:val="1"/>
                <w:color w:val="auto"/>
              </w:rPr>
            </w:pPr>
          </w:p>
        </w:tc>
      </w:tr>
      <w:tr>
        <w:trPr>
          <w:trHeight w:val="81"/>
        </w:trPr>
        <w:tc>
          <w:tcPr>
            <w:tcW w:w="50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China</w:t>
            </w:r>
          </w:p>
        </w:tc>
        <w:tc>
          <w:tcPr>
            <w:tcW w:w="1540" w:type="dxa"/>
            <w:vAlign w:val="bottom"/>
            <w:vMerge w:val="restart"/>
          </w:tcPr>
          <w:p>
            <w:pPr>
              <w:ind w:left="80"/>
              <w:spacing w:after="0"/>
              <w:rPr>
                <w:sz w:val="20"/>
                <w:szCs w:val="20"/>
                <w:color w:val="auto"/>
              </w:rPr>
            </w:pPr>
            <w:r>
              <w:rPr>
                <w:rFonts w:ascii="Times New Roman" w:cs="Times New Roman" w:eastAsia="Times New Roman" w:hAnsi="Times New Roman"/>
                <w:sz w:val="10"/>
                <w:szCs w:val="10"/>
                <w:color w:val="0D0D0D"/>
              </w:rPr>
              <w:t>Suzhou: radio frequency systems</w:t>
            </w:r>
          </w:p>
        </w:tc>
        <w:tc>
          <w:tcPr>
            <w:tcW w:w="2120" w:type="dxa"/>
            <w:vAlign w:val="bottom"/>
          </w:tcPr>
          <w:p>
            <w:pPr>
              <w:jc w:val="right"/>
              <w:ind w:right="1987"/>
              <w:spacing w:after="0"/>
              <w:rPr>
                <w:sz w:val="20"/>
                <w:szCs w:val="20"/>
                <w:color w:val="auto"/>
              </w:rPr>
            </w:pPr>
            <w:r>
              <w:rPr>
                <w:rFonts w:ascii="Times New Roman" w:cs="Times New Roman" w:eastAsia="Times New Roman" w:hAnsi="Times New Roman"/>
                <w:sz w:val="7"/>
                <w:szCs w:val="7"/>
                <w:color w:val="0D0D0D"/>
                <w:w w:val="97"/>
              </w:rPr>
              <w:t>(3)</w:t>
            </w:r>
          </w:p>
        </w:tc>
        <w:tc>
          <w:tcPr>
            <w:tcW w:w="800" w:type="dxa"/>
            <w:vAlign w:val="bottom"/>
            <w:vMerge w:val="restart"/>
          </w:tcPr>
          <w:p>
            <w:pPr>
              <w:jc w:val="right"/>
              <w:ind w:right="35"/>
              <w:spacing w:after="0"/>
              <w:rPr>
                <w:sz w:val="20"/>
                <w:szCs w:val="20"/>
                <w:color w:val="auto"/>
              </w:rPr>
            </w:pPr>
            <w:r>
              <w:rPr>
                <w:rFonts w:ascii="Times New Roman" w:cs="Times New Roman" w:eastAsia="Times New Roman" w:hAnsi="Times New Roman"/>
                <w:sz w:val="10"/>
                <w:szCs w:val="10"/>
                <w:color w:val="0D0D0D"/>
              </w:rPr>
              <w:t>13 500</w:t>
            </w:r>
          </w:p>
        </w:tc>
        <w:tc>
          <w:tcPr>
            <w:tcW w:w="0" w:type="dxa"/>
            <w:vAlign w:val="bottom"/>
          </w:tcPr>
          <w:p>
            <w:pPr>
              <w:spacing w:after="0"/>
              <w:rPr>
                <w:sz w:val="1"/>
                <w:szCs w:val="1"/>
                <w:color w:val="auto"/>
              </w:rPr>
            </w:pPr>
          </w:p>
        </w:tc>
      </w:tr>
      <w:tr>
        <w:trPr>
          <w:trHeight w:val="50"/>
        </w:trPr>
        <w:tc>
          <w:tcPr>
            <w:tcW w:w="500" w:type="dxa"/>
            <w:vAlign w:val="bottom"/>
            <w:vMerge w:val="continue"/>
          </w:tcPr>
          <w:p>
            <w:pPr>
              <w:spacing w:after="0"/>
              <w:rPr>
                <w:sz w:val="4"/>
                <w:szCs w:val="4"/>
                <w:color w:val="auto"/>
              </w:rPr>
            </w:pPr>
          </w:p>
        </w:tc>
        <w:tc>
          <w:tcPr>
            <w:tcW w:w="1540" w:type="dxa"/>
            <w:vAlign w:val="bottom"/>
            <w:vMerge w:val="continue"/>
          </w:tcPr>
          <w:p>
            <w:pPr>
              <w:spacing w:after="0"/>
              <w:rPr>
                <w:sz w:val="4"/>
                <w:szCs w:val="4"/>
                <w:color w:val="auto"/>
              </w:rPr>
            </w:pPr>
          </w:p>
        </w:tc>
        <w:tc>
          <w:tcPr>
            <w:tcW w:w="2120" w:type="dxa"/>
            <w:vAlign w:val="bottom"/>
          </w:tcPr>
          <w:p>
            <w:pPr>
              <w:spacing w:after="0"/>
              <w:rPr>
                <w:sz w:val="4"/>
                <w:szCs w:val="4"/>
                <w:color w:val="auto"/>
              </w:rPr>
            </w:pPr>
          </w:p>
        </w:tc>
        <w:tc>
          <w:tcPr>
            <w:tcW w:w="8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Finland</w:t>
            </w:r>
          </w:p>
        </w:tc>
        <w:tc>
          <w:tcPr>
            <w:tcW w:w="1540" w:type="dxa"/>
            <w:vAlign w:val="bottom"/>
          </w:tcPr>
          <w:p>
            <w:pPr>
              <w:ind w:left="80"/>
              <w:spacing w:after="0"/>
              <w:rPr>
                <w:sz w:val="20"/>
                <w:szCs w:val="20"/>
                <w:color w:val="auto"/>
              </w:rPr>
            </w:pPr>
            <w:r>
              <w:rPr>
                <w:rFonts w:ascii="Times New Roman" w:cs="Times New Roman" w:eastAsia="Times New Roman" w:hAnsi="Times New Roman"/>
                <w:sz w:val="10"/>
                <w:szCs w:val="10"/>
                <w:color w:val="0D0D0D"/>
              </w:rPr>
              <w:t>Oulu: base stations</w:t>
            </w:r>
          </w:p>
        </w:tc>
        <w:tc>
          <w:tcPr>
            <w:tcW w:w="2120" w:type="dxa"/>
            <w:vAlign w:val="bottom"/>
          </w:tcPr>
          <w:p>
            <w:pPr>
              <w:spacing w:after="0"/>
              <w:rPr>
                <w:sz w:val="14"/>
                <w:szCs w:val="14"/>
                <w:color w:val="auto"/>
              </w:rPr>
            </w:pPr>
          </w:p>
        </w:tc>
        <w:tc>
          <w:tcPr>
            <w:tcW w:w="800" w:type="dxa"/>
            <w:vAlign w:val="bottom"/>
          </w:tcPr>
          <w:p>
            <w:pPr>
              <w:jc w:val="right"/>
              <w:ind w:right="35"/>
              <w:spacing w:after="0"/>
              <w:rPr>
                <w:sz w:val="20"/>
                <w:szCs w:val="20"/>
                <w:color w:val="auto"/>
              </w:rPr>
            </w:pPr>
            <w:r>
              <w:rPr>
                <w:rFonts w:ascii="Times New Roman" w:cs="Times New Roman" w:eastAsia="Times New Roman" w:hAnsi="Times New Roman"/>
                <w:sz w:val="10"/>
                <w:szCs w:val="10"/>
                <w:color w:val="0D0D0D"/>
              </w:rPr>
              <w:t>10 000</w:t>
            </w: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France</w:t>
            </w:r>
          </w:p>
        </w:tc>
        <w:tc>
          <w:tcPr>
            <w:tcW w:w="1540" w:type="dxa"/>
            <w:vAlign w:val="bottom"/>
          </w:tcPr>
          <w:p>
            <w:pPr>
              <w:ind w:left="80"/>
              <w:spacing w:after="0"/>
              <w:rPr>
                <w:sz w:val="20"/>
                <w:szCs w:val="20"/>
                <w:color w:val="auto"/>
              </w:rPr>
            </w:pPr>
            <w:r>
              <w:rPr>
                <w:rFonts w:ascii="Times New Roman" w:cs="Times New Roman" w:eastAsia="Times New Roman" w:hAnsi="Times New Roman"/>
                <w:sz w:val="10"/>
                <w:szCs w:val="10"/>
                <w:color w:val="0D0D0D"/>
              </w:rPr>
              <w:t>Calais: submarine cables</w:t>
            </w:r>
          </w:p>
        </w:tc>
        <w:tc>
          <w:tcPr>
            <w:tcW w:w="2120" w:type="dxa"/>
            <w:vAlign w:val="bottom"/>
          </w:tcPr>
          <w:p>
            <w:pPr>
              <w:spacing w:after="0"/>
              <w:rPr>
                <w:sz w:val="14"/>
                <w:szCs w:val="14"/>
                <w:color w:val="auto"/>
              </w:rPr>
            </w:pPr>
          </w:p>
        </w:tc>
        <w:tc>
          <w:tcPr>
            <w:tcW w:w="800" w:type="dxa"/>
            <w:vAlign w:val="bottom"/>
          </w:tcPr>
          <w:p>
            <w:pPr>
              <w:jc w:val="right"/>
              <w:ind w:right="35"/>
              <w:spacing w:after="0"/>
              <w:rPr>
                <w:sz w:val="20"/>
                <w:szCs w:val="20"/>
                <w:color w:val="auto"/>
              </w:rPr>
            </w:pPr>
            <w:r>
              <w:rPr>
                <w:rFonts w:ascii="Times New Roman" w:cs="Times New Roman" w:eastAsia="Times New Roman" w:hAnsi="Times New Roman"/>
                <w:sz w:val="10"/>
                <w:szCs w:val="10"/>
                <w:color w:val="0D0D0D"/>
              </w:rPr>
              <w:t>61 000</w:t>
            </w:r>
          </w:p>
        </w:tc>
        <w:tc>
          <w:tcPr>
            <w:tcW w:w="0" w:type="dxa"/>
            <w:vAlign w:val="bottom"/>
          </w:tcPr>
          <w:p>
            <w:pPr>
              <w:spacing w:after="0"/>
              <w:rPr>
                <w:sz w:val="1"/>
                <w:szCs w:val="1"/>
                <w:color w:val="auto"/>
              </w:rPr>
            </w:pPr>
          </w:p>
        </w:tc>
      </w:tr>
      <w:tr>
        <w:trPr>
          <w:trHeight w:val="111"/>
        </w:trPr>
        <w:tc>
          <w:tcPr>
            <w:tcW w:w="50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Germany</w:t>
            </w:r>
          </w:p>
        </w:tc>
        <w:tc>
          <w:tcPr>
            <w:tcW w:w="1540" w:type="dxa"/>
            <w:vAlign w:val="bottom"/>
            <w:vMerge w:val="restart"/>
          </w:tcPr>
          <w:p>
            <w:pPr>
              <w:ind w:left="80"/>
              <w:spacing w:after="0"/>
              <w:rPr>
                <w:sz w:val="20"/>
                <w:szCs w:val="20"/>
                <w:color w:val="auto"/>
              </w:rPr>
            </w:pPr>
            <w:r>
              <w:rPr>
                <w:rFonts w:ascii="Times New Roman" w:cs="Times New Roman" w:eastAsia="Times New Roman" w:hAnsi="Times New Roman"/>
                <w:sz w:val="10"/>
                <w:szCs w:val="10"/>
                <w:color w:val="0D0D0D"/>
              </w:rPr>
              <w:t>Hannover: radio frequency systems</w:t>
            </w:r>
          </w:p>
        </w:tc>
        <w:tc>
          <w:tcPr>
            <w:tcW w:w="2120" w:type="dxa"/>
            <w:vAlign w:val="bottom"/>
          </w:tcPr>
          <w:p>
            <w:pPr>
              <w:jc w:val="right"/>
              <w:ind w:right="1887"/>
              <w:spacing w:after="0"/>
              <w:rPr>
                <w:sz w:val="20"/>
                <w:szCs w:val="20"/>
                <w:color w:val="auto"/>
              </w:rPr>
            </w:pPr>
            <w:r>
              <w:rPr>
                <w:rFonts w:ascii="Times New Roman" w:cs="Times New Roman" w:eastAsia="Times New Roman" w:hAnsi="Times New Roman"/>
                <w:sz w:val="7"/>
                <w:szCs w:val="7"/>
                <w:color w:val="0D0D0D"/>
              </w:rPr>
              <w:t>(4)</w:t>
            </w:r>
          </w:p>
        </w:tc>
        <w:tc>
          <w:tcPr>
            <w:tcW w:w="800" w:type="dxa"/>
            <w:vAlign w:val="bottom"/>
            <w:vMerge w:val="restart"/>
          </w:tcPr>
          <w:p>
            <w:pPr>
              <w:jc w:val="right"/>
              <w:ind w:right="35"/>
              <w:spacing w:after="0"/>
              <w:rPr>
                <w:sz w:val="20"/>
                <w:szCs w:val="20"/>
                <w:color w:val="auto"/>
              </w:rPr>
            </w:pPr>
            <w:r>
              <w:rPr>
                <w:rFonts w:ascii="Times New Roman" w:cs="Times New Roman" w:eastAsia="Times New Roman" w:hAnsi="Times New Roman"/>
                <w:sz w:val="10"/>
                <w:szCs w:val="10"/>
                <w:color w:val="0D0D0D"/>
              </w:rPr>
              <w:t>23 500</w:t>
            </w:r>
          </w:p>
        </w:tc>
        <w:tc>
          <w:tcPr>
            <w:tcW w:w="0" w:type="dxa"/>
            <w:vAlign w:val="bottom"/>
          </w:tcPr>
          <w:p>
            <w:pPr>
              <w:spacing w:after="0"/>
              <w:rPr>
                <w:sz w:val="1"/>
                <w:szCs w:val="1"/>
                <w:color w:val="auto"/>
              </w:rPr>
            </w:pPr>
          </w:p>
        </w:tc>
      </w:tr>
      <w:tr>
        <w:trPr>
          <w:trHeight w:val="50"/>
        </w:trPr>
        <w:tc>
          <w:tcPr>
            <w:tcW w:w="500" w:type="dxa"/>
            <w:vAlign w:val="bottom"/>
            <w:vMerge w:val="continue"/>
          </w:tcPr>
          <w:p>
            <w:pPr>
              <w:spacing w:after="0"/>
              <w:rPr>
                <w:sz w:val="4"/>
                <w:szCs w:val="4"/>
                <w:color w:val="auto"/>
              </w:rPr>
            </w:pPr>
          </w:p>
        </w:tc>
        <w:tc>
          <w:tcPr>
            <w:tcW w:w="1540" w:type="dxa"/>
            <w:vAlign w:val="bottom"/>
            <w:vMerge w:val="continue"/>
          </w:tcPr>
          <w:p>
            <w:pPr>
              <w:spacing w:after="0"/>
              <w:rPr>
                <w:sz w:val="4"/>
                <w:szCs w:val="4"/>
                <w:color w:val="auto"/>
              </w:rPr>
            </w:pPr>
          </w:p>
        </w:tc>
        <w:tc>
          <w:tcPr>
            <w:tcW w:w="2120" w:type="dxa"/>
            <w:vAlign w:val="bottom"/>
          </w:tcPr>
          <w:p>
            <w:pPr>
              <w:spacing w:after="0"/>
              <w:rPr>
                <w:sz w:val="4"/>
                <w:szCs w:val="4"/>
                <w:color w:val="auto"/>
              </w:rPr>
            </w:pPr>
          </w:p>
        </w:tc>
        <w:tc>
          <w:tcPr>
            <w:tcW w:w="8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India</w:t>
            </w:r>
          </w:p>
        </w:tc>
        <w:tc>
          <w:tcPr>
            <w:tcW w:w="3660" w:type="dxa"/>
            <w:vAlign w:val="bottom"/>
            <w:gridSpan w:val="2"/>
          </w:tcPr>
          <w:p>
            <w:pPr>
              <w:ind w:left="80"/>
              <w:spacing w:after="0"/>
              <w:rPr>
                <w:sz w:val="20"/>
                <w:szCs w:val="20"/>
                <w:color w:val="auto"/>
              </w:rPr>
            </w:pPr>
            <w:r>
              <w:rPr>
                <w:rFonts w:ascii="Times New Roman" w:cs="Times New Roman" w:eastAsia="Times New Roman" w:hAnsi="Times New Roman"/>
                <w:sz w:val="10"/>
                <w:szCs w:val="10"/>
                <w:color w:val="0D0D0D"/>
              </w:rPr>
              <w:t>Chennai: base stations, radio controllers and transmission systems, fixed networks</w:t>
            </w:r>
          </w:p>
        </w:tc>
        <w:tc>
          <w:tcPr>
            <w:tcW w:w="800" w:type="dxa"/>
            <w:vAlign w:val="bottom"/>
          </w:tcPr>
          <w:p>
            <w:pPr>
              <w:jc w:val="right"/>
              <w:ind w:right="35"/>
              <w:spacing w:after="0"/>
              <w:rPr>
                <w:sz w:val="20"/>
                <w:szCs w:val="20"/>
                <w:color w:val="auto"/>
              </w:rPr>
            </w:pPr>
            <w:r>
              <w:rPr>
                <w:rFonts w:ascii="Times New Roman" w:cs="Times New Roman" w:eastAsia="Times New Roman" w:hAnsi="Times New Roman"/>
                <w:sz w:val="10"/>
                <w:szCs w:val="10"/>
                <w:color w:val="0D0D0D"/>
              </w:rPr>
              <w:t>15 500</w:t>
            </w:r>
          </w:p>
        </w:tc>
        <w:tc>
          <w:tcPr>
            <w:tcW w:w="0" w:type="dxa"/>
            <w:vAlign w:val="bottom"/>
          </w:tcPr>
          <w:p>
            <w:pPr>
              <w:spacing w:after="0"/>
              <w:rPr>
                <w:sz w:val="1"/>
                <w:szCs w:val="1"/>
                <w:color w:val="auto"/>
              </w:rPr>
            </w:pPr>
          </w:p>
        </w:tc>
      </w:tr>
      <w:tr>
        <w:trPr>
          <w:trHeight w:val="167"/>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UK</w:t>
            </w:r>
          </w:p>
        </w:tc>
        <w:tc>
          <w:tcPr>
            <w:tcW w:w="15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0"/>
                <w:szCs w:val="10"/>
                <w:color w:val="0D0D0D"/>
              </w:rPr>
              <w:t>Greenwich: submarine cables</w:t>
            </w:r>
          </w:p>
        </w:tc>
        <w:tc>
          <w:tcPr>
            <w:tcW w:w="212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jc w:val="right"/>
              <w:ind w:right="35"/>
              <w:spacing w:after="0"/>
              <w:rPr>
                <w:sz w:val="20"/>
                <w:szCs w:val="20"/>
                <w:color w:val="auto"/>
              </w:rPr>
            </w:pPr>
            <w:r>
              <w:rPr>
                <w:rFonts w:ascii="Times New Roman" w:cs="Times New Roman" w:eastAsia="Times New Roman" w:hAnsi="Times New Roman"/>
                <w:sz w:val="10"/>
                <w:szCs w:val="10"/>
                <w:color w:val="0D0D0D"/>
              </w:rPr>
              <w:t>11 000</w:t>
            </w:r>
          </w:p>
        </w:tc>
        <w:tc>
          <w:tcPr>
            <w:tcW w:w="0" w:type="dxa"/>
            <w:vAlign w:val="bottom"/>
          </w:tcPr>
          <w:p>
            <w:pPr>
              <w:spacing w:after="0"/>
              <w:rPr>
                <w:sz w:val="1"/>
                <w:szCs w:val="1"/>
                <w:color w:val="auto"/>
              </w:rPr>
            </w:pPr>
          </w:p>
        </w:tc>
      </w:tr>
    </w:tbl>
    <w:p>
      <w:pPr>
        <w:spacing w:after="0" w:line="31" w:lineRule="exact"/>
        <w:rPr>
          <w:sz w:val="20"/>
          <w:szCs w:val="20"/>
          <w:color w:val="auto"/>
        </w:rPr>
      </w:pPr>
    </w:p>
    <w:p>
      <w:pPr>
        <w:ind w:left="200" w:right="600" w:hanging="198"/>
        <w:spacing w:after="0" w:line="267" w:lineRule="auto"/>
        <w:tabs>
          <w:tab w:leader="none" w:pos="200" w:val="left"/>
        </w:tabs>
        <w:numPr>
          <w:ilvl w:val="0"/>
          <w:numId w:val="2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We consider the production capacity of our manufacturing network to be sufficient to meet the requirements of our business. The extent of utilization of our manufacturing facilities varies from plant to plant and from time to time during the year. None of</w:t>
      </w:r>
    </w:p>
    <w:p>
      <w:pPr>
        <w:spacing w:after="0" w:line="1" w:lineRule="exact"/>
        <w:rPr>
          <w:sz w:val="20"/>
          <w:szCs w:val="20"/>
          <w:color w:val="auto"/>
        </w:rPr>
      </w:pPr>
    </w:p>
    <w:p>
      <w:pPr>
        <w:ind w:left="200"/>
        <w:spacing w:after="0"/>
        <w:rPr>
          <w:sz w:val="20"/>
          <w:szCs w:val="20"/>
          <w:color w:val="auto"/>
        </w:rPr>
      </w:pPr>
      <w:r>
        <w:rPr>
          <w:rFonts w:ascii="Times New Roman" w:cs="Times New Roman" w:eastAsia="Times New Roman" w:hAnsi="Times New Roman"/>
          <w:sz w:val="8"/>
          <w:szCs w:val="8"/>
          <w:color w:val="auto"/>
        </w:rPr>
        <w:t>these facilities is subject to a material encumbrance. During 2023, Nokia disposed of the following sites: 1) Trignac: radio</w:t>
      </w:r>
    </w:p>
    <w:p>
      <w:pPr>
        <w:spacing w:after="0" w:line="4" w:lineRule="exact"/>
        <w:rPr>
          <w:sz w:val="20"/>
          <w:szCs w:val="20"/>
          <w:color w:val="auto"/>
        </w:rPr>
      </w:pPr>
    </w:p>
    <w:p>
      <w:pPr>
        <w:ind w:left="200"/>
        <w:spacing w:after="0"/>
        <w:tabs>
          <w:tab w:leader="none" w:pos="1520" w:val="left"/>
          <w:tab w:leader="none" w:pos="4380" w:val="left"/>
        </w:tabs>
        <w:rPr>
          <w:sz w:val="20"/>
          <w:szCs w:val="20"/>
          <w:color w:val="auto"/>
        </w:rPr>
      </w:pPr>
      <w:r>
        <w:rPr>
          <w:rFonts w:ascii="Times New Roman" w:cs="Times New Roman" w:eastAsia="Times New Roman" w:hAnsi="Times New Roman"/>
          <w:sz w:val="8"/>
          <w:szCs w:val="8"/>
          <w:color w:val="auto"/>
        </w:rPr>
        <w:t>frequency systems (France), 7 300 m</w:t>
      </w:r>
      <w:r>
        <w:rPr>
          <w:sz w:val="20"/>
          <w:szCs w:val="20"/>
          <w:color w:val="auto"/>
        </w:rPr>
        <w:tab/>
      </w:r>
      <w:r>
        <w:rPr>
          <w:rFonts w:ascii="Times New Roman" w:cs="Times New Roman" w:eastAsia="Times New Roman" w:hAnsi="Times New Roman"/>
          <w:sz w:val="5"/>
          <w:szCs w:val="5"/>
          <w:color w:val="auto"/>
        </w:rPr>
        <w:t xml:space="preserve">2 </w:t>
      </w:r>
      <w:r>
        <w:rPr>
          <w:rFonts w:ascii="Times New Roman" w:cs="Times New Roman" w:eastAsia="Times New Roman" w:hAnsi="Times New Roman"/>
          <w:sz w:val="8"/>
          <w:szCs w:val="8"/>
          <w:color w:val="auto"/>
        </w:rPr>
        <w:t>net productive capacity, 2) Meriden: radio frequency systems (USA), 31 000 m</w:t>
      </w:r>
      <w:r>
        <w:rPr>
          <w:sz w:val="20"/>
          <w:szCs w:val="20"/>
          <w:color w:val="auto"/>
        </w:rPr>
        <w:tab/>
      </w:r>
      <w:r>
        <w:rPr>
          <w:rFonts w:ascii="Times New Roman" w:cs="Times New Roman" w:eastAsia="Times New Roman" w:hAnsi="Times New Roman"/>
          <w:sz w:val="5"/>
          <w:szCs w:val="5"/>
          <w:color w:val="auto"/>
        </w:rPr>
        <w:t xml:space="preserve">2 </w:t>
      </w:r>
      <w:r>
        <w:rPr>
          <w:rFonts w:ascii="Times New Roman" w:cs="Times New Roman" w:eastAsia="Times New Roman" w:hAnsi="Times New Roman"/>
          <w:sz w:val="8"/>
          <w:szCs w:val="8"/>
          <w:color w:val="auto"/>
        </w:rPr>
        <w:t>net</w:t>
      </w:r>
    </w:p>
    <w:p>
      <w:pPr>
        <w:spacing w:after="0" w:line="4" w:lineRule="exact"/>
        <w:rPr>
          <w:sz w:val="20"/>
          <w:szCs w:val="20"/>
          <w:color w:val="auto"/>
        </w:rPr>
      </w:pPr>
    </w:p>
    <w:p>
      <w:pPr>
        <w:ind w:left="200"/>
        <w:spacing w:after="0"/>
        <w:tabs>
          <w:tab w:leader="none" w:pos="3660" w:val="left"/>
        </w:tabs>
        <w:rPr>
          <w:sz w:val="20"/>
          <w:szCs w:val="20"/>
          <w:color w:val="auto"/>
        </w:rPr>
      </w:pPr>
      <w:r>
        <w:rPr>
          <w:rFonts w:ascii="Times New Roman" w:cs="Times New Roman" w:eastAsia="Times New Roman" w:hAnsi="Times New Roman"/>
          <w:sz w:val="8"/>
          <w:szCs w:val="8"/>
          <w:color w:val="auto"/>
        </w:rPr>
        <w:t>productive capacity, and 3) Bydgoszcz: remanufacturing, product integration (Poland), 15 200 m</w:t>
      </w:r>
      <w:r>
        <w:rPr>
          <w:sz w:val="20"/>
          <w:szCs w:val="20"/>
          <w:color w:val="auto"/>
        </w:rPr>
        <w:tab/>
      </w:r>
      <w:r>
        <w:rPr>
          <w:rFonts w:ascii="Times New Roman" w:cs="Times New Roman" w:eastAsia="Times New Roman" w:hAnsi="Times New Roman"/>
          <w:sz w:val="5"/>
          <w:szCs w:val="5"/>
          <w:color w:val="auto"/>
        </w:rPr>
        <w:t xml:space="preserve">2 </w:t>
      </w:r>
      <w:r>
        <w:rPr>
          <w:rFonts w:ascii="Times New Roman" w:cs="Times New Roman" w:eastAsia="Times New Roman" w:hAnsi="Times New Roman"/>
          <w:sz w:val="8"/>
          <w:szCs w:val="8"/>
          <w:color w:val="auto"/>
        </w:rPr>
        <w:t>net productive capacity. During</w:t>
      </w:r>
    </w:p>
    <w:p>
      <w:pPr>
        <w:spacing w:after="0" w:line="4" w:lineRule="exact"/>
        <w:rPr>
          <w:sz w:val="20"/>
          <w:szCs w:val="20"/>
          <w:color w:val="auto"/>
        </w:rPr>
      </w:pPr>
    </w:p>
    <w:p>
      <w:pPr>
        <w:ind w:left="200"/>
        <w:spacing w:after="0"/>
        <w:tabs>
          <w:tab w:leader="none" w:pos="4220" w:val="left"/>
        </w:tabs>
        <w:rPr>
          <w:sz w:val="20"/>
          <w:szCs w:val="20"/>
          <w:color w:val="auto"/>
        </w:rPr>
      </w:pPr>
      <w:r>
        <w:rPr>
          <w:rFonts w:ascii="Times New Roman" w:cs="Times New Roman" w:eastAsia="Times New Roman" w:hAnsi="Times New Roman"/>
          <w:sz w:val="8"/>
          <w:szCs w:val="8"/>
          <w:color w:val="auto"/>
        </w:rPr>
        <w:t>2022, manufacturing activities ended at the following site: Kilsyth: radio frequency systems (Australia), 5 400 m</w:t>
      </w:r>
      <w:r>
        <w:rPr>
          <w:sz w:val="20"/>
          <w:szCs w:val="20"/>
          <w:color w:val="auto"/>
        </w:rPr>
        <w:tab/>
      </w:r>
      <w:r>
        <w:rPr>
          <w:rFonts w:ascii="Times New Roman" w:cs="Times New Roman" w:eastAsia="Times New Roman" w:hAnsi="Times New Roman"/>
          <w:sz w:val="5"/>
          <w:szCs w:val="5"/>
          <w:color w:val="auto"/>
        </w:rPr>
        <w:t xml:space="preserve">2 </w:t>
      </w:r>
      <w:r>
        <w:rPr>
          <w:rFonts w:ascii="Times New Roman" w:cs="Times New Roman" w:eastAsia="Times New Roman" w:hAnsi="Times New Roman"/>
          <w:sz w:val="8"/>
          <w:szCs w:val="8"/>
          <w:color w:val="auto"/>
        </w:rPr>
        <w:t>net productive</w:t>
      </w:r>
    </w:p>
    <w:p>
      <w:pPr>
        <w:spacing w:after="0" w:line="4" w:lineRule="exact"/>
        <w:rPr>
          <w:sz w:val="20"/>
          <w:szCs w:val="20"/>
          <w:color w:val="auto"/>
        </w:rPr>
      </w:pPr>
    </w:p>
    <w:p>
      <w:pPr>
        <w:ind w:left="200"/>
        <w:spacing w:after="0"/>
        <w:rPr>
          <w:sz w:val="20"/>
          <w:szCs w:val="20"/>
          <w:color w:val="auto"/>
        </w:rPr>
      </w:pPr>
      <w:r>
        <w:rPr>
          <w:rFonts w:ascii="Times New Roman" w:cs="Times New Roman" w:eastAsia="Times New Roman" w:hAnsi="Times New Roman"/>
          <w:sz w:val="8"/>
          <w:szCs w:val="8"/>
          <w:color w:val="auto"/>
        </w:rPr>
        <w:t>capacity.</w:t>
      </w:r>
    </w:p>
    <w:p>
      <w:pPr>
        <w:spacing w:after="0" w:line="9" w:lineRule="exact"/>
        <w:rPr>
          <w:sz w:val="20"/>
          <w:szCs w:val="20"/>
          <w:color w:val="auto"/>
        </w:rPr>
      </w:pPr>
    </w:p>
    <w:p>
      <w:pPr>
        <w:ind w:left="200" w:hanging="198"/>
        <w:spacing w:after="0"/>
        <w:tabs>
          <w:tab w:leader="none" w:pos="200" w:val="left"/>
        </w:tabs>
        <w:numPr>
          <w:ilvl w:val="0"/>
          <w:numId w:val="2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Production capacity equals the total area allotted to manufacturing and to the storage of manufacturing-related materials.</w:t>
      </w:r>
    </w:p>
    <w:p>
      <w:pPr>
        <w:spacing w:after="0" w:line="4" w:lineRule="exact"/>
        <w:rPr>
          <w:rFonts w:ascii="Times New Roman" w:cs="Times New Roman" w:eastAsia="Times New Roman" w:hAnsi="Times New Roman"/>
          <w:sz w:val="8"/>
          <w:szCs w:val="8"/>
          <w:color w:val="auto"/>
        </w:rPr>
      </w:pPr>
    </w:p>
    <w:p>
      <w:pPr>
        <w:ind w:left="200" w:hanging="198"/>
        <w:spacing w:after="0"/>
        <w:tabs>
          <w:tab w:leader="none" w:pos="200" w:val="left"/>
        </w:tabs>
        <w:numPr>
          <w:ilvl w:val="0"/>
          <w:numId w:val="2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December 2022, Nokia entered into an agreement regarding the disposal of this site, and during 2023, Nokia partially disposed</w:t>
      </w:r>
    </w:p>
    <w:p>
      <w:pPr>
        <w:spacing w:after="0" w:line="4" w:lineRule="exact"/>
        <w:rPr>
          <w:sz w:val="20"/>
          <w:szCs w:val="20"/>
          <w:color w:val="auto"/>
        </w:rPr>
      </w:pPr>
    </w:p>
    <w:p>
      <w:pPr>
        <w:ind w:left="200"/>
        <w:spacing w:after="0"/>
        <w:tabs>
          <w:tab w:leader="none" w:pos="3260" w:val="left"/>
        </w:tabs>
        <w:rPr>
          <w:sz w:val="20"/>
          <w:szCs w:val="20"/>
          <w:color w:val="auto"/>
        </w:rPr>
      </w:pPr>
      <w:r>
        <w:rPr>
          <w:rFonts w:ascii="Times New Roman" w:cs="Times New Roman" w:eastAsia="Times New Roman" w:hAnsi="Times New Roman"/>
          <w:sz w:val="8"/>
          <w:szCs w:val="8"/>
          <w:color w:val="auto"/>
        </w:rPr>
        <w:t>of the site. As of 31 December 2023, the site’s productive capacity totaled 27 000 m</w:t>
      </w:r>
      <w:r>
        <w:rPr>
          <w:sz w:val="20"/>
          <w:szCs w:val="20"/>
          <w:color w:val="auto"/>
        </w:rPr>
        <w:tab/>
      </w:r>
      <w:r>
        <w:rPr>
          <w:rFonts w:ascii="Times New Roman" w:cs="Times New Roman" w:eastAsia="Times New Roman" w:hAnsi="Times New Roman"/>
          <w:sz w:val="5"/>
          <w:szCs w:val="5"/>
          <w:color w:val="auto"/>
        </w:rPr>
        <w:t>2</w:t>
      </w:r>
      <w:r>
        <w:rPr>
          <w:rFonts w:ascii="Times New Roman" w:cs="Times New Roman" w:eastAsia="Times New Roman" w:hAnsi="Times New Roman"/>
          <w:sz w:val="8"/>
          <w:szCs w:val="8"/>
          <w:color w:val="auto"/>
        </w:rPr>
        <w:t>, of which the net productive capacity</w:t>
      </w:r>
    </w:p>
    <w:p>
      <w:pPr>
        <w:spacing w:after="0" w:line="4" w:lineRule="exact"/>
        <w:rPr>
          <w:sz w:val="20"/>
          <w:szCs w:val="20"/>
          <w:color w:val="auto"/>
        </w:rPr>
      </w:pPr>
    </w:p>
    <w:p>
      <w:pPr>
        <w:ind w:left="200" w:right="520"/>
        <w:spacing w:after="0" w:line="257" w:lineRule="auto"/>
        <w:rPr>
          <w:sz w:val="20"/>
          <w:szCs w:val="20"/>
          <w:color w:val="auto"/>
        </w:rPr>
      </w:pPr>
      <w:r>
        <w:rPr>
          <w:rFonts w:ascii="Times New Roman" w:cs="Times New Roman" w:eastAsia="Times New Roman" w:hAnsi="Times New Roman"/>
          <w:sz w:val="8"/>
          <w:szCs w:val="8"/>
          <w:color w:val="auto"/>
        </w:rPr>
        <w:t xml:space="preserve">attributable to Nokia was 13 500 m </w:t>
      </w:r>
      <w:r>
        <w:rPr>
          <w:rFonts w:ascii="Times New Roman" w:cs="Times New Roman" w:eastAsia="Times New Roman" w:hAnsi="Times New Roman"/>
          <w:sz w:val="5"/>
          <w:szCs w:val="5"/>
          <w:color w:val="auto"/>
        </w:rPr>
        <w:t>2</w:t>
      </w:r>
      <w:r>
        <w:rPr>
          <w:rFonts w:ascii="Times New Roman" w:cs="Times New Roman" w:eastAsia="Times New Roman" w:hAnsi="Times New Roman"/>
          <w:sz w:val="8"/>
          <w:szCs w:val="8"/>
          <w:color w:val="auto"/>
        </w:rPr>
        <w:t>. The disposal of the remaining net productive capacity is expected to be completed during 2024.</w:t>
      </w:r>
    </w:p>
    <w:p>
      <w:pPr>
        <w:ind w:left="200" w:hanging="198"/>
        <w:spacing w:after="0"/>
        <w:tabs>
          <w:tab w:leader="none" w:pos="200" w:val="left"/>
        </w:tabs>
        <w:numPr>
          <w:ilvl w:val="0"/>
          <w:numId w:val="2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Nokia has entered into an agreement on the disposal of this site. The disposal is expected to be completed during 2024.</w:t>
      </w:r>
    </w:p>
    <w:p>
      <w:pPr>
        <w:spacing w:after="0" w:line="271" w:lineRule="exact"/>
        <w:rPr>
          <w:sz w:val="20"/>
          <w:szCs w:val="20"/>
          <w:color w:val="auto"/>
        </w:rPr>
      </w:pPr>
    </w:p>
    <w:p>
      <w:pPr>
        <w:sectPr>
          <w:pgSz w:w="11900" w:h="16838" w:orient="portrait"/>
          <w:cols w:equalWidth="0" w:num="2">
            <w:col w:w="4420" w:space="680"/>
            <w:col w:w="4960"/>
          </w:cols>
          <w:pgMar w:left="960" w:top="409" w:right="87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40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60"/>
          </w:cols>
          <w:pgMar w:left="960" w:top="409" w:right="879" w:bottom="1440" w:gutter="0" w:footer="0" w:header="0"/>
          <w:type w:val="continuous"/>
        </w:sectPr>
      </w:pPr>
    </w:p>
    <w:bookmarkStart w:id="40" w:name="page41"/>
    <w:bookmarkEnd w:id="4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33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67"/>
          <w:szCs w:val="67"/>
          <w:color w:val="FFFFFF"/>
        </w:rPr>
        <w:t>Corporate</w:t>
      </w:r>
    </w:p>
    <w:p>
      <w:pPr>
        <w:spacing w:after="0"/>
        <w:rPr>
          <w:sz w:val="20"/>
          <w:szCs w:val="20"/>
          <w:color w:val="auto"/>
        </w:rPr>
      </w:pPr>
      <w:r>
        <w:rPr>
          <w:rFonts w:ascii="Times New Roman" w:cs="Times New Roman" w:eastAsia="Times New Roman" w:hAnsi="Times New Roman"/>
          <w:sz w:val="67"/>
          <w:szCs w:val="67"/>
          <w:color w:val="FFFFFF"/>
        </w:rPr>
        <w:t>governance</w:t>
      </w:r>
    </w:p>
    <w:p>
      <w:pPr>
        <w:spacing w:after="0" w:line="313" w:lineRule="exact"/>
        <w:rPr>
          <w:sz w:val="20"/>
          <w:szCs w:val="20"/>
          <w:color w:val="auto"/>
        </w:rPr>
      </w:pPr>
    </w:p>
    <w:tbl>
      <w:tblPr>
        <w:tblLayout w:type="fixed"/>
        <w:tblInd w:w="40" w:type="dxa"/>
        <w:tblCellMar>
          <w:top w:w="0" w:type="dxa"/>
          <w:left w:w="0" w:type="dxa"/>
          <w:bottom w:w="0" w:type="dxa"/>
          <w:right w:w="0" w:type="dxa"/>
        </w:tblCellMar>
      </w:tblPr>
      <w:tr>
        <w:trPr>
          <w:trHeight w:val="122"/>
        </w:trPr>
        <w:tc>
          <w:tcPr>
            <w:tcW w:w="2200" w:type="dxa"/>
            <w:vAlign w:val="bottom"/>
          </w:tcPr>
          <w:p>
            <w:pPr>
              <w:spacing w:after="0"/>
              <w:rPr>
                <w:sz w:val="20"/>
                <w:szCs w:val="20"/>
                <w:color w:val="auto"/>
              </w:rPr>
            </w:pPr>
            <w:r>
              <w:rPr>
                <w:rFonts w:ascii="Times New Roman" w:cs="Times New Roman" w:eastAsia="Times New Roman" w:hAnsi="Times New Roman"/>
                <w:sz w:val="9"/>
                <w:szCs w:val="9"/>
                <w:color w:val="FFFFFF"/>
              </w:rPr>
              <w:t>Corporate governance statement</w:t>
            </w:r>
          </w:p>
        </w:tc>
        <w:tc>
          <w:tcPr>
            <w:tcW w:w="800" w:type="dxa"/>
            <w:vAlign w:val="bottom"/>
          </w:tcPr>
          <w:p>
            <w:pPr>
              <w:spacing w:after="0"/>
              <w:rPr>
                <w:sz w:val="10"/>
                <w:szCs w:val="10"/>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34</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Regulatory framework</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34</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Main corporate governance bodies of Nokia</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35</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General Meeting of Shareholders</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35</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Board of Directors</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36</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Group Leadership Team and the President and CEO</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49</w:t>
            </w:r>
          </w:p>
        </w:tc>
      </w:tr>
      <w:tr>
        <w:trPr>
          <w:trHeight w:val="131"/>
        </w:trPr>
        <w:tc>
          <w:tcPr>
            <w:tcW w:w="300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FFFFFF"/>
              </w:rPr>
              <w:t>Risk management, internal control and internal audit functions at Nokia</w:t>
            </w: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53</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Main procedures relating to insider administration</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55</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Auditor fees and services</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55</w:t>
            </w:r>
          </w:p>
        </w:tc>
      </w:tr>
      <w:tr>
        <w:trPr>
          <w:trHeight w:val="131"/>
        </w:trPr>
        <w:tc>
          <w:tcPr>
            <w:tcW w:w="2200" w:type="dxa"/>
            <w:vAlign w:val="bottom"/>
          </w:tcPr>
          <w:p>
            <w:pPr>
              <w:spacing w:after="0"/>
              <w:rPr>
                <w:sz w:val="20"/>
                <w:szCs w:val="20"/>
                <w:color w:val="auto"/>
              </w:rPr>
            </w:pPr>
            <w:r>
              <w:rPr>
                <w:rFonts w:ascii="Times New Roman" w:cs="Times New Roman" w:eastAsia="Times New Roman" w:hAnsi="Times New Roman"/>
                <w:sz w:val="9"/>
                <w:szCs w:val="9"/>
                <w:color w:val="FFFFFF"/>
              </w:rPr>
              <w:t>Remuneration</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56</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Highlights</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56</w:t>
            </w:r>
          </w:p>
        </w:tc>
      </w:tr>
      <w:tr>
        <w:trPr>
          <w:trHeight w:val="142"/>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Remuneration R eport 2023</w:t>
            </w:r>
          </w:p>
        </w:tc>
        <w:tc>
          <w:tcPr>
            <w:tcW w:w="800" w:type="dxa"/>
            <w:vAlign w:val="bottom"/>
          </w:tcPr>
          <w:p>
            <w:pPr>
              <w:spacing w:after="0"/>
              <w:rPr>
                <w:sz w:val="12"/>
                <w:szCs w:val="12"/>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57</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Letter from the Chair of the Personnel Committee</w:t>
            </w:r>
          </w:p>
        </w:tc>
        <w:tc>
          <w:tcPr>
            <w:tcW w:w="800" w:type="dxa"/>
            <w:vAlign w:val="bottom"/>
          </w:tcPr>
          <w:p>
            <w:pPr>
              <w:ind w:left="80"/>
              <w:spacing w:after="0"/>
              <w:rPr>
                <w:sz w:val="20"/>
                <w:szCs w:val="20"/>
                <w:color w:val="auto"/>
              </w:rPr>
            </w:pPr>
            <w:r>
              <w:rPr>
                <w:rFonts w:ascii="Times New Roman" w:cs="Times New Roman" w:eastAsia="Times New Roman" w:hAnsi="Times New Roman"/>
                <w:sz w:val="9"/>
                <w:szCs w:val="9"/>
                <w:color w:val="FFFFFF"/>
              </w:rPr>
              <w:t>of the Board</w:t>
            </w: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57</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Introduction</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59</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Remuneration of the Board of Directors</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60</w:t>
            </w:r>
          </w:p>
        </w:tc>
      </w:tr>
      <w:tr>
        <w:trPr>
          <w:trHeight w:val="131"/>
        </w:trPr>
        <w:tc>
          <w:tcPr>
            <w:tcW w:w="22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Remuneration of the President and CEO</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61</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Remuneration Policy</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64</w:t>
            </w:r>
          </w:p>
        </w:tc>
      </w:tr>
      <w:tr>
        <w:trPr>
          <w:trHeight w:val="131"/>
        </w:trPr>
        <w:tc>
          <w:tcPr>
            <w:tcW w:w="3000" w:type="dxa"/>
            <w:vAlign w:val="bottom"/>
            <w:gridSpan w:val="2"/>
          </w:tcPr>
          <w:p>
            <w:pPr>
              <w:ind w:left="180"/>
              <w:spacing w:after="0"/>
              <w:rPr>
                <w:sz w:val="20"/>
                <w:szCs w:val="20"/>
                <w:color w:val="auto"/>
              </w:rPr>
            </w:pPr>
            <w:r>
              <w:rPr>
                <w:rFonts w:ascii="Times New Roman" w:cs="Times New Roman" w:eastAsia="Times New Roman" w:hAnsi="Times New Roman"/>
                <w:sz w:val="9"/>
                <w:szCs w:val="9"/>
                <w:color w:val="FFFFFF"/>
              </w:rPr>
              <w:t>The updated Remuneration Policy for the Board of Directors</w:t>
            </w: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64</w:t>
            </w:r>
          </w:p>
        </w:tc>
      </w:tr>
      <w:tr>
        <w:trPr>
          <w:trHeight w:val="131"/>
        </w:trPr>
        <w:tc>
          <w:tcPr>
            <w:tcW w:w="3000" w:type="dxa"/>
            <w:vAlign w:val="bottom"/>
            <w:gridSpan w:val="2"/>
          </w:tcPr>
          <w:p>
            <w:pPr>
              <w:ind w:left="180"/>
              <w:spacing w:after="0"/>
              <w:rPr>
                <w:sz w:val="20"/>
                <w:szCs w:val="20"/>
                <w:color w:val="auto"/>
              </w:rPr>
            </w:pPr>
            <w:r>
              <w:rPr>
                <w:rFonts w:ascii="Times New Roman" w:cs="Times New Roman" w:eastAsia="Times New Roman" w:hAnsi="Times New Roman"/>
                <w:sz w:val="9"/>
                <w:szCs w:val="9"/>
                <w:color w:val="FFFFFF"/>
              </w:rPr>
              <w:t>The updated Remuneration Policy for the President and CEO</w:t>
            </w: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65</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Remuneration governance</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68</w:t>
            </w:r>
          </w:p>
        </w:tc>
      </w:tr>
      <w:tr>
        <w:trPr>
          <w:trHeight w:val="131"/>
        </w:trPr>
        <w:tc>
          <w:tcPr>
            <w:tcW w:w="300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FFFFFF"/>
              </w:rPr>
              <w:t>Remuneration of the Nokia Group Leadership Team in 2023</w:t>
            </w: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69</w:t>
            </w:r>
          </w:p>
        </w:tc>
      </w:tr>
      <w:tr>
        <w:trPr>
          <w:trHeight w:val="131"/>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Pay for performance</w:t>
            </w:r>
          </w:p>
        </w:tc>
        <w:tc>
          <w:tcPr>
            <w:tcW w:w="800" w:type="dxa"/>
            <w:vAlign w:val="bottom"/>
          </w:tcPr>
          <w:p>
            <w:pPr>
              <w:spacing w:after="0"/>
              <w:rPr>
                <w:sz w:val="11"/>
                <w:szCs w:val="11"/>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71</w:t>
            </w:r>
          </w:p>
        </w:tc>
      </w:tr>
      <w:tr>
        <w:trPr>
          <w:trHeight w:val="142"/>
        </w:trPr>
        <w:tc>
          <w:tcPr>
            <w:tcW w:w="22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Global peer group</w:t>
            </w:r>
          </w:p>
        </w:tc>
        <w:tc>
          <w:tcPr>
            <w:tcW w:w="800" w:type="dxa"/>
            <w:vAlign w:val="bottom"/>
          </w:tcPr>
          <w:p>
            <w:pPr>
              <w:spacing w:after="0"/>
              <w:rPr>
                <w:sz w:val="12"/>
                <w:szCs w:val="12"/>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71</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9980"/>
          </w:cols>
          <w:pgMar w:left="960" w:top="410" w:right="959" w:bottom="1440" w:gutter="0" w:footer="0" w:header="0"/>
        </w:sectPr>
      </w:pPr>
    </w:p>
    <w:bookmarkStart w:id="41" w:name="page42"/>
    <w:bookmarkEnd w:id="41"/>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68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Corporate governance statement</w:t>
      </w:r>
    </w:p>
    <w:p>
      <w:pPr>
        <w:spacing w:after="0" w:line="222" w:lineRule="exact"/>
        <w:rPr>
          <w:sz w:val="20"/>
          <w:szCs w:val="20"/>
          <w:color w:val="auto"/>
        </w:rPr>
      </w:pPr>
    </w:p>
    <w:p>
      <w:pPr>
        <w:ind w:right="2340"/>
        <w:spacing w:after="0" w:line="239" w:lineRule="auto"/>
        <w:rPr>
          <w:sz w:val="20"/>
          <w:szCs w:val="20"/>
          <w:color w:val="auto"/>
        </w:rPr>
      </w:pPr>
      <w:r>
        <w:rPr>
          <w:rFonts w:ascii="Times New Roman" w:cs="Times New Roman" w:eastAsia="Times New Roman" w:hAnsi="Times New Roman"/>
          <w:sz w:val="46"/>
          <w:szCs w:val="46"/>
          <w:color w:val="auto"/>
        </w:rPr>
        <w:t>Corporate governance statement</w:t>
      </w:r>
    </w:p>
    <w:p>
      <w:pPr>
        <w:spacing w:after="0" w:line="82" w:lineRule="exact"/>
        <w:rPr>
          <w:sz w:val="20"/>
          <w:szCs w:val="20"/>
          <w:color w:val="auto"/>
        </w:rPr>
      </w:pPr>
    </w:p>
    <w:p>
      <w:pPr>
        <w:ind w:right="1520"/>
        <w:spacing w:after="0" w:line="272" w:lineRule="auto"/>
        <w:rPr>
          <w:sz w:val="20"/>
          <w:szCs w:val="20"/>
          <w:color w:val="auto"/>
        </w:rPr>
      </w:pPr>
      <w:r>
        <w:rPr>
          <w:rFonts w:ascii="Times New Roman" w:cs="Times New Roman" w:eastAsia="Times New Roman" w:hAnsi="Times New Roman"/>
          <w:sz w:val="13"/>
          <w:szCs w:val="13"/>
          <w:color w:val="auto"/>
        </w:rPr>
        <w:t>“In 2023, we continued delivering on Nokia’s commitment to strong corporate governance and related practices. To do that, the activities of the Board of Directors are structured to develop the Company’s strategy and to enable the Board to support and oversee management on its delivery within a transparent governance framework.”</w:t>
      </w:r>
    </w:p>
    <w:p>
      <w:pPr>
        <w:spacing w:after="0" w:line="251" w:lineRule="exact"/>
        <w:rPr>
          <w:sz w:val="20"/>
          <w:szCs w:val="20"/>
          <w:color w:val="auto"/>
        </w:rPr>
      </w:pPr>
    </w:p>
    <w:tbl>
      <w:tblPr>
        <w:tblLayout w:type="fixed"/>
        <w:tblInd w:w="0" w:type="dxa"/>
        <w:tblCellMar>
          <w:top w:w="0" w:type="dxa"/>
          <w:left w:w="0" w:type="dxa"/>
          <w:bottom w:w="0" w:type="dxa"/>
          <w:right w:w="0" w:type="dxa"/>
        </w:tblCellMar>
      </w:tblPr>
      <w:tr>
        <w:trPr>
          <w:trHeight w:val="25"/>
        </w:trPr>
        <w:tc>
          <w:tcPr>
            <w:tcW w:w="120" w:type="dxa"/>
            <w:vAlign w:val="bottom"/>
          </w:tcPr>
          <w:p>
            <w:pPr>
              <w:spacing w:after="0"/>
              <w:rPr>
                <w:sz w:val="2"/>
                <w:szCs w:val="2"/>
                <w:color w:val="auto"/>
              </w:rPr>
            </w:pPr>
          </w:p>
        </w:tc>
        <w:tc>
          <w:tcPr>
            <w:tcW w:w="2740" w:type="dxa"/>
            <w:vAlign w:val="bottom"/>
          </w:tcPr>
          <w:p>
            <w:pPr>
              <w:spacing w:after="0"/>
              <w:rPr>
                <w:sz w:val="2"/>
                <w:szCs w:val="2"/>
                <w:color w:val="auto"/>
              </w:rPr>
            </w:pPr>
          </w:p>
        </w:tc>
        <w:tc>
          <w:tcPr>
            <w:tcW w:w="380" w:type="dxa"/>
            <w:vAlign w:val="bottom"/>
          </w:tcPr>
          <w:p>
            <w:pPr>
              <w:spacing w:after="0"/>
              <w:rPr>
                <w:sz w:val="2"/>
                <w:szCs w:val="2"/>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i w:val="1"/>
                <w:iCs w:val="1"/>
                <w:color w:val="auto"/>
              </w:rPr>
              <w:t>This corporate governance statement is prepared in</w:t>
            </w:r>
          </w:p>
        </w:tc>
        <w:tc>
          <w:tcPr>
            <w:tcW w:w="0" w:type="dxa"/>
            <w:vAlign w:val="bottom"/>
          </w:tcPr>
          <w:p>
            <w:pPr>
              <w:spacing w:after="0" w:line="20" w:lineRule="exact"/>
              <w:rPr>
                <w:sz w:val="1"/>
                <w:szCs w:val="1"/>
                <w:color w:val="auto"/>
              </w:rPr>
            </w:pPr>
          </w:p>
        </w:tc>
      </w:tr>
      <w:tr>
        <w:trPr>
          <w:trHeight w:val="117"/>
        </w:trPr>
        <w:tc>
          <w:tcPr>
            <w:tcW w:w="120" w:type="dxa"/>
            <w:vAlign w:val="bottom"/>
            <w:shd w:val="clear" w:color="auto" w:fill="001135"/>
          </w:tcPr>
          <w:p>
            <w:pPr>
              <w:spacing w:after="0"/>
              <w:rPr>
                <w:sz w:val="10"/>
                <w:szCs w:val="10"/>
                <w:color w:val="auto"/>
              </w:rPr>
            </w:pPr>
          </w:p>
        </w:tc>
        <w:tc>
          <w:tcPr>
            <w:tcW w:w="2740" w:type="dxa"/>
            <w:vAlign w:val="bottom"/>
            <w:shd w:val="clear" w:color="auto" w:fill="001135"/>
          </w:tcPr>
          <w:p>
            <w:pPr>
              <w:spacing w:after="0"/>
              <w:rPr>
                <w:sz w:val="10"/>
                <w:szCs w:val="10"/>
                <w:color w:val="auto"/>
              </w:rPr>
            </w:pPr>
          </w:p>
        </w:tc>
        <w:tc>
          <w:tcPr>
            <w:tcW w:w="380" w:type="dxa"/>
            <w:vAlign w:val="bottom"/>
            <w:shd w:val="clear" w:color="auto" w:fill="001135"/>
          </w:tcPr>
          <w:p>
            <w:pPr>
              <w:spacing w:after="0"/>
              <w:rPr>
                <w:sz w:val="10"/>
                <w:szCs w:val="10"/>
                <w:color w:val="auto"/>
              </w:rPr>
            </w:pPr>
          </w:p>
        </w:tc>
        <w:tc>
          <w:tcPr>
            <w:tcW w:w="3160" w:type="dxa"/>
            <w:vAlign w:val="bottom"/>
            <w:vMerge w:val="continue"/>
          </w:tcPr>
          <w:p>
            <w:pPr>
              <w:spacing w:after="0"/>
              <w:rPr>
                <w:sz w:val="10"/>
                <w:szCs w:val="10"/>
                <w:color w:val="auto"/>
              </w:rPr>
            </w:pPr>
          </w:p>
        </w:tc>
        <w:tc>
          <w:tcPr>
            <w:tcW w:w="0" w:type="dxa"/>
            <w:vAlign w:val="bottom"/>
          </w:tcPr>
          <w:p>
            <w:pPr>
              <w:spacing w:after="0"/>
              <w:rPr>
                <w:sz w:val="1"/>
                <w:szCs w:val="1"/>
                <w:color w:val="auto"/>
              </w:rPr>
            </w:pPr>
          </w:p>
        </w:tc>
      </w:tr>
      <w:tr>
        <w:trPr>
          <w:trHeight w:val="177"/>
        </w:trPr>
        <w:tc>
          <w:tcPr>
            <w:tcW w:w="120" w:type="dxa"/>
            <w:vAlign w:val="bottom"/>
            <w:shd w:val="clear" w:color="auto" w:fill="001135"/>
          </w:tcPr>
          <w:p>
            <w:pPr>
              <w:spacing w:after="0"/>
              <w:rPr>
                <w:sz w:val="15"/>
                <w:szCs w:val="15"/>
                <w:color w:val="auto"/>
              </w:rPr>
            </w:pPr>
          </w:p>
        </w:tc>
        <w:tc>
          <w:tcPr>
            <w:tcW w:w="2740" w:type="dxa"/>
            <w:vAlign w:val="bottom"/>
            <w:shd w:val="clear" w:color="auto" w:fill="001135"/>
          </w:tcPr>
          <w:p>
            <w:pPr>
              <w:ind w:left="40"/>
              <w:spacing w:after="0" w:line="177" w:lineRule="exact"/>
              <w:rPr>
                <w:sz w:val="20"/>
                <w:szCs w:val="20"/>
                <w:color w:val="auto"/>
              </w:rPr>
            </w:pPr>
            <w:r>
              <w:rPr>
                <w:rFonts w:ascii="Times New Roman" w:cs="Times New Roman" w:eastAsia="Times New Roman" w:hAnsi="Times New Roman"/>
                <w:sz w:val="16"/>
                <w:szCs w:val="16"/>
                <w:color w:val="FFFFFF"/>
              </w:rPr>
              <w:t>Select highlights in our corporate</w:t>
            </w:r>
          </w:p>
        </w:tc>
        <w:tc>
          <w:tcPr>
            <w:tcW w:w="380" w:type="dxa"/>
            <w:vAlign w:val="bottom"/>
            <w:shd w:val="clear" w:color="auto" w:fill="001135"/>
          </w:tcPr>
          <w:p>
            <w:pPr>
              <w:spacing w:after="0"/>
              <w:rPr>
                <w:sz w:val="15"/>
                <w:szCs w:val="15"/>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i w:val="1"/>
                <w:iCs w:val="1"/>
                <w:color w:val="auto"/>
              </w:rPr>
              <w:t>accordance with Chapter 7, Section 7 of the Finnish Securities</w:t>
            </w:r>
          </w:p>
        </w:tc>
        <w:tc>
          <w:tcPr>
            <w:tcW w:w="0" w:type="dxa"/>
            <w:vAlign w:val="bottom"/>
          </w:tcPr>
          <w:p>
            <w:pPr>
              <w:spacing w:after="0"/>
              <w:rPr>
                <w:sz w:val="1"/>
                <w:szCs w:val="1"/>
                <w:color w:val="auto"/>
              </w:rPr>
            </w:pPr>
          </w:p>
        </w:tc>
      </w:tr>
      <w:tr>
        <w:trPr>
          <w:trHeight w:val="96"/>
        </w:trPr>
        <w:tc>
          <w:tcPr>
            <w:tcW w:w="120" w:type="dxa"/>
            <w:vAlign w:val="bottom"/>
            <w:shd w:val="clear" w:color="auto" w:fill="001135"/>
          </w:tcPr>
          <w:p>
            <w:pPr>
              <w:spacing w:after="0"/>
              <w:rPr>
                <w:sz w:val="8"/>
                <w:szCs w:val="8"/>
                <w:color w:val="auto"/>
              </w:rPr>
            </w:pPr>
          </w:p>
        </w:tc>
        <w:tc>
          <w:tcPr>
            <w:tcW w:w="2740" w:type="dxa"/>
            <w:vAlign w:val="bottom"/>
            <w:vMerge w:val="restart"/>
            <w:shd w:val="clear" w:color="auto" w:fill="001135"/>
          </w:tcPr>
          <w:p>
            <w:pPr>
              <w:ind w:left="40"/>
              <w:spacing w:after="0"/>
              <w:rPr>
                <w:sz w:val="20"/>
                <w:szCs w:val="20"/>
                <w:color w:val="auto"/>
              </w:rPr>
            </w:pPr>
            <w:r>
              <w:rPr>
                <w:rFonts w:ascii="Times New Roman" w:cs="Times New Roman" w:eastAsia="Times New Roman" w:hAnsi="Times New Roman"/>
                <w:sz w:val="16"/>
                <w:szCs w:val="16"/>
                <w:color w:val="FFFFFF"/>
              </w:rPr>
              <w:t>governance during 2023</w:t>
            </w:r>
          </w:p>
        </w:tc>
        <w:tc>
          <w:tcPr>
            <w:tcW w:w="380" w:type="dxa"/>
            <w:vAlign w:val="bottom"/>
            <w:shd w:val="clear" w:color="auto" w:fill="001135"/>
          </w:tcPr>
          <w:p>
            <w:pPr>
              <w:spacing w:after="0"/>
              <w:rPr>
                <w:sz w:val="8"/>
                <w:szCs w:val="8"/>
                <w:color w:val="auto"/>
              </w:rPr>
            </w:pPr>
          </w:p>
        </w:tc>
        <w:tc>
          <w:tcPr>
            <w:tcW w:w="3160" w:type="dxa"/>
            <w:vAlign w:val="bottom"/>
          </w:tcPr>
          <w:p>
            <w:pPr>
              <w:ind w:left="160"/>
              <w:spacing w:after="0" w:line="96" w:lineRule="exact"/>
              <w:rPr>
                <w:sz w:val="20"/>
                <w:szCs w:val="20"/>
                <w:color w:val="auto"/>
              </w:rPr>
            </w:pPr>
            <w:r>
              <w:rPr>
                <w:rFonts w:ascii="Times New Roman" w:cs="Times New Roman" w:eastAsia="Times New Roman" w:hAnsi="Times New Roman"/>
                <w:sz w:val="11"/>
                <w:szCs w:val="11"/>
                <w:i w:val="1"/>
                <w:iCs w:val="1"/>
                <w:color w:val="auto"/>
              </w:rPr>
              <w:t>Markets Act (2012/746, as amended) and the Finnish</w:t>
            </w:r>
          </w:p>
        </w:tc>
        <w:tc>
          <w:tcPr>
            <w:tcW w:w="0" w:type="dxa"/>
            <w:vAlign w:val="bottom"/>
          </w:tcPr>
          <w:p>
            <w:pPr>
              <w:spacing w:after="0"/>
              <w:rPr>
                <w:sz w:val="1"/>
                <w:szCs w:val="1"/>
                <w:color w:val="auto"/>
              </w:rPr>
            </w:pPr>
          </w:p>
        </w:tc>
      </w:tr>
      <w:tr>
        <w:trPr>
          <w:trHeight w:val="131"/>
        </w:trPr>
        <w:tc>
          <w:tcPr>
            <w:tcW w:w="120" w:type="dxa"/>
            <w:vAlign w:val="bottom"/>
            <w:shd w:val="clear" w:color="auto" w:fill="001135"/>
          </w:tcPr>
          <w:p>
            <w:pPr>
              <w:spacing w:after="0"/>
              <w:rPr>
                <w:sz w:val="11"/>
                <w:szCs w:val="11"/>
                <w:color w:val="auto"/>
              </w:rPr>
            </w:pPr>
          </w:p>
        </w:tc>
        <w:tc>
          <w:tcPr>
            <w:tcW w:w="2740" w:type="dxa"/>
            <w:vAlign w:val="bottom"/>
            <w:vMerge w:val="continue"/>
            <w:shd w:val="clear" w:color="auto" w:fill="001135"/>
          </w:tcPr>
          <w:p>
            <w:pPr>
              <w:spacing w:after="0"/>
              <w:rPr>
                <w:sz w:val="11"/>
                <w:szCs w:val="11"/>
                <w:color w:val="auto"/>
              </w:rPr>
            </w:pPr>
          </w:p>
        </w:tc>
        <w:tc>
          <w:tcPr>
            <w:tcW w:w="380" w:type="dxa"/>
            <w:vAlign w:val="bottom"/>
            <w:shd w:val="clear" w:color="auto" w:fill="001135"/>
          </w:tcPr>
          <w:p>
            <w:pPr>
              <w:spacing w:after="0"/>
              <w:rPr>
                <w:sz w:val="11"/>
                <w:szCs w:val="11"/>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i w:val="1"/>
                <w:iCs w:val="1"/>
                <w:color w:val="auto"/>
              </w:rPr>
              <w:t>Corporate Governance Code 2020 (the “Finnish Corporate</w:t>
            </w:r>
          </w:p>
        </w:tc>
        <w:tc>
          <w:tcPr>
            <w:tcW w:w="0" w:type="dxa"/>
            <w:vAlign w:val="bottom"/>
          </w:tcPr>
          <w:p>
            <w:pPr>
              <w:spacing w:after="0"/>
              <w:rPr>
                <w:sz w:val="1"/>
                <w:szCs w:val="1"/>
                <w:color w:val="auto"/>
              </w:rPr>
            </w:pPr>
          </w:p>
        </w:tc>
      </w:tr>
      <w:tr>
        <w:trPr>
          <w:trHeight w:val="164"/>
        </w:trPr>
        <w:tc>
          <w:tcPr>
            <w:tcW w:w="120" w:type="dxa"/>
            <w:vAlign w:val="bottom"/>
            <w:shd w:val="clear" w:color="auto" w:fill="001135"/>
          </w:tcPr>
          <w:p>
            <w:pPr>
              <w:spacing w:after="0"/>
              <w:rPr>
                <w:sz w:val="14"/>
                <w:szCs w:val="14"/>
                <w:color w:val="auto"/>
              </w:rPr>
            </w:pPr>
          </w:p>
        </w:tc>
        <w:tc>
          <w:tcPr>
            <w:tcW w:w="2740" w:type="dxa"/>
            <w:vAlign w:val="bottom"/>
            <w:shd w:val="clear" w:color="auto" w:fill="001135"/>
          </w:tcPr>
          <w:p>
            <w:pPr>
              <w:ind w:left="60"/>
              <w:spacing w:after="0"/>
              <w:rPr>
                <w:sz w:val="20"/>
                <w:szCs w:val="20"/>
                <w:color w:val="auto"/>
              </w:rPr>
            </w:pPr>
            <w:r>
              <w:rPr>
                <w:rFonts w:ascii="Times New Roman" w:cs="Times New Roman" w:eastAsia="Times New Roman" w:hAnsi="Times New Roman"/>
                <w:sz w:val="11"/>
                <w:szCs w:val="11"/>
                <w:color w:val="FFFFFF"/>
              </w:rPr>
              <w:t>■  Our 2023 Annual General Meeting saw a record</w:t>
            </w:r>
          </w:p>
        </w:tc>
        <w:tc>
          <w:tcPr>
            <w:tcW w:w="380" w:type="dxa"/>
            <w:vAlign w:val="bottom"/>
            <w:shd w:val="clear" w:color="auto" w:fill="001135"/>
          </w:tcPr>
          <w:p>
            <w:pPr>
              <w:spacing w:after="0"/>
              <w:rPr>
                <w:sz w:val="14"/>
                <w:szCs w:val="14"/>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i w:val="1"/>
                <w:iCs w:val="1"/>
                <w:color w:val="auto"/>
              </w:rPr>
              <w:t>Governance Code”).</w:t>
            </w: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number of shareholders and votes represented</w:t>
            </w:r>
          </w:p>
        </w:tc>
        <w:tc>
          <w:tcPr>
            <w:tcW w:w="380" w:type="dxa"/>
            <w:vAlign w:val="bottom"/>
            <w:shd w:val="clear" w:color="auto" w:fill="001135"/>
          </w:tcPr>
          <w:p>
            <w:pPr>
              <w:spacing w:after="0"/>
              <w:rPr>
                <w:sz w:val="12"/>
                <w:szCs w:val="12"/>
                <w:color w:val="auto"/>
              </w:rPr>
            </w:pPr>
          </w:p>
        </w:tc>
        <w:tc>
          <w:tcPr>
            <w:tcW w:w="31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and strong shareholder support for all the</w:t>
            </w:r>
          </w:p>
        </w:tc>
        <w:tc>
          <w:tcPr>
            <w:tcW w:w="380" w:type="dxa"/>
            <w:vAlign w:val="bottom"/>
            <w:shd w:val="clear" w:color="auto" w:fill="001135"/>
          </w:tcPr>
          <w:p>
            <w:pPr>
              <w:spacing w:after="0"/>
              <w:rPr>
                <w:sz w:val="12"/>
                <w:szCs w:val="12"/>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6"/>
                <w:szCs w:val="16"/>
                <w:color w:val="005AFF"/>
              </w:rPr>
              <w:t>Regulatory framework</w:t>
            </w:r>
          </w:p>
        </w:tc>
        <w:tc>
          <w:tcPr>
            <w:tcW w:w="0" w:type="dxa"/>
            <w:vAlign w:val="bottom"/>
          </w:tcPr>
          <w:p>
            <w:pPr>
              <w:spacing w:after="0"/>
              <w:rPr>
                <w:sz w:val="1"/>
                <w:szCs w:val="1"/>
                <w:color w:val="auto"/>
              </w:rPr>
            </w:pPr>
          </w:p>
        </w:tc>
      </w:tr>
      <w:tr>
        <w:trPr>
          <w:trHeight w:val="131"/>
        </w:trPr>
        <w:tc>
          <w:tcPr>
            <w:tcW w:w="120" w:type="dxa"/>
            <w:vAlign w:val="bottom"/>
            <w:shd w:val="clear" w:color="auto" w:fill="001135"/>
          </w:tcPr>
          <w:p>
            <w:pPr>
              <w:spacing w:after="0"/>
              <w:rPr>
                <w:sz w:val="11"/>
                <w:szCs w:val="11"/>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Board’s proposals.</w:t>
            </w:r>
          </w:p>
        </w:tc>
        <w:tc>
          <w:tcPr>
            <w:tcW w:w="380" w:type="dxa"/>
            <w:vAlign w:val="bottom"/>
            <w:shd w:val="clear" w:color="auto" w:fill="001135"/>
          </w:tcPr>
          <w:p>
            <w:pPr>
              <w:spacing w:after="0"/>
              <w:rPr>
                <w:sz w:val="11"/>
                <w:szCs w:val="11"/>
                <w:color w:val="auto"/>
              </w:rPr>
            </w:pPr>
          </w:p>
        </w:tc>
        <w:tc>
          <w:tcPr>
            <w:tcW w:w="31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120" w:type="dxa"/>
            <w:vAlign w:val="bottom"/>
            <w:shd w:val="clear" w:color="auto" w:fill="001135"/>
          </w:tcPr>
          <w:p>
            <w:pPr>
              <w:spacing w:after="0"/>
              <w:rPr>
                <w:sz w:val="11"/>
                <w:szCs w:val="11"/>
                <w:color w:val="auto"/>
              </w:rPr>
            </w:pPr>
          </w:p>
        </w:tc>
        <w:tc>
          <w:tcPr>
            <w:tcW w:w="2740" w:type="dxa"/>
            <w:vAlign w:val="bottom"/>
            <w:vMerge w:val="restart"/>
            <w:shd w:val="clear" w:color="auto" w:fill="001135"/>
          </w:tcPr>
          <w:p>
            <w:pPr>
              <w:ind w:left="60"/>
              <w:spacing w:after="0"/>
              <w:rPr>
                <w:sz w:val="20"/>
                <w:szCs w:val="20"/>
                <w:color w:val="auto"/>
              </w:rPr>
            </w:pPr>
            <w:r>
              <w:rPr>
                <w:rFonts w:ascii="Times New Roman" w:cs="Times New Roman" w:eastAsia="Times New Roman" w:hAnsi="Times New Roman"/>
                <w:sz w:val="11"/>
                <w:szCs w:val="11"/>
                <w:color w:val="FFFFFF"/>
              </w:rPr>
              <w:t>■  We were proud to lead the introduction of the</w:t>
            </w:r>
          </w:p>
        </w:tc>
        <w:tc>
          <w:tcPr>
            <w:tcW w:w="380" w:type="dxa"/>
            <w:vAlign w:val="bottom"/>
            <w:shd w:val="clear" w:color="auto" w:fill="001135"/>
          </w:tcPr>
          <w:p>
            <w:pPr>
              <w:spacing w:after="0"/>
              <w:rPr>
                <w:sz w:val="11"/>
                <w:szCs w:val="11"/>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Our corporate governance practices comply with Finnish laws</w:t>
            </w:r>
          </w:p>
        </w:tc>
        <w:tc>
          <w:tcPr>
            <w:tcW w:w="0" w:type="dxa"/>
            <w:vAlign w:val="bottom"/>
          </w:tcPr>
          <w:p>
            <w:pPr>
              <w:spacing w:after="0"/>
              <w:rPr>
                <w:sz w:val="1"/>
                <w:szCs w:val="1"/>
                <w:color w:val="auto"/>
              </w:rPr>
            </w:pPr>
          </w:p>
        </w:tc>
      </w:tr>
      <w:tr>
        <w:trPr>
          <w:trHeight w:val="91"/>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and regulations, our Articles of Association approved by the</w:t>
            </w:r>
          </w:p>
        </w:tc>
        <w:tc>
          <w:tcPr>
            <w:tcW w:w="0" w:type="dxa"/>
            <w:vAlign w:val="bottom"/>
          </w:tcPr>
          <w:p>
            <w:pPr>
              <w:spacing w:after="0"/>
              <w:rPr>
                <w:sz w:val="1"/>
                <w:szCs w:val="1"/>
                <w:color w:val="auto"/>
              </w:rPr>
            </w:pPr>
          </w:p>
        </w:tc>
      </w:tr>
      <w:tr>
        <w:trPr>
          <w:trHeight w:val="51"/>
        </w:trPr>
        <w:tc>
          <w:tcPr>
            <w:tcW w:w="120" w:type="dxa"/>
            <w:vAlign w:val="bottom"/>
            <w:shd w:val="clear" w:color="auto" w:fill="001135"/>
          </w:tcPr>
          <w:p>
            <w:pPr>
              <w:spacing w:after="0"/>
              <w:rPr>
                <w:sz w:val="4"/>
                <w:szCs w:val="4"/>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individual director election method in the Finnish</w:t>
            </w:r>
          </w:p>
        </w:tc>
        <w:tc>
          <w:tcPr>
            <w:tcW w:w="380" w:type="dxa"/>
            <w:vAlign w:val="bottom"/>
            <w:shd w:val="clear" w:color="auto" w:fill="001135"/>
          </w:tcPr>
          <w:p>
            <w:pPr>
              <w:spacing w:after="0"/>
              <w:rPr>
                <w:sz w:val="4"/>
                <w:szCs w:val="4"/>
                <w:color w:val="auto"/>
              </w:rPr>
            </w:pPr>
          </w:p>
        </w:tc>
        <w:tc>
          <w:tcPr>
            <w:tcW w:w="31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shareholders and corporate governance guidelines (“Corporate</w:t>
            </w:r>
          </w:p>
        </w:tc>
        <w:tc>
          <w:tcPr>
            <w:tcW w:w="0" w:type="dxa"/>
            <w:vAlign w:val="bottom"/>
          </w:tcPr>
          <w:p>
            <w:pPr>
              <w:spacing w:after="0"/>
              <w:rPr>
                <w:sz w:val="1"/>
                <w:szCs w:val="1"/>
                <w:color w:val="auto"/>
              </w:rPr>
            </w:pPr>
          </w:p>
        </w:tc>
      </w:tr>
      <w:tr>
        <w:trPr>
          <w:trHeight w:val="61"/>
        </w:trPr>
        <w:tc>
          <w:tcPr>
            <w:tcW w:w="120" w:type="dxa"/>
            <w:vAlign w:val="bottom"/>
            <w:shd w:val="clear" w:color="auto" w:fill="001135"/>
          </w:tcPr>
          <w:p>
            <w:pPr>
              <w:spacing w:after="0"/>
              <w:rPr>
                <w:sz w:val="5"/>
                <w:szCs w:val="5"/>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market and provide our shareholders with the</w:t>
            </w:r>
          </w:p>
        </w:tc>
        <w:tc>
          <w:tcPr>
            <w:tcW w:w="380" w:type="dxa"/>
            <w:vAlign w:val="bottom"/>
            <w:shd w:val="clear" w:color="auto" w:fill="001135"/>
          </w:tcPr>
          <w:p>
            <w:pPr>
              <w:spacing w:after="0"/>
              <w:rPr>
                <w:sz w:val="5"/>
                <w:szCs w:val="5"/>
                <w:color w:val="auto"/>
              </w:rPr>
            </w:pPr>
          </w:p>
        </w:tc>
        <w:tc>
          <w:tcPr>
            <w:tcW w:w="316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Governance Guidelines”) adopted by the Board of Directors.</w:t>
            </w:r>
          </w:p>
        </w:tc>
        <w:tc>
          <w:tcPr>
            <w:tcW w:w="0" w:type="dxa"/>
            <w:vAlign w:val="bottom"/>
          </w:tcPr>
          <w:p>
            <w:pPr>
              <w:spacing w:after="0"/>
              <w:rPr>
                <w:sz w:val="1"/>
                <w:szCs w:val="1"/>
                <w:color w:val="auto"/>
              </w:rPr>
            </w:pPr>
          </w:p>
        </w:tc>
      </w:tr>
      <w:tr>
        <w:trPr>
          <w:trHeight w:val="51"/>
        </w:trPr>
        <w:tc>
          <w:tcPr>
            <w:tcW w:w="120" w:type="dxa"/>
            <w:vAlign w:val="bottom"/>
            <w:shd w:val="clear" w:color="auto" w:fill="001135"/>
          </w:tcPr>
          <w:p>
            <w:pPr>
              <w:spacing w:after="0"/>
              <w:rPr>
                <w:sz w:val="4"/>
                <w:szCs w:val="4"/>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opportunity to consider each candidate separately</w:t>
            </w:r>
          </w:p>
        </w:tc>
        <w:tc>
          <w:tcPr>
            <w:tcW w:w="380" w:type="dxa"/>
            <w:vAlign w:val="bottom"/>
            <w:shd w:val="clear" w:color="auto" w:fill="001135"/>
          </w:tcPr>
          <w:p>
            <w:pPr>
              <w:spacing w:after="0"/>
              <w:rPr>
                <w:sz w:val="4"/>
                <w:szCs w:val="4"/>
                <w:color w:val="auto"/>
              </w:rPr>
            </w:pPr>
          </w:p>
        </w:tc>
        <w:tc>
          <w:tcPr>
            <w:tcW w:w="31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91"/>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The Corporate Governance Guidelines reflect our commitment</w:t>
            </w:r>
          </w:p>
        </w:tc>
        <w:tc>
          <w:tcPr>
            <w:tcW w:w="0" w:type="dxa"/>
            <w:vAlign w:val="bottom"/>
          </w:tcPr>
          <w:p>
            <w:pPr>
              <w:spacing w:after="0"/>
              <w:rPr>
                <w:sz w:val="1"/>
                <w:szCs w:val="1"/>
                <w:color w:val="auto"/>
              </w:rPr>
            </w:pPr>
          </w:p>
        </w:tc>
      </w:tr>
      <w:tr>
        <w:trPr>
          <w:trHeight w:val="51"/>
        </w:trPr>
        <w:tc>
          <w:tcPr>
            <w:tcW w:w="120" w:type="dxa"/>
            <w:vAlign w:val="bottom"/>
            <w:shd w:val="clear" w:color="auto" w:fill="001135"/>
          </w:tcPr>
          <w:p>
            <w:pPr>
              <w:spacing w:after="0"/>
              <w:rPr>
                <w:sz w:val="4"/>
                <w:szCs w:val="4"/>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in our 2023 Annual General Meeting.</w:t>
            </w:r>
          </w:p>
        </w:tc>
        <w:tc>
          <w:tcPr>
            <w:tcW w:w="380" w:type="dxa"/>
            <w:vAlign w:val="bottom"/>
            <w:shd w:val="clear" w:color="auto" w:fill="001135"/>
          </w:tcPr>
          <w:p>
            <w:pPr>
              <w:spacing w:after="0"/>
              <w:rPr>
                <w:sz w:val="4"/>
                <w:szCs w:val="4"/>
                <w:color w:val="auto"/>
              </w:rPr>
            </w:pPr>
          </w:p>
        </w:tc>
        <w:tc>
          <w:tcPr>
            <w:tcW w:w="31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98"/>
        </w:trPr>
        <w:tc>
          <w:tcPr>
            <w:tcW w:w="120" w:type="dxa"/>
            <w:vAlign w:val="bottom"/>
            <w:shd w:val="clear" w:color="auto" w:fill="001135"/>
          </w:tcPr>
          <w:p>
            <w:pPr>
              <w:spacing w:after="0"/>
              <w:rPr>
                <w:sz w:val="8"/>
                <w:szCs w:val="8"/>
                <w:color w:val="auto"/>
              </w:rPr>
            </w:pPr>
          </w:p>
        </w:tc>
        <w:tc>
          <w:tcPr>
            <w:tcW w:w="2740" w:type="dxa"/>
            <w:vAlign w:val="bottom"/>
            <w:vMerge w:val="continue"/>
            <w:shd w:val="clear" w:color="auto" w:fill="001135"/>
          </w:tcPr>
          <w:p>
            <w:pPr>
              <w:spacing w:after="0"/>
              <w:rPr>
                <w:sz w:val="8"/>
                <w:szCs w:val="8"/>
                <w:color w:val="auto"/>
              </w:rPr>
            </w:pPr>
          </w:p>
        </w:tc>
        <w:tc>
          <w:tcPr>
            <w:tcW w:w="380" w:type="dxa"/>
            <w:vAlign w:val="bottom"/>
            <w:shd w:val="clear" w:color="auto" w:fill="001135"/>
          </w:tcPr>
          <w:p>
            <w:pPr>
              <w:spacing w:after="0"/>
              <w:rPr>
                <w:sz w:val="8"/>
                <w:szCs w:val="8"/>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to strong corporate governance. They include the directors’</w:t>
            </w:r>
          </w:p>
        </w:tc>
        <w:tc>
          <w:tcPr>
            <w:tcW w:w="0" w:type="dxa"/>
            <w:vAlign w:val="bottom"/>
          </w:tcPr>
          <w:p>
            <w:pPr>
              <w:spacing w:after="0"/>
              <w:rPr>
                <w:sz w:val="1"/>
                <w:szCs w:val="1"/>
                <w:color w:val="auto"/>
              </w:rPr>
            </w:pPr>
          </w:p>
        </w:tc>
      </w:tr>
      <w:tr>
        <w:trPr>
          <w:trHeight w:val="34"/>
        </w:trPr>
        <w:tc>
          <w:tcPr>
            <w:tcW w:w="120" w:type="dxa"/>
            <w:vAlign w:val="bottom"/>
            <w:shd w:val="clear" w:color="auto" w:fill="001135"/>
          </w:tcPr>
          <w:p>
            <w:pPr>
              <w:spacing w:after="0"/>
              <w:rPr>
                <w:sz w:val="2"/>
                <w:szCs w:val="2"/>
                <w:color w:val="auto"/>
              </w:rPr>
            </w:pPr>
          </w:p>
        </w:tc>
        <w:tc>
          <w:tcPr>
            <w:tcW w:w="2740" w:type="dxa"/>
            <w:vAlign w:val="bottom"/>
            <w:shd w:val="clear" w:color="auto" w:fill="001135"/>
          </w:tcPr>
          <w:p>
            <w:pPr>
              <w:spacing w:after="0"/>
              <w:rPr>
                <w:sz w:val="2"/>
                <w:szCs w:val="2"/>
                <w:color w:val="auto"/>
              </w:rPr>
            </w:pPr>
          </w:p>
        </w:tc>
        <w:tc>
          <w:tcPr>
            <w:tcW w:w="380" w:type="dxa"/>
            <w:vAlign w:val="bottom"/>
            <w:shd w:val="clear" w:color="auto" w:fill="001135"/>
          </w:tcPr>
          <w:p>
            <w:pPr>
              <w:spacing w:after="0"/>
              <w:rPr>
                <w:sz w:val="2"/>
                <w:szCs w:val="2"/>
                <w:color w:val="auto"/>
              </w:rPr>
            </w:pPr>
          </w:p>
        </w:tc>
        <w:tc>
          <w:tcPr>
            <w:tcW w:w="3160" w:type="dxa"/>
            <w:vAlign w:val="bottom"/>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44"/>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60"/>
              <w:spacing w:after="0"/>
              <w:rPr>
                <w:sz w:val="20"/>
                <w:szCs w:val="20"/>
                <w:color w:val="auto"/>
              </w:rPr>
            </w:pPr>
            <w:r>
              <w:rPr>
                <w:rFonts w:ascii="Times New Roman" w:cs="Times New Roman" w:eastAsia="Times New Roman" w:hAnsi="Times New Roman"/>
                <w:sz w:val="11"/>
                <w:szCs w:val="11"/>
                <w:color w:val="FFFFFF"/>
              </w:rPr>
              <w:t>■  We implemented the Executive Officer Clawback</w:t>
            </w:r>
          </w:p>
        </w:tc>
        <w:tc>
          <w:tcPr>
            <w:tcW w:w="380" w:type="dxa"/>
            <w:vAlign w:val="bottom"/>
            <w:shd w:val="clear" w:color="auto" w:fill="001135"/>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responsibilities, the composition and election of the members</w:t>
            </w: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Policy, meeting the NYSE listing standards issued</w:t>
            </w:r>
          </w:p>
        </w:tc>
        <w:tc>
          <w:tcPr>
            <w:tcW w:w="380" w:type="dxa"/>
            <w:vAlign w:val="bottom"/>
            <w:shd w:val="clear" w:color="auto" w:fill="001135"/>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of the Board and its Committees, and certain other matters</w:t>
            </w:r>
          </w:p>
        </w:tc>
        <w:tc>
          <w:tcPr>
            <w:tcW w:w="0" w:type="dxa"/>
            <w:vAlign w:val="bottom"/>
          </w:tcPr>
          <w:p>
            <w:pPr>
              <w:spacing w:after="0"/>
              <w:rPr>
                <w:sz w:val="1"/>
                <w:szCs w:val="1"/>
                <w:color w:val="auto"/>
              </w:rPr>
            </w:pPr>
          </w:p>
        </w:tc>
      </w:tr>
      <w:tr>
        <w:trPr>
          <w:trHeight w:val="131"/>
        </w:trPr>
        <w:tc>
          <w:tcPr>
            <w:tcW w:w="120" w:type="dxa"/>
            <w:vAlign w:val="bottom"/>
            <w:shd w:val="clear" w:color="auto" w:fill="001135"/>
          </w:tcPr>
          <w:p>
            <w:pPr>
              <w:spacing w:after="0"/>
              <w:rPr>
                <w:sz w:val="11"/>
                <w:szCs w:val="11"/>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in response to the US Securities and Exchange</w:t>
            </w:r>
          </w:p>
        </w:tc>
        <w:tc>
          <w:tcPr>
            <w:tcW w:w="380" w:type="dxa"/>
            <w:vAlign w:val="bottom"/>
            <w:shd w:val="clear" w:color="auto" w:fill="001135"/>
          </w:tcPr>
          <w:p>
            <w:pPr>
              <w:spacing w:after="0"/>
              <w:rPr>
                <w:sz w:val="11"/>
                <w:szCs w:val="11"/>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relating to corporate governance. We also comply with the</w:t>
            </w: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Commission’s 2023 rules implementing the</w:t>
            </w:r>
          </w:p>
        </w:tc>
        <w:tc>
          <w:tcPr>
            <w:tcW w:w="380" w:type="dxa"/>
            <w:vAlign w:val="bottom"/>
            <w:shd w:val="clear" w:color="auto" w:fill="001135"/>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Finnish Corporate Governance Code adopted by the Securities</w:t>
            </w:r>
          </w:p>
        </w:tc>
        <w:tc>
          <w:tcPr>
            <w:tcW w:w="0" w:type="dxa"/>
            <w:vAlign w:val="bottom"/>
          </w:tcPr>
          <w:p>
            <w:pPr>
              <w:spacing w:after="0"/>
              <w:rPr>
                <w:sz w:val="1"/>
                <w:szCs w:val="1"/>
                <w:color w:val="auto"/>
              </w:rPr>
            </w:pPr>
          </w:p>
        </w:tc>
      </w:tr>
      <w:tr>
        <w:trPr>
          <w:trHeight w:val="159"/>
        </w:trPr>
        <w:tc>
          <w:tcPr>
            <w:tcW w:w="120" w:type="dxa"/>
            <w:vAlign w:val="bottom"/>
            <w:shd w:val="clear" w:color="auto" w:fill="001135"/>
          </w:tcPr>
          <w:p>
            <w:pPr>
              <w:spacing w:after="0"/>
              <w:rPr>
                <w:sz w:val="13"/>
                <w:szCs w:val="13"/>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incentive-based compensation recovery provisions</w:t>
            </w:r>
          </w:p>
        </w:tc>
        <w:tc>
          <w:tcPr>
            <w:tcW w:w="380" w:type="dxa"/>
            <w:vAlign w:val="bottom"/>
            <w:shd w:val="clear" w:color="auto" w:fill="001135"/>
          </w:tcPr>
          <w:p>
            <w:pPr>
              <w:spacing w:after="0"/>
              <w:rPr>
                <w:sz w:val="13"/>
                <w:szCs w:val="13"/>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Market Association.</w:t>
            </w: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of the Dodd-Frank Act. In addition, we refreshed</w:t>
            </w:r>
          </w:p>
        </w:tc>
        <w:tc>
          <w:tcPr>
            <w:tcW w:w="380" w:type="dxa"/>
            <w:vAlign w:val="bottom"/>
            <w:shd w:val="clear" w:color="auto" w:fill="001135"/>
          </w:tcPr>
          <w:p>
            <w:pPr>
              <w:spacing w:after="0"/>
              <w:rPr>
                <w:sz w:val="12"/>
                <w:szCs w:val="12"/>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We follow the rules and recommendations of Nasdaq Helsinki</w:t>
            </w:r>
          </w:p>
        </w:tc>
        <w:tc>
          <w:tcPr>
            <w:tcW w:w="0" w:type="dxa"/>
            <w:vAlign w:val="bottom"/>
          </w:tcPr>
          <w:p>
            <w:pPr>
              <w:spacing w:after="0"/>
              <w:rPr>
                <w:sz w:val="1"/>
                <w:szCs w:val="1"/>
                <w:color w:val="auto"/>
              </w:rPr>
            </w:pPr>
          </w:p>
        </w:tc>
      </w:tr>
      <w:tr>
        <w:trPr>
          <w:trHeight w:val="51"/>
        </w:trPr>
        <w:tc>
          <w:tcPr>
            <w:tcW w:w="120" w:type="dxa"/>
            <w:vAlign w:val="bottom"/>
            <w:shd w:val="clear" w:color="auto" w:fill="001135"/>
          </w:tcPr>
          <w:p>
            <w:pPr>
              <w:spacing w:after="0"/>
              <w:rPr>
                <w:sz w:val="4"/>
                <w:szCs w:val="4"/>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our all-employee Clawback Policy on incentive</w:t>
            </w:r>
          </w:p>
        </w:tc>
        <w:tc>
          <w:tcPr>
            <w:tcW w:w="380" w:type="dxa"/>
            <w:vAlign w:val="bottom"/>
            <w:shd w:val="clear" w:color="auto" w:fill="001135"/>
          </w:tcPr>
          <w:p>
            <w:pPr>
              <w:spacing w:after="0"/>
              <w:rPr>
                <w:sz w:val="4"/>
                <w:szCs w:val="4"/>
                <w:color w:val="auto"/>
              </w:rPr>
            </w:pPr>
          </w:p>
        </w:tc>
        <w:tc>
          <w:tcPr>
            <w:tcW w:w="31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and Euronext Paris as applicable to us due to the listing of our</w:t>
            </w:r>
          </w:p>
        </w:tc>
        <w:tc>
          <w:tcPr>
            <w:tcW w:w="0" w:type="dxa"/>
            <w:vAlign w:val="bottom"/>
          </w:tcPr>
          <w:p>
            <w:pPr>
              <w:spacing w:after="0"/>
              <w:rPr>
                <w:sz w:val="1"/>
                <w:szCs w:val="1"/>
                <w:color w:val="auto"/>
              </w:rPr>
            </w:pPr>
          </w:p>
        </w:tc>
      </w:tr>
      <w:tr>
        <w:trPr>
          <w:trHeight w:val="61"/>
        </w:trPr>
        <w:tc>
          <w:tcPr>
            <w:tcW w:w="120" w:type="dxa"/>
            <w:vAlign w:val="bottom"/>
            <w:shd w:val="clear" w:color="auto" w:fill="001135"/>
          </w:tcPr>
          <w:p>
            <w:pPr>
              <w:spacing w:after="0"/>
              <w:rPr>
                <w:sz w:val="5"/>
                <w:szCs w:val="5"/>
                <w:color w:val="auto"/>
              </w:rPr>
            </w:pPr>
          </w:p>
        </w:tc>
        <w:tc>
          <w:tcPr>
            <w:tcW w:w="2740" w:type="dxa"/>
            <w:vAlign w:val="bottom"/>
            <w:vMerge w:val="restart"/>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compensation.</w:t>
            </w:r>
          </w:p>
        </w:tc>
        <w:tc>
          <w:tcPr>
            <w:tcW w:w="380" w:type="dxa"/>
            <w:vAlign w:val="bottom"/>
            <w:shd w:val="clear" w:color="auto" w:fill="001135"/>
          </w:tcPr>
          <w:p>
            <w:pPr>
              <w:spacing w:after="0"/>
              <w:rPr>
                <w:sz w:val="5"/>
                <w:szCs w:val="5"/>
                <w:color w:val="auto"/>
              </w:rPr>
            </w:pPr>
          </w:p>
        </w:tc>
        <w:tc>
          <w:tcPr>
            <w:tcW w:w="316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7"/>
        </w:trPr>
        <w:tc>
          <w:tcPr>
            <w:tcW w:w="120" w:type="dxa"/>
            <w:vAlign w:val="bottom"/>
            <w:shd w:val="clear" w:color="auto" w:fill="001135"/>
          </w:tcPr>
          <w:p>
            <w:pPr>
              <w:spacing w:after="0"/>
              <w:rPr>
                <w:sz w:val="7"/>
                <w:szCs w:val="7"/>
                <w:color w:val="auto"/>
              </w:rPr>
            </w:pPr>
          </w:p>
        </w:tc>
        <w:tc>
          <w:tcPr>
            <w:tcW w:w="2740" w:type="dxa"/>
            <w:vAlign w:val="bottom"/>
            <w:vMerge w:val="continue"/>
            <w:shd w:val="clear" w:color="auto" w:fill="001135"/>
          </w:tcPr>
          <w:p>
            <w:pPr>
              <w:spacing w:after="0"/>
              <w:rPr>
                <w:sz w:val="7"/>
                <w:szCs w:val="7"/>
                <w:color w:val="auto"/>
              </w:rPr>
            </w:pPr>
          </w:p>
        </w:tc>
        <w:tc>
          <w:tcPr>
            <w:tcW w:w="380" w:type="dxa"/>
            <w:vAlign w:val="bottom"/>
            <w:shd w:val="clear" w:color="auto" w:fill="001135"/>
          </w:tcPr>
          <w:p>
            <w:pPr>
              <w:spacing w:after="0"/>
              <w:rPr>
                <w:sz w:val="7"/>
                <w:szCs w:val="7"/>
                <w:color w:val="auto"/>
              </w:rPr>
            </w:pPr>
          </w:p>
        </w:tc>
        <w:tc>
          <w:tcPr>
            <w:tcW w:w="31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shares on these exchanges. Furthermore, as a result of the</w:t>
            </w:r>
          </w:p>
        </w:tc>
        <w:tc>
          <w:tcPr>
            <w:tcW w:w="0" w:type="dxa"/>
            <w:vAlign w:val="bottom"/>
          </w:tcPr>
          <w:p>
            <w:pPr>
              <w:spacing w:after="0"/>
              <w:rPr>
                <w:sz w:val="1"/>
                <w:szCs w:val="1"/>
                <w:color w:val="auto"/>
              </w:rPr>
            </w:pPr>
          </w:p>
        </w:tc>
      </w:tr>
      <w:tr>
        <w:trPr>
          <w:trHeight w:val="44"/>
        </w:trPr>
        <w:tc>
          <w:tcPr>
            <w:tcW w:w="120" w:type="dxa"/>
            <w:vAlign w:val="bottom"/>
            <w:shd w:val="clear" w:color="auto" w:fill="001135"/>
          </w:tcPr>
          <w:p>
            <w:pPr>
              <w:spacing w:after="0"/>
              <w:rPr>
                <w:sz w:val="3"/>
                <w:szCs w:val="3"/>
                <w:color w:val="auto"/>
              </w:rPr>
            </w:pPr>
          </w:p>
        </w:tc>
        <w:tc>
          <w:tcPr>
            <w:tcW w:w="2740" w:type="dxa"/>
            <w:vAlign w:val="bottom"/>
            <w:shd w:val="clear" w:color="auto" w:fill="001135"/>
          </w:tcPr>
          <w:p>
            <w:pPr>
              <w:spacing w:after="0"/>
              <w:rPr>
                <w:sz w:val="3"/>
                <w:szCs w:val="3"/>
                <w:color w:val="auto"/>
              </w:rPr>
            </w:pPr>
          </w:p>
        </w:tc>
        <w:tc>
          <w:tcPr>
            <w:tcW w:w="380" w:type="dxa"/>
            <w:vAlign w:val="bottom"/>
            <w:shd w:val="clear" w:color="auto" w:fill="001135"/>
          </w:tcPr>
          <w:p>
            <w:pPr>
              <w:spacing w:after="0"/>
              <w:rPr>
                <w:sz w:val="3"/>
                <w:szCs w:val="3"/>
                <w:color w:val="auto"/>
              </w:rPr>
            </w:pPr>
          </w:p>
        </w:tc>
        <w:tc>
          <w:tcPr>
            <w:tcW w:w="316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44"/>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60"/>
              <w:spacing w:after="0"/>
              <w:rPr>
                <w:sz w:val="20"/>
                <w:szCs w:val="20"/>
                <w:color w:val="auto"/>
              </w:rPr>
            </w:pPr>
            <w:r>
              <w:rPr>
                <w:rFonts w:ascii="Times New Roman" w:cs="Times New Roman" w:eastAsia="Times New Roman" w:hAnsi="Times New Roman"/>
                <w:sz w:val="11"/>
                <w:szCs w:val="11"/>
                <w:color w:val="FFFFFF"/>
              </w:rPr>
              <w:t>■  We were pleased to host multiple meetings with our</w:t>
            </w:r>
          </w:p>
        </w:tc>
        <w:tc>
          <w:tcPr>
            <w:tcW w:w="380" w:type="dxa"/>
            <w:vAlign w:val="bottom"/>
            <w:shd w:val="clear" w:color="auto" w:fill="001135"/>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listing of our American Depositary Shares on the New York</w:t>
            </w:r>
          </w:p>
        </w:tc>
        <w:tc>
          <w:tcPr>
            <w:tcW w:w="0" w:type="dxa"/>
            <w:vAlign w:val="bottom"/>
          </w:tcPr>
          <w:p>
            <w:pPr>
              <w:spacing w:after="0"/>
              <w:rPr>
                <w:sz w:val="1"/>
                <w:szCs w:val="1"/>
                <w:color w:val="auto"/>
              </w:rPr>
            </w:pPr>
          </w:p>
        </w:tc>
      </w:tr>
      <w:tr>
        <w:trPr>
          <w:trHeight w:val="142"/>
        </w:trPr>
        <w:tc>
          <w:tcPr>
            <w:tcW w:w="120" w:type="dxa"/>
            <w:vAlign w:val="bottom"/>
            <w:shd w:val="clear" w:color="auto" w:fill="001135"/>
          </w:tcPr>
          <w:p>
            <w:pPr>
              <w:spacing w:after="0"/>
              <w:rPr>
                <w:sz w:val="12"/>
                <w:szCs w:val="12"/>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largest shareholders to discuss Nokia’s sustainability</w:t>
            </w:r>
          </w:p>
        </w:tc>
        <w:tc>
          <w:tcPr>
            <w:tcW w:w="380" w:type="dxa"/>
            <w:vAlign w:val="bottom"/>
            <w:shd w:val="clear" w:color="auto" w:fill="001135"/>
          </w:tcPr>
          <w:p>
            <w:pPr>
              <w:jc w:val="right"/>
              <w:ind w:right="143"/>
              <w:spacing w:after="0"/>
              <w:rPr>
                <w:sz w:val="20"/>
                <w:szCs w:val="20"/>
                <w:color w:val="auto"/>
              </w:rPr>
            </w:pPr>
            <w:r>
              <w:rPr>
                <w:rFonts w:ascii="Times New Roman" w:cs="Times New Roman" w:eastAsia="Times New Roman" w:hAnsi="Times New Roman"/>
                <w:sz w:val="11"/>
                <w:szCs w:val="11"/>
                <w:color w:val="FFFFFF"/>
              </w:rPr>
              <w:t>,</w:t>
            </w: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Stock Exchange (NYSE) and our registration under the US</w:t>
            </w:r>
          </w:p>
        </w:tc>
        <w:tc>
          <w:tcPr>
            <w:tcW w:w="0" w:type="dxa"/>
            <w:vAlign w:val="bottom"/>
          </w:tcPr>
          <w:p>
            <w:pPr>
              <w:spacing w:after="0"/>
              <w:rPr>
                <w:sz w:val="1"/>
                <w:szCs w:val="1"/>
                <w:color w:val="auto"/>
              </w:rPr>
            </w:pPr>
          </w:p>
        </w:tc>
      </w:tr>
      <w:tr>
        <w:trPr>
          <w:trHeight w:val="131"/>
        </w:trPr>
        <w:tc>
          <w:tcPr>
            <w:tcW w:w="120" w:type="dxa"/>
            <w:vAlign w:val="bottom"/>
            <w:shd w:val="clear" w:color="auto" w:fill="001135"/>
          </w:tcPr>
          <w:p>
            <w:pPr>
              <w:spacing w:after="0"/>
              <w:rPr>
                <w:sz w:val="11"/>
                <w:szCs w:val="11"/>
                <w:color w:val="auto"/>
              </w:rPr>
            </w:pPr>
          </w:p>
        </w:tc>
        <w:tc>
          <w:tcPr>
            <w:tcW w:w="2740" w:type="dxa"/>
            <w:vAlign w:val="bottom"/>
            <w:shd w:val="clear" w:color="auto" w:fill="001135"/>
          </w:tcPr>
          <w:p>
            <w:pPr>
              <w:ind w:left="220"/>
              <w:spacing w:after="0"/>
              <w:rPr>
                <w:sz w:val="20"/>
                <w:szCs w:val="20"/>
                <w:color w:val="auto"/>
              </w:rPr>
            </w:pPr>
            <w:r>
              <w:rPr>
                <w:rFonts w:ascii="Times New Roman" w:cs="Times New Roman" w:eastAsia="Times New Roman" w:hAnsi="Times New Roman"/>
                <w:sz w:val="11"/>
                <w:szCs w:val="11"/>
                <w:color w:val="FFFFFF"/>
              </w:rPr>
              <w:t>remuneration and governance approach.</w:t>
            </w:r>
          </w:p>
        </w:tc>
        <w:tc>
          <w:tcPr>
            <w:tcW w:w="380" w:type="dxa"/>
            <w:vAlign w:val="bottom"/>
            <w:shd w:val="clear" w:color="auto" w:fill="001135"/>
          </w:tcPr>
          <w:p>
            <w:pPr>
              <w:spacing w:after="0"/>
              <w:rPr>
                <w:sz w:val="11"/>
                <w:szCs w:val="11"/>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Securities Exchange Act of 1934, we follow the applicable US</w:t>
            </w:r>
          </w:p>
        </w:tc>
        <w:tc>
          <w:tcPr>
            <w:tcW w:w="0" w:type="dxa"/>
            <w:vAlign w:val="bottom"/>
          </w:tcPr>
          <w:p>
            <w:pPr>
              <w:spacing w:after="0"/>
              <w:rPr>
                <w:sz w:val="1"/>
                <w:szCs w:val="1"/>
                <w:color w:val="auto"/>
              </w:rPr>
            </w:pPr>
          </w:p>
        </w:tc>
      </w:tr>
      <w:tr>
        <w:trPr>
          <w:trHeight w:val="162"/>
        </w:trPr>
        <w:tc>
          <w:tcPr>
            <w:tcW w:w="120" w:type="dxa"/>
            <w:vAlign w:val="bottom"/>
            <w:tcBorders>
              <w:bottom w:val="single" w:sz="8" w:color="001135"/>
            </w:tcBorders>
            <w:shd w:val="clear" w:color="auto" w:fill="001135"/>
          </w:tcPr>
          <w:p>
            <w:pPr>
              <w:spacing w:after="0"/>
              <w:rPr>
                <w:sz w:val="14"/>
                <w:szCs w:val="14"/>
                <w:color w:val="auto"/>
              </w:rPr>
            </w:pPr>
          </w:p>
        </w:tc>
        <w:tc>
          <w:tcPr>
            <w:tcW w:w="2740" w:type="dxa"/>
            <w:vAlign w:val="bottom"/>
            <w:tcBorders>
              <w:bottom w:val="single" w:sz="8" w:color="001135"/>
            </w:tcBorders>
            <w:shd w:val="clear" w:color="auto" w:fill="001135"/>
          </w:tcPr>
          <w:p>
            <w:pPr>
              <w:spacing w:after="0"/>
              <w:rPr>
                <w:sz w:val="14"/>
                <w:szCs w:val="14"/>
                <w:color w:val="auto"/>
              </w:rPr>
            </w:pPr>
          </w:p>
        </w:tc>
        <w:tc>
          <w:tcPr>
            <w:tcW w:w="380" w:type="dxa"/>
            <w:vAlign w:val="bottom"/>
            <w:tcBorders>
              <w:bottom w:val="single" w:sz="8" w:color="001135"/>
            </w:tcBorders>
            <w:shd w:val="clear" w:color="auto" w:fill="001135"/>
          </w:tcPr>
          <w:p>
            <w:pPr>
              <w:spacing w:after="0"/>
              <w:rPr>
                <w:sz w:val="14"/>
                <w:szCs w:val="14"/>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federal securities laws and regulations, including the Sarbanes-</w:t>
            </w:r>
          </w:p>
        </w:tc>
        <w:tc>
          <w:tcPr>
            <w:tcW w:w="0" w:type="dxa"/>
            <w:vAlign w:val="bottom"/>
          </w:tcPr>
          <w:p>
            <w:pPr>
              <w:spacing w:after="0"/>
              <w:rPr>
                <w:sz w:val="1"/>
                <w:szCs w:val="1"/>
                <w:color w:val="auto"/>
              </w:rPr>
            </w:pPr>
          </w:p>
        </w:tc>
      </w:tr>
      <w:tr>
        <w:trPr>
          <w:trHeight w:val="88"/>
        </w:trPr>
        <w:tc>
          <w:tcPr>
            <w:tcW w:w="120" w:type="dxa"/>
            <w:vAlign w:val="bottom"/>
          </w:tcPr>
          <w:p>
            <w:pPr>
              <w:spacing w:after="0"/>
              <w:rPr>
                <w:sz w:val="7"/>
                <w:szCs w:val="7"/>
                <w:color w:val="auto"/>
              </w:rPr>
            </w:pPr>
          </w:p>
        </w:tc>
        <w:tc>
          <w:tcPr>
            <w:tcW w:w="2740" w:type="dxa"/>
            <w:vAlign w:val="bottom"/>
          </w:tcPr>
          <w:p>
            <w:pPr>
              <w:spacing w:after="0"/>
              <w:rPr>
                <w:sz w:val="7"/>
                <w:szCs w:val="7"/>
                <w:color w:val="auto"/>
              </w:rPr>
            </w:pPr>
          </w:p>
        </w:tc>
        <w:tc>
          <w:tcPr>
            <w:tcW w:w="380" w:type="dxa"/>
            <w:vAlign w:val="bottom"/>
          </w:tcPr>
          <w:p>
            <w:pPr>
              <w:spacing w:after="0"/>
              <w:rPr>
                <w:sz w:val="7"/>
                <w:szCs w:val="7"/>
                <w:color w:val="auto"/>
              </w:rPr>
            </w:pPr>
          </w:p>
        </w:tc>
        <w:tc>
          <w:tcPr>
            <w:tcW w:w="3160" w:type="dxa"/>
            <w:vAlign w:val="bottom"/>
          </w:tcPr>
          <w:p>
            <w:pPr>
              <w:ind w:left="160"/>
              <w:spacing w:after="0" w:line="89" w:lineRule="exact"/>
              <w:rPr>
                <w:sz w:val="20"/>
                <w:szCs w:val="20"/>
                <w:color w:val="auto"/>
              </w:rPr>
            </w:pPr>
            <w:r>
              <w:rPr>
                <w:rFonts w:ascii="Times New Roman" w:cs="Times New Roman" w:eastAsia="Times New Roman" w:hAnsi="Times New Roman"/>
                <w:sz w:val="10"/>
                <w:szCs w:val="10"/>
                <w:color w:val="auto"/>
              </w:rPr>
              <w:t>Oxley Act of 2002 as well as the rules of the NYSE, in particular</w:t>
            </w:r>
          </w:p>
        </w:tc>
        <w:tc>
          <w:tcPr>
            <w:tcW w:w="0" w:type="dxa"/>
            <w:vAlign w:val="bottom"/>
          </w:tcPr>
          <w:p>
            <w:pPr>
              <w:spacing w:after="0"/>
              <w:rPr>
                <w:sz w:val="1"/>
                <w:szCs w:val="1"/>
                <w:color w:val="auto"/>
              </w:rPr>
            </w:pPr>
          </w:p>
        </w:tc>
      </w:tr>
      <w:tr>
        <w:trPr>
          <w:trHeight w:val="142"/>
        </w:trPr>
        <w:tc>
          <w:tcPr>
            <w:tcW w:w="120" w:type="dxa"/>
            <w:vAlign w:val="bottom"/>
          </w:tcPr>
          <w:p>
            <w:pPr>
              <w:spacing w:after="0"/>
              <w:rPr>
                <w:sz w:val="12"/>
                <w:szCs w:val="12"/>
                <w:color w:val="auto"/>
              </w:rPr>
            </w:pPr>
          </w:p>
        </w:tc>
        <w:tc>
          <w:tcPr>
            <w:tcW w:w="27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the corporate governance standards under Section 303A of the</w:t>
            </w:r>
          </w:p>
        </w:tc>
        <w:tc>
          <w:tcPr>
            <w:tcW w:w="0" w:type="dxa"/>
            <w:vAlign w:val="bottom"/>
          </w:tcPr>
          <w:p>
            <w:pPr>
              <w:spacing w:after="0"/>
              <w:rPr>
                <w:sz w:val="1"/>
                <w:szCs w:val="1"/>
                <w:color w:val="auto"/>
              </w:rPr>
            </w:pPr>
          </w:p>
        </w:tc>
      </w:tr>
      <w:tr>
        <w:trPr>
          <w:trHeight w:val="131"/>
        </w:trPr>
        <w:tc>
          <w:tcPr>
            <w:tcW w:w="120" w:type="dxa"/>
            <w:vAlign w:val="bottom"/>
          </w:tcPr>
          <w:p>
            <w:pPr>
              <w:spacing w:after="0"/>
              <w:rPr>
                <w:sz w:val="11"/>
                <w:szCs w:val="11"/>
                <w:color w:val="auto"/>
              </w:rPr>
            </w:pPr>
          </w:p>
        </w:tc>
        <w:tc>
          <w:tcPr>
            <w:tcW w:w="274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NYSE Listed Company Manual. We comply with these standards</w:t>
            </w:r>
          </w:p>
        </w:tc>
        <w:tc>
          <w:tcPr>
            <w:tcW w:w="0" w:type="dxa"/>
            <w:vAlign w:val="bottom"/>
          </w:tcPr>
          <w:p>
            <w:pPr>
              <w:spacing w:after="0"/>
              <w:rPr>
                <w:sz w:val="1"/>
                <w:szCs w:val="1"/>
                <w:color w:val="auto"/>
              </w:rPr>
            </w:pPr>
          </w:p>
        </w:tc>
      </w:tr>
      <w:tr>
        <w:trPr>
          <w:trHeight w:val="142"/>
        </w:trPr>
        <w:tc>
          <w:tcPr>
            <w:tcW w:w="120" w:type="dxa"/>
            <w:vAlign w:val="bottom"/>
          </w:tcPr>
          <w:p>
            <w:pPr>
              <w:spacing w:after="0"/>
              <w:rPr>
                <w:sz w:val="12"/>
                <w:szCs w:val="12"/>
                <w:color w:val="auto"/>
              </w:rPr>
            </w:pPr>
          </w:p>
        </w:tc>
        <w:tc>
          <w:tcPr>
            <w:tcW w:w="27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to the extent such provisions are applicable to us as a foreign</w:t>
            </w:r>
          </w:p>
        </w:tc>
        <w:tc>
          <w:tcPr>
            <w:tcW w:w="0" w:type="dxa"/>
            <w:vAlign w:val="bottom"/>
          </w:tcPr>
          <w:p>
            <w:pPr>
              <w:spacing w:after="0"/>
              <w:rPr>
                <w:sz w:val="1"/>
                <w:szCs w:val="1"/>
                <w:color w:val="auto"/>
              </w:rPr>
            </w:pPr>
          </w:p>
        </w:tc>
      </w:tr>
      <w:tr>
        <w:trPr>
          <w:trHeight w:val="148"/>
        </w:trPr>
        <w:tc>
          <w:tcPr>
            <w:tcW w:w="120" w:type="dxa"/>
            <w:vAlign w:val="bottom"/>
          </w:tcPr>
          <w:p>
            <w:pPr>
              <w:spacing w:after="0"/>
              <w:rPr>
                <w:sz w:val="12"/>
                <w:szCs w:val="12"/>
                <w:color w:val="auto"/>
              </w:rPr>
            </w:pPr>
          </w:p>
        </w:tc>
        <w:tc>
          <w:tcPr>
            <w:tcW w:w="27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31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private issuer.</w:t>
            </w:r>
          </w:p>
        </w:tc>
        <w:tc>
          <w:tcPr>
            <w:tcW w:w="0" w:type="dxa"/>
            <w:vAlign w:val="bottom"/>
          </w:tcPr>
          <w:p>
            <w:pPr>
              <w:spacing w:after="0"/>
              <w:rPr>
                <w:sz w:val="1"/>
                <w:szCs w:val="1"/>
                <w:color w:val="auto"/>
              </w:rPr>
            </w:pPr>
          </w:p>
        </w:tc>
      </w:tr>
      <w:tr>
        <w:trPr>
          <w:trHeight w:val="352"/>
        </w:trPr>
        <w:tc>
          <w:tcPr>
            <w:tcW w:w="28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Nokia Annual Report on Form 20-F 2023</w:t>
            </w:r>
          </w:p>
        </w:tc>
        <w:tc>
          <w:tcPr>
            <w:tcW w:w="380" w:type="dxa"/>
            <w:vAlign w:val="bottom"/>
          </w:tcPr>
          <w:p>
            <w:pPr>
              <w:spacing w:after="0"/>
              <w:rPr>
                <w:sz w:val="24"/>
                <w:szCs w:val="24"/>
                <w:color w:val="auto"/>
              </w:rPr>
            </w:pPr>
          </w:p>
        </w:tc>
        <w:tc>
          <w:tcPr>
            <w:tcW w:w="316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34</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2" w:lineRule="exact"/>
        <w:rPr>
          <w:sz w:val="20"/>
          <w:szCs w:val="20"/>
          <w:color w:val="auto"/>
        </w:rPr>
      </w:pPr>
    </w:p>
    <w:p>
      <w:pPr>
        <w:ind w:right="220"/>
        <w:spacing w:after="0" w:line="263" w:lineRule="auto"/>
        <w:rPr>
          <w:sz w:val="20"/>
          <w:szCs w:val="20"/>
          <w:color w:val="auto"/>
        </w:rPr>
      </w:pPr>
      <w:r>
        <w:rPr>
          <w:rFonts w:ascii="Times New Roman" w:cs="Times New Roman" w:eastAsia="Times New Roman" w:hAnsi="Times New Roman"/>
          <w:sz w:val="11"/>
          <w:szCs w:val="11"/>
          <w:color w:val="auto"/>
        </w:rPr>
        <w:t>To the extent compliance with any non-domestic rules would conflict with the laws of Finland, we are obliged to comply with Finnish laws and applicable regulations. There are no significant differences in the corporate governance practices applied by Nokia compared with those applied by US companies under the NYSE corporate governance standards with the exception that Nokia complies with Finnish law with respect to the approval of equity compensation plans. Under Finnish law, stock option plans require shareholder approval at the time of their launch. All other plans that include the delivery of company stock in the form of newly issued shares or treasury shares require shareholder approval at the time of delivery of the shares unless shareholder approval has been granted through an authorization to the Board, a maximum of five years earlier. The NYSE corporate governance standards require that equity compensation plans are approved by the company’s shareholders. Nokia aims to minimize the necessity for, or consequences of, conflicts between the laws of Finland and applicable non-domestic corporate governance standards.</w:t>
      </w:r>
    </w:p>
    <w:p>
      <w:pPr>
        <w:spacing w:after="0" w:line="195" w:lineRule="exact"/>
        <w:rPr>
          <w:sz w:val="20"/>
          <w:szCs w:val="20"/>
          <w:color w:val="auto"/>
        </w:rPr>
      </w:pPr>
    </w:p>
    <w:p>
      <w:pPr>
        <w:ind w:right="240"/>
        <w:spacing w:after="0" w:line="265" w:lineRule="auto"/>
        <w:rPr>
          <w:sz w:val="20"/>
          <w:szCs w:val="20"/>
          <w:color w:val="auto"/>
        </w:rPr>
      </w:pPr>
      <w:r>
        <w:rPr>
          <w:rFonts w:ascii="Times New Roman" w:cs="Times New Roman" w:eastAsia="Times New Roman" w:hAnsi="Times New Roman"/>
          <w:sz w:val="11"/>
          <w:szCs w:val="11"/>
          <w:color w:val="auto"/>
        </w:rPr>
        <w:t>In addition to the Corporate Governance Guidelines, the Committees of the Board have adopted charters that define each Committee’s main duties and operating principles. The Board has also adopted the Code of Conduct that applies to directors, executives, and employees of Nokia, as well as employees of Nokia’s subsidiaries and affiliated companies (such as joint ventures) in which Nokia owns a majority of the shares or exercises effective control. Furthermore, the Board has adopted the Code of Ethics and Executive Officer Clawback Policy applicable to our key executives, including the President and CEO, CFO and Corporate Controller.</w:t>
      </w:r>
    </w:p>
    <w:p>
      <w:pPr>
        <w:sectPr>
          <w:pgSz w:w="11900" w:h="16838" w:orient="portrait"/>
          <w:cols w:equalWidth="0" w:num="2">
            <w:col w:w="6400" w:space="400"/>
            <w:col w:w="3180"/>
          </w:cols>
          <w:pgMar w:left="960" w:top="409" w:right="959" w:bottom="1440" w:gutter="0" w:footer="0" w:header="0"/>
        </w:sectPr>
      </w:pPr>
    </w:p>
    <w:bookmarkStart w:id="42" w:name="page43"/>
    <w:bookmarkEnd w:id="42"/>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68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35</w:t>
      </w:r>
    </w:p>
    <w:p>
      <w:pPr>
        <w:spacing w:after="0" w:line="614" w:lineRule="exact"/>
        <w:rPr>
          <w:sz w:val="20"/>
          <w:szCs w:val="20"/>
          <w:color w:val="auto"/>
        </w:rPr>
      </w:pPr>
    </w:p>
    <w:p>
      <w:pPr>
        <w:sectPr>
          <w:pgSz w:w="11900" w:h="16838" w:orient="portrait"/>
          <w:cols w:equalWidth="0" w:num="2">
            <w:col w:w="9140" w:space="720"/>
            <w:col w:w="120"/>
          </w:cols>
          <w:pgMar w:left="960" w:top="409" w:right="959" w:bottom="1440" w:gutter="0" w:footer="0" w:header="0"/>
        </w:sectPr>
      </w:pPr>
    </w:p>
    <w:p>
      <w:pPr>
        <w:spacing w:after="0" w:line="179" w:lineRule="exact"/>
        <w:rPr>
          <w:sz w:val="20"/>
          <w:szCs w:val="20"/>
          <w:color w:val="auto"/>
        </w:rPr>
      </w:pPr>
    </w:p>
    <w:p>
      <w:pPr>
        <w:ind w:left="80"/>
        <w:spacing w:after="0"/>
        <w:rPr>
          <w:sz w:val="20"/>
          <w:szCs w:val="20"/>
          <w:color w:val="auto"/>
        </w:rPr>
      </w:pPr>
      <w:r>
        <w:rPr>
          <w:rFonts w:ascii="Times New Roman" w:cs="Times New Roman" w:eastAsia="Times New Roman" w:hAnsi="Times New Roman"/>
          <w:sz w:val="16"/>
          <w:szCs w:val="16"/>
          <w:color w:val="005AFF"/>
        </w:rPr>
        <w:t>Corporate governance framework</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5"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Main corporate governance bodies of Nokia</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Pursuant to the provisions of the Finnish Limited Liability</w:t>
      </w:r>
    </w:p>
    <w:p>
      <w:pPr>
        <w:spacing w:after="0" w:line="22"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Companies Act (2006/624, as amended) (the “Finnish Companies Act”), the legislation under which Nokia operates, and Nokia’s Articles of Association, the control and management of Nokia are divided among shareholders at a general meeting, the</w:t>
      </w:r>
    </w:p>
    <w:p>
      <w:pPr>
        <w:ind w:right="160"/>
        <w:spacing w:after="0" w:line="297" w:lineRule="auto"/>
        <w:rPr>
          <w:sz w:val="20"/>
          <w:szCs w:val="20"/>
          <w:color w:val="auto"/>
        </w:rPr>
      </w:pPr>
      <w:r>
        <w:rPr>
          <w:rFonts w:ascii="Times New Roman" w:cs="Times New Roman" w:eastAsia="Times New Roman" w:hAnsi="Times New Roman"/>
          <w:sz w:val="11"/>
          <w:szCs w:val="11"/>
          <w:color w:val="auto"/>
        </w:rPr>
        <w:t>Board, the President and CEO and the Group Leadership Team, chaired by the President and CEO.</w:t>
      </w:r>
    </w:p>
    <w:p>
      <w:pPr>
        <w:spacing w:after="0" w:line="3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General Meeting of Shareholders</w:t>
      </w:r>
    </w:p>
    <w:p>
      <w:pPr>
        <w:spacing w:after="0" w:line="32" w:lineRule="exact"/>
        <w:rPr>
          <w:sz w:val="20"/>
          <w:szCs w:val="20"/>
          <w:color w:val="auto"/>
        </w:rPr>
      </w:pPr>
    </w:p>
    <w:p>
      <w:pPr>
        <w:ind w:right="140"/>
        <w:spacing w:after="0" w:line="274" w:lineRule="auto"/>
        <w:rPr>
          <w:sz w:val="20"/>
          <w:szCs w:val="20"/>
          <w:color w:val="auto"/>
        </w:rPr>
      </w:pPr>
      <w:r>
        <w:rPr>
          <w:rFonts w:ascii="Times New Roman" w:cs="Times New Roman" w:eastAsia="Times New Roman" w:hAnsi="Times New Roman"/>
          <w:sz w:val="11"/>
          <w:szCs w:val="11"/>
          <w:color w:val="auto"/>
        </w:rPr>
        <w:t>Nokia’s shareholders play a key role in corporate governance, with our Annual General Meeting offering a regular opportunity to exercise their decision-making power in Nokia. In addition, at the meeting the shareholders may exercise their right to speak and ask questions.</w:t>
      </w:r>
    </w:p>
    <w:p>
      <w:pPr>
        <w:spacing w:after="0" w:line="47"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color w:val="auto"/>
        </w:rPr>
        <w:t>Each Nokia share entitles a shareholder to one vote at general meetings of Nokia. The Annual General Meeting decides, among other things, on the election and remuneration of the Board,</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adoption of annual accounts, the distribution of retained</w:t>
      </w:r>
    </w:p>
    <w:p>
      <w:pPr>
        <w:spacing w:after="0" w:line="22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earnings shown on the balance sheet, discharging the</w:t>
      </w:r>
    </w:p>
    <w:p>
      <w:pPr>
        <w:spacing w:after="0" w:line="22" w:lineRule="exact"/>
        <w:rPr>
          <w:sz w:val="20"/>
          <w:szCs w:val="20"/>
          <w:color w:val="auto"/>
        </w:rPr>
      </w:pPr>
    </w:p>
    <w:p>
      <w:pPr>
        <w:ind w:right="40"/>
        <w:spacing w:after="0" w:line="267" w:lineRule="auto"/>
        <w:rPr>
          <w:sz w:val="20"/>
          <w:szCs w:val="20"/>
          <w:color w:val="auto"/>
        </w:rPr>
      </w:pPr>
      <w:r>
        <w:rPr>
          <w:rFonts w:ascii="Times New Roman" w:cs="Times New Roman" w:eastAsia="Times New Roman" w:hAnsi="Times New Roman"/>
          <w:sz w:val="11"/>
          <w:szCs w:val="11"/>
          <w:color w:val="auto"/>
        </w:rPr>
        <w:t>members of the Board and the President and CEO from liability, as well as on the election and fees of the external auditor and the sustainability reporting assurer. The Remuneration Policy is presented to the general meeting at least every four years and the Remuneration Report annually. Resolutions of the general meeting regarding the policy and the report are advisory in nature.</w:t>
      </w:r>
    </w:p>
    <w:p>
      <w:pPr>
        <w:spacing w:after="0" w:line="191" w:lineRule="exact"/>
        <w:rPr>
          <w:sz w:val="20"/>
          <w:szCs w:val="20"/>
          <w:color w:val="auto"/>
        </w:rPr>
      </w:pPr>
    </w:p>
    <w:p>
      <w:pPr>
        <w:ind w:right="140"/>
        <w:spacing w:after="0" w:line="274" w:lineRule="auto"/>
        <w:rPr>
          <w:sz w:val="20"/>
          <w:szCs w:val="20"/>
          <w:color w:val="auto"/>
        </w:rPr>
      </w:pPr>
      <w:r>
        <w:rPr>
          <w:rFonts w:ascii="Times New Roman" w:cs="Times New Roman" w:eastAsia="Times New Roman" w:hAnsi="Times New Roman"/>
          <w:sz w:val="11"/>
          <w:szCs w:val="11"/>
          <w:color w:val="auto"/>
        </w:rPr>
        <w:t>In addition to the Annual General Meeting, an Extraordinary General Meeting may be convened when the Board considers such a meeting to be necessary, or when the provisions of the Finnish Companies Act mandate that such a meeting must be held.</w:t>
      </w:r>
    </w:p>
    <w:p>
      <w:pPr>
        <w:spacing w:after="0" w:line="47"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The Finnish Companies Act was amended on 11 July 2022 to enable limited liability companies to hold hybrid and virtual-only general meetings. A virtual general meeting, as defined by the Finnish Companies Act, is a meeting held without a physical meeting venue, where shareholders must be able to exercise their shareholder rights in full by virtual means, including voting</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60"/>
        <w:spacing w:after="0" w:line="265" w:lineRule="auto"/>
        <w:rPr>
          <w:sz w:val="20"/>
          <w:szCs w:val="20"/>
          <w:color w:val="auto"/>
        </w:rPr>
      </w:pPr>
      <w:r>
        <w:rPr>
          <w:rFonts w:ascii="Times New Roman" w:cs="Times New Roman" w:eastAsia="Times New Roman" w:hAnsi="Times New Roman"/>
          <w:sz w:val="11"/>
          <w:szCs w:val="11"/>
          <w:color w:val="auto"/>
        </w:rPr>
        <w:t>in real time and asking questions orally during the meeting. We believe the Finnish legislation can be considered a leading example of protecting shareholders’ rights in virtual general meetings. Once reliable technical methods for automated foreign shareholder identification become available in Finland, virtual general meetings are expected to improve the position of nominee-registered private shareholders residing outside of Finland, who may have been unable to attend the general meeting in person or be represented by proxy. The benefits of virtual general meetings would further include the ability of the Company to hold a general meeting also under extraordinary external circumstances such as navigating through restrictions on physical gatherings.</w:t>
      </w:r>
    </w:p>
    <w:p>
      <w:pPr>
        <w:spacing w:after="0" w:line="55" w:lineRule="exact"/>
        <w:rPr>
          <w:sz w:val="20"/>
          <w:szCs w:val="20"/>
          <w:color w:val="auto"/>
        </w:rPr>
      </w:pPr>
    </w:p>
    <w:p>
      <w:pPr>
        <w:ind w:right="260"/>
        <w:spacing w:after="0" w:line="265" w:lineRule="auto"/>
        <w:rPr>
          <w:sz w:val="20"/>
          <w:szCs w:val="20"/>
          <w:color w:val="auto"/>
        </w:rPr>
      </w:pPr>
      <w:r>
        <w:rPr>
          <w:rFonts w:ascii="Times New Roman" w:cs="Times New Roman" w:eastAsia="Times New Roman" w:hAnsi="Times New Roman"/>
          <w:sz w:val="11"/>
          <w:szCs w:val="11"/>
          <w:color w:val="auto"/>
        </w:rPr>
        <w:t>In accordance with the Finnish Companies Act, the articles of association must be amended to hold a general meeting virtually, necessitating a two-thirds qualified majority of shares and votes. After consulting with its largest shareholders, Nokia is proposing to the Annual General Meeting 2024 such amendment to its Articles of Association to allow virtual meetings in extraordinary external circumstances and to be prepared for all general meeting formats. Having the option of virtual meetings included in the Articles would not preclude in-person meetings and shareholders’ rights would always be protected as a first priority regardless of the meeting format.</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Annual General Meeting 2023 and 2024</w:t>
      </w:r>
    </w:p>
    <w:p>
      <w:pPr>
        <w:spacing w:after="0" w:line="19" w:lineRule="exact"/>
        <w:rPr>
          <w:sz w:val="20"/>
          <w:szCs w:val="20"/>
          <w:color w:val="auto"/>
        </w:rPr>
      </w:pPr>
    </w:p>
    <w:p>
      <w:pPr>
        <w:ind w:right="180"/>
        <w:spacing w:after="0" w:line="261" w:lineRule="auto"/>
        <w:rPr>
          <w:sz w:val="20"/>
          <w:szCs w:val="20"/>
          <w:color w:val="auto"/>
        </w:rPr>
      </w:pPr>
      <w:r>
        <w:rPr>
          <w:rFonts w:ascii="Times New Roman" w:cs="Times New Roman" w:eastAsia="Times New Roman" w:hAnsi="Times New Roman"/>
          <w:sz w:val="11"/>
          <w:szCs w:val="11"/>
          <w:color w:val="auto"/>
        </w:rPr>
        <w:t>The Annual General Meeting 2023 took place at Messukeskus Siipi, the Helsinki Expo and Convention Centre, on 4 April 2023. We were pleased to see the record number of votes cast as well as the strong shareholder support received for all the Board’s proposals at the Meeting. For the second consecutive year, the turnout for the vote stood at a record high level. Also, a record number of 108 603 shareholders representing approximately</w:t>
      </w:r>
    </w:p>
    <w:p>
      <w:pPr>
        <w:spacing w:after="0" w:line="2" w:lineRule="exact"/>
        <w:rPr>
          <w:sz w:val="20"/>
          <w:szCs w:val="20"/>
          <w:color w:val="auto"/>
        </w:rPr>
      </w:pPr>
    </w:p>
    <w:p>
      <w:pPr>
        <w:ind w:right="320"/>
        <w:spacing w:after="0" w:line="264" w:lineRule="auto"/>
        <w:rPr>
          <w:sz w:val="20"/>
          <w:szCs w:val="20"/>
          <w:color w:val="auto"/>
        </w:rPr>
      </w:pPr>
      <w:r>
        <w:rPr>
          <w:rFonts w:ascii="Times New Roman" w:cs="Times New Roman" w:eastAsia="Times New Roman" w:hAnsi="Times New Roman"/>
          <w:sz w:val="11"/>
          <w:szCs w:val="11"/>
          <w:color w:val="auto"/>
        </w:rPr>
        <w:t>3 190 million shares and 56.6% of all the shares and votes in the Company participated the Annual General Meeting. On the other hand, fewer shareholders participated in person compared to the years before the COVID-pandemic as the Company was offering an opportunity to cast votes in advance and follow the meeting as well as ask questions through a live webcast. All of the Board’s proposals were supported by more than 92% of the votes cast.</w:t>
      </w:r>
    </w:p>
    <w:p>
      <w:pPr>
        <w:spacing w:after="0" w:line="53" w:lineRule="exact"/>
        <w:rPr>
          <w:sz w:val="20"/>
          <w:szCs w:val="20"/>
          <w:color w:val="auto"/>
        </w:rPr>
      </w:pPr>
    </w:p>
    <w:p>
      <w:pPr>
        <w:ind w:right="200"/>
        <w:spacing w:after="0" w:line="289" w:lineRule="auto"/>
        <w:rPr>
          <w:sz w:val="20"/>
          <w:szCs w:val="20"/>
          <w:color w:val="auto"/>
        </w:rPr>
      </w:pPr>
      <w:r>
        <w:rPr>
          <w:rFonts w:ascii="Times New Roman" w:cs="Times New Roman" w:eastAsia="Times New Roman" w:hAnsi="Times New Roman"/>
          <w:sz w:val="11"/>
          <w:szCs w:val="11"/>
          <w:color w:val="auto"/>
        </w:rPr>
        <w:t>Nokia Corporation’s Annual General Meeting 2024 is planned to be held on 3 April 2024. The Board’s proposals to the Annual General Meeting 2024 were published on 25 January 2024.</w:t>
      </w:r>
    </w:p>
    <w:p>
      <w:pPr>
        <w:sectPr>
          <w:pgSz w:w="11900" w:h="16838" w:orient="portrait"/>
          <w:cols w:equalWidth="0" w:num="3">
            <w:col w:w="3080" w:space="320"/>
            <w:col w:w="2980" w:space="420"/>
            <w:col w:w="3180"/>
          </w:cols>
          <w:pgMar w:left="960" w:top="409" w:right="959" w:bottom="1440" w:gutter="0" w:footer="0" w:header="0"/>
          <w:type w:val="continuous"/>
        </w:sectPr>
      </w:pPr>
    </w:p>
    <w:bookmarkStart w:id="43" w:name="page44"/>
    <w:bookmarkEnd w:id="43"/>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Board of Directors</w:t>
      </w:r>
    </w:p>
    <w:p>
      <w:pPr>
        <w:spacing w:after="0" w:line="32"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The operations of Nokia are managed under the direction of the Board, within the framework set by the Finnish Companies Act and Nokia’s Articles of Association as well as any complementary rules of procedure as defined by the Board, such as the Corporate Governance Guidelines and the charters of the Board’s Committees.</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Election and composition of the Board of Directors</w:t>
      </w:r>
    </w:p>
    <w:p>
      <w:pPr>
        <w:spacing w:after="0" w:line="24" w:lineRule="exact"/>
        <w:rPr>
          <w:sz w:val="20"/>
          <w:szCs w:val="20"/>
          <w:color w:val="auto"/>
        </w:rPr>
      </w:pPr>
    </w:p>
    <w:p>
      <w:pPr>
        <w:ind w:right="300"/>
        <w:spacing w:after="0" w:line="259" w:lineRule="auto"/>
        <w:rPr>
          <w:sz w:val="20"/>
          <w:szCs w:val="20"/>
          <w:color w:val="auto"/>
        </w:rPr>
      </w:pPr>
      <w:r>
        <w:rPr>
          <w:rFonts w:ascii="Times New Roman" w:cs="Times New Roman" w:eastAsia="Times New Roman" w:hAnsi="Times New Roman"/>
          <w:sz w:val="11"/>
          <w:szCs w:val="11"/>
          <w:color w:val="auto"/>
        </w:rPr>
        <w:t>Pursuant to the Articles of Association of Nokia, we have a Board that is composed of a minimum of seven and a maximum of 12 members. The members of the Board are elected at least annually at each Annual General Meeting.</w:t>
      </w:r>
    </w:p>
    <w:p>
      <w:pPr>
        <w:ind w:right="60"/>
        <w:spacing w:after="0" w:line="267" w:lineRule="auto"/>
        <w:rPr>
          <w:sz w:val="20"/>
          <w:szCs w:val="20"/>
          <w:color w:val="auto"/>
        </w:rPr>
      </w:pPr>
      <w:r>
        <w:rPr>
          <w:rFonts w:ascii="Times New Roman" w:cs="Times New Roman" w:eastAsia="Times New Roman" w:hAnsi="Times New Roman"/>
          <w:sz w:val="11"/>
          <w:szCs w:val="11"/>
          <w:color w:val="auto"/>
        </w:rPr>
        <w:t>The candidates are considered individually and those receiving the most votes shall be elected pursuant to the Finnish Companies Act. The term of the Board members begins at the close of the general meeting at which they were elected, or later as resolved by the general meeting, and expires at the close of the following Annual General Meeting. The Annual General Meeting convenes by 30 June annually.</w:t>
      </w:r>
    </w:p>
    <w:p>
      <w:pPr>
        <w:spacing w:after="0" w:line="50"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Our Board’s leadership structure consists of a Chair and Vice Chair elected annually by the Board and confirmed by the independent directors of the Board from among the Board members upon the recommendation of the Corporate Governance and Nomination Committee. The Chair of the Board has certain specific duties as stipulated by Finnish law and our Corporate Governance Guidelines. The Vice Chair of the Board assumes the duties of the Chair of the Board in the event the Chair is prevented from performing his or her duties.</w:t>
      </w:r>
    </w:p>
    <w:p>
      <w:pPr>
        <w:spacing w:after="0" w:line="63" w:lineRule="exact"/>
        <w:rPr>
          <w:sz w:val="20"/>
          <w:szCs w:val="20"/>
          <w:color w:val="auto"/>
        </w:rPr>
      </w:pPr>
    </w:p>
    <w:p>
      <w:pPr>
        <w:ind w:right="120"/>
        <w:spacing w:after="0" w:line="265" w:lineRule="auto"/>
        <w:rPr>
          <w:sz w:val="20"/>
          <w:szCs w:val="20"/>
          <w:color w:val="auto"/>
        </w:rPr>
      </w:pPr>
      <w:r>
        <w:rPr>
          <w:rFonts w:ascii="Times New Roman" w:cs="Times New Roman" w:eastAsia="Times New Roman" w:hAnsi="Times New Roman"/>
          <w:sz w:val="11"/>
          <w:szCs w:val="11"/>
          <w:color w:val="auto"/>
        </w:rPr>
        <w:t>The independent directors of the new Board also confirm the election of the members and chairs for the Board’s Committees from among the Board’s independent directors upon the recommendation of the Corporate Governance and Nomination Committee and based on each Committee’s member qualification standards. These elections take place at the Board’s assembly meeting following the general meeting.</w:t>
      </w:r>
    </w:p>
    <w:p>
      <w:pPr>
        <w:spacing w:after="0" w:line="6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The Corporate Governance and Nomination Committee aims to continually renew the Board to have an efficient Board of international professionals with a diverse mix of skills, experience and other personal qualities in line with the diversity principles established by the Board. The Corporate Governance and Nomination Committee considers potential director candidates based on the short- and long-term needs of the Company. In the process of identifying and selecting the</w:t>
      </w:r>
    </w:p>
    <w:p>
      <w:pPr>
        <w:spacing w:after="0" w:line="2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candidates matching these needs and desired profiles,</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engages search firms and external advisers.</w:t>
      </w:r>
    </w:p>
    <w:p>
      <w:pPr>
        <w:spacing w:after="0" w:line="8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Board independence</w:t>
      </w:r>
    </w:p>
    <w:p>
      <w:pPr>
        <w:spacing w:after="0" w:line="19" w:lineRule="exact"/>
        <w:rPr>
          <w:sz w:val="20"/>
          <w:szCs w:val="20"/>
          <w:color w:val="auto"/>
        </w:rPr>
      </w:pPr>
    </w:p>
    <w:p>
      <w:pPr>
        <w:ind w:right="60"/>
        <w:spacing w:after="0" w:line="262" w:lineRule="auto"/>
        <w:rPr>
          <w:sz w:val="20"/>
          <w:szCs w:val="20"/>
          <w:color w:val="auto"/>
        </w:rPr>
      </w:pPr>
      <w:r>
        <w:rPr>
          <w:rFonts w:ascii="Times New Roman" w:cs="Times New Roman" w:eastAsia="Times New Roman" w:hAnsi="Times New Roman"/>
          <w:sz w:val="11"/>
          <w:szCs w:val="11"/>
          <w:color w:val="auto"/>
        </w:rPr>
        <w:t>In accordance with the Corporate Governance Guidelines adopted by the Board of Directors, the Nokia Board shall have a majority of directors who meet the criteria for independence as defined by the Finnish Corporate Governance Code (independent of both the Company and any significant shareholders who hold at least 10% or more of the total shares or voting rights of the Company) and the rules of the NYSE. Furthermore, all of the members of the Board Committees shall be independent Directors under the relevant criteria for independence required by the Finnish Corporate Governance Code and the applicable rules of the NYSE.</w:t>
      </w:r>
    </w:p>
    <w:p>
      <w:pPr>
        <w:spacing w:after="0" w:line="67"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The Board will monitor its compliance with these requirements for director independence on an ongoing basis. Each independent director is expected to notify the Chair of the Corporate Governance and Nomination Committee, as soon as reasonably practicable, in the event that his or her personal circumstances change in a manner that may affect the Board’s evaluation of such director’s independence. The Board of Directors evaluates the independence of its members annually and, in addition</w:t>
      </w:r>
    </w:p>
    <w:p>
      <w:pPr>
        <w:spacing w:after="0" w:line="4" w:lineRule="exact"/>
        <w:rPr>
          <w:sz w:val="20"/>
          <w:szCs w:val="20"/>
          <w:color w:val="auto"/>
        </w:rPr>
      </w:pPr>
    </w:p>
    <w:p>
      <w:pPr>
        <w:ind w:right="420"/>
        <w:spacing w:after="0" w:line="278" w:lineRule="auto"/>
        <w:rPr>
          <w:sz w:val="20"/>
          <w:szCs w:val="20"/>
          <w:color w:val="auto"/>
        </w:rPr>
      </w:pPr>
      <w:r>
        <w:rPr>
          <w:rFonts w:ascii="Times New Roman" w:cs="Times New Roman" w:eastAsia="Times New Roman" w:hAnsi="Times New Roman"/>
          <w:sz w:val="11"/>
          <w:szCs w:val="11"/>
          <w:color w:val="auto"/>
        </w:rPr>
        <w:t>to this, on a continuous basis with the assistance of the Corporate Governance and Nomination Committee.</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Board diversity</w:t>
      </w:r>
    </w:p>
    <w:p>
      <w:pPr>
        <w:spacing w:after="0" w:line="19" w:lineRule="exact"/>
        <w:rPr>
          <w:sz w:val="20"/>
          <w:szCs w:val="20"/>
          <w:color w:val="auto"/>
        </w:rPr>
      </w:pPr>
    </w:p>
    <w:p>
      <w:pPr>
        <w:ind w:right="40"/>
        <w:spacing w:after="0" w:line="264" w:lineRule="auto"/>
        <w:rPr>
          <w:sz w:val="20"/>
          <w:szCs w:val="20"/>
          <w:color w:val="auto"/>
        </w:rPr>
      </w:pPr>
      <w:r>
        <w:rPr>
          <w:rFonts w:ascii="Times New Roman" w:cs="Times New Roman" w:eastAsia="Times New Roman" w:hAnsi="Times New Roman"/>
          <w:sz w:val="11"/>
          <w:szCs w:val="11"/>
          <w:color w:val="auto"/>
        </w:rPr>
        <w:t>The Board has adopted principles concerning Board diversity describing our commitment to promoting a diverse Board composition and how diversity is embedded into our processes and practices when identifying and proposing new Board candidates, as well as when proposing re-election of current Board members.</w:t>
      </w:r>
    </w:p>
    <w:p>
      <w:pPr>
        <w:spacing w:after="0" w:line="63" w:lineRule="exact"/>
        <w:rPr>
          <w:sz w:val="20"/>
          <w:szCs w:val="20"/>
          <w:color w:val="auto"/>
        </w:rPr>
      </w:pPr>
    </w:p>
    <w:p>
      <w:pPr>
        <w:ind w:right="20"/>
        <w:spacing w:after="0" w:line="263" w:lineRule="auto"/>
        <w:rPr>
          <w:sz w:val="20"/>
          <w:szCs w:val="20"/>
          <w:color w:val="auto"/>
        </w:rPr>
      </w:pPr>
      <w:r>
        <w:rPr>
          <w:rFonts w:ascii="Times New Roman" w:cs="Times New Roman" w:eastAsia="Times New Roman" w:hAnsi="Times New Roman"/>
          <w:sz w:val="11"/>
          <w:szCs w:val="11"/>
          <w:color w:val="auto"/>
        </w:rPr>
        <w:t>At Nokia, diversity is not a static concept but rather a relevant mix of required elements for the Board as a whole that evolves with time based on, among other things, the relevant business objectives and future needs of Nokia. Board diversity is treated as a means of improvement and development rather than</w:t>
      </w:r>
    </w:p>
    <w:p>
      <w:pPr>
        <w:spacing w:after="0" w:line="1" w:lineRule="exact"/>
        <w:rPr>
          <w:sz w:val="20"/>
          <w:szCs w:val="20"/>
          <w:color w:val="auto"/>
        </w:rPr>
      </w:pPr>
    </w:p>
    <w:p>
      <w:pPr>
        <w:ind w:right="180"/>
        <w:spacing w:after="0" w:line="261" w:lineRule="auto"/>
        <w:rPr>
          <w:sz w:val="20"/>
          <w:szCs w:val="20"/>
          <w:color w:val="auto"/>
        </w:rPr>
      </w:pPr>
      <w:r>
        <w:rPr>
          <w:rFonts w:ascii="Times New Roman" w:cs="Times New Roman" w:eastAsia="Times New Roman" w:hAnsi="Times New Roman"/>
          <w:sz w:val="11"/>
          <w:szCs w:val="11"/>
          <w:color w:val="auto"/>
        </w:rPr>
        <w:t>an end in itself. Diversity of our Board is considered from a number of aspects including, but not limited to, skills and experience, tenure, age, nationality, ethnicity, cultural and educational backgrounds, self-declared gender identity,</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 well as other individual qualities.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36</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Nokia acknowledges and supports the resolution adopted by the Finnish Government on 17 February 2015 on gender equality on the boards of directors of Finnish large and mid-cap listed companies, as well as the board gender balance directive adopted by the European Parliament on 22 November 2022 and its forthcoming national implementation in the Finnish Companies Act and in the Finnish Corporate Governance Code.</w:t>
      </w:r>
    </w:p>
    <w:p>
      <w:pPr>
        <w:spacing w:after="0" w:line="5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report annually on our objectives relating to equal</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representation of genders, the means to achieve them,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the progress we make. We have met our aim to have at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least 40% of the Director positions held by members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underrepresented genders. In the current Board composition,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50% of the Board members are female and in the Board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proposed to the Annual General Meeting 2024,</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highlight w:val="white"/>
        </w:rPr>
        <w:t xml:space="preserve">40% </w:t>
      </w:r>
      <w:r>
        <w:rPr>
          <w:rFonts w:ascii="Times New Roman" w:cs="Times New Roman" w:eastAsia="Times New Roman" w:hAnsi="Times New Roman"/>
          <w:sz w:val="11"/>
          <w:szCs w:val="11"/>
          <w:color w:val="auto"/>
        </w:rPr>
        <w:t>of the Board members are female.</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Director time commitments</w:t>
      </w:r>
    </w:p>
    <w:p>
      <w:pPr>
        <w:spacing w:after="0" w:line="24"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The Corporate Governance and Nomination Committee monitors closely the time commitments of the Board members and annually reviews the Directors’ attendance rate at the Board and Committee meetings to ensure they are able to devote the appropriate time to the Company to carry out their duties and responsibilities. The Corporate Governance Guidelines of the Board include numerical limits and a process for pre-clearance of new roles in public companies. Directors should not serve on more than four other boards of public companies in addition to the Nokia Board, and on no more than three other boards of public companies in addition to the Nokia Board, in cases where they serve as board chair or lead independent director outside the Nokia Board. The Audit Committee members should not serve on more than two other audit committees of public companies in addition to the Nokia Audit Committee. No positions in excess of these limits may be held without prior consent by the Chair of the Board and the Chair of the Corporate Governance and Nomination Committee determining that such positions would not impair the Director’s service on the Nokia Board or Audit Committee.</w:t>
      </w:r>
    </w:p>
    <w:p>
      <w:pPr>
        <w:spacing w:after="0" w:line="63"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The Corporate Governance and Nomination Committee will annually, ahead of preparing the proposal on the Board composition, review and assess the Directors’ current and planned time commitments outside the Company to seek affirmation that all Directors acknowledge the time commitment principles set forth in the Corporate Governance Guidelines of the Board.</w:t>
      </w:r>
    </w:p>
    <w:p>
      <w:pPr>
        <w:sectPr>
          <w:pgSz w:w="11900" w:h="16838" w:orient="portrait"/>
          <w:cols w:equalWidth="0" w:num="3">
            <w:col w:w="2940" w:space="460"/>
            <w:col w:w="2920" w:space="480"/>
            <w:col w:w="3180"/>
          </w:cols>
          <w:pgMar w:left="960" w:top="409" w:right="959" w:bottom="1440" w:gutter="0" w:footer="0" w:header="0"/>
        </w:sectPr>
      </w:pPr>
    </w:p>
    <w:bookmarkStart w:id="44" w:name="page45"/>
    <w:bookmarkEnd w:id="44"/>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Current members of the Board of Directors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Annual General Meeting held on 4 April 2023 elected</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ten members to the Board for a term ending at the close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the next Annual General Meeting. Sari Baldauf, Thomas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Dannenfeldt, Lisa Hook, Jeanette Horan, Thomas Saueressig,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Søren Skou, Carla Smits-Nusteling and Kai Öistämö were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re-elected as Board members. Timo Ahopelto and Elizabeth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Crain were elected as new Board members. Following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meeting, the Board re-elected Sari Baldauf to serve as Chair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re-elected Søren Skou as the Vice Chair of the Board for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same term.</w:t>
      </w:r>
    </w:p>
    <w:p>
      <w:pPr>
        <w:spacing w:after="0" w:line="79" w:lineRule="exact"/>
        <w:rPr>
          <w:sz w:val="20"/>
          <w:szCs w:val="20"/>
          <w:color w:val="auto"/>
        </w:rPr>
      </w:pPr>
    </w:p>
    <w:p>
      <w:pPr>
        <w:ind w:right="80"/>
        <w:spacing w:after="0" w:line="274" w:lineRule="auto"/>
        <w:rPr>
          <w:sz w:val="20"/>
          <w:szCs w:val="20"/>
          <w:color w:val="auto"/>
        </w:rPr>
      </w:pPr>
      <w:r>
        <w:rPr>
          <w:rFonts w:ascii="Times New Roman" w:cs="Times New Roman" w:eastAsia="Times New Roman" w:hAnsi="Times New Roman"/>
          <w:sz w:val="11"/>
          <w:szCs w:val="11"/>
          <w:color w:val="auto"/>
        </w:rPr>
        <w:t>The current members of the Board are all non-executive and for the term that began at the Annual General Meeting 2023, all Board members were determined to be independent of Nokia and its significant shareholders under the Finnish Corporate Governance Code and the NYSE rules, as applicable.</w:t>
      </w:r>
    </w:p>
    <w:p>
      <w:pPr>
        <w:spacing w:after="0" w:line="47" w:lineRule="exact"/>
        <w:rPr>
          <w:sz w:val="20"/>
          <w:szCs w:val="20"/>
          <w:color w:val="auto"/>
        </w:rPr>
      </w:pPr>
    </w:p>
    <w:p>
      <w:pPr>
        <w:ind w:right="100"/>
        <w:spacing w:after="0" w:line="264" w:lineRule="auto"/>
        <w:rPr>
          <w:sz w:val="20"/>
          <w:szCs w:val="20"/>
          <w:color w:val="auto"/>
        </w:rPr>
      </w:pPr>
      <w:r>
        <w:rPr>
          <w:rFonts w:ascii="Times New Roman" w:cs="Times New Roman" w:eastAsia="Times New Roman" w:hAnsi="Times New Roman"/>
          <w:sz w:val="11"/>
          <w:szCs w:val="11"/>
          <w:color w:val="auto"/>
        </w:rPr>
        <w:t>There are currently six different nationalities represented on the Board and 50% of the Board members are female. In addition to biographical information of the Board members, the table in the upper right corner sets forth the number of shares and American Depositary Shares (ADS) held by the Board members. As at 31 December 2023, they held a total of</w:t>
      </w:r>
    </w:p>
    <w:p>
      <w:pPr>
        <w:spacing w:after="0" w:line="1" w:lineRule="exact"/>
        <w:rPr>
          <w:sz w:val="20"/>
          <w:szCs w:val="20"/>
          <w:color w:val="auto"/>
        </w:rPr>
      </w:pPr>
    </w:p>
    <w:p>
      <w:pPr>
        <w:spacing w:after="0" w:line="273" w:lineRule="auto"/>
        <w:rPr>
          <w:sz w:val="20"/>
          <w:szCs w:val="20"/>
          <w:color w:val="auto"/>
        </w:rPr>
      </w:pPr>
      <w:r>
        <w:rPr>
          <w:rFonts w:ascii="Times New Roman" w:cs="Times New Roman" w:eastAsia="Times New Roman" w:hAnsi="Times New Roman"/>
          <w:sz w:val="11"/>
          <w:szCs w:val="11"/>
          <w:color w:val="auto"/>
          <w:highlight w:val="white"/>
        </w:rPr>
        <w:t xml:space="preserve">900 190 </w:t>
      </w:r>
      <w:r>
        <w:rPr>
          <w:rFonts w:ascii="Times New Roman" w:cs="Times New Roman" w:eastAsia="Times New Roman" w:hAnsi="Times New Roman"/>
          <w:sz w:val="11"/>
          <w:szCs w:val="11"/>
          <w:color w:val="auto"/>
        </w:rPr>
        <w:t>shar es and ADSs in Nokia, representing approximately</w:t>
      </w:r>
      <w:r>
        <w:rPr>
          <w:rFonts w:ascii="Times New Roman" w:cs="Times New Roman" w:eastAsia="Times New Roman" w:hAnsi="Times New Roman"/>
          <w:sz w:val="11"/>
          <w:szCs w:val="11"/>
          <w:color w:val="auto"/>
          <w:highlight w:val="white"/>
        </w:rPr>
        <w:t xml:space="preserve"> </w:t>
      </w:r>
      <w:r>
        <w:rPr>
          <w:rFonts w:ascii="Times New Roman" w:cs="Times New Roman" w:eastAsia="Times New Roman" w:hAnsi="Times New Roman"/>
          <w:sz w:val="11"/>
          <w:szCs w:val="11"/>
          <w:color w:val="auto"/>
        </w:rPr>
        <w:t>0.02 % of our total shares and voting rights excluding shares held by the Nokia Group.</w:t>
      </w:r>
    </w:p>
    <w:p>
      <w:pPr>
        <w:spacing w:after="0" w:line="200" w:lineRule="exact"/>
        <w:rPr>
          <w:sz w:val="20"/>
          <w:szCs w:val="20"/>
          <w:color w:val="auto"/>
        </w:rPr>
      </w:pPr>
    </w:p>
    <w:p>
      <w:pPr>
        <w:spacing w:after="0" w:line="20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40" w:type="dxa"/>
            <w:vAlign w:val="bottom"/>
          </w:tcPr>
          <w:p>
            <w:pPr>
              <w:ind w:left="20"/>
              <w:spacing w:after="0"/>
              <w:rPr>
                <w:sz w:val="20"/>
                <w:szCs w:val="20"/>
                <w:color w:val="auto"/>
              </w:rPr>
            </w:pPr>
            <w:r>
              <w:rPr>
                <w:rFonts w:ascii="Times New Roman" w:cs="Times New Roman" w:eastAsia="Times New Roman" w:hAnsi="Times New Roman"/>
                <w:sz w:val="9"/>
                <w:szCs w:val="9"/>
                <w:color w:val="auto"/>
              </w:rPr>
              <w:t>Financial</w:t>
            </w:r>
          </w:p>
        </w:tc>
        <w:tc>
          <w:tcPr>
            <w:tcW w:w="52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680" w:type="dxa"/>
            <w:vAlign w:val="bottom"/>
          </w:tcPr>
          <w:p>
            <w:pPr>
              <w:spacing w:after="0"/>
              <w:rPr>
                <w:sz w:val="9"/>
                <w:szCs w:val="9"/>
                <w:color w:val="auto"/>
              </w:rPr>
            </w:pPr>
          </w:p>
        </w:tc>
        <w:tc>
          <w:tcPr>
            <w:tcW w:w="660" w:type="dxa"/>
            <w:vAlign w:val="bottom"/>
          </w:tcPr>
          <w:p>
            <w:pPr>
              <w:spacing w:after="0"/>
              <w:rPr>
                <w:sz w:val="9"/>
                <w:szCs w:val="9"/>
                <w:color w:val="auto"/>
              </w:rPr>
            </w:pPr>
          </w:p>
        </w:tc>
        <w:tc>
          <w:tcPr>
            <w:tcW w:w="520" w:type="dxa"/>
            <w:vAlign w:val="bottom"/>
          </w:tcPr>
          <w:p>
            <w:pPr>
              <w:spacing w:after="0"/>
              <w:rPr>
                <w:sz w:val="9"/>
                <w:szCs w:val="9"/>
                <w:color w:val="auto"/>
              </w:rPr>
            </w:pPr>
          </w:p>
        </w:tc>
        <w:tc>
          <w:tcPr>
            <w:tcW w:w="920" w:type="dxa"/>
            <w:vAlign w:val="bottom"/>
          </w:tcPr>
          <w:p>
            <w:pPr>
              <w:spacing w:after="0"/>
              <w:rPr>
                <w:sz w:val="9"/>
                <w:szCs w:val="9"/>
                <w:color w:val="auto"/>
              </w:rPr>
            </w:pPr>
          </w:p>
        </w:tc>
        <w:tc>
          <w:tcPr>
            <w:tcW w:w="700" w:type="dxa"/>
            <w:vAlign w:val="bottom"/>
          </w:tcPr>
          <w:p>
            <w:pPr>
              <w:spacing w:after="0"/>
              <w:rPr>
                <w:sz w:val="9"/>
                <w:szCs w:val="9"/>
                <w:color w:val="auto"/>
              </w:rPr>
            </w:pPr>
          </w:p>
        </w:tc>
        <w:tc>
          <w:tcPr>
            <w:tcW w:w="580" w:type="dxa"/>
            <w:vAlign w:val="bottom"/>
            <w:vMerge w:val="restart"/>
          </w:tcPr>
          <w:p>
            <w:pPr>
              <w:jc w:val="right"/>
              <w:ind w:right="49"/>
              <w:spacing w:after="0"/>
              <w:rPr>
                <w:sz w:val="20"/>
                <w:szCs w:val="20"/>
                <w:color w:val="auto"/>
              </w:rPr>
            </w:pPr>
            <w:r>
              <w:rPr>
                <w:rFonts w:ascii="Times New Roman" w:cs="Times New Roman" w:eastAsia="Times New Roman" w:hAnsi="Times New Roman"/>
                <w:sz w:val="12"/>
                <w:szCs w:val="12"/>
                <w:color w:val="auto"/>
              </w:rPr>
              <w:t>37</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40" w:type="dxa"/>
            <w:vAlign w:val="bottom"/>
          </w:tcPr>
          <w:p>
            <w:pPr>
              <w:ind w:left="20"/>
              <w:spacing w:after="0"/>
              <w:rPr>
                <w:sz w:val="20"/>
                <w:szCs w:val="20"/>
                <w:color w:val="auto"/>
              </w:rPr>
            </w:pPr>
            <w:r>
              <w:rPr>
                <w:rFonts w:ascii="Times New Roman" w:cs="Times New Roman" w:eastAsia="Times New Roman" w:hAnsi="Times New Roman"/>
                <w:sz w:val="9"/>
                <w:szCs w:val="9"/>
                <w:color w:val="auto"/>
              </w:rPr>
              <w:t>statements</w:t>
            </w:r>
          </w:p>
        </w:tc>
        <w:tc>
          <w:tcPr>
            <w:tcW w:w="520" w:type="dxa"/>
            <w:vAlign w:val="bottom"/>
          </w:tcPr>
          <w:p>
            <w:pPr>
              <w:jc w:val="center"/>
              <w:ind w:right="31"/>
              <w:spacing w:after="0"/>
              <w:rPr>
                <w:sz w:val="20"/>
                <w:szCs w:val="20"/>
                <w:color w:val="auto"/>
              </w:rPr>
            </w:pPr>
            <w:r>
              <w:rPr>
                <w:rFonts w:ascii="Times New Roman" w:cs="Times New Roman" w:eastAsia="Times New Roman" w:hAnsi="Times New Roman"/>
                <w:sz w:val="9"/>
                <w:szCs w:val="9"/>
                <w:color w:val="auto"/>
              </w:rPr>
              <w:t>information</w:t>
            </w: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920" w:type="dxa"/>
            <w:vAlign w:val="bottom"/>
          </w:tcPr>
          <w:p>
            <w:pPr>
              <w:spacing w:after="0"/>
              <w:rPr>
                <w:sz w:val="11"/>
                <w:szCs w:val="11"/>
                <w:color w:val="auto"/>
              </w:rPr>
            </w:pPr>
          </w:p>
        </w:tc>
        <w:tc>
          <w:tcPr>
            <w:tcW w:w="700" w:type="dxa"/>
            <w:vAlign w:val="bottom"/>
          </w:tcPr>
          <w:p>
            <w:pPr>
              <w:spacing w:after="0"/>
              <w:rPr>
                <w:sz w:val="11"/>
                <w:szCs w:val="11"/>
                <w:color w:val="auto"/>
              </w:rPr>
            </w:pPr>
          </w:p>
        </w:tc>
        <w:tc>
          <w:tcPr>
            <w:tcW w:w="5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8"/>
        </w:trPr>
        <w:tc>
          <w:tcPr>
            <w:tcW w:w="210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Biographical details of the Board members</w:t>
            </w:r>
          </w:p>
        </w:tc>
        <w:tc>
          <w:tcPr>
            <w:tcW w:w="52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920" w:type="dxa"/>
            <w:vAlign w:val="bottom"/>
          </w:tcPr>
          <w:p>
            <w:pPr>
              <w:spacing w:after="0"/>
              <w:rPr>
                <w:sz w:val="24"/>
                <w:szCs w:val="24"/>
                <w:color w:val="auto"/>
              </w:rPr>
            </w:pPr>
          </w:p>
        </w:tc>
        <w:tc>
          <w:tcPr>
            <w:tcW w:w="700" w:type="dxa"/>
            <w:vAlign w:val="bottom"/>
          </w:tcPr>
          <w:p>
            <w:pPr>
              <w:spacing w:after="0"/>
              <w:rPr>
                <w:sz w:val="24"/>
                <w:szCs w:val="24"/>
                <w:color w:val="auto"/>
              </w:rPr>
            </w:pPr>
          </w:p>
        </w:tc>
        <w:tc>
          <w:tcPr>
            <w:tcW w:w="5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18"/>
        </w:trPr>
        <w:tc>
          <w:tcPr>
            <w:tcW w:w="1060" w:type="dxa"/>
            <w:vAlign w:val="bottom"/>
          </w:tcPr>
          <w:p>
            <w:pPr>
              <w:spacing w:after="0"/>
              <w:rPr>
                <w:sz w:val="18"/>
                <w:szCs w:val="18"/>
                <w:color w:val="auto"/>
              </w:rPr>
            </w:pPr>
          </w:p>
        </w:tc>
        <w:tc>
          <w:tcPr>
            <w:tcW w:w="1040" w:type="dxa"/>
            <w:vAlign w:val="bottom"/>
          </w:tcPr>
          <w:p>
            <w:pPr>
              <w:spacing w:after="0"/>
              <w:rPr>
                <w:sz w:val="18"/>
                <w:szCs w:val="18"/>
                <w:color w:val="auto"/>
              </w:rPr>
            </w:pPr>
          </w:p>
        </w:tc>
        <w:tc>
          <w:tcPr>
            <w:tcW w:w="520" w:type="dxa"/>
            <w:vAlign w:val="bottom"/>
          </w:tcPr>
          <w:p>
            <w:pPr>
              <w:spacing w:after="0"/>
              <w:rPr>
                <w:sz w:val="18"/>
                <w:szCs w:val="18"/>
                <w:color w:val="auto"/>
              </w:rPr>
            </w:pPr>
          </w:p>
        </w:tc>
        <w:tc>
          <w:tcPr>
            <w:tcW w:w="680" w:type="dxa"/>
            <w:vAlign w:val="bottom"/>
          </w:tcPr>
          <w:p>
            <w:pPr>
              <w:spacing w:after="0"/>
              <w:rPr>
                <w:sz w:val="18"/>
                <w:szCs w:val="18"/>
                <w:color w:val="auto"/>
              </w:rPr>
            </w:pPr>
          </w:p>
        </w:tc>
        <w:tc>
          <w:tcPr>
            <w:tcW w:w="660" w:type="dxa"/>
            <w:vAlign w:val="bottom"/>
          </w:tcPr>
          <w:p>
            <w:pPr>
              <w:spacing w:after="0"/>
              <w:rPr>
                <w:sz w:val="18"/>
                <w:szCs w:val="18"/>
                <w:color w:val="auto"/>
              </w:rPr>
            </w:pPr>
          </w:p>
        </w:tc>
        <w:tc>
          <w:tcPr>
            <w:tcW w:w="520" w:type="dxa"/>
            <w:vAlign w:val="bottom"/>
          </w:tcPr>
          <w:p>
            <w:pPr>
              <w:spacing w:after="0"/>
              <w:rPr>
                <w:sz w:val="18"/>
                <w:szCs w:val="18"/>
                <w:color w:val="auto"/>
              </w:rPr>
            </w:pPr>
          </w:p>
        </w:tc>
        <w:tc>
          <w:tcPr>
            <w:tcW w:w="920" w:type="dxa"/>
            <w:vAlign w:val="bottom"/>
          </w:tcPr>
          <w:p>
            <w:pPr>
              <w:ind w:left="80"/>
              <w:spacing w:after="0"/>
              <w:rPr>
                <w:sz w:val="20"/>
                <w:szCs w:val="20"/>
                <w:color w:val="auto"/>
              </w:rPr>
            </w:pPr>
            <w:r>
              <w:rPr>
                <w:rFonts w:ascii="Times New Roman" w:cs="Times New Roman" w:eastAsia="Times New Roman" w:hAnsi="Times New Roman"/>
                <w:sz w:val="8"/>
                <w:szCs w:val="8"/>
                <w:b w:val="1"/>
                <w:bCs w:val="1"/>
                <w:color w:val="005AFF"/>
              </w:rPr>
              <w:t>Independent of the</w:t>
            </w:r>
          </w:p>
        </w:tc>
        <w:tc>
          <w:tcPr>
            <w:tcW w:w="700" w:type="dxa"/>
            <w:vAlign w:val="bottom"/>
          </w:tcPr>
          <w:p>
            <w:pPr>
              <w:spacing w:after="0"/>
              <w:rPr>
                <w:sz w:val="18"/>
                <w:szCs w:val="18"/>
                <w:color w:val="auto"/>
              </w:rPr>
            </w:pPr>
          </w:p>
        </w:tc>
        <w:tc>
          <w:tcPr>
            <w:tcW w:w="580" w:type="dxa"/>
            <w:vAlign w:val="bottom"/>
          </w:tcPr>
          <w:p>
            <w:pPr>
              <w:spacing w:after="0"/>
              <w:rPr>
                <w:sz w:val="18"/>
                <w:szCs w:val="18"/>
                <w:color w:val="auto"/>
              </w:rPr>
            </w:pPr>
          </w:p>
        </w:tc>
        <w:tc>
          <w:tcPr>
            <w:tcW w:w="0" w:type="dxa"/>
            <w:vAlign w:val="bottom"/>
          </w:tcPr>
          <w:p>
            <w:pPr>
              <w:spacing w:after="0"/>
              <w:rPr>
                <w:sz w:val="1"/>
                <w:szCs w:val="1"/>
                <w:color w:val="auto"/>
              </w:rPr>
            </w:pPr>
          </w:p>
        </w:tc>
      </w:tr>
      <w:tr>
        <w:trPr>
          <w:trHeight w:val="91"/>
        </w:trPr>
        <w:tc>
          <w:tcPr>
            <w:tcW w:w="1060" w:type="dxa"/>
            <w:vAlign w:val="bottom"/>
          </w:tcPr>
          <w:p>
            <w:pPr>
              <w:spacing w:after="0"/>
              <w:rPr>
                <w:sz w:val="7"/>
                <w:szCs w:val="7"/>
                <w:color w:val="auto"/>
              </w:rPr>
            </w:pPr>
          </w:p>
        </w:tc>
        <w:tc>
          <w:tcPr>
            <w:tcW w:w="1040" w:type="dxa"/>
            <w:vAlign w:val="bottom"/>
          </w:tcPr>
          <w:p>
            <w:pPr>
              <w:spacing w:after="0"/>
              <w:rPr>
                <w:sz w:val="7"/>
                <w:szCs w:val="7"/>
                <w:color w:val="auto"/>
              </w:rPr>
            </w:pPr>
          </w:p>
        </w:tc>
        <w:tc>
          <w:tcPr>
            <w:tcW w:w="520" w:type="dxa"/>
            <w:vAlign w:val="bottom"/>
          </w:tcPr>
          <w:p>
            <w:pPr>
              <w:spacing w:after="0"/>
              <w:rPr>
                <w:sz w:val="7"/>
                <w:szCs w:val="7"/>
                <w:color w:val="auto"/>
              </w:rPr>
            </w:pPr>
          </w:p>
        </w:tc>
        <w:tc>
          <w:tcPr>
            <w:tcW w:w="680" w:type="dxa"/>
            <w:vAlign w:val="bottom"/>
          </w:tcPr>
          <w:p>
            <w:pPr>
              <w:spacing w:after="0"/>
              <w:rPr>
                <w:sz w:val="7"/>
                <w:szCs w:val="7"/>
                <w:color w:val="auto"/>
              </w:rPr>
            </w:pPr>
          </w:p>
        </w:tc>
        <w:tc>
          <w:tcPr>
            <w:tcW w:w="660" w:type="dxa"/>
            <w:vAlign w:val="bottom"/>
          </w:tcPr>
          <w:p>
            <w:pPr>
              <w:spacing w:after="0"/>
              <w:rPr>
                <w:sz w:val="7"/>
                <w:szCs w:val="7"/>
                <w:color w:val="auto"/>
              </w:rPr>
            </w:pPr>
          </w:p>
        </w:tc>
        <w:tc>
          <w:tcPr>
            <w:tcW w:w="520" w:type="dxa"/>
            <w:vAlign w:val="bottom"/>
          </w:tcPr>
          <w:p>
            <w:pPr>
              <w:spacing w:after="0"/>
              <w:rPr>
                <w:sz w:val="7"/>
                <w:szCs w:val="7"/>
                <w:color w:val="auto"/>
              </w:rPr>
            </w:pPr>
          </w:p>
        </w:tc>
        <w:tc>
          <w:tcPr>
            <w:tcW w:w="920" w:type="dxa"/>
            <w:vAlign w:val="bottom"/>
          </w:tcPr>
          <w:p>
            <w:pPr>
              <w:ind w:left="60"/>
              <w:spacing w:after="0"/>
              <w:rPr>
                <w:sz w:val="20"/>
                <w:szCs w:val="20"/>
                <w:color w:val="auto"/>
              </w:rPr>
            </w:pPr>
            <w:r>
              <w:rPr>
                <w:rFonts w:ascii="Times New Roman" w:cs="Times New Roman" w:eastAsia="Times New Roman" w:hAnsi="Times New Roman"/>
                <w:sz w:val="8"/>
                <w:szCs w:val="8"/>
                <w:b w:val="1"/>
                <w:bCs w:val="1"/>
                <w:color w:val="005AFF"/>
              </w:rPr>
              <w:t>company and major</w:t>
            </w:r>
          </w:p>
        </w:tc>
        <w:tc>
          <w:tcPr>
            <w:tcW w:w="700" w:type="dxa"/>
            <w:vAlign w:val="bottom"/>
          </w:tcPr>
          <w:p>
            <w:pPr>
              <w:spacing w:after="0"/>
              <w:rPr>
                <w:sz w:val="7"/>
                <w:szCs w:val="7"/>
                <w:color w:val="auto"/>
              </w:rPr>
            </w:pPr>
          </w:p>
        </w:tc>
        <w:tc>
          <w:tcPr>
            <w:tcW w:w="58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14"/>
        </w:trPr>
        <w:tc>
          <w:tcPr>
            <w:tcW w:w="1060" w:type="dxa"/>
            <w:vAlign w:val="bottom"/>
            <w:tcBorders>
              <w:bottom w:val="single" w:sz="8" w:color="005AFF"/>
            </w:tcBorders>
          </w:tcPr>
          <w:p>
            <w:pPr>
              <w:spacing w:after="0"/>
              <w:rPr>
                <w:sz w:val="9"/>
                <w:szCs w:val="9"/>
                <w:color w:val="auto"/>
              </w:rPr>
            </w:pPr>
          </w:p>
        </w:tc>
        <w:tc>
          <w:tcPr>
            <w:tcW w:w="1040" w:type="dxa"/>
            <w:vAlign w:val="bottom"/>
            <w:tcBorders>
              <w:bottom w:val="single" w:sz="8" w:color="005AFF"/>
            </w:tcBorders>
          </w:tcPr>
          <w:p>
            <w:pPr>
              <w:spacing w:after="0"/>
              <w:rPr>
                <w:sz w:val="9"/>
                <w:szCs w:val="9"/>
                <w:color w:val="auto"/>
              </w:rPr>
            </w:pPr>
          </w:p>
        </w:tc>
        <w:tc>
          <w:tcPr>
            <w:tcW w:w="5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Gender</w:t>
            </w:r>
          </w:p>
        </w:tc>
        <w:tc>
          <w:tcPr>
            <w:tcW w:w="68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8"/>
                <w:szCs w:val="8"/>
                <w:b w:val="1"/>
                <w:bCs w:val="1"/>
                <w:color w:val="005AFF"/>
              </w:rPr>
              <w:t>Year of Birth</w:t>
            </w:r>
          </w:p>
        </w:tc>
        <w:tc>
          <w:tcPr>
            <w:tcW w:w="6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Nationality</w:t>
            </w:r>
          </w:p>
        </w:tc>
        <w:tc>
          <w:tcPr>
            <w:tcW w:w="52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 xml:space="preserve">Tenure </w:t>
            </w:r>
            <w:r>
              <w:rPr>
                <w:rFonts w:ascii="Times New Roman" w:cs="Times New Roman" w:eastAsia="Times New Roman" w:hAnsi="Times New Roman"/>
                <w:sz w:val="5"/>
                <w:szCs w:val="5"/>
                <w:b w:val="1"/>
                <w:bCs w:val="1"/>
                <w:color w:val="005AFF"/>
              </w:rPr>
              <w:t>(1)</w:t>
            </w:r>
          </w:p>
        </w:tc>
        <w:tc>
          <w:tcPr>
            <w:tcW w:w="92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shareholders</w:t>
            </w:r>
          </w:p>
        </w:tc>
        <w:tc>
          <w:tcPr>
            <w:tcW w:w="70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 xml:space="preserve">Shares </w:t>
            </w:r>
            <w:r>
              <w:rPr>
                <w:rFonts w:ascii="Times New Roman" w:cs="Times New Roman" w:eastAsia="Times New Roman" w:hAnsi="Times New Roman"/>
                <w:sz w:val="5"/>
                <w:szCs w:val="5"/>
                <w:b w:val="1"/>
                <w:bCs w:val="1"/>
                <w:color w:val="005AFF"/>
              </w:rPr>
              <w:t>(2)</w:t>
            </w:r>
          </w:p>
        </w:tc>
        <w:tc>
          <w:tcPr>
            <w:tcW w:w="58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ADSs</w:t>
            </w:r>
            <w:r>
              <w:rPr>
                <w:rFonts w:ascii="Times New Roman" w:cs="Times New Roman" w:eastAsia="Times New Roman" w:hAnsi="Times New Roman"/>
                <w:sz w:val="5"/>
                <w:szCs w:val="5"/>
                <w:b w:val="1"/>
                <w:bCs w:val="1"/>
                <w:color w:val="005AFF"/>
              </w:rPr>
              <w:t>(2)</w:t>
            </w:r>
          </w:p>
        </w:tc>
        <w:tc>
          <w:tcPr>
            <w:tcW w:w="0" w:type="dxa"/>
            <w:vAlign w:val="bottom"/>
          </w:tcPr>
          <w:p>
            <w:pPr>
              <w:spacing w:after="0"/>
              <w:rPr>
                <w:sz w:val="1"/>
                <w:szCs w:val="1"/>
                <w:color w:val="auto"/>
              </w:rPr>
            </w:pPr>
          </w:p>
        </w:tc>
      </w:tr>
      <w:tr>
        <w:trPr>
          <w:trHeight w:val="140"/>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 (Chair)</w:t>
            </w:r>
          </w:p>
        </w:tc>
        <w:tc>
          <w:tcPr>
            <w:tcW w:w="1040" w:type="dxa"/>
            <w:vAlign w:val="bottom"/>
          </w:tcPr>
          <w:p>
            <w:pPr>
              <w:spacing w:after="0"/>
              <w:rPr>
                <w:sz w:val="12"/>
                <w:szCs w:val="12"/>
                <w:color w:val="auto"/>
              </w:rPr>
            </w:pPr>
          </w:p>
        </w:tc>
        <w:tc>
          <w:tcPr>
            <w:tcW w:w="520" w:type="dxa"/>
            <w:vAlign w:val="bottom"/>
          </w:tcPr>
          <w:p>
            <w:pPr>
              <w:jc w:val="center"/>
              <w:ind w:right="11"/>
              <w:spacing w:after="0"/>
              <w:rPr>
                <w:sz w:val="20"/>
                <w:szCs w:val="20"/>
                <w:color w:val="auto"/>
              </w:rPr>
            </w:pPr>
            <w:r>
              <w:rPr>
                <w:rFonts w:ascii="Times New Roman" w:cs="Times New Roman" w:eastAsia="Times New Roman" w:hAnsi="Times New Roman"/>
                <w:sz w:val="10"/>
                <w:szCs w:val="10"/>
                <w:color w:val="0D0D0D"/>
              </w:rPr>
              <w:t>Female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1955</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Finnish</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5</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290 575</w:t>
            </w:r>
          </w:p>
        </w:tc>
        <w:tc>
          <w:tcPr>
            <w:tcW w:w="5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Søren Skou (Vice Chair)</w:t>
            </w:r>
          </w:p>
        </w:tc>
        <w:tc>
          <w:tcPr>
            <w:tcW w:w="1040" w:type="dxa"/>
            <w:vAlign w:val="bottom"/>
          </w:tcPr>
          <w:p>
            <w:pPr>
              <w:spacing w:after="0"/>
              <w:rPr>
                <w:sz w:val="14"/>
                <w:szCs w:val="14"/>
                <w:color w:val="auto"/>
              </w:rPr>
            </w:pPr>
          </w:p>
        </w:tc>
        <w:tc>
          <w:tcPr>
            <w:tcW w:w="5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1964</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Danish</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4</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89 325</w:t>
            </w:r>
          </w:p>
        </w:tc>
        <w:tc>
          <w:tcPr>
            <w:tcW w:w="5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Timo Ahopelto</w:t>
            </w:r>
          </w:p>
        </w:tc>
        <w:tc>
          <w:tcPr>
            <w:tcW w:w="1040" w:type="dxa"/>
            <w:vAlign w:val="bottom"/>
          </w:tcPr>
          <w:p>
            <w:pPr>
              <w:spacing w:after="0"/>
              <w:rPr>
                <w:sz w:val="14"/>
                <w:szCs w:val="14"/>
                <w:color w:val="auto"/>
              </w:rPr>
            </w:pPr>
          </w:p>
        </w:tc>
        <w:tc>
          <w:tcPr>
            <w:tcW w:w="5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1975</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Finnish</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0</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21 418</w:t>
            </w:r>
          </w:p>
        </w:tc>
        <w:tc>
          <w:tcPr>
            <w:tcW w:w="5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w:t>
            </w:r>
          </w:p>
        </w:tc>
        <w:tc>
          <w:tcPr>
            <w:tcW w:w="1040" w:type="dxa"/>
            <w:vAlign w:val="bottom"/>
          </w:tcPr>
          <w:p>
            <w:pPr>
              <w:spacing w:after="0"/>
              <w:rPr>
                <w:sz w:val="14"/>
                <w:szCs w:val="14"/>
                <w:color w:val="auto"/>
              </w:rPr>
            </w:pPr>
          </w:p>
        </w:tc>
        <w:tc>
          <w:tcPr>
            <w:tcW w:w="520" w:type="dxa"/>
            <w:vAlign w:val="bottom"/>
          </w:tcPr>
          <w:p>
            <w:pPr>
              <w:jc w:val="center"/>
              <w:ind w:right="11"/>
              <w:spacing w:after="0"/>
              <w:rPr>
                <w:sz w:val="20"/>
                <w:szCs w:val="20"/>
                <w:color w:val="auto"/>
              </w:rPr>
            </w:pPr>
            <w:r>
              <w:rPr>
                <w:rFonts w:ascii="Times New Roman" w:cs="Times New Roman" w:eastAsia="Times New Roman" w:hAnsi="Times New Roman"/>
                <w:sz w:val="10"/>
                <w:szCs w:val="10"/>
                <w:color w:val="0D0D0D"/>
              </w:rPr>
              <w:t>Female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1964</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American</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0</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spacing w:after="0"/>
              <w:rPr>
                <w:sz w:val="14"/>
                <w:szCs w:val="14"/>
                <w:color w:val="auto"/>
              </w:rPr>
            </w:pPr>
          </w:p>
        </w:tc>
        <w:tc>
          <w:tcPr>
            <w:tcW w:w="580" w:type="dxa"/>
            <w:vAlign w:val="bottom"/>
          </w:tcPr>
          <w:p>
            <w:pPr>
              <w:jc w:val="right"/>
              <w:ind w:right="49"/>
              <w:spacing w:after="0"/>
              <w:rPr>
                <w:sz w:val="20"/>
                <w:szCs w:val="20"/>
                <w:color w:val="auto"/>
              </w:rPr>
            </w:pPr>
            <w:r>
              <w:rPr>
                <w:rFonts w:ascii="Times New Roman" w:cs="Times New Roman" w:eastAsia="Times New Roman" w:hAnsi="Times New Roman"/>
                <w:sz w:val="10"/>
                <w:szCs w:val="10"/>
                <w:color w:val="0D0D0D"/>
              </w:rPr>
              <w:t>22 771</w:t>
            </w: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1040" w:type="dxa"/>
            <w:vAlign w:val="bottom"/>
          </w:tcPr>
          <w:p>
            <w:pPr>
              <w:spacing w:after="0"/>
              <w:rPr>
                <w:sz w:val="14"/>
                <w:szCs w:val="14"/>
                <w:color w:val="auto"/>
              </w:rPr>
            </w:pPr>
          </w:p>
        </w:tc>
        <w:tc>
          <w:tcPr>
            <w:tcW w:w="5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1966</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German</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3</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117 597</w:t>
            </w:r>
          </w:p>
        </w:tc>
        <w:tc>
          <w:tcPr>
            <w:tcW w:w="5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w:t>
            </w:r>
          </w:p>
        </w:tc>
        <w:tc>
          <w:tcPr>
            <w:tcW w:w="1040" w:type="dxa"/>
            <w:vAlign w:val="bottom"/>
          </w:tcPr>
          <w:p>
            <w:pPr>
              <w:spacing w:after="0"/>
              <w:rPr>
                <w:sz w:val="14"/>
                <w:szCs w:val="14"/>
                <w:color w:val="auto"/>
              </w:rPr>
            </w:pPr>
          </w:p>
        </w:tc>
        <w:tc>
          <w:tcPr>
            <w:tcW w:w="520" w:type="dxa"/>
            <w:vAlign w:val="bottom"/>
          </w:tcPr>
          <w:p>
            <w:pPr>
              <w:jc w:val="center"/>
              <w:ind w:right="11"/>
              <w:spacing w:after="0"/>
              <w:rPr>
                <w:sz w:val="20"/>
                <w:szCs w:val="20"/>
                <w:color w:val="auto"/>
              </w:rPr>
            </w:pPr>
            <w:r>
              <w:rPr>
                <w:rFonts w:ascii="Times New Roman" w:cs="Times New Roman" w:eastAsia="Times New Roman" w:hAnsi="Times New Roman"/>
                <w:sz w:val="10"/>
                <w:szCs w:val="10"/>
                <w:color w:val="0D0D0D"/>
              </w:rPr>
              <w:t>Female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1958</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American</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spacing w:after="0"/>
              <w:rPr>
                <w:sz w:val="14"/>
                <w:szCs w:val="14"/>
                <w:color w:val="auto"/>
              </w:rPr>
            </w:pPr>
          </w:p>
        </w:tc>
        <w:tc>
          <w:tcPr>
            <w:tcW w:w="580" w:type="dxa"/>
            <w:vAlign w:val="bottom"/>
          </w:tcPr>
          <w:p>
            <w:pPr>
              <w:jc w:val="right"/>
              <w:ind w:right="49"/>
              <w:spacing w:after="0"/>
              <w:rPr>
                <w:sz w:val="20"/>
                <w:szCs w:val="20"/>
                <w:color w:val="auto"/>
              </w:rPr>
            </w:pPr>
            <w:r>
              <w:rPr>
                <w:rFonts w:ascii="Times New Roman" w:cs="Times New Roman" w:eastAsia="Times New Roman" w:hAnsi="Times New Roman"/>
                <w:sz w:val="10"/>
                <w:szCs w:val="10"/>
                <w:color w:val="0D0D0D"/>
              </w:rPr>
              <w:t>35 626</w:t>
            </w: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1040" w:type="dxa"/>
            <w:vAlign w:val="bottom"/>
          </w:tcPr>
          <w:p>
            <w:pPr>
              <w:spacing w:after="0"/>
              <w:rPr>
                <w:sz w:val="14"/>
                <w:szCs w:val="14"/>
                <w:color w:val="auto"/>
              </w:rPr>
            </w:pPr>
          </w:p>
        </w:tc>
        <w:tc>
          <w:tcPr>
            <w:tcW w:w="520" w:type="dxa"/>
            <w:vAlign w:val="bottom"/>
          </w:tcPr>
          <w:p>
            <w:pPr>
              <w:jc w:val="center"/>
              <w:ind w:right="11"/>
              <w:spacing w:after="0"/>
              <w:rPr>
                <w:sz w:val="20"/>
                <w:szCs w:val="20"/>
                <w:color w:val="auto"/>
              </w:rPr>
            </w:pPr>
            <w:r>
              <w:rPr>
                <w:rFonts w:ascii="Times New Roman" w:cs="Times New Roman" w:eastAsia="Times New Roman" w:hAnsi="Times New Roman"/>
                <w:sz w:val="10"/>
                <w:szCs w:val="10"/>
                <w:color w:val="0D0D0D"/>
              </w:rPr>
              <w:t>Female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1955</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British</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6</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spacing w:after="0"/>
              <w:rPr>
                <w:sz w:val="14"/>
                <w:szCs w:val="14"/>
                <w:color w:val="auto"/>
              </w:rPr>
            </w:pPr>
          </w:p>
        </w:tc>
        <w:tc>
          <w:tcPr>
            <w:tcW w:w="58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116 476</w:t>
            </w: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1040" w:type="dxa"/>
            <w:vAlign w:val="bottom"/>
          </w:tcPr>
          <w:p>
            <w:pPr>
              <w:spacing w:after="0"/>
              <w:rPr>
                <w:sz w:val="14"/>
                <w:szCs w:val="14"/>
                <w:color w:val="auto"/>
              </w:rPr>
            </w:pPr>
          </w:p>
        </w:tc>
        <w:tc>
          <w:tcPr>
            <w:tcW w:w="5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1985</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German</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34 705</w:t>
            </w:r>
          </w:p>
        </w:tc>
        <w:tc>
          <w:tcPr>
            <w:tcW w:w="5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1040" w:type="dxa"/>
            <w:vAlign w:val="bottom"/>
          </w:tcPr>
          <w:p>
            <w:pPr>
              <w:spacing w:after="0"/>
              <w:rPr>
                <w:sz w:val="14"/>
                <w:szCs w:val="14"/>
                <w:color w:val="auto"/>
              </w:rPr>
            </w:pPr>
          </w:p>
        </w:tc>
        <w:tc>
          <w:tcPr>
            <w:tcW w:w="520" w:type="dxa"/>
            <w:vAlign w:val="bottom"/>
          </w:tcPr>
          <w:p>
            <w:pPr>
              <w:jc w:val="center"/>
              <w:ind w:right="11"/>
              <w:spacing w:after="0"/>
              <w:rPr>
                <w:sz w:val="20"/>
                <w:szCs w:val="20"/>
                <w:color w:val="auto"/>
              </w:rPr>
            </w:pPr>
            <w:r>
              <w:rPr>
                <w:rFonts w:ascii="Times New Roman" w:cs="Times New Roman" w:eastAsia="Times New Roman" w:hAnsi="Times New Roman"/>
                <w:sz w:val="10"/>
                <w:szCs w:val="10"/>
                <w:color w:val="0D0D0D"/>
              </w:rPr>
              <w:t>Female</w:t>
            </w:r>
          </w:p>
        </w:tc>
        <w:tc>
          <w:tcPr>
            <w:tcW w:w="68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1966</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Dutch</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7</w:t>
            </w:r>
          </w:p>
        </w:tc>
        <w:tc>
          <w:tcPr>
            <w:tcW w:w="9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135 973</w:t>
            </w:r>
          </w:p>
        </w:tc>
        <w:tc>
          <w:tcPr>
            <w:tcW w:w="5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7"/>
        </w:trPr>
        <w:tc>
          <w:tcPr>
            <w:tcW w:w="10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Kai Öistämö</w:t>
            </w:r>
          </w:p>
        </w:tc>
        <w:tc>
          <w:tcPr>
            <w:tcW w:w="104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Male</w:t>
            </w:r>
          </w:p>
        </w:tc>
        <w:tc>
          <w:tcPr>
            <w:tcW w:w="68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color w:val="0D0D0D"/>
              </w:rPr>
              <w:t>1964</w:t>
            </w:r>
          </w:p>
        </w:tc>
        <w:tc>
          <w:tcPr>
            <w:tcW w:w="6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Finnish</w:t>
            </w:r>
          </w:p>
        </w:tc>
        <w:tc>
          <w:tcPr>
            <w:tcW w:w="52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color w:val="0D0D0D"/>
              </w:rPr>
              <w:t>1</w:t>
            </w:r>
          </w:p>
        </w:tc>
        <w:tc>
          <w:tcPr>
            <w:tcW w:w="92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10"/>
                <w:szCs w:val="10"/>
                <w:color w:val="0D0D0D"/>
              </w:rPr>
              <w:t>Independent</w:t>
            </w:r>
          </w:p>
        </w:tc>
        <w:tc>
          <w:tcPr>
            <w:tcW w:w="70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color w:val="0D0D0D"/>
              </w:rPr>
              <w:t>35 724</w:t>
            </w:r>
          </w:p>
        </w:tc>
        <w:tc>
          <w:tcPr>
            <w:tcW w:w="580" w:type="dxa"/>
            <w:vAlign w:val="bottom"/>
            <w:tcBorders>
              <w:bottom w:val="single" w:sz="8" w:color="005AFF"/>
            </w:tcBorders>
          </w:tcPr>
          <w:p>
            <w:pPr>
              <w:spacing w:after="0"/>
              <w:rPr>
                <w:sz w:val="14"/>
                <w:szCs w:val="14"/>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-2121535</wp:posOffset>
            </wp:positionV>
            <wp:extent cx="7216140" cy="51181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1" w:lineRule="exact"/>
        <w:rPr>
          <w:sz w:val="20"/>
          <w:szCs w:val="20"/>
          <w:color w:val="auto"/>
        </w:rPr>
      </w:pPr>
    </w:p>
    <w:p>
      <w:pPr>
        <w:ind w:left="220" w:hanging="183"/>
        <w:spacing w:after="0"/>
        <w:tabs>
          <w:tab w:leader="none" w:pos="220" w:val="left"/>
        </w:tabs>
        <w:numPr>
          <w:ilvl w:val="0"/>
          <w:numId w:val="2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Terms as Nokia Board member before the Annual General Meeting on 4 April 2023.</w:t>
      </w:r>
    </w:p>
    <w:p>
      <w:pPr>
        <w:spacing w:after="0" w:line="12" w:lineRule="exact"/>
        <w:rPr>
          <w:rFonts w:ascii="Times New Roman" w:cs="Times New Roman" w:eastAsia="Times New Roman" w:hAnsi="Times New Roman"/>
          <w:sz w:val="8"/>
          <w:szCs w:val="8"/>
          <w:color w:val="auto"/>
        </w:rPr>
      </w:pPr>
    </w:p>
    <w:p>
      <w:pPr>
        <w:ind w:left="220" w:right="820" w:hanging="183"/>
        <w:spacing w:after="0" w:line="261" w:lineRule="auto"/>
        <w:tabs>
          <w:tab w:leader="none" w:pos="220" w:val="left"/>
        </w:tabs>
        <w:numPr>
          <w:ilvl w:val="0"/>
          <w:numId w:val="2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number of shares or ADSs includes shares and ADSs received as director compensation as well as shares and ADSs acquired through other means. Stock options or other equity awards that are deemed as being beneficially owned under the applicable SEC rules are not included.</w:t>
      </w:r>
    </w:p>
    <w:p>
      <w:pPr>
        <w:spacing w:after="0" w:line="13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Experience and skills of the Board members</w:t>
      </w:r>
    </w:p>
    <w:p>
      <w:pPr>
        <w:spacing w:after="0" w:line="140"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1020" w:type="dxa"/>
            <w:vAlign w:val="bottom"/>
          </w:tcPr>
          <w:p>
            <w:pPr>
              <w:spacing w:after="0"/>
              <w:rPr>
                <w:sz w:val="8"/>
                <w:szCs w:val="8"/>
                <w:color w:val="auto"/>
              </w:rPr>
            </w:pPr>
          </w:p>
        </w:tc>
        <w:tc>
          <w:tcPr>
            <w:tcW w:w="700" w:type="dxa"/>
            <w:vAlign w:val="bottom"/>
          </w:tcPr>
          <w:p>
            <w:pPr>
              <w:spacing w:after="0"/>
              <w:rPr>
                <w:sz w:val="8"/>
                <w:szCs w:val="8"/>
                <w:color w:val="auto"/>
              </w:rPr>
            </w:pPr>
          </w:p>
        </w:tc>
        <w:tc>
          <w:tcPr>
            <w:tcW w:w="600" w:type="dxa"/>
            <w:vAlign w:val="bottom"/>
          </w:tcPr>
          <w:p>
            <w:pPr>
              <w:ind w:left="200"/>
              <w:spacing w:after="0"/>
              <w:rPr>
                <w:sz w:val="20"/>
                <w:szCs w:val="20"/>
                <w:color w:val="auto"/>
              </w:rPr>
            </w:pPr>
            <w:r>
              <w:rPr>
                <w:rFonts w:ascii="Times New Roman" w:cs="Times New Roman" w:eastAsia="Times New Roman" w:hAnsi="Times New Roman"/>
                <w:sz w:val="8"/>
                <w:szCs w:val="8"/>
                <w:b w:val="1"/>
                <w:bCs w:val="1"/>
                <w:color w:val="005AFF"/>
              </w:rPr>
              <w:t>External</w:t>
            </w:r>
          </w:p>
        </w:tc>
        <w:tc>
          <w:tcPr>
            <w:tcW w:w="580" w:type="dxa"/>
            <w:vAlign w:val="bottom"/>
          </w:tcPr>
          <w:p>
            <w:pPr>
              <w:spacing w:after="0"/>
              <w:rPr>
                <w:sz w:val="8"/>
                <w:szCs w:val="8"/>
                <w:color w:val="auto"/>
              </w:rPr>
            </w:pPr>
          </w:p>
        </w:tc>
        <w:tc>
          <w:tcPr>
            <w:tcW w:w="580" w:type="dxa"/>
            <w:vAlign w:val="bottom"/>
          </w:tcPr>
          <w:p>
            <w:pPr>
              <w:spacing w:after="0"/>
              <w:rPr>
                <w:sz w:val="8"/>
                <w:szCs w:val="8"/>
                <w:color w:val="auto"/>
              </w:rPr>
            </w:pPr>
          </w:p>
        </w:tc>
        <w:tc>
          <w:tcPr>
            <w:tcW w:w="780" w:type="dxa"/>
            <w:vAlign w:val="bottom"/>
          </w:tcPr>
          <w:p>
            <w:pPr>
              <w:spacing w:after="0"/>
              <w:rPr>
                <w:sz w:val="8"/>
                <w:szCs w:val="8"/>
                <w:color w:val="auto"/>
              </w:rPr>
            </w:pPr>
          </w:p>
        </w:tc>
        <w:tc>
          <w:tcPr>
            <w:tcW w:w="580" w:type="dxa"/>
            <w:vAlign w:val="bottom"/>
          </w:tcPr>
          <w:p>
            <w:pPr>
              <w:spacing w:after="0"/>
              <w:rPr>
                <w:sz w:val="8"/>
                <w:szCs w:val="8"/>
                <w:color w:val="auto"/>
              </w:rPr>
            </w:pPr>
          </w:p>
        </w:tc>
        <w:tc>
          <w:tcPr>
            <w:tcW w:w="560" w:type="dxa"/>
            <w:vAlign w:val="bottom"/>
          </w:tcPr>
          <w:p>
            <w:pPr>
              <w:spacing w:after="0"/>
              <w:rPr>
                <w:sz w:val="8"/>
                <w:szCs w:val="8"/>
                <w:color w:val="auto"/>
              </w:rPr>
            </w:pPr>
          </w:p>
        </w:tc>
        <w:tc>
          <w:tcPr>
            <w:tcW w:w="620" w:type="dxa"/>
            <w:vAlign w:val="bottom"/>
          </w:tcPr>
          <w:p>
            <w:pPr>
              <w:spacing w:after="0"/>
              <w:rPr>
                <w:sz w:val="8"/>
                <w:szCs w:val="8"/>
                <w:color w:val="auto"/>
              </w:rPr>
            </w:pPr>
          </w:p>
        </w:tc>
        <w:tc>
          <w:tcPr>
            <w:tcW w:w="660" w:type="dxa"/>
            <w:vAlign w:val="bottom"/>
          </w:tcPr>
          <w:p>
            <w:pPr>
              <w:spacing w:after="0"/>
              <w:rPr>
                <w:sz w:val="8"/>
                <w:szCs w:val="8"/>
                <w:color w:val="auto"/>
              </w:rPr>
            </w:pPr>
          </w:p>
        </w:tc>
      </w:tr>
      <w:tr>
        <w:trPr>
          <w:trHeight w:val="101"/>
        </w:trPr>
        <w:tc>
          <w:tcPr>
            <w:tcW w:w="1020" w:type="dxa"/>
            <w:vAlign w:val="bottom"/>
          </w:tcPr>
          <w:p>
            <w:pPr>
              <w:spacing w:after="0"/>
              <w:rPr>
                <w:sz w:val="8"/>
                <w:szCs w:val="8"/>
                <w:color w:val="auto"/>
              </w:rPr>
            </w:pPr>
          </w:p>
        </w:tc>
        <w:tc>
          <w:tcPr>
            <w:tcW w:w="700" w:type="dxa"/>
            <w:vAlign w:val="bottom"/>
          </w:tcPr>
          <w:p>
            <w:pPr>
              <w:spacing w:after="0"/>
              <w:rPr>
                <w:sz w:val="8"/>
                <w:szCs w:val="8"/>
                <w:color w:val="auto"/>
              </w:rPr>
            </w:pPr>
          </w:p>
        </w:tc>
        <w:tc>
          <w:tcPr>
            <w:tcW w:w="600" w:type="dxa"/>
            <w:vAlign w:val="bottom"/>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boardroom</w:t>
            </w:r>
          </w:p>
        </w:tc>
        <w:tc>
          <w:tcPr>
            <w:tcW w:w="580" w:type="dxa"/>
            <w:vAlign w:val="bottom"/>
          </w:tcPr>
          <w:p>
            <w:pPr>
              <w:spacing w:after="0"/>
              <w:rPr>
                <w:sz w:val="8"/>
                <w:szCs w:val="8"/>
                <w:color w:val="auto"/>
              </w:rPr>
            </w:pPr>
          </w:p>
        </w:tc>
        <w:tc>
          <w:tcPr>
            <w:tcW w:w="580" w:type="dxa"/>
            <w:vAlign w:val="bottom"/>
          </w:tcPr>
          <w:p>
            <w:pPr>
              <w:spacing w:after="0"/>
              <w:rPr>
                <w:sz w:val="8"/>
                <w:szCs w:val="8"/>
                <w:color w:val="auto"/>
              </w:rPr>
            </w:pPr>
          </w:p>
        </w:tc>
        <w:tc>
          <w:tcPr>
            <w:tcW w:w="780" w:type="dxa"/>
            <w:vAlign w:val="bottom"/>
          </w:tcPr>
          <w:p>
            <w:pPr>
              <w:spacing w:after="0"/>
              <w:rPr>
                <w:sz w:val="8"/>
                <w:szCs w:val="8"/>
                <w:color w:val="auto"/>
              </w:rPr>
            </w:pPr>
          </w:p>
        </w:tc>
        <w:tc>
          <w:tcPr>
            <w:tcW w:w="580" w:type="dxa"/>
            <w:vAlign w:val="bottom"/>
          </w:tcPr>
          <w:p>
            <w:pPr>
              <w:spacing w:after="0"/>
              <w:rPr>
                <w:sz w:val="8"/>
                <w:szCs w:val="8"/>
                <w:color w:val="auto"/>
              </w:rPr>
            </w:pPr>
          </w:p>
        </w:tc>
        <w:tc>
          <w:tcPr>
            <w:tcW w:w="560" w:type="dxa"/>
            <w:vAlign w:val="bottom"/>
          </w:tcPr>
          <w:p>
            <w:pPr>
              <w:spacing w:after="0"/>
              <w:rPr>
                <w:sz w:val="8"/>
                <w:szCs w:val="8"/>
                <w:color w:val="auto"/>
              </w:rPr>
            </w:pPr>
          </w:p>
        </w:tc>
        <w:tc>
          <w:tcPr>
            <w:tcW w:w="620" w:type="dxa"/>
            <w:vAlign w:val="bottom"/>
          </w:tcPr>
          <w:p>
            <w:pPr>
              <w:spacing w:after="0"/>
              <w:rPr>
                <w:sz w:val="8"/>
                <w:szCs w:val="8"/>
                <w:color w:val="auto"/>
              </w:rPr>
            </w:pPr>
          </w:p>
        </w:tc>
        <w:tc>
          <w:tcPr>
            <w:tcW w:w="660" w:type="dxa"/>
            <w:vAlign w:val="bottom"/>
          </w:tcPr>
          <w:p>
            <w:pPr>
              <w:spacing w:after="0"/>
              <w:rPr>
                <w:sz w:val="8"/>
                <w:szCs w:val="8"/>
                <w:color w:val="auto"/>
              </w:rPr>
            </w:pPr>
          </w:p>
        </w:tc>
      </w:tr>
      <w:tr>
        <w:trPr>
          <w:trHeight w:val="91"/>
        </w:trPr>
        <w:tc>
          <w:tcPr>
            <w:tcW w:w="1020" w:type="dxa"/>
            <w:vAlign w:val="bottom"/>
          </w:tcPr>
          <w:p>
            <w:pPr>
              <w:spacing w:after="0"/>
              <w:rPr>
                <w:sz w:val="7"/>
                <w:szCs w:val="7"/>
                <w:color w:val="auto"/>
              </w:rPr>
            </w:pPr>
          </w:p>
        </w:tc>
        <w:tc>
          <w:tcPr>
            <w:tcW w:w="700" w:type="dxa"/>
            <w:vAlign w:val="bottom"/>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Business Exec</w:t>
            </w:r>
          </w:p>
        </w:tc>
        <w:tc>
          <w:tcPr>
            <w:tcW w:w="600" w:type="dxa"/>
            <w:vAlign w:val="bottom"/>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roles/</w:t>
            </w:r>
          </w:p>
        </w:tc>
        <w:tc>
          <w:tcPr>
            <w:tcW w:w="580" w:type="dxa"/>
            <w:vAlign w:val="bottom"/>
          </w:tcPr>
          <w:p>
            <w:pPr>
              <w:spacing w:after="0"/>
              <w:rPr>
                <w:sz w:val="7"/>
                <w:szCs w:val="7"/>
                <w:color w:val="auto"/>
              </w:rPr>
            </w:pPr>
          </w:p>
        </w:tc>
        <w:tc>
          <w:tcPr>
            <w:tcW w:w="580" w:type="dxa"/>
            <w:vAlign w:val="bottom"/>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Legal /Public</w:t>
            </w:r>
          </w:p>
        </w:tc>
        <w:tc>
          <w:tcPr>
            <w:tcW w:w="780" w:type="dxa"/>
            <w:vAlign w:val="bottom"/>
          </w:tcPr>
          <w:p>
            <w:pPr>
              <w:jc w:val="center"/>
              <w:ind w:right="73"/>
              <w:spacing w:after="0"/>
              <w:rPr>
                <w:sz w:val="20"/>
                <w:szCs w:val="20"/>
                <w:color w:val="auto"/>
              </w:rPr>
            </w:pPr>
            <w:r>
              <w:rPr>
                <w:rFonts w:ascii="Times New Roman" w:cs="Times New Roman" w:eastAsia="Times New Roman" w:hAnsi="Times New Roman"/>
                <w:sz w:val="8"/>
                <w:szCs w:val="8"/>
                <w:b w:val="1"/>
                <w:bCs w:val="1"/>
                <w:color w:val="005AFF"/>
                <w:w w:val="99"/>
              </w:rPr>
              <w:t>Communications</w:t>
            </w:r>
          </w:p>
        </w:tc>
        <w:tc>
          <w:tcPr>
            <w:tcW w:w="58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Enterprise</w:t>
            </w:r>
          </w:p>
        </w:tc>
        <w:tc>
          <w:tcPr>
            <w:tcW w:w="560" w:type="dxa"/>
            <w:vAlign w:val="bottom"/>
          </w:tcPr>
          <w:p>
            <w:pPr>
              <w:spacing w:after="0"/>
              <w:rPr>
                <w:sz w:val="7"/>
                <w:szCs w:val="7"/>
                <w:color w:val="auto"/>
              </w:rPr>
            </w:pPr>
          </w:p>
        </w:tc>
        <w:tc>
          <w:tcPr>
            <w:tcW w:w="620" w:type="dxa"/>
            <w:vAlign w:val="bottom"/>
          </w:tcPr>
          <w:p>
            <w:pPr>
              <w:spacing w:after="0"/>
              <w:rPr>
                <w:sz w:val="7"/>
                <w:szCs w:val="7"/>
                <w:color w:val="auto"/>
              </w:rPr>
            </w:pPr>
          </w:p>
        </w:tc>
        <w:tc>
          <w:tcPr>
            <w:tcW w:w="660" w:type="dxa"/>
            <w:vAlign w:val="bottom"/>
          </w:tcPr>
          <w:p>
            <w:pPr>
              <w:spacing w:after="0"/>
              <w:rPr>
                <w:sz w:val="7"/>
                <w:szCs w:val="7"/>
                <w:color w:val="auto"/>
              </w:rPr>
            </w:pPr>
          </w:p>
        </w:tc>
      </w:tr>
      <w:tr>
        <w:trPr>
          <w:trHeight w:val="101"/>
        </w:trPr>
        <w:tc>
          <w:tcPr>
            <w:tcW w:w="1020" w:type="dxa"/>
            <w:vAlign w:val="bottom"/>
          </w:tcPr>
          <w:p>
            <w:pPr>
              <w:spacing w:after="0"/>
              <w:rPr>
                <w:sz w:val="8"/>
                <w:szCs w:val="8"/>
                <w:color w:val="auto"/>
              </w:rPr>
            </w:pPr>
          </w:p>
        </w:tc>
        <w:tc>
          <w:tcPr>
            <w:tcW w:w="70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role with P&amp;L</w:t>
            </w:r>
          </w:p>
        </w:tc>
        <w:tc>
          <w:tcPr>
            <w:tcW w:w="600" w:type="dxa"/>
            <w:vAlign w:val="bottom"/>
          </w:tcPr>
          <w:p>
            <w:pPr>
              <w:jc w:val="right"/>
              <w:ind w:right="53"/>
              <w:spacing w:after="0"/>
              <w:rPr>
                <w:sz w:val="20"/>
                <w:szCs w:val="20"/>
                <w:color w:val="auto"/>
              </w:rPr>
            </w:pPr>
            <w:r>
              <w:rPr>
                <w:rFonts w:ascii="Times New Roman" w:cs="Times New Roman" w:eastAsia="Times New Roman" w:hAnsi="Times New Roman"/>
                <w:sz w:val="8"/>
                <w:szCs w:val="8"/>
                <w:b w:val="1"/>
                <w:bCs w:val="1"/>
                <w:color w:val="005AFF"/>
              </w:rPr>
              <w:t>Governance</w:t>
            </w:r>
          </w:p>
        </w:tc>
        <w:tc>
          <w:tcPr>
            <w:tcW w:w="580" w:type="dxa"/>
            <w:vAlign w:val="bottom"/>
          </w:tcPr>
          <w:p>
            <w:pPr>
              <w:ind w:left="80"/>
              <w:spacing w:after="0"/>
              <w:rPr>
                <w:sz w:val="20"/>
                <w:szCs w:val="20"/>
                <w:color w:val="auto"/>
              </w:rPr>
            </w:pPr>
            <w:r>
              <w:rPr>
                <w:rFonts w:ascii="Times New Roman" w:cs="Times New Roman" w:eastAsia="Times New Roman" w:hAnsi="Times New Roman"/>
                <w:sz w:val="8"/>
                <w:szCs w:val="8"/>
                <w:b w:val="1"/>
                <w:bCs w:val="1"/>
                <w:color w:val="005AFF"/>
              </w:rPr>
              <w:t>Finance and</w:t>
            </w:r>
          </w:p>
        </w:tc>
        <w:tc>
          <w:tcPr>
            <w:tcW w:w="580" w:type="dxa"/>
            <w:vAlign w:val="bottom"/>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policy/</w:t>
            </w:r>
          </w:p>
        </w:tc>
        <w:tc>
          <w:tcPr>
            <w:tcW w:w="780" w:type="dxa"/>
            <w:vAlign w:val="bottom"/>
          </w:tcPr>
          <w:p>
            <w:pPr>
              <w:jc w:val="center"/>
              <w:ind w:right="53"/>
              <w:spacing w:after="0"/>
              <w:rPr>
                <w:sz w:val="20"/>
                <w:szCs w:val="20"/>
                <w:color w:val="auto"/>
              </w:rPr>
            </w:pPr>
            <w:r>
              <w:rPr>
                <w:rFonts w:ascii="Times New Roman" w:cs="Times New Roman" w:eastAsia="Times New Roman" w:hAnsi="Times New Roman"/>
                <w:sz w:val="8"/>
                <w:szCs w:val="8"/>
                <w:b w:val="1"/>
                <w:bCs w:val="1"/>
                <w:color w:val="005AFF"/>
              </w:rPr>
              <w:t>service provider</w:t>
            </w:r>
          </w:p>
        </w:tc>
        <w:tc>
          <w:tcPr>
            <w:tcW w:w="58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market</w:t>
            </w:r>
          </w:p>
        </w:tc>
        <w:tc>
          <w:tcPr>
            <w:tcW w:w="560" w:type="dxa"/>
            <w:vAlign w:val="bottom"/>
          </w:tcPr>
          <w:p>
            <w:pPr>
              <w:spacing w:after="0"/>
              <w:rPr>
                <w:sz w:val="8"/>
                <w:szCs w:val="8"/>
                <w:color w:val="auto"/>
              </w:rPr>
            </w:pPr>
          </w:p>
        </w:tc>
        <w:tc>
          <w:tcPr>
            <w:tcW w:w="620" w:type="dxa"/>
            <w:vAlign w:val="bottom"/>
          </w:tcPr>
          <w:p>
            <w:pPr>
              <w:spacing w:after="0"/>
              <w:rPr>
                <w:sz w:val="8"/>
                <w:szCs w:val="8"/>
                <w:color w:val="auto"/>
              </w:rPr>
            </w:pPr>
          </w:p>
        </w:tc>
        <w:tc>
          <w:tcPr>
            <w:tcW w:w="66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Environmental/</w:t>
            </w:r>
          </w:p>
        </w:tc>
      </w:tr>
      <w:tr>
        <w:trPr>
          <w:trHeight w:val="114"/>
        </w:trPr>
        <w:tc>
          <w:tcPr>
            <w:tcW w:w="1020" w:type="dxa"/>
            <w:vAlign w:val="bottom"/>
            <w:tcBorders>
              <w:bottom w:val="single" w:sz="8" w:color="005AFF"/>
            </w:tcBorders>
          </w:tcPr>
          <w:p>
            <w:pPr>
              <w:spacing w:after="0"/>
              <w:rPr>
                <w:sz w:val="9"/>
                <w:szCs w:val="9"/>
                <w:color w:val="auto"/>
              </w:rPr>
            </w:pPr>
          </w:p>
        </w:tc>
        <w:tc>
          <w:tcPr>
            <w:tcW w:w="7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responsibility</w:t>
            </w:r>
          </w:p>
        </w:tc>
        <w:tc>
          <w:tcPr>
            <w:tcW w:w="600" w:type="dxa"/>
            <w:vAlign w:val="bottom"/>
            <w:tcBorders>
              <w:bottom w:val="single" w:sz="8" w:color="005AFF"/>
            </w:tcBorders>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expertise</w:t>
            </w:r>
          </w:p>
        </w:tc>
        <w:tc>
          <w:tcPr>
            <w:tcW w:w="580" w:type="dxa"/>
            <w:vAlign w:val="bottom"/>
            <w:tcBorders>
              <w:bottom w:val="single" w:sz="8" w:color="005AFF"/>
            </w:tcBorders>
          </w:tcPr>
          <w:p>
            <w:pPr>
              <w:ind w:left="120"/>
              <w:spacing w:after="0"/>
              <w:rPr>
                <w:sz w:val="20"/>
                <w:szCs w:val="20"/>
                <w:color w:val="auto"/>
              </w:rPr>
            </w:pPr>
            <w:r>
              <w:rPr>
                <w:rFonts w:ascii="Times New Roman" w:cs="Times New Roman" w:eastAsia="Times New Roman" w:hAnsi="Times New Roman"/>
                <w:sz w:val="8"/>
                <w:szCs w:val="8"/>
                <w:b w:val="1"/>
                <w:bCs w:val="1"/>
                <w:color w:val="005AFF"/>
              </w:rPr>
              <w:t>accounting</w:t>
            </w:r>
          </w:p>
        </w:tc>
        <w:tc>
          <w:tcPr>
            <w:tcW w:w="58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Compliance</w:t>
            </w:r>
          </w:p>
        </w:tc>
        <w:tc>
          <w:tcPr>
            <w:tcW w:w="780" w:type="dxa"/>
            <w:vAlign w:val="bottom"/>
            <w:tcBorders>
              <w:bottom w:val="single" w:sz="8" w:color="005AFF"/>
            </w:tcBorders>
          </w:tcPr>
          <w:p>
            <w:pPr>
              <w:jc w:val="center"/>
              <w:ind w:right="73"/>
              <w:spacing w:after="0"/>
              <w:rPr>
                <w:sz w:val="20"/>
                <w:szCs w:val="20"/>
                <w:color w:val="auto"/>
              </w:rPr>
            </w:pPr>
            <w:r>
              <w:rPr>
                <w:rFonts w:ascii="Times New Roman" w:cs="Times New Roman" w:eastAsia="Times New Roman" w:hAnsi="Times New Roman"/>
                <w:sz w:val="8"/>
                <w:szCs w:val="8"/>
                <w:b w:val="1"/>
                <w:bCs w:val="1"/>
                <w:color w:val="005AFF"/>
                <w:w w:val="98"/>
              </w:rPr>
              <w:t>market segment</w:t>
            </w:r>
          </w:p>
        </w:tc>
        <w:tc>
          <w:tcPr>
            <w:tcW w:w="58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segment</w:t>
            </w:r>
          </w:p>
        </w:tc>
        <w:tc>
          <w:tcPr>
            <w:tcW w:w="56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Technology</w:t>
            </w:r>
          </w:p>
        </w:tc>
        <w:tc>
          <w:tcPr>
            <w:tcW w:w="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Cybersecurity</w:t>
            </w:r>
          </w:p>
        </w:tc>
        <w:tc>
          <w:tcPr>
            <w:tcW w:w="66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8"/>
                <w:szCs w:val="8"/>
                <w:b w:val="1"/>
                <w:bCs w:val="1"/>
                <w:color w:val="005AFF"/>
              </w:rPr>
              <w:t>Social issues</w:t>
            </w:r>
          </w:p>
        </w:tc>
      </w:tr>
      <w:tr>
        <w:trPr>
          <w:trHeight w:val="129"/>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6F7779"/>
              </w:rPr>
              <w:t>Current Board</w:t>
            </w:r>
          </w:p>
        </w:tc>
        <w:tc>
          <w:tcPr>
            <w:tcW w:w="7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60" w:type="dxa"/>
            <w:vAlign w:val="bottom"/>
          </w:tcPr>
          <w:p>
            <w:pPr>
              <w:spacing w:after="0"/>
              <w:rPr>
                <w:sz w:val="11"/>
                <w:szCs w:val="11"/>
                <w:color w:val="auto"/>
              </w:rPr>
            </w:pPr>
          </w:p>
        </w:tc>
      </w:tr>
      <w:tr>
        <w:trPr>
          <w:trHeight w:val="13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6F7779"/>
              </w:rPr>
              <w:t>members</w:t>
            </w:r>
          </w:p>
        </w:tc>
        <w:tc>
          <w:tcPr>
            <w:tcW w:w="7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60" w:type="dxa"/>
            <w:vAlign w:val="bottom"/>
          </w:tcPr>
          <w:p>
            <w:pPr>
              <w:spacing w:after="0"/>
              <w:rPr>
                <w:sz w:val="11"/>
                <w:szCs w:val="11"/>
                <w:color w:val="auto"/>
              </w:rPr>
            </w:pPr>
          </w:p>
        </w:tc>
      </w:tr>
      <w:tr>
        <w:trPr>
          <w:trHeight w:val="17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80" w:type="dxa"/>
            <w:vAlign w:val="bottom"/>
          </w:tcPr>
          <w:p>
            <w:pPr>
              <w:ind w:left="460"/>
              <w:spacing w:after="0" w:line="101" w:lineRule="exact"/>
              <w:rPr>
                <w:sz w:val="20"/>
                <w:szCs w:val="20"/>
                <w:color w:val="auto"/>
              </w:rPr>
            </w:pPr>
            <w:r>
              <w:rPr>
                <w:rFonts w:ascii="MS PGothic" w:cs="MS PGothic" w:eastAsia="MS PGothic" w:hAnsi="MS PGothic"/>
                <w:sz w:val="10"/>
                <w:szCs w:val="10"/>
                <w:color w:val="auto"/>
                <w:w w:val="99"/>
              </w:rPr>
              <w:t>✔</w:t>
            </w:r>
          </w:p>
        </w:tc>
        <w:tc>
          <w:tcPr>
            <w:tcW w:w="780" w:type="dxa"/>
            <w:vAlign w:val="bottom"/>
          </w:tcPr>
          <w:p>
            <w:pPr>
              <w:ind w:left="58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spacing w:after="0"/>
              <w:rPr>
                <w:sz w:val="14"/>
                <w:szCs w:val="14"/>
                <w:color w:val="auto"/>
              </w:rPr>
            </w:pPr>
          </w:p>
        </w:tc>
        <w:tc>
          <w:tcPr>
            <w:tcW w:w="660" w:type="dxa"/>
            <w:vAlign w:val="bottom"/>
          </w:tcPr>
          <w:p>
            <w:pPr>
              <w:ind w:left="540"/>
              <w:spacing w:after="0" w:line="101" w:lineRule="exact"/>
              <w:rPr>
                <w:sz w:val="20"/>
                <w:szCs w:val="20"/>
                <w:color w:val="auto"/>
              </w:rPr>
            </w:pPr>
            <w:r>
              <w:rPr>
                <w:rFonts w:ascii="MS PGothic" w:cs="MS PGothic" w:eastAsia="MS PGothic" w:hAnsi="MS PGothic"/>
                <w:sz w:val="10"/>
                <w:szCs w:val="10"/>
                <w:color w:val="0D0D0D"/>
                <w:w w:val="99"/>
              </w:rPr>
              <w:t>✔</w:t>
            </w: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Søren Skou</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80" w:type="dxa"/>
            <w:vAlign w:val="bottom"/>
          </w:tcPr>
          <w:p>
            <w:pPr>
              <w:ind w:left="460"/>
              <w:spacing w:after="0" w:line="101" w:lineRule="exact"/>
              <w:rPr>
                <w:sz w:val="20"/>
                <w:szCs w:val="20"/>
                <w:color w:val="auto"/>
              </w:rPr>
            </w:pPr>
            <w:r>
              <w:rPr>
                <w:rFonts w:ascii="MS PGothic" w:cs="MS PGothic" w:eastAsia="MS PGothic" w:hAnsi="MS PGothic"/>
                <w:sz w:val="10"/>
                <w:szCs w:val="10"/>
                <w:color w:val="auto"/>
                <w:w w:val="99"/>
              </w:rPr>
              <w:t>✔</w:t>
            </w:r>
          </w:p>
        </w:tc>
        <w:tc>
          <w:tcPr>
            <w:tcW w:w="780" w:type="dxa"/>
            <w:vAlign w:val="bottom"/>
          </w:tcPr>
          <w:p>
            <w:pPr>
              <w:spacing w:after="0"/>
              <w:rPr>
                <w:sz w:val="14"/>
                <w:szCs w:val="14"/>
                <w:color w:val="auto"/>
              </w:rPr>
            </w:pP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auto"/>
              </w:rPr>
              <w:t>✔</w:t>
            </w:r>
          </w:p>
        </w:tc>
        <w:tc>
          <w:tcPr>
            <w:tcW w:w="56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ind w:left="540"/>
              <w:spacing w:after="0" w:line="101" w:lineRule="exact"/>
              <w:rPr>
                <w:sz w:val="20"/>
                <w:szCs w:val="20"/>
                <w:color w:val="auto"/>
              </w:rPr>
            </w:pPr>
            <w:r>
              <w:rPr>
                <w:rFonts w:ascii="MS PGothic" w:cs="MS PGothic" w:eastAsia="MS PGothic" w:hAnsi="MS PGothic"/>
                <w:sz w:val="10"/>
                <w:szCs w:val="10"/>
                <w:color w:val="0D0D0D"/>
                <w:w w:val="99"/>
              </w:rPr>
              <w:t>✔</w:t>
            </w: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Timo Ahopelto</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80" w:type="dxa"/>
            <w:vAlign w:val="bottom"/>
          </w:tcPr>
          <w:p>
            <w:pPr>
              <w:spacing w:after="0"/>
              <w:rPr>
                <w:sz w:val="14"/>
                <w:szCs w:val="14"/>
                <w:color w:val="auto"/>
              </w:rPr>
            </w:pPr>
          </w:p>
        </w:tc>
        <w:tc>
          <w:tcPr>
            <w:tcW w:w="780" w:type="dxa"/>
            <w:vAlign w:val="bottom"/>
          </w:tcPr>
          <w:p>
            <w:pPr>
              <w:spacing w:after="0"/>
              <w:rPr>
                <w:sz w:val="14"/>
                <w:szCs w:val="14"/>
                <w:color w:val="auto"/>
              </w:rPr>
            </w:pP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0D0D0D"/>
              </w:rPr>
              <w:t>✔</w:t>
            </w: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ind w:left="480"/>
              <w:spacing w:after="0" w:line="101" w:lineRule="exact"/>
              <w:rPr>
                <w:sz w:val="20"/>
                <w:szCs w:val="20"/>
                <w:color w:val="auto"/>
              </w:rPr>
            </w:pPr>
            <w:r>
              <w:rPr>
                <w:rFonts w:ascii="MS PGothic" w:cs="MS PGothic" w:eastAsia="MS PGothic" w:hAnsi="MS PGothic"/>
                <w:sz w:val="10"/>
                <w:szCs w:val="10"/>
                <w:color w:val="auto"/>
              </w:rPr>
              <w:t>✔</w:t>
            </w:r>
          </w:p>
        </w:tc>
        <w:tc>
          <w:tcPr>
            <w:tcW w:w="660" w:type="dxa"/>
            <w:vAlign w:val="bottom"/>
          </w:tcPr>
          <w:p>
            <w:pPr>
              <w:spacing w:after="0"/>
              <w:rPr>
                <w:sz w:val="14"/>
                <w:szCs w:val="14"/>
                <w:color w:val="auto"/>
              </w:rPr>
            </w:pP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60"/>
              <w:spacing w:after="0" w:line="101" w:lineRule="exact"/>
              <w:rPr>
                <w:sz w:val="20"/>
                <w:szCs w:val="20"/>
                <w:color w:val="auto"/>
              </w:rPr>
            </w:pPr>
            <w:r>
              <w:rPr>
                <w:rFonts w:ascii="MS PGothic" w:cs="MS PGothic" w:eastAsia="MS PGothic" w:hAnsi="MS PGothic"/>
                <w:sz w:val="10"/>
                <w:szCs w:val="10"/>
                <w:color w:val="auto"/>
                <w:w w:val="99"/>
              </w:rPr>
              <w:t>✔</w:t>
            </w:r>
          </w:p>
        </w:tc>
        <w:tc>
          <w:tcPr>
            <w:tcW w:w="780" w:type="dxa"/>
            <w:vAlign w:val="bottom"/>
          </w:tcPr>
          <w:p>
            <w:pPr>
              <w:spacing w:after="0"/>
              <w:rPr>
                <w:sz w:val="14"/>
                <w:szCs w:val="14"/>
                <w:color w:val="auto"/>
              </w:rPr>
            </w:pPr>
          </w:p>
        </w:tc>
        <w:tc>
          <w:tcPr>
            <w:tcW w:w="580" w:type="dxa"/>
            <w:vAlign w:val="bottom"/>
          </w:tcPr>
          <w:p>
            <w:pPr>
              <w:spacing w:after="0"/>
              <w:rPr>
                <w:sz w:val="14"/>
                <w:szCs w:val="14"/>
                <w:color w:val="auto"/>
              </w:rPr>
            </w:pPr>
          </w:p>
        </w:tc>
        <w:tc>
          <w:tcPr>
            <w:tcW w:w="56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700" w:type="dxa"/>
            <w:vAlign w:val="bottom"/>
          </w:tcPr>
          <w:p>
            <w:pPr>
              <w:spacing w:after="0"/>
              <w:rPr>
                <w:sz w:val="14"/>
                <w:szCs w:val="14"/>
                <w:color w:val="auto"/>
              </w:rPr>
            </w:pP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780" w:type="dxa"/>
            <w:vAlign w:val="bottom"/>
          </w:tcPr>
          <w:p>
            <w:pPr>
              <w:ind w:left="58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0D0D0D"/>
              </w:rPr>
              <w:t>✔</w:t>
            </w: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80" w:type="dxa"/>
            <w:vAlign w:val="bottom"/>
          </w:tcPr>
          <w:p>
            <w:pPr>
              <w:ind w:left="460"/>
              <w:spacing w:after="0" w:line="101" w:lineRule="exact"/>
              <w:rPr>
                <w:sz w:val="20"/>
                <w:szCs w:val="20"/>
                <w:color w:val="auto"/>
              </w:rPr>
            </w:pPr>
            <w:r>
              <w:rPr>
                <w:rFonts w:ascii="MS PGothic" w:cs="MS PGothic" w:eastAsia="MS PGothic" w:hAnsi="MS PGothic"/>
                <w:sz w:val="10"/>
                <w:szCs w:val="10"/>
                <w:color w:val="0D0D0D"/>
                <w:w w:val="99"/>
              </w:rPr>
              <w:t>✔</w:t>
            </w:r>
          </w:p>
        </w:tc>
        <w:tc>
          <w:tcPr>
            <w:tcW w:w="780" w:type="dxa"/>
            <w:vAlign w:val="bottom"/>
          </w:tcPr>
          <w:p>
            <w:pPr>
              <w:ind w:left="58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0D0D0D"/>
              </w:rPr>
              <w:t>✔</w:t>
            </w: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ind w:left="480"/>
              <w:spacing w:after="0" w:line="101" w:lineRule="exact"/>
              <w:rPr>
                <w:sz w:val="20"/>
                <w:szCs w:val="20"/>
                <w:color w:val="auto"/>
              </w:rPr>
            </w:pPr>
            <w:r>
              <w:rPr>
                <w:rFonts w:ascii="MS PGothic" w:cs="MS PGothic" w:eastAsia="MS PGothic" w:hAnsi="MS PGothic"/>
                <w:sz w:val="10"/>
                <w:szCs w:val="10"/>
                <w:color w:val="auto"/>
              </w:rPr>
              <w:t>✔</w:t>
            </w:r>
          </w:p>
        </w:tc>
        <w:tc>
          <w:tcPr>
            <w:tcW w:w="660" w:type="dxa"/>
            <w:vAlign w:val="bottom"/>
          </w:tcPr>
          <w:p>
            <w:pPr>
              <w:spacing w:after="0"/>
              <w:rPr>
                <w:sz w:val="14"/>
                <w:szCs w:val="14"/>
                <w:color w:val="auto"/>
              </w:rPr>
            </w:pP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700" w:type="dxa"/>
            <w:vAlign w:val="bottom"/>
          </w:tcPr>
          <w:p>
            <w:pPr>
              <w:spacing w:after="0"/>
              <w:rPr>
                <w:sz w:val="14"/>
                <w:szCs w:val="14"/>
                <w:color w:val="auto"/>
              </w:rPr>
            </w:pP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40"/>
              <w:spacing w:after="0" w:line="101" w:lineRule="exact"/>
              <w:rPr>
                <w:sz w:val="20"/>
                <w:szCs w:val="20"/>
                <w:color w:val="auto"/>
              </w:rPr>
            </w:pPr>
            <w:r>
              <w:rPr>
                <w:rFonts w:ascii="MS PGothic" w:cs="MS PGothic" w:eastAsia="MS PGothic" w:hAnsi="MS PGothic"/>
                <w:sz w:val="10"/>
                <w:szCs w:val="10"/>
                <w:color w:val="auto"/>
              </w:rPr>
              <w:t>✔</w:t>
            </w:r>
          </w:p>
        </w:tc>
        <w:tc>
          <w:tcPr>
            <w:tcW w:w="580" w:type="dxa"/>
            <w:vAlign w:val="bottom"/>
          </w:tcPr>
          <w:p>
            <w:pPr>
              <w:spacing w:after="0"/>
              <w:rPr>
                <w:sz w:val="14"/>
                <w:szCs w:val="14"/>
                <w:color w:val="auto"/>
              </w:rPr>
            </w:pPr>
          </w:p>
        </w:tc>
        <w:tc>
          <w:tcPr>
            <w:tcW w:w="780" w:type="dxa"/>
            <w:vAlign w:val="bottom"/>
          </w:tcPr>
          <w:p>
            <w:pPr>
              <w:spacing w:after="0"/>
              <w:rPr>
                <w:sz w:val="14"/>
                <w:szCs w:val="14"/>
                <w:color w:val="auto"/>
              </w:rPr>
            </w:pP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0D0D0D"/>
              </w:rPr>
              <w:t>✔</w:t>
            </w: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ind w:left="480"/>
              <w:spacing w:after="0" w:line="101" w:lineRule="exact"/>
              <w:rPr>
                <w:sz w:val="20"/>
                <w:szCs w:val="20"/>
                <w:color w:val="auto"/>
              </w:rPr>
            </w:pPr>
            <w:r>
              <w:rPr>
                <w:rFonts w:ascii="MS PGothic" w:cs="MS PGothic" w:eastAsia="MS PGothic" w:hAnsi="MS PGothic"/>
                <w:sz w:val="10"/>
                <w:szCs w:val="10"/>
                <w:color w:val="0D0D0D"/>
              </w:rPr>
              <w:t>✔</w:t>
            </w:r>
          </w:p>
        </w:tc>
        <w:tc>
          <w:tcPr>
            <w:tcW w:w="660" w:type="dxa"/>
            <w:vAlign w:val="bottom"/>
          </w:tcPr>
          <w:p>
            <w:pPr>
              <w:spacing w:after="0"/>
              <w:rPr>
                <w:sz w:val="14"/>
                <w:szCs w:val="14"/>
                <w:color w:val="auto"/>
              </w:rPr>
            </w:pP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700" w:type="dxa"/>
            <w:vAlign w:val="bottom"/>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80" w:type="dxa"/>
            <w:vAlign w:val="bottom"/>
          </w:tcPr>
          <w:p>
            <w:pPr>
              <w:spacing w:after="0"/>
              <w:rPr>
                <w:sz w:val="14"/>
                <w:szCs w:val="14"/>
                <w:color w:val="auto"/>
              </w:rPr>
            </w:pPr>
          </w:p>
        </w:tc>
        <w:tc>
          <w:tcPr>
            <w:tcW w:w="780" w:type="dxa"/>
            <w:vAlign w:val="bottom"/>
          </w:tcPr>
          <w:p>
            <w:pPr>
              <w:ind w:left="580"/>
              <w:spacing w:after="0" w:line="101" w:lineRule="exact"/>
              <w:rPr>
                <w:sz w:val="20"/>
                <w:szCs w:val="20"/>
                <w:color w:val="auto"/>
              </w:rPr>
            </w:pPr>
            <w:r>
              <w:rPr>
                <w:rFonts w:ascii="MS PGothic" w:cs="MS PGothic" w:eastAsia="MS PGothic" w:hAnsi="MS PGothic"/>
                <w:sz w:val="10"/>
                <w:szCs w:val="10"/>
                <w:color w:val="auto"/>
              </w:rPr>
              <w:t>✔</w:t>
            </w:r>
          </w:p>
        </w:tc>
        <w:tc>
          <w:tcPr>
            <w:tcW w:w="580" w:type="dxa"/>
            <w:vAlign w:val="bottom"/>
          </w:tcPr>
          <w:p>
            <w:pPr>
              <w:ind w:left="400"/>
              <w:spacing w:after="0" w:line="101" w:lineRule="exact"/>
              <w:rPr>
                <w:sz w:val="20"/>
                <w:szCs w:val="20"/>
                <w:color w:val="auto"/>
              </w:rPr>
            </w:pPr>
            <w:r>
              <w:rPr>
                <w:rFonts w:ascii="MS PGothic" w:cs="MS PGothic" w:eastAsia="MS PGothic" w:hAnsi="MS PGothic"/>
                <w:sz w:val="10"/>
                <w:szCs w:val="10"/>
                <w:color w:val="auto"/>
              </w:rPr>
              <w:t>✔</w:t>
            </w:r>
          </w:p>
        </w:tc>
        <w:tc>
          <w:tcPr>
            <w:tcW w:w="56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Pr>
          <w:p>
            <w:pPr>
              <w:ind w:left="480"/>
              <w:spacing w:after="0" w:line="101" w:lineRule="exact"/>
              <w:rPr>
                <w:sz w:val="20"/>
                <w:szCs w:val="20"/>
                <w:color w:val="auto"/>
              </w:rPr>
            </w:pPr>
            <w:r>
              <w:rPr>
                <w:rFonts w:ascii="MS PGothic" w:cs="MS PGothic" w:eastAsia="MS PGothic" w:hAnsi="MS PGothic"/>
                <w:sz w:val="10"/>
                <w:szCs w:val="10"/>
                <w:color w:val="0D0D0D"/>
              </w:rPr>
              <w:t>✔</w:t>
            </w:r>
          </w:p>
        </w:tc>
        <w:tc>
          <w:tcPr>
            <w:tcW w:w="660" w:type="dxa"/>
            <w:vAlign w:val="bottom"/>
          </w:tcPr>
          <w:p>
            <w:pPr>
              <w:ind w:left="540"/>
              <w:spacing w:after="0" w:line="101" w:lineRule="exact"/>
              <w:rPr>
                <w:sz w:val="20"/>
                <w:szCs w:val="20"/>
                <w:color w:val="auto"/>
              </w:rPr>
            </w:pPr>
            <w:r>
              <w:rPr>
                <w:rFonts w:ascii="MS PGothic" w:cs="MS PGothic" w:eastAsia="MS PGothic" w:hAnsi="MS PGothic"/>
                <w:sz w:val="10"/>
                <w:szCs w:val="10"/>
                <w:color w:val="0D0D0D"/>
                <w:w w:val="99"/>
              </w:rPr>
              <w:t>✔</w:t>
            </w:r>
          </w:p>
        </w:tc>
      </w:tr>
      <w:tr>
        <w:trPr>
          <w:trHeight w:val="16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700" w:type="dxa"/>
            <w:vAlign w:val="bottom"/>
          </w:tcPr>
          <w:p>
            <w:pPr>
              <w:spacing w:after="0"/>
              <w:rPr>
                <w:sz w:val="14"/>
                <w:szCs w:val="14"/>
                <w:color w:val="auto"/>
              </w:rPr>
            </w:pPr>
          </w:p>
        </w:tc>
        <w:tc>
          <w:tcPr>
            <w:tcW w:w="60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ind w:left="460"/>
              <w:spacing w:after="0" w:line="101" w:lineRule="exact"/>
              <w:rPr>
                <w:sz w:val="20"/>
                <w:szCs w:val="20"/>
                <w:color w:val="auto"/>
              </w:rPr>
            </w:pPr>
            <w:r>
              <w:rPr>
                <w:rFonts w:ascii="MS PGothic" w:cs="MS PGothic" w:eastAsia="MS PGothic" w:hAnsi="MS PGothic"/>
                <w:sz w:val="10"/>
                <w:szCs w:val="10"/>
                <w:color w:val="auto"/>
                <w:w w:val="99"/>
              </w:rPr>
              <w:t>✔</w:t>
            </w:r>
          </w:p>
        </w:tc>
        <w:tc>
          <w:tcPr>
            <w:tcW w:w="780" w:type="dxa"/>
            <w:vAlign w:val="bottom"/>
          </w:tcPr>
          <w:p>
            <w:pPr>
              <w:ind w:left="58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Pr>
          <w:p>
            <w:pPr>
              <w:spacing w:after="0"/>
              <w:rPr>
                <w:sz w:val="14"/>
                <w:szCs w:val="14"/>
                <w:color w:val="auto"/>
              </w:rPr>
            </w:pPr>
          </w:p>
        </w:tc>
        <w:tc>
          <w:tcPr>
            <w:tcW w:w="56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r>
      <w:tr>
        <w:trPr>
          <w:trHeight w:val="162"/>
        </w:trPr>
        <w:tc>
          <w:tcPr>
            <w:tcW w:w="1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Kai Öistämö</w:t>
            </w:r>
          </w:p>
        </w:tc>
        <w:tc>
          <w:tcPr>
            <w:tcW w:w="700" w:type="dxa"/>
            <w:vAlign w:val="bottom"/>
            <w:tcBorders>
              <w:bottom w:val="single" w:sz="8" w:color="005AFF"/>
            </w:tcBorders>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Borders>
              <w:bottom w:val="single" w:sz="8" w:color="005AFF"/>
            </w:tcBorders>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Borders>
              <w:bottom w:val="single" w:sz="8" w:color="005AFF"/>
            </w:tcBorders>
          </w:tcPr>
          <w:p>
            <w:pPr>
              <w:spacing w:after="0"/>
              <w:rPr>
                <w:sz w:val="14"/>
                <w:szCs w:val="14"/>
                <w:color w:val="auto"/>
              </w:rPr>
            </w:pPr>
          </w:p>
        </w:tc>
        <w:tc>
          <w:tcPr>
            <w:tcW w:w="580" w:type="dxa"/>
            <w:vAlign w:val="bottom"/>
            <w:tcBorders>
              <w:bottom w:val="single" w:sz="8" w:color="005AFF"/>
            </w:tcBorders>
          </w:tcPr>
          <w:p>
            <w:pPr>
              <w:spacing w:after="0"/>
              <w:rPr>
                <w:sz w:val="14"/>
                <w:szCs w:val="14"/>
                <w:color w:val="auto"/>
              </w:rPr>
            </w:pPr>
          </w:p>
        </w:tc>
        <w:tc>
          <w:tcPr>
            <w:tcW w:w="780" w:type="dxa"/>
            <w:vAlign w:val="bottom"/>
            <w:tcBorders>
              <w:bottom w:val="single" w:sz="8" w:color="005AFF"/>
            </w:tcBorders>
          </w:tcPr>
          <w:p>
            <w:pPr>
              <w:ind w:left="58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Borders>
              <w:bottom w:val="single" w:sz="8" w:color="005AFF"/>
            </w:tcBorders>
          </w:tcPr>
          <w:p>
            <w:pPr>
              <w:spacing w:after="0"/>
              <w:rPr>
                <w:sz w:val="14"/>
                <w:szCs w:val="14"/>
                <w:color w:val="auto"/>
              </w:rPr>
            </w:pPr>
          </w:p>
        </w:tc>
        <w:tc>
          <w:tcPr>
            <w:tcW w:w="560" w:type="dxa"/>
            <w:vAlign w:val="bottom"/>
            <w:tcBorders>
              <w:bottom w:val="single" w:sz="8" w:color="005AFF"/>
            </w:tcBorders>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Borders>
              <w:bottom w:val="single" w:sz="8" w:color="005AFF"/>
            </w:tcBorders>
          </w:tcPr>
          <w:p>
            <w:pPr>
              <w:ind w:left="480"/>
              <w:spacing w:after="0" w:line="101" w:lineRule="exact"/>
              <w:rPr>
                <w:sz w:val="20"/>
                <w:szCs w:val="20"/>
                <w:color w:val="auto"/>
              </w:rPr>
            </w:pPr>
            <w:r>
              <w:rPr>
                <w:rFonts w:ascii="MS PGothic" w:cs="MS PGothic" w:eastAsia="MS PGothic" w:hAnsi="MS PGothic"/>
                <w:sz w:val="10"/>
                <w:szCs w:val="10"/>
                <w:color w:val="auto"/>
              </w:rPr>
              <w:t>✔</w:t>
            </w:r>
          </w:p>
        </w:tc>
        <w:tc>
          <w:tcPr>
            <w:tcW w:w="660" w:type="dxa"/>
            <w:vAlign w:val="bottom"/>
            <w:tcBorders>
              <w:bottom w:val="single" w:sz="8" w:color="005AFF"/>
            </w:tcBorders>
          </w:tcPr>
          <w:p>
            <w:pPr>
              <w:ind w:left="540"/>
              <w:spacing w:after="0" w:line="101" w:lineRule="exact"/>
              <w:rPr>
                <w:sz w:val="20"/>
                <w:szCs w:val="20"/>
                <w:color w:val="auto"/>
              </w:rPr>
            </w:pPr>
            <w:r>
              <w:rPr>
                <w:rFonts w:ascii="MS PGothic" w:cs="MS PGothic" w:eastAsia="MS PGothic" w:hAnsi="MS PGothic"/>
                <w:sz w:val="10"/>
                <w:szCs w:val="10"/>
                <w:color w:val="0D0D0D"/>
                <w:w w:val="99"/>
              </w:rPr>
              <w:t>✔</w:t>
            </w:r>
          </w:p>
        </w:tc>
      </w:tr>
      <w:tr>
        <w:trPr>
          <w:trHeight w:val="121"/>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6F7779"/>
              </w:rPr>
              <w:t>Proposed new Board</w:t>
            </w:r>
          </w:p>
        </w:tc>
        <w:tc>
          <w:tcPr>
            <w:tcW w:w="7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580" w:type="dxa"/>
            <w:vAlign w:val="bottom"/>
          </w:tcPr>
          <w:p>
            <w:pPr>
              <w:spacing w:after="0"/>
              <w:rPr>
                <w:sz w:val="10"/>
                <w:szCs w:val="10"/>
                <w:color w:val="auto"/>
              </w:rPr>
            </w:pPr>
          </w:p>
        </w:tc>
        <w:tc>
          <w:tcPr>
            <w:tcW w:w="580" w:type="dxa"/>
            <w:vAlign w:val="bottom"/>
          </w:tcPr>
          <w:p>
            <w:pPr>
              <w:spacing w:after="0"/>
              <w:rPr>
                <w:sz w:val="10"/>
                <w:szCs w:val="10"/>
                <w:color w:val="auto"/>
              </w:rPr>
            </w:pPr>
          </w:p>
        </w:tc>
        <w:tc>
          <w:tcPr>
            <w:tcW w:w="780" w:type="dxa"/>
            <w:vAlign w:val="bottom"/>
          </w:tcPr>
          <w:p>
            <w:pPr>
              <w:spacing w:after="0"/>
              <w:rPr>
                <w:sz w:val="10"/>
                <w:szCs w:val="10"/>
                <w:color w:val="auto"/>
              </w:rPr>
            </w:pPr>
          </w:p>
        </w:tc>
        <w:tc>
          <w:tcPr>
            <w:tcW w:w="580" w:type="dxa"/>
            <w:vAlign w:val="bottom"/>
          </w:tcPr>
          <w:p>
            <w:pPr>
              <w:spacing w:after="0"/>
              <w:rPr>
                <w:sz w:val="10"/>
                <w:szCs w:val="10"/>
                <w:color w:val="auto"/>
              </w:rPr>
            </w:pPr>
          </w:p>
        </w:tc>
        <w:tc>
          <w:tcPr>
            <w:tcW w:w="56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660" w:type="dxa"/>
            <w:vAlign w:val="bottom"/>
          </w:tcPr>
          <w:p>
            <w:pPr>
              <w:spacing w:after="0"/>
              <w:rPr>
                <w:sz w:val="10"/>
                <w:szCs w:val="10"/>
                <w:color w:val="auto"/>
              </w:rPr>
            </w:pPr>
          </w:p>
        </w:tc>
      </w:tr>
      <w:tr>
        <w:trPr>
          <w:trHeight w:val="132"/>
        </w:trPr>
        <w:tc>
          <w:tcPr>
            <w:tcW w:w="10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6F7779"/>
              </w:rPr>
              <w:t>member</w:t>
            </w:r>
          </w:p>
        </w:tc>
        <w:tc>
          <w:tcPr>
            <w:tcW w:w="7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60" w:type="dxa"/>
            <w:vAlign w:val="bottom"/>
          </w:tcPr>
          <w:p>
            <w:pPr>
              <w:spacing w:after="0"/>
              <w:rPr>
                <w:sz w:val="11"/>
                <w:szCs w:val="11"/>
                <w:color w:val="auto"/>
              </w:rPr>
            </w:pPr>
          </w:p>
        </w:tc>
      </w:tr>
      <w:tr>
        <w:trPr>
          <w:trHeight w:val="172"/>
        </w:trPr>
        <w:tc>
          <w:tcPr>
            <w:tcW w:w="1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Michael McNamara</w:t>
            </w:r>
          </w:p>
        </w:tc>
        <w:tc>
          <w:tcPr>
            <w:tcW w:w="700" w:type="dxa"/>
            <w:vAlign w:val="bottom"/>
            <w:tcBorders>
              <w:bottom w:val="single" w:sz="8" w:color="005AFF"/>
            </w:tcBorders>
          </w:tcPr>
          <w:p>
            <w:pPr>
              <w:jc w:val="right"/>
              <w:ind w:right="52"/>
              <w:spacing w:after="0" w:line="101" w:lineRule="exact"/>
              <w:rPr>
                <w:sz w:val="20"/>
                <w:szCs w:val="20"/>
                <w:color w:val="auto"/>
              </w:rPr>
            </w:pPr>
            <w:r>
              <w:rPr>
                <w:rFonts w:ascii="MS PGothic" w:cs="MS PGothic" w:eastAsia="MS PGothic" w:hAnsi="MS PGothic"/>
                <w:sz w:val="10"/>
                <w:szCs w:val="10"/>
                <w:color w:val="0D0D0D"/>
              </w:rPr>
              <w:t>✔</w:t>
            </w:r>
          </w:p>
        </w:tc>
        <w:tc>
          <w:tcPr>
            <w:tcW w:w="600" w:type="dxa"/>
            <w:vAlign w:val="bottom"/>
            <w:tcBorders>
              <w:bottom w:val="single" w:sz="8" w:color="005AFF"/>
            </w:tcBorders>
          </w:tcPr>
          <w:p>
            <w:pPr>
              <w:ind w:left="440"/>
              <w:spacing w:after="0" w:line="101" w:lineRule="exact"/>
              <w:rPr>
                <w:sz w:val="20"/>
                <w:szCs w:val="20"/>
                <w:color w:val="auto"/>
              </w:rPr>
            </w:pPr>
            <w:r>
              <w:rPr>
                <w:rFonts w:ascii="MS PGothic" w:cs="MS PGothic" w:eastAsia="MS PGothic" w:hAnsi="MS PGothic"/>
                <w:sz w:val="10"/>
                <w:szCs w:val="10"/>
                <w:color w:val="0D0D0D"/>
              </w:rPr>
              <w:t>✔</w:t>
            </w:r>
          </w:p>
        </w:tc>
        <w:tc>
          <w:tcPr>
            <w:tcW w:w="580" w:type="dxa"/>
            <w:vAlign w:val="bottom"/>
            <w:tcBorders>
              <w:bottom w:val="single" w:sz="8" w:color="005AFF"/>
            </w:tcBorders>
          </w:tcPr>
          <w:p>
            <w:pPr>
              <w:spacing w:after="0"/>
              <w:rPr>
                <w:sz w:val="14"/>
                <w:szCs w:val="14"/>
                <w:color w:val="auto"/>
              </w:rPr>
            </w:pPr>
          </w:p>
        </w:tc>
        <w:tc>
          <w:tcPr>
            <w:tcW w:w="580" w:type="dxa"/>
            <w:vAlign w:val="bottom"/>
            <w:tcBorders>
              <w:bottom w:val="single" w:sz="8" w:color="005AFF"/>
            </w:tcBorders>
          </w:tcPr>
          <w:p>
            <w:pPr>
              <w:spacing w:after="0"/>
              <w:rPr>
                <w:sz w:val="14"/>
                <w:szCs w:val="14"/>
                <w:color w:val="auto"/>
              </w:rPr>
            </w:pPr>
          </w:p>
        </w:tc>
        <w:tc>
          <w:tcPr>
            <w:tcW w:w="780" w:type="dxa"/>
            <w:vAlign w:val="bottom"/>
            <w:tcBorders>
              <w:bottom w:val="single" w:sz="8" w:color="005AFF"/>
            </w:tcBorders>
          </w:tcPr>
          <w:p>
            <w:pPr>
              <w:spacing w:after="0"/>
              <w:rPr>
                <w:sz w:val="14"/>
                <w:szCs w:val="14"/>
                <w:color w:val="auto"/>
              </w:rPr>
            </w:pPr>
          </w:p>
        </w:tc>
        <w:tc>
          <w:tcPr>
            <w:tcW w:w="580" w:type="dxa"/>
            <w:vAlign w:val="bottom"/>
            <w:tcBorders>
              <w:bottom w:val="single" w:sz="8" w:color="005AFF"/>
            </w:tcBorders>
          </w:tcPr>
          <w:p>
            <w:pPr>
              <w:ind w:left="400"/>
              <w:spacing w:after="0" w:line="101" w:lineRule="exact"/>
              <w:rPr>
                <w:sz w:val="20"/>
                <w:szCs w:val="20"/>
                <w:color w:val="auto"/>
              </w:rPr>
            </w:pPr>
            <w:r>
              <w:rPr>
                <w:rFonts w:ascii="MS PGothic" w:cs="MS PGothic" w:eastAsia="MS PGothic" w:hAnsi="MS PGothic"/>
                <w:sz w:val="10"/>
                <w:szCs w:val="10"/>
                <w:color w:val="0D0D0D"/>
              </w:rPr>
              <w:t>✔</w:t>
            </w:r>
          </w:p>
        </w:tc>
        <w:tc>
          <w:tcPr>
            <w:tcW w:w="560" w:type="dxa"/>
            <w:vAlign w:val="bottom"/>
            <w:tcBorders>
              <w:bottom w:val="single" w:sz="8" w:color="005AFF"/>
            </w:tcBorders>
          </w:tcPr>
          <w:p>
            <w:pPr>
              <w:ind w:left="440"/>
              <w:spacing w:after="0" w:line="101" w:lineRule="exact"/>
              <w:rPr>
                <w:sz w:val="20"/>
                <w:szCs w:val="20"/>
                <w:color w:val="auto"/>
              </w:rPr>
            </w:pPr>
            <w:r>
              <w:rPr>
                <w:rFonts w:ascii="MS PGothic" w:cs="MS PGothic" w:eastAsia="MS PGothic" w:hAnsi="MS PGothic"/>
                <w:sz w:val="10"/>
                <w:szCs w:val="10"/>
                <w:color w:val="0D0D0D"/>
                <w:w w:val="99"/>
              </w:rPr>
              <w:t>✔</w:t>
            </w:r>
          </w:p>
        </w:tc>
        <w:tc>
          <w:tcPr>
            <w:tcW w:w="620" w:type="dxa"/>
            <w:vAlign w:val="bottom"/>
            <w:tcBorders>
              <w:bottom w:val="single" w:sz="8" w:color="005AFF"/>
            </w:tcBorders>
          </w:tcPr>
          <w:p>
            <w:pPr>
              <w:ind w:left="480"/>
              <w:spacing w:after="0" w:line="101" w:lineRule="exact"/>
              <w:rPr>
                <w:sz w:val="20"/>
                <w:szCs w:val="20"/>
                <w:color w:val="auto"/>
              </w:rPr>
            </w:pPr>
            <w:r>
              <w:rPr>
                <w:rFonts w:ascii="MS PGothic" w:cs="MS PGothic" w:eastAsia="MS PGothic" w:hAnsi="MS PGothic"/>
                <w:sz w:val="10"/>
                <w:szCs w:val="10"/>
                <w:color w:val="0D0D0D"/>
              </w:rPr>
              <w:t>✔</w:t>
            </w:r>
          </w:p>
        </w:tc>
        <w:tc>
          <w:tcPr>
            <w:tcW w:w="660" w:type="dxa"/>
            <w:vAlign w:val="bottom"/>
            <w:tcBorders>
              <w:bottom w:val="single" w:sz="8" w:color="005AFF"/>
            </w:tcBorders>
          </w:tcPr>
          <w:p>
            <w:pPr>
              <w:spacing w:after="0"/>
              <w:rPr>
                <w:sz w:val="14"/>
                <w:szCs w:val="14"/>
                <w:color w:val="auto"/>
              </w:rPr>
            </w:pPr>
          </w:p>
        </w:tc>
      </w:tr>
    </w:tbl>
    <w:p>
      <w:pPr>
        <w:sectPr>
          <w:pgSz w:w="11900" w:h="16838" w:orient="portrait"/>
          <w:cols w:equalWidth="0" w:num="2">
            <w:col w:w="3020" w:space="380"/>
            <w:col w:w="6680"/>
          </w:cols>
          <w:pgMar w:left="960" w:top="409" w:right="859" w:bottom="1440" w:gutter="0" w:footer="0" w:header="0"/>
        </w:sectPr>
      </w:pPr>
    </w:p>
    <w:bookmarkStart w:id="45" w:name="page46"/>
    <w:bookmarkEnd w:id="45"/>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14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320" w:type="dxa"/>
            <w:vAlign w:val="bottom"/>
          </w:tcPr>
          <w:p>
            <w:pPr>
              <w:spacing w:after="0"/>
              <w:rPr>
                <w:sz w:val="9"/>
                <w:szCs w:val="9"/>
                <w:color w:val="auto"/>
              </w:rPr>
            </w:pPr>
          </w:p>
        </w:tc>
        <w:tc>
          <w:tcPr>
            <w:tcW w:w="900" w:type="dxa"/>
            <w:vAlign w:val="bottom"/>
          </w:tcPr>
          <w:p>
            <w:pPr>
              <w:ind w:left="100"/>
              <w:spacing w:after="0"/>
              <w:rPr>
                <w:sz w:val="20"/>
                <w:szCs w:val="20"/>
                <w:color w:val="auto"/>
              </w:rPr>
            </w:pPr>
            <w:r>
              <w:rPr>
                <w:rFonts w:ascii="Times New Roman" w:cs="Times New Roman" w:eastAsia="Times New Roman" w:hAnsi="Times New Roman"/>
                <w:sz w:val="9"/>
                <w:szCs w:val="9"/>
                <w:color w:val="auto"/>
              </w:rPr>
              <w:t>General facts</w:t>
            </w:r>
          </w:p>
        </w:tc>
        <w:tc>
          <w:tcPr>
            <w:tcW w:w="11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40" w:type="dxa"/>
            <w:vAlign w:val="bottom"/>
          </w:tcPr>
          <w:p>
            <w:pPr>
              <w:ind w:left="120"/>
              <w:spacing w:after="0"/>
              <w:rPr>
                <w:sz w:val="20"/>
                <w:szCs w:val="20"/>
                <w:color w:val="auto"/>
              </w:rPr>
            </w:pPr>
            <w:r>
              <w:rPr>
                <w:rFonts w:ascii="Times New Roman" w:cs="Times New Roman" w:eastAsia="Times New Roman" w:hAnsi="Times New Roman"/>
                <w:sz w:val="9"/>
                <w:szCs w:val="9"/>
                <w:color w:val="auto"/>
              </w:rPr>
              <w:t>Other</w:t>
            </w:r>
          </w:p>
        </w:tc>
        <w:tc>
          <w:tcPr>
            <w:tcW w:w="196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38</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14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320" w:type="dxa"/>
            <w:vAlign w:val="bottom"/>
          </w:tcPr>
          <w:p>
            <w:pPr>
              <w:spacing w:after="0"/>
              <w:rPr>
                <w:sz w:val="11"/>
                <w:szCs w:val="11"/>
                <w:color w:val="auto"/>
              </w:rPr>
            </w:pPr>
          </w:p>
        </w:tc>
        <w:tc>
          <w:tcPr>
            <w:tcW w:w="90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on Nokia</w:t>
            </w:r>
          </w:p>
        </w:tc>
        <w:tc>
          <w:tcPr>
            <w:tcW w:w="11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40" w:type="dxa"/>
            <w:vAlign w:val="bottom"/>
          </w:tcPr>
          <w:p>
            <w:pPr>
              <w:ind w:left="120"/>
              <w:spacing w:after="0"/>
              <w:rPr>
                <w:sz w:val="20"/>
                <w:szCs w:val="20"/>
                <w:color w:val="auto"/>
              </w:rPr>
            </w:pPr>
            <w:r>
              <w:rPr>
                <w:rFonts w:ascii="Times New Roman" w:cs="Times New Roman" w:eastAsia="Times New Roman" w:hAnsi="Times New Roman"/>
                <w:sz w:val="9"/>
                <w:szCs w:val="9"/>
                <w:color w:val="auto"/>
              </w:rPr>
              <w:t>information</w:t>
            </w:r>
          </w:p>
        </w:tc>
        <w:tc>
          <w:tcPr>
            <w:tcW w:w="19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140" w:type="dxa"/>
            <w:vAlign w:val="bottom"/>
          </w:tcPr>
          <w:p>
            <w:pPr>
              <w:spacing w:after="0"/>
              <w:rPr>
                <w:sz w:val="3"/>
                <w:szCs w:val="3"/>
                <w:color w:val="auto"/>
              </w:rPr>
            </w:pPr>
          </w:p>
        </w:tc>
        <w:tc>
          <w:tcPr>
            <w:tcW w:w="320" w:type="dxa"/>
            <w:vAlign w:val="bottom"/>
          </w:tcPr>
          <w:p>
            <w:pPr>
              <w:spacing w:after="0"/>
              <w:rPr>
                <w:sz w:val="3"/>
                <w:szCs w:val="3"/>
                <w:color w:val="auto"/>
              </w:rPr>
            </w:pPr>
          </w:p>
        </w:tc>
        <w:tc>
          <w:tcPr>
            <w:tcW w:w="900" w:type="dxa"/>
            <w:vAlign w:val="bottom"/>
          </w:tcPr>
          <w:p>
            <w:pPr>
              <w:spacing w:after="0"/>
              <w:rPr>
                <w:sz w:val="3"/>
                <w:szCs w:val="3"/>
                <w:color w:val="auto"/>
              </w:rPr>
            </w:pPr>
          </w:p>
        </w:tc>
        <w:tc>
          <w:tcPr>
            <w:tcW w:w="1180" w:type="dxa"/>
            <w:vAlign w:val="bottom"/>
          </w:tcPr>
          <w:p>
            <w:pPr>
              <w:spacing w:after="0"/>
              <w:rPr>
                <w:sz w:val="3"/>
                <w:szCs w:val="3"/>
                <w:color w:val="auto"/>
              </w:rPr>
            </w:pPr>
          </w:p>
        </w:tc>
        <w:tc>
          <w:tcPr>
            <w:tcW w:w="2640" w:type="dxa"/>
            <w:vAlign w:val="bottom"/>
          </w:tcPr>
          <w:p>
            <w:pPr>
              <w:spacing w:after="0"/>
              <w:rPr>
                <w:sz w:val="3"/>
                <w:szCs w:val="3"/>
                <w:color w:val="auto"/>
              </w:rPr>
            </w:pPr>
          </w:p>
        </w:tc>
        <w:tc>
          <w:tcPr>
            <w:tcW w:w="196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14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320" w:type="dxa"/>
            <w:vAlign w:val="bottom"/>
          </w:tcPr>
          <w:p>
            <w:pPr>
              <w:spacing w:after="0"/>
              <w:rPr>
                <w:sz w:val="24"/>
                <w:szCs w:val="24"/>
                <w:color w:val="auto"/>
              </w:rPr>
            </w:pPr>
          </w:p>
        </w:tc>
        <w:tc>
          <w:tcPr>
            <w:tcW w:w="900" w:type="dxa"/>
            <w:vAlign w:val="bottom"/>
          </w:tcPr>
          <w:p>
            <w:pPr>
              <w:spacing w:after="0"/>
              <w:rPr>
                <w:sz w:val="24"/>
                <w:szCs w:val="24"/>
                <w:color w:val="auto"/>
              </w:rPr>
            </w:pPr>
          </w:p>
        </w:tc>
        <w:tc>
          <w:tcPr>
            <w:tcW w:w="1180" w:type="dxa"/>
            <w:vAlign w:val="bottom"/>
          </w:tcPr>
          <w:p>
            <w:pPr>
              <w:spacing w:after="0"/>
              <w:rPr>
                <w:sz w:val="24"/>
                <w:szCs w:val="24"/>
                <w:color w:val="auto"/>
              </w:rPr>
            </w:pPr>
          </w:p>
        </w:tc>
        <w:tc>
          <w:tcPr>
            <w:tcW w:w="2640" w:type="dxa"/>
            <w:vAlign w:val="bottom"/>
          </w:tcPr>
          <w:p>
            <w:pPr>
              <w:spacing w:after="0"/>
              <w:rPr>
                <w:sz w:val="24"/>
                <w:szCs w:val="24"/>
                <w:color w:val="auto"/>
              </w:rPr>
            </w:pPr>
          </w:p>
        </w:tc>
        <w:tc>
          <w:tcPr>
            <w:tcW w:w="19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3"/>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b w:val="1"/>
                <w:bCs w:val="1"/>
                <w:color w:val="auto"/>
              </w:rPr>
              <w:t>Proposed members of the Board of Directors</w:t>
            </w:r>
          </w:p>
        </w:tc>
        <w:tc>
          <w:tcPr>
            <w:tcW w:w="320" w:type="dxa"/>
            <w:vAlign w:val="bottom"/>
          </w:tcPr>
          <w:p>
            <w:pPr>
              <w:spacing w:after="0"/>
              <w:rPr>
                <w:sz w:val="24"/>
                <w:szCs w:val="24"/>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The proposed members of the Board are non-exeucutive and</w:t>
            </w:r>
          </w:p>
        </w:tc>
        <w:tc>
          <w:tcPr>
            <w:tcW w:w="19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Proposals of the Board of Directors to the Annual General</w:t>
            </w:r>
          </w:p>
        </w:tc>
        <w:tc>
          <w:tcPr>
            <w:tcW w:w="320" w:type="dxa"/>
            <w:vAlign w:val="bottom"/>
          </w:tcPr>
          <w:p>
            <w:pPr>
              <w:spacing w:after="0"/>
              <w:rPr>
                <w:sz w:val="12"/>
                <w:szCs w:val="12"/>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for the term beginning at the Annual General Meeting 2024</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Meeting 2024 were published on 25 January 2024. On the</w:t>
            </w:r>
          </w:p>
        </w:tc>
        <w:tc>
          <w:tcPr>
            <w:tcW w:w="320" w:type="dxa"/>
            <w:vAlign w:val="bottom"/>
          </w:tcPr>
          <w:p>
            <w:pPr>
              <w:spacing w:after="0"/>
              <w:rPr>
                <w:sz w:val="11"/>
                <w:szCs w:val="11"/>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they have been determined to be independent of Nokia</w:t>
            </w:r>
          </w:p>
        </w:tc>
        <w:tc>
          <w:tcPr>
            <w:tcW w:w="19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recommendation of the Corporate Governance and Nomination</w:t>
            </w:r>
          </w:p>
        </w:tc>
        <w:tc>
          <w:tcPr>
            <w:tcW w:w="320" w:type="dxa"/>
            <w:vAlign w:val="bottom"/>
          </w:tcPr>
          <w:p>
            <w:pPr>
              <w:spacing w:after="0"/>
              <w:rPr>
                <w:sz w:val="12"/>
                <w:szCs w:val="12"/>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and its significant shareholders under the Finnish Corporate</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Committee, the Board proposes to the Annual General Meeting</w:t>
            </w:r>
          </w:p>
        </w:tc>
        <w:tc>
          <w:tcPr>
            <w:tcW w:w="320" w:type="dxa"/>
            <w:vAlign w:val="bottom"/>
          </w:tcPr>
          <w:p>
            <w:pPr>
              <w:spacing w:after="0"/>
              <w:rPr>
                <w:sz w:val="11"/>
                <w:szCs w:val="11"/>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Governance Code and the rules of the NYSE. Any possible</w:t>
            </w:r>
          </w:p>
        </w:tc>
        <w:tc>
          <w:tcPr>
            <w:tcW w:w="19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that the number of Board members be ten. Jeanette Horan</w:t>
            </w:r>
          </w:p>
        </w:tc>
        <w:tc>
          <w:tcPr>
            <w:tcW w:w="32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has</w:t>
            </w: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changes impacting the independence assessment would</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informed the Committee that she will no longer be available to</w:t>
            </w:r>
          </w:p>
        </w:tc>
        <w:tc>
          <w:tcPr>
            <w:tcW w:w="320" w:type="dxa"/>
            <w:vAlign w:val="bottom"/>
          </w:tcPr>
          <w:p>
            <w:pPr>
              <w:spacing w:after="0"/>
              <w:rPr>
                <w:sz w:val="12"/>
                <w:szCs w:val="12"/>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be assessed as of the date of the Annual General Meeting.</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serve on the Nokia Board of Directors after the Annual General</w:t>
            </w:r>
          </w:p>
        </w:tc>
        <w:tc>
          <w:tcPr>
            <w:tcW w:w="320" w:type="dxa"/>
            <w:vAlign w:val="bottom"/>
          </w:tcPr>
          <w:p>
            <w:pPr>
              <w:spacing w:after="0"/>
              <w:rPr>
                <w:sz w:val="11"/>
                <w:szCs w:val="11"/>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The Corporate Governance and Nomination Committee has</w:t>
            </w:r>
          </w:p>
        </w:tc>
        <w:tc>
          <w:tcPr>
            <w:tcW w:w="19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Meeting. Consequently, on the recommendation of the</w:t>
            </w:r>
          </w:p>
        </w:tc>
        <w:tc>
          <w:tcPr>
            <w:tcW w:w="320" w:type="dxa"/>
            <w:vAlign w:val="bottom"/>
          </w:tcPr>
          <w:p>
            <w:pPr>
              <w:spacing w:after="0"/>
              <w:rPr>
                <w:sz w:val="12"/>
                <w:szCs w:val="12"/>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prepared the composition of the Board of Directors to the</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Corporate Governance and Nomination Committee, the Board</w:t>
            </w:r>
          </w:p>
        </w:tc>
        <w:tc>
          <w:tcPr>
            <w:tcW w:w="320" w:type="dxa"/>
            <w:vAlign w:val="bottom"/>
          </w:tcPr>
          <w:p>
            <w:pPr>
              <w:spacing w:after="0"/>
              <w:rPr>
                <w:sz w:val="11"/>
                <w:szCs w:val="11"/>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Annual General Meeting 2024 after assessing proposed</w:t>
            </w:r>
          </w:p>
        </w:tc>
        <w:tc>
          <w:tcPr>
            <w:tcW w:w="19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proposes that the following nine current Board members be re-</w:t>
            </w:r>
          </w:p>
        </w:tc>
        <w:tc>
          <w:tcPr>
            <w:tcW w:w="320" w:type="dxa"/>
            <w:vAlign w:val="bottom"/>
          </w:tcPr>
          <w:p>
            <w:pPr>
              <w:spacing w:after="0"/>
              <w:rPr>
                <w:sz w:val="12"/>
                <w:szCs w:val="12"/>
                <w:color w:val="auto"/>
              </w:rPr>
            </w:pPr>
          </w:p>
        </w:tc>
        <w:tc>
          <w:tcPr>
            <w:tcW w:w="4720" w:type="dxa"/>
            <w:vAlign w:val="bottom"/>
            <w:gridSpan w:val="3"/>
          </w:tcPr>
          <w:p>
            <w:pPr>
              <w:ind w:left="100"/>
              <w:spacing w:after="0"/>
              <w:rPr>
                <w:sz w:val="20"/>
                <w:szCs w:val="20"/>
                <w:color w:val="auto"/>
              </w:rPr>
            </w:pPr>
            <w:r>
              <w:rPr>
                <w:rFonts w:ascii="Times New Roman" w:cs="Times New Roman" w:eastAsia="Times New Roman" w:hAnsi="Times New Roman"/>
                <w:sz w:val="11"/>
                <w:szCs w:val="11"/>
                <w:color w:val="auto"/>
              </w:rPr>
              <w:t>Directors’ external time commitments, taking into account</w:t>
            </w: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298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elected as members of the Nokia Board of Directors for a term</w:t>
            </w:r>
          </w:p>
        </w:tc>
        <w:tc>
          <w:tcPr>
            <w:tcW w:w="320" w:type="dxa"/>
            <w:vAlign w:val="bottom"/>
          </w:tcPr>
          <w:p>
            <w:pPr>
              <w:spacing w:after="0"/>
              <w:rPr>
                <w:sz w:val="12"/>
                <w:szCs w:val="12"/>
                <w:color w:val="auto"/>
              </w:rPr>
            </w:pPr>
          </w:p>
        </w:tc>
        <w:tc>
          <w:tcPr>
            <w:tcW w:w="208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shareholders’ expectations in this regard.</w:t>
            </w:r>
          </w:p>
        </w:tc>
        <w:tc>
          <w:tcPr>
            <w:tcW w:w="2640" w:type="dxa"/>
            <w:vAlign w:val="bottom"/>
          </w:tcPr>
          <w:p>
            <w:pPr>
              <w:spacing w:after="0"/>
              <w:rPr>
                <w:sz w:val="12"/>
                <w:szCs w:val="12"/>
                <w:color w:val="auto"/>
              </w:rPr>
            </w:pPr>
          </w:p>
        </w:tc>
        <w:tc>
          <w:tcPr>
            <w:tcW w:w="19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93"/>
        </w:trPr>
        <w:tc>
          <w:tcPr>
            <w:tcW w:w="2980" w:type="dxa"/>
            <w:vAlign w:val="bottom"/>
            <w:gridSpan w:val="4"/>
          </w:tcPr>
          <w:p>
            <w:pPr>
              <w:spacing w:after="0" w:line="93" w:lineRule="exact"/>
              <w:rPr>
                <w:sz w:val="20"/>
                <w:szCs w:val="20"/>
                <w:color w:val="auto"/>
              </w:rPr>
            </w:pPr>
            <w:r>
              <w:rPr>
                <w:rFonts w:ascii="Times New Roman" w:cs="Times New Roman" w:eastAsia="Times New Roman" w:hAnsi="Times New Roman"/>
                <w:sz w:val="10"/>
                <w:szCs w:val="10"/>
                <w:color w:val="auto"/>
                <w:highlight w:val="white"/>
              </w:rPr>
              <w:t>ending at the close of the next Annual General Meeting: Timo</w:t>
            </w:r>
          </w:p>
        </w:tc>
        <w:tc>
          <w:tcPr>
            <w:tcW w:w="320" w:type="dxa"/>
            <w:vAlign w:val="bottom"/>
          </w:tcPr>
          <w:p>
            <w:pPr>
              <w:spacing w:after="0"/>
              <w:rPr>
                <w:sz w:val="8"/>
                <w:szCs w:val="8"/>
                <w:color w:val="auto"/>
              </w:rPr>
            </w:pPr>
          </w:p>
        </w:tc>
        <w:tc>
          <w:tcPr>
            <w:tcW w:w="900" w:type="dxa"/>
            <w:vAlign w:val="bottom"/>
          </w:tcPr>
          <w:p>
            <w:pPr>
              <w:spacing w:after="0"/>
              <w:rPr>
                <w:sz w:val="8"/>
                <w:szCs w:val="8"/>
                <w:color w:val="auto"/>
              </w:rPr>
            </w:pPr>
          </w:p>
        </w:tc>
        <w:tc>
          <w:tcPr>
            <w:tcW w:w="1180" w:type="dxa"/>
            <w:vAlign w:val="bottom"/>
          </w:tcPr>
          <w:p>
            <w:pPr>
              <w:spacing w:after="0"/>
              <w:rPr>
                <w:sz w:val="8"/>
                <w:szCs w:val="8"/>
                <w:color w:val="auto"/>
              </w:rPr>
            </w:pPr>
          </w:p>
        </w:tc>
        <w:tc>
          <w:tcPr>
            <w:tcW w:w="2640" w:type="dxa"/>
            <w:vAlign w:val="bottom"/>
          </w:tcPr>
          <w:p>
            <w:pPr>
              <w:spacing w:after="0"/>
              <w:rPr>
                <w:sz w:val="8"/>
                <w:szCs w:val="8"/>
                <w:color w:val="auto"/>
              </w:rPr>
            </w:pPr>
          </w:p>
        </w:tc>
        <w:tc>
          <w:tcPr>
            <w:tcW w:w="1960" w:type="dxa"/>
            <w:vAlign w:val="bottom"/>
          </w:tcPr>
          <w:p>
            <w:pPr>
              <w:spacing w:after="0"/>
              <w:rPr>
                <w:sz w:val="8"/>
                <w:szCs w:val="8"/>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19"/>
        </w:trPr>
        <w:tc>
          <w:tcPr>
            <w:tcW w:w="320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Ahopelto, Sari Baldauf, Elizabeth Crain, Thomas Dannenfeldt,</w:t>
            </w:r>
          </w:p>
        </w:tc>
        <w:tc>
          <w:tcPr>
            <w:tcW w:w="3120" w:type="dxa"/>
            <w:vAlign w:val="bottom"/>
          </w:tcPr>
          <w:p>
            <w:pPr>
              <w:ind w:left="200"/>
              <w:spacing w:after="0" w:line="120" w:lineRule="exact"/>
              <w:rPr>
                <w:sz w:val="20"/>
                <w:szCs w:val="20"/>
                <w:color w:val="auto"/>
              </w:rPr>
            </w:pPr>
            <w:r>
              <w:rPr>
                <w:rFonts w:ascii="Times New Roman" w:cs="Times New Roman" w:eastAsia="Times New Roman" w:hAnsi="Times New Roman"/>
                <w:sz w:val="11"/>
                <w:szCs w:val="11"/>
                <w:color w:val="auto"/>
              </w:rPr>
              <w:t>While the prevailing Finnish market practice is to vote on the</w:t>
            </w:r>
          </w:p>
        </w:tc>
        <w:tc>
          <w:tcPr>
            <w:tcW w:w="0" w:type="dxa"/>
            <w:vAlign w:val="bottom"/>
          </w:tcPr>
          <w:p>
            <w:pPr>
              <w:spacing w:after="0"/>
              <w:rPr>
                <w:sz w:val="1"/>
                <w:szCs w:val="1"/>
                <w:color w:val="auto"/>
              </w:rPr>
            </w:pPr>
          </w:p>
        </w:tc>
      </w:tr>
      <w:tr>
        <w:trPr>
          <w:trHeight w:val="61"/>
        </w:trPr>
        <w:tc>
          <w:tcPr>
            <w:tcW w:w="3200" w:type="dxa"/>
            <w:vAlign w:val="bottom"/>
            <w:vMerge w:val="continue"/>
          </w:tcPr>
          <w:p>
            <w:pPr>
              <w:spacing w:after="0"/>
              <w:rPr>
                <w:sz w:val="5"/>
                <w:szCs w:val="5"/>
                <w:color w:val="auto"/>
              </w:rPr>
            </w:pPr>
          </w:p>
        </w:tc>
        <w:tc>
          <w:tcPr>
            <w:tcW w:w="3120" w:type="dxa"/>
            <w:vAlign w:val="bottom"/>
            <w:vMerge w:val="restart"/>
          </w:tcPr>
          <w:p>
            <w:pPr>
              <w:ind w:left="200"/>
              <w:spacing w:after="0"/>
              <w:rPr>
                <w:sz w:val="20"/>
                <w:szCs w:val="20"/>
                <w:color w:val="auto"/>
              </w:rPr>
            </w:pPr>
            <w:r>
              <w:rPr>
                <w:rFonts w:ascii="Times New Roman" w:cs="Times New Roman" w:eastAsia="Times New Roman" w:hAnsi="Times New Roman"/>
                <w:sz w:val="11"/>
                <w:szCs w:val="11"/>
                <w:color w:val="auto"/>
              </w:rPr>
              <w:t>proposed Board composition as a slate, some of our investors</w:t>
            </w:r>
          </w:p>
        </w:tc>
        <w:tc>
          <w:tcPr>
            <w:tcW w:w="0" w:type="dxa"/>
            <w:vAlign w:val="bottom"/>
          </w:tcPr>
          <w:p>
            <w:pPr>
              <w:spacing w:after="0"/>
              <w:rPr>
                <w:sz w:val="1"/>
                <w:szCs w:val="1"/>
                <w:color w:val="auto"/>
              </w:rPr>
            </w:pPr>
          </w:p>
        </w:tc>
      </w:tr>
      <w:tr>
        <w:trPr>
          <w:trHeight w:val="81"/>
        </w:trPr>
        <w:tc>
          <w:tcPr>
            <w:tcW w:w="320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Lisa Hook, Thomas Saueressig, Søren Skou, Carla Smits-Nusteling</w:t>
            </w:r>
          </w:p>
        </w:tc>
        <w:tc>
          <w:tcPr>
            <w:tcW w:w="312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200" w:type="dxa"/>
            <w:vAlign w:val="bottom"/>
            <w:vMerge w:val="continue"/>
          </w:tcPr>
          <w:p>
            <w:pPr>
              <w:spacing w:after="0"/>
              <w:rPr>
                <w:sz w:val="4"/>
                <w:szCs w:val="4"/>
                <w:color w:val="auto"/>
              </w:rPr>
            </w:pPr>
          </w:p>
        </w:tc>
        <w:tc>
          <w:tcPr>
            <w:tcW w:w="3120" w:type="dxa"/>
            <w:vAlign w:val="bottom"/>
            <w:vMerge w:val="restart"/>
          </w:tcPr>
          <w:p>
            <w:pPr>
              <w:ind w:left="200"/>
              <w:spacing w:after="0"/>
              <w:rPr>
                <w:sz w:val="20"/>
                <w:szCs w:val="20"/>
                <w:color w:val="auto"/>
              </w:rPr>
            </w:pPr>
            <w:r>
              <w:rPr>
                <w:rFonts w:ascii="Times New Roman" w:cs="Times New Roman" w:eastAsia="Times New Roman" w:hAnsi="Times New Roman"/>
                <w:sz w:val="11"/>
                <w:szCs w:val="11"/>
                <w:color w:val="auto"/>
              </w:rPr>
              <w:t>have expressed their preference of being able to consider each</w:t>
            </w:r>
          </w:p>
        </w:tc>
        <w:tc>
          <w:tcPr>
            <w:tcW w:w="0" w:type="dxa"/>
            <w:vAlign w:val="bottom"/>
          </w:tcPr>
          <w:p>
            <w:pPr>
              <w:spacing w:after="0"/>
              <w:rPr>
                <w:sz w:val="1"/>
                <w:szCs w:val="1"/>
                <w:color w:val="auto"/>
              </w:rPr>
            </w:pPr>
          </w:p>
        </w:tc>
      </w:tr>
      <w:tr>
        <w:trPr>
          <w:trHeight w:val="81"/>
        </w:trPr>
        <w:tc>
          <w:tcPr>
            <w:tcW w:w="320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and Kai Öistämö.</w:t>
            </w:r>
          </w:p>
        </w:tc>
        <w:tc>
          <w:tcPr>
            <w:tcW w:w="312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3200" w:type="dxa"/>
            <w:vAlign w:val="bottom"/>
            <w:vMerge w:val="continue"/>
          </w:tcPr>
          <w:p>
            <w:pPr>
              <w:spacing w:after="0"/>
              <w:rPr>
                <w:sz w:val="5"/>
                <w:szCs w:val="5"/>
                <w:color w:val="auto"/>
              </w:rPr>
            </w:pPr>
          </w:p>
        </w:tc>
        <w:tc>
          <w:tcPr>
            <w:tcW w:w="3120" w:type="dxa"/>
            <w:vAlign w:val="bottom"/>
            <w:vMerge w:val="restart"/>
          </w:tcPr>
          <w:p>
            <w:pPr>
              <w:ind w:left="200"/>
              <w:spacing w:after="0"/>
              <w:rPr>
                <w:sz w:val="20"/>
                <w:szCs w:val="20"/>
                <w:color w:val="auto"/>
              </w:rPr>
            </w:pPr>
            <w:r>
              <w:rPr>
                <w:rFonts w:ascii="Times New Roman" w:cs="Times New Roman" w:eastAsia="Times New Roman" w:hAnsi="Times New Roman"/>
                <w:sz w:val="11"/>
                <w:szCs w:val="11"/>
                <w:color w:val="auto"/>
              </w:rPr>
              <w:t>director individually in accordance with global market practice.</w:t>
            </w:r>
          </w:p>
        </w:tc>
        <w:tc>
          <w:tcPr>
            <w:tcW w:w="0" w:type="dxa"/>
            <w:vAlign w:val="bottom"/>
          </w:tcPr>
          <w:p>
            <w:pPr>
              <w:spacing w:after="0"/>
              <w:rPr>
                <w:sz w:val="1"/>
                <w:szCs w:val="1"/>
                <w:color w:val="auto"/>
              </w:rPr>
            </w:pPr>
          </w:p>
        </w:tc>
      </w:tr>
      <w:tr>
        <w:trPr>
          <w:trHeight w:val="81"/>
        </w:trPr>
        <w:tc>
          <w:tcPr>
            <w:tcW w:w="3200" w:type="dxa"/>
            <w:vAlign w:val="bottom"/>
          </w:tcPr>
          <w:p>
            <w:pPr>
              <w:spacing w:after="0"/>
              <w:rPr>
                <w:sz w:val="7"/>
                <w:szCs w:val="7"/>
                <w:color w:val="auto"/>
              </w:rPr>
            </w:pPr>
          </w:p>
        </w:tc>
        <w:tc>
          <w:tcPr>
            <w:tcW w:w="312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p>
      <w:pPr>
        <w:sectPr>
          <w:pgSz w:w="11900" w:h="16838" w:orient="portrait"/>
          <w:cols w:equalWidth="0" w:num="1">
            <w:col w:w="9980"/>
          </w:cols>
          <w:pgMar w:left="960" w:top="409" w:right="959" w:bottom="1440" w:gutter="0" w:footer="0" w:header="0"/>
        </w:sectPr>
      </w:pPr>
    </w:p>
    <w:p>
      <w:pPr>
        <w:ind w:right="140"/>
        <w:spacing w:after="0" w:line="266" w:lineRule="auto"/>
        <w:rPr>
          <w:sz w:val="20"/>
          <w:szCs w:val="20"/>
          <w:color w:val="auto"/>
        </w:rPr>
      </w:pPr>
      <w:r>
        <w:rPr>
          <w:rFonts w:ascii="Times New Roman" w:cs="Times New Roman" w:eastAsia="Times New Roman" w:hAnsi="Times New Roman"/>
          <w:sz w:val="11"/>
          <w:szCs w:val="11"/>
          <w:color w:val="auto"/>
          <w:highlight w:val="white"/>
        </w:rPr>
        <w:t>Furthermore, the Board proposes, on the recommendation of the Corporate Governance and Nomination Committee, that Michael McNamara, former Executive Vice President and Chief Information Officer of Target Corporation, be elected to the Board for a term ending at the close of the next Annual General Meeting.</w:t>
      </w:r>
    </w:p>
    <w:p>
      <w:pPr>
        <w:spacing w:after="0" w:line="63" w:lineRule="exact"/>
        <w:rPr>
          <w:sz w:val="20"/>
          <w:szCs w:val="20"/>
          <w:color w:val="auto"/>
        </w:rPr>
      </w:pPr>
    </w:p>
    <w:p>
      <w:pPr>
        <w:ind w:right="100"/>
        <w:spacing w:after="0" w:line="262" w:lineRule="auto"/>
        <w:rPr>
          <w:sz w:val="20"/>
          <w:szCs w:val="20"/>
          <w:color w:val="auto"/>
        </w:rPr>
      </w:pPr>
      <w:r>
        <w:rPr>
          <w:rFonts w:ascii="Times New Roman" w:cs="Times New Roman" w:eastAsia="Times New Roman" w:hAnsi="Times New Roman"/>
          <w:sz w:val="11"/>
          <w:szCs w:val="11"/>
          <w:color w:val="auto"/>
        </w:rPr>
        <w:t>The Corporate Governance and Nomination Committee will propose in the assembly meeting of the new Board of Directors that Sari Baldauf be re-elected to serve as Chair of the Board and Søren Skou be re-elected to serve as Vice Chair of the Board, subject to their election to the Board of Directors. The Board composition proposed to the Annual General Meeting</w:t>
      </w:r>
    </w:p>
    <w:p>
      <w:pPr>
        <w:spacing w:after="0" w:line="3" w:lineRule="exact"/>
        <w:rPr>
          <w:sz w:val="20"/>
          <w:szCs w:val="20"/>
          <w:color w:val="auto"/>
        </w:rPr>
      </w:pPr>
    </w:p>
    <w:p>
      <w:pPr>
        <w:spacing w:after="0"/>
        <w:tabs>
          <w:tab w:leader="none" w:pos="2460" w:val="left"/>
        </w:tabs>
        <w:rPr>
          <w:sz w:val="20"/>
          <w:szCs w:val="20"/>
          <w:color w:val="auto"/>
        </w:rPr>
      </w:pPr>
      <w:r>
        <w:rPr>
          <w:rFonts w:ascii="Times New Roman" w:cs="Times New Roman" w:eastAsia="Times New Roman" w:hAnsi="Times New Roman"/>
          <w:sz w:val="11"/>
          <w:szCs w:val="11"/>
          <w:color w:val="auto"/>
        </w:rPr>
        <w:t>2024 has representation of six nationalities and</w:t>
      </w:r>
      <w:r>
        <w:rPr>
          <w:sz w:val="20"/>
          <w:szCs w:val="20"/>
          <w:color w:val="auto"/>
        </w:rPr>
        <w:tab/>
      </w:r>
      <w:r>
        <w:rPr>
          <w:rFonts w:ascii="Times New Roman" w:cs="Times New Roman" w:eastAsia="Times New Roman" w:hAnsi="Times New Roman"/>
          <w:sz w:val="11"/>
          <w:szCs w:val="11"/>
          <w:color w:val="auto"/>
          <w:highlight w:val="white"/>
        </w:rPr>
        <w:t xml:space="preserve">40% </w:t>
      </w:r>
      <w:r>
        <w:rPr>
          <w:rFonts w:ascii="Times New Roman" w:cs="Times New Roman" w:eastAsia="Times New Roman" w:hAnsi="Times New Roman"/>
          <w:sz w:val="11"/>
          <w:szCs w:val="11"/>
          <w:color w:val="auto"/>
        </w:rPr>
        <w:t>of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proposed members are female.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After leading the related change in market practice, Nokia was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proud to be among the first Finnish listed companies providing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shareholders with the opportunity to consider each Board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member candidate individually at our Annual General Meeting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2023. We are committed to continue individual director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election in our forthcoming Annual General Meeting 2024</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onwards.</w:t>
      </w:r>
    </w:p>
    <w:p>
      <w:pPr>
        <w:spacing w:after="0" w:line="1241" w:lineRule="exact"/>
        <w:rPr>
          <w:sz w:val="20"/>
          <w:szCs w:val="20"/>
          <w:color w:val="auto"/>
        </w:rPr>
      </w:pPr>
    </w:p>
    <w:p>
      <w:pPr>
        <w:sectPr>
          <w:pgSz w:w="11900" w:h="16838" w:orient="portrait"/>
          <w:cols w:equalWidth="0" w:num="2">
            <w:col w:w="3000" w:space="400"/>
            <w:col w:w="6580"/>
          </w:cols>
          <w:pgMar w:left="960" w:top="409"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46" w:name="page47"/>
    <w:bookmarkEnd w:id="46"/>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39</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1"/>
          <w:szCs w:val="11"/>
          <w:b w:val="1"/>
          <w:bCs w:val="1"/>
          <w:color w:val="auto"/>
        </w:rPr>
        <w:t>Biographical details of our current Board members</w:t>
      </w:r>
    </w:p>
    <w:p>
      <w:pPr>
        <w:sectPr>
          <w:pgSz w:w="11900" w:h="16838" w:orient="portrait"/>
          <w:cols w:equalWidth="0" w:num="1">
            <w:col w:w="9980"/>
          </w:cols>
          <w:pgMar w:left="960" w:top="409" w:right="959"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9" w:lineRule="exact"/>
        <w:rPr>
          <w:sz w:val="20"/>
          <w:szCs w:val="20"/>
          <w:color w:val="auto"/>
        </w:rPr>
      </w:pPr>
    </w:p>
    <w:tbl>
      <w:tblPr>
        <w:tblLayout w:type="fixed"/>
        <w:tblInd w:w="0" w:type="dxa"/>
        <w:tblCellMar>
          <w:top w:w="0" w:type="dxa"/>
          <w:left w:w="0" w:type="dxa"/>
          <w:bottom w:w="0" w:type="dxa"/>
          <w:right w:w="0" w:type="dxa"/>
        </w:tblCellMar>
      </w:tblPr>
      <w:tr>
        <w:trPr>
          <w:trHeight w:val="150"/>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Chair Sari Baldauf</w:t>
            </w:r>
          </w:p>
        </w:tc>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Vice Chair Søren Skou</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005AFF"/>
              </w:rPr>
              <w:t>Timo Ahopelto</w:t>
            </w:r>
          </w:p>
        </w:tc>
      </w:tr>
      <w:tr>
        <w:trPr>
          <w:trHeight w:val="172"/>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1955</w:t>
            </w:r>
          </w:p>
        </w:tc>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1964</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b. 1975</w:t>
            </w:r>
          </w:p>
        </w:tc>
      </w:tr>
      <w:tr>
        <w:trPr>
          <w:trHeight w:val="57"/>
        </w:trPr>
        <w:tc>
          <w:tcPr>
            <w:tcW w:w="1880" w:type="dxa"/>
            <w:vAlign w:val="bottom"/>
            <w:tcBorders>
              <w:bottom w:val="single" w:sz="8" w:color="005AFF"/>
            </w:tcBorders>
          </w:tcPr>
          <w:p>
            <w:pPr>
              <w:spacing w:after="0"/>
              <w:rPr>
                <w:sz w:val="4"/>
                <w:szCs w:val="4"/>
                <w:color w:val="auto"/>
              </w:rPr>
            </w:pPr>
          </w:p>
        </w:tc>
        <w:tc>
          <w:tcPr>
            <w:tcW w:w="16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c>
          <w:tcPr>
            <w:tcW w:w="14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Elizabeth Crain</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 1964</w:t>
      </w:r>
    </w:p>
    <w:p>
      <w:pPr>
        <w:spacing w:after="0" w:line="172" w:lineRule="exact"/>
        <w:rPr>
          <w:sz w:val="20"/>
          <w:szCs w:val="20"/>
          <w:color w:val="auto"/>
        </w:rPr>
      </w:pPr>
    </w:p>
    <w:p>
      <w:pPr>
        <w:sectPr>
          <w:pgSz w:w="11900" w:h="16838" w:orient="portrait"/>
          <w:cols w:equalWidth="0" w:num="2">
            <w:col w:w="5980" w:space="180"/>
            <w:col w:w="3820"/>
          </w:cols>
          <w:pgMar w:left="960" w:top="409" w:right="959" w:bottom="1440" w:gutter="0" w:footer="0" w:header="0"/>
          <w:type w:val="continuous"/>
        </w:sectPr>
      </w:pPr>
    </w:p>
    <w:p>
      <w:pPr>
        <w:ind w:right="340" w:firstLine="1"/>
        <w:spacing w:after="0" w:line="296" w:lineRule="auto"/>
        <w:rPr>
          <w:sz w:val="20"/>
          <w:szCs w:val="20"/>
          <w:color w:val="auto"/>
        </w:rPr>
      </w:pPr>
      <w:r>
        <w:rPr>
          <w:rFonts w:ascii="Times New Roman" w:cs="Times New Roman" w:eastAsia="Times New Roman" w:hAnsi="Times New Roman"/>
          <w:sz w:val="9"/>
          <w:szCs w:val="9"/>
          <w:color w:val="auto"/>
        </w:rPr>
        <w:t>Chair of the Nokia Board since 2020. Board member since 2018. Member of the Corporate Governance and Nomination Committee, the Personnel Committee and the Technology Committee.</w:t>
      </w:r>
    </w:p>
    <w:p>
      <w:pPr>
        <w:spacing w:after="0" w:line="19" w:lineRule="exact"/>
        <w:rPr>
          <w:sz w:val="20"/>
          <w:szCs w:val="20"/>
          <w:color w:val="auto"/>
        </w:rPr>
      </w:pPr>
    </w:p>
    <w:p>
      <w:pPr>
        <w:ind w:right="240"/>
        <w:spacing w:after="0" w:line="288" w:lineRule="auto"/>
        <w:rPr>
          <w:sz w:val="20"/>
          <w:szCs w:val="20"/>
          <w:color w:val="auto"/>
        </w:rPr>
      </w:pPr>
      <w:r>
        <w:rPr>
          <w:rFonts w:ascii="Times New Roman" w:cs="Times New Roman" w:eastAsia="Times New Roman" w:hAnsi="Times New Roman"/>
          <w:sz w:val="9"/>
          <w:szCs w:val="9"/>
          <w:color w:val="auto"/>
        </w:rPr>
        <w:t>Master of Business Administration, Helsinki School of Economics and Business Administration, Finland. Bachelor of Science, Helsinki School of Economics and Business Administration, Finland. Honorary doctorates in Technology (Helsinki University of Technology, Finland) and Business Administration (Turku School of Economics and Business Administration and Aalto University School of Business, Finland).</w:t>
      </w:r>
    </w:p>
    <w:p>
      <w:pPr>
        <w:spacing w:after="0" w:line="22" w:lineRule="exact"/>
        <w:rPr>
          <w:sz w:val="20"/>
          <w:szCs w:val="20"/>
          <w:color w:val="auto"/>
        </w:rPr>
      </w:pPr>
    </w:p>
    <w:p>
      <w:pPr>
        <w:ind w:right="260"/>
        <w:spacing w:after="0" w:line="261" w:lineRule="auto"/>
        <w:rPr>
          <w:sz w:val="20"/>
          <w:szCs w:val="20"/>
          <w:color w:val="auto"/>
        </w:rPr>
      </w:pPr>
      <w:r>
        <w:rPr>
          <w:rFonts w:ascii="Times New Roman" w:cs="Times New Roman" w:eastAsia="Times New Roman" w:hAnsi="Times New Roman"/>
          <w:sz w:val="10"/>
          <w:szCs w:val="10"/>
          <w:color w:val="auto"/>
        </w:rPr>
        <w:t>Executive Vice President and General Manager, Networks Business Group, Nokia 1998–2005. Various executive positions at Nokia in Finland and in the United States 1983–1998.</w:t>
      </w:r>
    </w:p>
    <w:p>
      <w:pPr>
        <w:spacing w:after="0" w:line="40" w:lineRule="exact"/>
        <w:rPr>
          <w:sz w:val="20"/>
          <w:szCs w:val="20"/>
          <w:color w:val="auto"/>
        </w:rPr>
      </w:pPr>
    </w:p>
    <w:p>
      <w:pPr>
        <w:ind w:right="220"/>
        <w:spacing w:after="0" w:line="271" w:lineRule="auto"/>
        <w:rPr>
          <w:sz w:val="20"/>
          <w:szCs w:val="20"/>
          <w:color w:val="auto"/>
        </w:rPr>
      </w:pPr>
      <w:r>
        <w:rPr>
          <w:rFonts w:ascii="Times New Roman" w:cs="Times New Roman" w:eastAsia="Times New Roman" w:hAnsi="Times New Roman"/>
          <w:sz w:val="10"/>
          <w:szCs w:val="10"/>
          <w:i w:val="1"/>
          <w:iCs w:val="1"/>
          <w:color w:val="auto"/>
        </w:rPr>
        <w:t>Chair of the Board of the Finnish Climate Leadership Coalition (CLC). Senior Advisor of DevCo Partners Oy.</w:t>
      </w:r>
    </w:p>
    <w:p>
      <w:pPr>
        <w:spacing w:after="0" w:line="25" w:lineRule="exact"/>
        <w:rPr>
          <w:sz w:val="20"/>
          <w:szCs w:val="20"/>
          <w:color w:val="auto"/>
        </w:rPr>
      </w:pPr>
    </w:p>
    <w:p>
      <w:pPr>
        <w:ind w:right="160"/>
        <w:spacing w:after="0" w:line="255" w:lineRule="auto"/>
        <w:rPr>
          <w:sz w:val="20"/>
          <w:szCs w:val="20"/>
          <w:color w:val="auto"/>
        </w:rPr>
      </w:pPr>
      <w:r>
        <w:rPr>
          <w:rFonts w:ascii="Times New Roman" w:cs="Times New Roman" w:eastAsia="Times New Roman" w:hAnsi="Times New Roman"/>
          <w:sz w:val="10"/>
          <w:szCs w:val="10"/>
          <w:i w:val="1"/>
          <w:iCs w:val="1"/>
          <w:color w:val="auto"/>
        </w:rPr>
        <w:t xml:space="preserve">Member of the Board of Technology Industries of Finland 2021 </w:t>
      </w:r>
      <w:r>
        <w:rPr>
          <w:rFonts w:ascii="Times New Roman" w:cs="Times New Roman" w:eastAsia="Times New Roman" w:hAnsi="Times New Roman"/>
          <w:sz w:val="10"/>
          <w:szCs w:val="10"/>
          <w:color w:val="auto"/>
        </w:rPr>
        <w:t>–2023</w:t>
      </w:r>
      <w:r>
        <w:rPr>
          <w:rFonts w:ascii="Times New Roman" w:cs="Times New Roman" w:eastAsia="Times New Roman" w:hAnsi="Times New Roman"/>
          <w:sz w:val="10"/>
          <w:szCs w:val="10"/>
          <w:i w:val="1"/>
          <w:iCs w:val="1"/>
          <w:color w:val="auto"/>
        </w:rPr>
        <w:t xml:space="preserve"> . Member of the Board of Directors of Aalto University 2018 </w:t>
      </w:r>
      <w:r>
        <w:rPr>
          <w:rFonts w:ascii="Times New Roman" w:cs="Times New Roman" w:eastAsia="Times New Roman" w:hAnsi="Times New Roman"/>
          <w:sz w:val="10"/>
          <w:szCs w:val="10"/>
          <w:color w:val="auto"/>
        </w:rPr>
        <w:t>–</w:t>
      </w:r>
      <w:r>
        <w:rPr>
          <w:rFonts w:ascii="Times New Roman" w:cs="Times New Roman" w:eastAsia="Times New Roman" w:hAnsi="Times New Roman"/>
          <w:sz w:val="10"/>
          <w:szCs w:val="10"/>
          <w:i w:val="1"/>
          <w:iCs w:val="1"/>
          <w:color w:val="auto"/>
        </w:rPr>
        <w:t xml:space="preserve">2023. </w:t>
      </w:r>
      <w:r>
        <w:rPr>
          <w:rFonts w:ascii="Times New Roman" w:cs="Times New Roman" w:eastAsia="Times New Roman" w:hAnsi="Times New Roman"/>
          <w:sz w:val="10"/>
          <w:szCs w:val="10"/>
          <w:color w:val="auto"/>
        </w:rPr>
        <w:t>Member of the</w:t>
      </w:r>
      <w:r>
        <w:rPr>
          <w:rFonts w:ascii="Times New Roman" w:cs="Times New Roman" w:eastAsia="Times New Roman" w:hAnsi="Times New Roman"/>
          <w:sz w:val="10"/>
          <w:szCs w:val="10"/>
          <w:i w:val="1"/>
          <w:iCs w:val="1"/>
          <w:color w:val="auto"/>
        </w:rPr>
        <w:t xml:space="preserve"> </w:t>
      </w:r>
      <w:r>
        <w:rPr>
          <w:rFonts w:ascii="Times New Roman" w:cs="Times New Roman" w:eastAsia="Times New Roman" w:hAnsi="Times New Roman"/>
          <w:sz w:val="10"/>
          <w:szCs w:val="10"/>
          <w:color w:val="auto"/>
        </w:rPr>
        <w:t>Supervisory Board of Mercedes-Benz Group AG 2008-2023. Member of the Supervisory Board of Deutsche Telekom AG 2012–2018. Chair of the Board of Directors of Fortum Corporation 2011–</w:t>
      </w:r>
    </w:p>
    <w:p>
      <w:pPr>
        <w:spacing w:after="0" w:line="3" w:lineRule="exact"/>
        <w:rPr>
          <w:sz w:val="20"/>
          <w:szCs w:val="20"/>
          <w:color w:val="auto"/>
        </w:rPr>
      </w:pPr>
    </w:p>
    <w:p>
      <w:pPr>
        <w:ind w:right="380"/>
        <w:spacing w:after="0" w:line="266" w:lineRule="auto"/>
        <w:rPr>
          <w:sz w:val="20"/>
          <w:szCs w:val="20"/>
          <w:color w:val="auto"/>
        </w:rPr>
      </w:pPr>
      <w:r>
        <w:rPr>
          <w:rFonts w:ascii="Times New Roman" w:cs="Times New Roman" w:eastAsia="Times New Roman" w:hAnsi="Times New Roman"/>
          <w:sz w:val="10"/>
          <w:szCs w:val="10"/>
          <w:color w:val="auto"/>
        </w:rPr>
        <w:t>2018. Member of the Board of Directors of Akzo Nobel 2012–2017.</w:t>
      </w:r>
    </w:p>
    <w:p>
      <w:pPr>
        <w:spacing w:after="0" w:line="29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ind w:right="160"/>
        <w:spacing w:after="0" w:line="261" w:lineRule="auto"/>
        <w:rPr>
          <w:sz w:val="20"/>
          <w:szCs w:val="20"/>
          <w:color w:val="auto"/>
        </w:rPr>
      </w:pPr>
      <w:r>
        <w:rPr>
          <w:rFonts w:ascii="Times New Roman" w:cs="Times New Roman" w:eastAsia="Times New Roman" w:hAnsi="Times New Roman"/>
          <w:sz w:val="10"/>
          <w:szCs w:val="10"/>
          <w:color w:val="auto"/>
        </w:rPr>
        <w:t>Vice Chair of Nokia Board since 2022. Nokia Board member since 2019. Chair of the Corporate Governance and Nomination Committee and member of the Personnel Committee.</w:t>
      </w:r>
    </w:p>
    <w:p>
      <w:pPr>
        <w:spacing w:after="0" w:line="32" w:lineRule="exact"/>
        <w:rPr>
          <w:sz w:val="20"/>
          <w:szCs w:val="20"/>
          <w:color w:val="auto"/>
        </w:rPr>
      </w:pPr>
    </w:p>
    <w:p>
      <w:pPr>
        <w:ind w:right="80"/>
        <w:spacing w:after="0" w:line="261" w:lineRule="auto"/>
        <w:rPr>
          <w:sz w:val="20"/>
          <w:szCs w:val="20"/>
          <w:color w:val="auto"/>
        </w:rPr>
      </w:pPr>
      <w:r>
        <w:rPr>
          <w:rFonts w:ascii="Times New Roman" w:cs="Times New Roman" w:eastAsia="Times New Roman" w:hAnsi="Times New Roman"/>
          <w:sz w:val="10"/>
          <w:szCs w:val="10"/>
          <w:color w:val="auto"/>
        </w:rPr>
        <w:t>MBA (honours), IMD, Switzerland. Bachelor of Business Administration, Copenhagen Business School, Denmark. Maersk International Shipping Education (M.I.S.E.).</w:t>
      </w:r>
    </w:p>
    <w:p>
      <w:pPr>
        <w:spacing w:after="0" w:line="32" w:lineRule="exact"/>
        <w:rPr>
          <w:sz w:val="20"/>
          <w:szCs w:val="20"/>
          <w:color w:val="auto"/>
        </w:rPr>
      </w:pPr>
    </w:p>
    <w:p>
      <w:pPr>
        <w:ind w:right="60"/>
        <w:spacing w:after="0" w:line="258" w:lineRule="auto"/>
        <w:rPr>
          <w:sz w:val="20"/>
          <w:szCs w:val="20"/>
          <w:color w:val="auto"/>
        </w:rPr>
      </w:pPr>
      <w:r>
        <w:rPr>
          <w:rFonts w:ascii="Times New Roman" w:cs="Times New Roman" w:eastAsia="Times New Roman" w:hAnsi="Times New Roman"/>
          <w:sz w:val="10"/>
          <w:szCs w:val="10"/>
          <w:color w:val="auto"/>
        </w:rPr>
        <w:t>Chief Executive Officer of A.P. Møller – Mærsk A/S 2016–2022. Chief Executive Officer of Maersk Line 2012–2016. Chief Executive Officer of Maersk Tankers 2001–2011. Variety of executive roles, senior positions and other roles at A.P. Møller – Mærsk since 1983.</w:t>
      </w:r>
    </w:p>
    <w:p>
      <w:pPr>
        <w:spacing w:after="0" w:line="45" w:lineRule="exact"/>
        <w:rPr>
          <w:sz w:val="20"/>
          <w:szCs w:val="20"/>
          <w:color w:val="auto"/>
        </w:rPr>
      </w:pPr>
    </w:p>
    <w:p>
      <w:pPr>
        <w:spacing w:after="0" w:line="256" w:lineRule="auto"/>
        <w:rPr>
          <w:sz w:val="20"/>
          <w:szCs w:val="20"/>
          <w:color w:val="auto"/>
        </w:rPr>
      </w:pPr>
      <w:r>
        <w:rPr>
          <w:rFonts w:ascii="Times New Roman" w:cs="Times New Roman" w:eastAsia="Times New Roman" w:hAnsi="Times New Roman"/>
          <w:sz w:val="10"/>
          <w:szCs w:val="10"/>
          <w:color w:val="auto"/>
        </w:rPr>
        <w:t>Chair of the Board of the Mærsk Mc-Kinney Møller Center for Zero Carbon Shipping (a not-for-profit foundation). Chair of the Board of HES International. Chair of of the Board of Controlant hf. Chair of the Board of Bygma A/S. Member of the Board of CV Obel A/S. Senior Advisor to Global Infrastructure Partners (GIP), Chair of GIP portfolio Companies VTG GmbH and Skyborn Renewables GmbH.</w:t>
      </w:r>
    </w:p>
    <w:p>
      <w:pPr>
        <w:spacing w:after="0" w:line="20" w:lineRule="exact"/>
        <w:rPr>
          <w:sz w:val="20"/>
          <w:szCs w:val="20"/>
          <w:color w:val="auto"/>
        </w:rPr>
      </w:pPr>
      <w:r>
        <w:rPr>
          <w:sz w:val="20"/>
          <w:szCs w:val="20"/>
          <w:color w:val="auto"/>
        </w:rPr>
        <w:br w:type="column"/>
      </w:r>
    </w:p>
    <w:p>
      <w:pPr>
        <w:ind w:right="180"/>
        <w:spacing w:after="0" w:line="261" w:lineRule="auto"/>
        <w:rPr>
          <w:sz w:val="20"/>
          <w:szCs w:val="20"/>
          <w:color w:val="auto"/>
        </w:rPr>
      </w:pPr>
      <w:r>
        <w:rPr>
          <w:rFonts w:ascii="Times New Roman" w:cs="Times New Roman" w:eastAsia="Times New Roman" w:hAnsi="Times New Roman"/>
          <w:sz w:val="10"/>
          <w:szCs w:val="10"/>
          <w:color w:val="auto"/>
        </w:rPr>
        <w:t>Founding Partner of Lifeline Ventures and early-stage investor. Nokia Board member since 2023. Member of the Audit Committee and the Technology Committee.</w:t>
      </w:r>
    </w:p>
    <w:p>
      <w:pPr>
        <w:spacing w:after="0" w:line="32"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0"/>
          <w:szCs w:val="10"/>
          <w:color w:val="auto"/>
        </w:rPr>
        <w:t>Master’s degree in Industrial Management, Helsinki University of Technology, Finland.</w:t>
      </w:r>
    </w:p>
    <w:p>
      <w:pPr>
        <w:spacing w:after="0" w:line="28"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0"/>
          <w:szCs w:val="10"/>
          <w:color w:val="auto"/>
        </w:rPr>
        <w:t>Head of Strategy and Business Development, Blyk 2006–2009. Founding CEO, Vice President of Worldwide Commercial Operations, CRF Health 2000–2006. Consultant, McKinsey &amp; Company 1999–2000.</w:t>
      </w:r>
    </w:p>
    <w:p>
      <w:pPr>
        <w:spacing w:after="0" w:line="44" w:lineRule="exact"/>
        <w:rPr>
          <w:sz w:val="20"/>
          <w:szCs w:val="20"/>
          <w:color w:val="auto"/>
        </w:rPr>
      </w:pPr>
    </w:p>
    <w:p>
      <w:pPr>
        <w:spacing w:after="0" w:line="255" w:lineRule="auto"/>
        <w:rPr>
          <w:sz w:val="20"/>
          <w:szCs w:val="20"/>
          <w:color w:val="auto"/>
        </w:rPr>
      </w:pPr>
      <w:r>
        <w:rPr>
          <w:rFonts w:ascii="Times New Roman" w:cs="Times New Roman" w:eastAsia="Times New Roman" w:hAnsi="Times New Roman"/>
          <w:sz w:val="10"/>
          <w:szCs w:val="10"/>
          <w:color w:val="auto"/>
        </w:rPr>
        <w:t>Chair of the Board of Directors of Lifeline SPAC I Plc. Member of the Board of Directors of Digital Workforce Services Plc. Member of the Board of Directors of Solidium Oy. Member of the Board of Finnish Business and Policy Forum EVA and Research Institute for Finnish Economy (ETLA). Chair of the Board of Finnish Startup Community. Member</w:t>
      </w:r>
    </w:p>
    <w:p>
      <w:pPr>
        <w:spacing w:after="0" w:line="1" w:lineRule="exact"/>
        <w:rPr>
          <w:sz w:val="20"/>
          <w:szCs w:val="20"/>
          <w:color w:val="auto"/>
        </w:rPr>
      </w:pPr>
    </w:p>
    <w:p>
      <w:pPr>
        <w:ind w:right="20"/>
        <w:spacing w:after="0" w:line="255" w:lineRule="auto"/>
        <w:rPr>
          <w:sz w:val="20"/>
          <w:szCs w:val="20"/>
          <w:color w:val="auto"/>
        </w:rPr>
      </w:pPr>
      <w:r>
        <w:rPr>
          <w:rFonts w:ascii="Times New Roman" w:cs="Times New Roman" w:eastAsia="Times New Roman" w:hAnsi="Times New Roman"/>
          <w:sz w:val="10"/>
          <w:szCs w:val="10"/>
          <w:color w:val="auto"/>
        </w:rPr>
        <w:t>of the Board of Directors of Tietoevry Corporation 2017–2023. Chair of the Board of Slush Conference 2018–2023 and member of the Board 2013–2018. Member of the Board of Business Finland 2014–2020. Member of the Board, Startup Foundation 2015–2018.</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Nokia Board member since 2023.</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Audit Committee and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Personnel Committee.</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MBA, the Wharton School at the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University of Pennsylvania, United States.</w:t>
      </w:r>
    </w:p>
    <w:p>
      <w:pPr>
        <w:spacing w:after="0" w:line="6" w:lineRule="exact"/>
        <w:rPr>
          <w:sz w:val="20"/>
          <w:szCs w:val="20"/>
          <w:color w:val="auto"/>
        </w:rPr>
      </w:pPr>
    </w:p>
    <w:p>
      <w:pPr>
        <w:spacing w:after="0"/>
        <w:tabs>
          <w:tab w:leader="none" w:pos="1520" w:val="left"/>
        </w:tabs>
        <w:rPr>
          <w:sz w:val="20"/>
          <w:szCs w:val="20"/>
          <w:color w:val="auto"/>
        </w:rPr>
      </w:pPr>
      <w:r>
        <w:rPr>
          <w:rFonts w:ascii="Times New Roman" w:cs="Times New Roman" w:eastAsia="Times New Roman" w:hAnsi="Times New Roman"/>
          <w:sz w:val="10"/>
          <w:szCs w:val="10"/>
          <w:color w:val="auto"/>
        </w:rPr>
        <w:t>Bachelor of Science in Economics,</w:t>
      </w:r>
      <w:r>
        <w:rPr>
          <w:sz w:val="20"/>
          <w:szCs w:val="20"/>
          <w:color w:val="auto"/>
        </w:rPr>
        <w:tab/>
      </w:r>
      <w:r>
        <w:rPr>
          <w:rFonts w:ascii="Times New Roman" w:cs="Times New Roman" w:eastAsia="Times New Roman" w:hAnsi="Times New Roman"/>
          <w:sz w:val="9"/>
          <w:szCs w:val="9"/>
          <w:color w:val="auto"/>
        </w:rPr>
        <w:t>Arizona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State University, United States.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Co-Founder of Moelis &amp; Company; served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as the Chief Operating Officer 2007–</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2023 and as a member of the Board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Directors of Moelis &amp; Company 2017–</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2021. Managing Director, Office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the CEO at UBS Investment Bank</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2005–2007. Chief Operating Officer</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and Chief Administrative Officer of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UBS Investment Banking Department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Americas franchise 2001–2005.</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Investment Principal, McCown De Leeuw</w:t>
      </w:r>
    </w:p>
    <w:p>
      <w:pPr>
        <w:spacing w:after="0" w:line="6" w:lineRule="exact"/>
        <w:rPr>
          <w:sz w:val="20"/>
          <w:szCs w:val="20"/>
          <w:color w:val="auto"/>
        </w:rPr>
      </w:pPr>
    </w:p>
    <w:p>
      <w:pPr>
        <w:ind w:right="2120" w:firstLine="2"/>
        <w:spacing w:after="0" w:line="255" w:lineRule="auto"/>
        <w:tabs>
          <w:tab w:leader="none" w:pos="104" w:val="left"/>
        </w:tabs>
        <w:numPr>
          <w:ilvl w:val="0"/>
          <w:numId w:val="25"/>
        </w:numPr>
        <w:rPr>
          <w:rFonts w:ascii="Times New Roman" w:cs="Times New Roman" w:eastAsia="Times New Roman" w:hAnsi="Times New Roman"/>
          <w:sz w:val="10"/>
          <w:szCs w:val="10"/>
          <w:color w:val="auto"/>
        </w:rPr>
      </w:pPr>
      <w:r>
        <w:rPr>
          <w:rFonts w:ascii="Times New Roman" w:cs="Times New Roman" w:eastAsia="Times New Roman" w:hAnsi="Times New Roman"/>
          <w:sz w:val="10"/>
          <w:szCs w:val="10"/>
          <w:color w:val="auto"/>
        </w:rPr>
        <w:t>Company 2000–2001. Investment Principal, Morgan Stanley Capital Partners 1997–2000. Vice President, Investment Banking, Merrill Lynch &amp; Co. 1994–1997. Associate, Investment Banking, J.P. Morgan Securities 1992–1994. Analyst, Merrill Lynch &amp; Co. 1988–1990.</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Directors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and Chair of the Audit Committee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Exscientia Plc. Trustee Emeritus,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Royal Academy Trust, London.</w:t>
      </w:r>
    </w:p>
    <w:p>
      <w:pPr>
        <w:sectPr>
          <w:pgSz w:w="11900" w:h="16838" w:orient="portrait"/>
          <w:cols w:equalWidth="0" w:num="4">
            <w:col w:w="2020" w:space="20"/>
            <w:col w:w="1760" w:space="280"/>
            <w:col w:w="1720" w:space="320"/>
            <w:col w:w="3860"/>
          </w:cols>
          <w:pgMar w:left="960" w:top="409" w:right="959" w:bottom="1440" w:gutter="0" w:footer="0" w:header="0"/>
          <w:type w:val="continuous"/>
        </w:sectPr>
      </w:pPr>
    </w:p>
    <w:bookmarkStart w:id="47" w:name="page48"/>
    <w:bookmarkEnd w:id="47"/>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40</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680" w:val="left"/>
        </w:tabs>
        <w:rPr>
          <w:sz w:val="20"/>
          <w:szCs w:val="20"/>
          <w:color w:val="auto"/>
        </w:rPr>
      </w:pPr>
      <w:r>
        <w:rPr>
          <w:rFonts w:ascii="Times New Roman" w:cs="Times New Roman" w:eastAsia="Times New Roman" w:hAnsi="Times New Roman"/>
          <w:sz w:val="11"/>
          <w:szCs w:val="11"/>
          <w:b w:val="1"/>
          <w:bCs w:val="1"/>
          <w:color w:val="auto"/>
        </w:rPr>
        <w:t>Biographical details of our current Board members</w:t>
      </w:r>
      <w:r>
        <w:rPr>
          <w:sz w:val="20"/>
          <w:szCs w:val="20"/>
          <w:color w:val="auto"/>
        </w:rPr>
        <w:tab/>
      </w:r>
      <w:r>
        <w:rPr>
          <w:rFonts w:ascii="Times New Roman" w:cs="Times New Roman" w:eastAsia="Times New Roman" w:hAnsi="Times New Roman"/>
          <w:sz w:val="11"/>
          <w:szCs w:val="11"/>
          <w:color w:val="auto"/>
        </w:rPr>
        <w:t>continued</w:t>
      </w:r>
    </w:p>
    <w:p>
      <w:pPr>
        <w:sectPr>
          <w:pgSz w:w="11900" w:h="16838" w:orient="portrait"/>
          <w:cols w:equalWidth="0" w:num="1">
            <w:col w:w="9980"/>
          </w:cols>
          <w:pgMar w:left="960" w:top="409" w:right="959"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9" w:lineRule="exact"/>
        <w:rPr>
          <w:sz w:val="20"/>
          <w:szCs w:val="20"/>
          <w:color w:val="auto"/>
        </w:rPr>
      </w:pPr>
    </w:p>
    <w:tbl>
      <w:tblPr>
        <w:tblLayout w:type="fixed"/>
        <w:tblInd w:w="0" w:type="dxa"/>
        <w:tblCellMar>
          <w:top w:w="0" w:type="dxa"/>
          <w:left w:w="0" w:type="dxa"/>
          <w:bottom w:w="0" w:type="dxa"/>
          <w:right w:w="0" w:type="dxa"/>
        </w:tblCellMar>
      </w:tblPr>
      <w:tr>
        <w:trPr>
          <w:trHeight w:val="150"/>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Thomas Dannenfeldt</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005AFF"/>
              </w:rPr>
              <w:t>Lisa Hook</w:t>
            </w:r>
          </w:p>
        </w:tc>
      </w:tr>
      <w:tr>
        <w:trPr>
          <w:trHeight w:val="172"/>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1966</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b. 1958</w:t>
            </w:r>
          </w:p>
        </w:tc>
      </w:tr>
      <w:tr>
        <w:trPr>
          <w:trHeight w:val="57"/>
        </w:trPr>
        <w:tc>
          <w:tcPr>
            <w:tcW w:w="1880" w:type="dxa"/>
            <w:vAlign w:val="bottom"/>
            <w:tcBorders>
              <w:bottom w:val="single" w:sz="8" w:color="005AFF"/>
            </w:tcBorders>
          </w:tcPr>
          <w:p>
            <w:pPr>
              <w:spacing w:after="0"/>
              <w:rPr>
                <w:sz w:val="4"/>
                <w:szCs w:val="4"/>
                <w:color w:val="auto"/>
              </w:rPr>
            </w:pPr>
          </w:p>
        </w:tc>
        <w:tc>
          <w:tcPr>
            <w:tcW w:w="16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Jeanette Horan</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 1955</w:t>
      </w:r>
    </w:p>
    <w:p>
      <w:pPr>
        <w:spacing w:after="0" w:line="172" w:lineRule="exact"/>
        <w:rPr>
          <w:sz w:val="20"/>
          <w:szCs w:val="20"/>
          <w:color w:val="auto"/>
        </w:rPr>
      </w:pPr>
    </w:p>
    <w:p>
      <w:pPr>
        <w:sectPr>
          <w:pgSz w:w="11900" w:h="16838" w:orient="portrait"/>
          <w:cols w:equalWidth="0" w:num="2">
            <w:col w:w="3940" w:space="180"/>
            <w:col w:w="5860"/>
          </w:cols>
          <w:pgMar w:left="960" w:top="409" w:right="959" w:bottom="1440" w:gutter="0" w:footer="0" w:header="0"/>
          <w:type w:val="continuous"/>
        </w:sectPr>
      </w:pPr>
    </w:p>
    <w:p>
      <w:pPr>
        <w:ind w:right="300"/>
        <w:spacing w:after="0" w:line="269" w:lineRule="auto"/>
        <w:rPr>
          <w:sz w:val="20"/>
          <w:szCs w:val="20"/>
          <w:color w:val="auto"/>
        </w:rPr>
      </w:pPr>
      <w:r>
        <w:rPr>
          <w:rFonts w:ascii="Times New Roman" w:cs="Times New Roman" w:eastAsia="Times New Roman" w:hAnsi="Times New Roman"/>
          <w:sz w:val="10"/>
          <w:szCs w:val="10"/>
          <w:color w:val="auto"/>
        </w:rPr>
        <w:t>Nokia Board member since 2020. Chair of the Personnel Committee and member of the Audit Committee</w:t>
      </w:r>
    </w:p>
    <w:p>
      <w:pPr>
        <w:spacing w:after="0" w:line="28" w:lineRule="exact"/>
        <w:rPr>
          <w:sz w:val="20"/>
          <w:szCs w:val="20"/>
          <w:color w:val="auto"/>
        </w:rPr>
      </w:pPr>
    </w:p>
    <w:p>
      <w:pPr>
        <w:ind w:right="480"/>
        <w:spacing w:after="0" w:line="284" w:lineRule="auto"/>
        <w:rPr>
          <w:sz w:val="20"/>
          <w:szCs w:val="20"/>
          <w:color w:val="auto"/>
        </w:rPr>
      </w:pPr>
      <w:r>
        <w:rPr>
          <w:rFonts w:ascii="Times New Roman" w:cs="Times New Roman" w:eastAsia="Times New Roman" w:hAnsi="Times New Roman"/>
          <w:sz w:val="10"/>
          <w:szCs w:val="10"/>
          <w:color w:val="auto"/>
        </w:rPr>
        <w:t>Degree in Mathematics, University of Trier, Germany.</w:t>
      </w:r>
    </w:p>
    <w:p>
      <w:pPr>
        <w:spacing w:after="0" w:line="21" w:lineRule="exact"/>
        <w:rPr>
          <w:sz w:val="20"/>
          <w:szCs w:val="20"/>
          <w:color w:val="auto"/>
        </w:rPr>
      </w:pPr>
    </w:p>
    <w:p>
      <w:pPr>
        <w:ind w:right="340"/>
        <w:spacing w:after="0" w:line="257" w:lineRule="auto"/>
        <w:rPr>
          <w:sz w:val="20"/>
          <w:szCs w:val="20"/>
          <w:color w:val="auto"/>
        </w:rPr>
      </w:pPr>
      <w:r>
        <w:rPr>
          <w:rFonts w:ascii="Times New Roman" w:cs="Times New Roman" w:eastAsia="Times New Roman" w:hAnsi="Times New Roman"/>
          <w:sz w:val="10"/>
          <w:szCs w:val="10"/>
          <w:color w:val="auto"/>
        </w:rPr>
        <w:t>Chief Financial Officer of Deutsche Telekom AG 2014–2018. Chief Financial Officer of Deutsche Telekom’s German operations 2010–2014. Various operational positions (sales, marketing, customer care, finance and procurement in fixed and mobile business, national and international positions) at Deutsche Telekom 1992–2010.</w:t>
      </w:r>
    </w:p>
    <w:p>
      <w:pPr>
        <w:spacing w:after="0" w:line="45" w:lineRule="exact"/>
        <w:rPr>
          <w:sz w:val="20"/>
          <w:szCs w:val="20"/>
          <w:color w:val="auto"/>
        </w:rPr>
      </w:pPr>
    </w:p>
    <w:p>
      <w:pPr>
        <w:ind w:right="460"/>
        <w:spacing w:after="0" w:line="261" w:lineRule="auto"/>
        <w:rPr>
          <w:sz w:val="20"/>
          <w:szCs w:val="20"/>
          <w:color w:val="auto"/>
        </w:rPr>
      </w:pPr>
      <w:r>
        <w:rPr>
          <w:rFonts w:ascii="Times New Roman" w:cs="Times New Roman" w:eastAsia="Times New Roman" w:hAnsi="Times New Roman"/>
          <w:sz w:val="10"/>
          <w:szCs w:val="10"/>
          <w:color w:val="auto"/>
        </w:rPr>
        <w:t>Chair of the Supervisory Board of Ceconomy AG and Chair of the Presidential Committee and Mediation Committee. Member of the Board of Advisors at axxessio GmbH.</w:t>
      </w:r>
    </w:p>
    <w:p>
      <w:pPr>
        <w:spacing w:after="0" w:line="32" w:lineRule="exact"/>
        <w:rPr>
          <w:sz w:val="20"/>
          <w:szCs w:val="20"/>
          <w:color w:val="auto"/>
        </w:rPr>
      </w:pPr>
    </w:p>
    <w:p>
      <w:pPr>
        <w:ind w:right="520"/>
        <w:spacing w:after="0" w:line="261" w:lineRule="auto"/>
        <w:rPr>
          <w:sz w:val="20"/>
          <w:szCs w:val="20"/>
          <w:color w:val="auto"/>
        </w:rPr>
      </w:pPr>
      <w:r>
        <w:rPr>
          <w:rFonts w:ascii="Times New Roman" w:cs="Times New Roman" w:eastAsia="Times New Roman" w:hAnsi="Times New Roman"/>
          <w:sz w:val="10"/>
          <w:szCs w:val="10"/>
          <w:color w:val="auto"/>
        </w:rPr>
        <w:t>Member of the Board of Directors of T-Mobile US 2013–2018 and Buy-In 2013–2018. Chair of the Board of Directors of T-Systems International 2013–2018 and EE Ltd. 2014–2016.</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ind w:right="280"/>
        <w:spacing w:after="0" w:line="256" w:lineRule="auto"/>
        <w:rPr>
          <w:sz w:val="20"/>
          <w:szCs w:val="20"/>
          <w:color w:val="auto"/>
        </w:rPr>
      </w:pPr>
      <w:r>
        <w:rPr>
          <w:rFonts w:ascii="Times New Roman" w:cs="Times New Roman" w:eastAsia="Times New Roman" w:hAnsi="Times New Roman"/>
          <w:sz w:val="10"/>
          <w:szCs w:val="10"/>
          <w:color w:val="auto"/>
        </w:rPr>
        <w:t>Nokia Board member since 2022. Member of the Personnel Committee and the Corporate Governance and Nomination Committee.</w:t>
      </w:r>
    </w:p>
    <w:p>
      <w:pPr>
        <w:spacing w:after="0" w:line="35" w:lineRule="exact"/>
        <w:rPr>
          <w:sz w:val="20"/>
          <w:szCs w:val="20"/>
          <w:color w:val="auto"/>
        </w:rPr>
      </w:pPr>
    </w:p>
    <w:p>
      <w:pPr>
        <w:ind w:right="60"/>
        <w:spacing w:after="0" w:line="256" w:lineRule="auto"/>
        <w:rPr>
          <w:sz w:val="20"/>
          <w:szCs w:val="20"/>
          <w:color w:val="auto"/>
        </w:rPr>
      </w:pPr>
      <w:r>
        <w:rPr>
          <w:rFonts w:ascii="Times New Roman" w:cs="Times New Roman" w:eastAsia="Times New Roman" w:hAnsi="Times New Roman"/>
          <w:sz w:val="10"/>
          <w:szCs w:val="10"/>
          <w:color w:val="auto"/>
        </w:rPr>
        <w:t>Juris Doctorate, Dickinson School of Law at Pennsylvania State University, United States. Bachelor’s degree in Public Policy, Duke University, United States.</w:t>
      </w:r>
    </w:p>
    <w:p>
      <w:pPr>
        <w:spacing w:after="0" w:line="35" w:lineRule="exact"/>
        <w:rPr>
          <w:sz w:val="20"/>
          <w:szCs w:val="20"/>
          <w:color w:val="auto"/>
        </w:rPr>
      </w:pPr>
    </w:p>
    <w:p>
      <w:pPr>
        <w:ind w:right="80"/>
        <w:spacing w:after="0" w:line="248" w:lineRule="auto"/>
        <w:rPr>
          <w:sz w:val="20"/>
          <w:szCs w:val="20"/>
          <w:color w:val="auto"/>
        </w:rPr>
      </w:pPr>
      <w:r>
        <w:rPr>
          <w:rFonts w:ascii="Times New Roman" w:cs="Times New Roman" w:eastAsia="Times New Roman" w:hAnsi="Times New Roman"/>
          <w:sz w:val="10"/>
          <w:szCs w:val="10"/>
          <w:color w:val="auto"/>
        </w:rPr>
        <w:t>President and CEO of Neustar, Inc. 2010– 2018 and COO 2008–2010. President and CEO of Sunrocket, Inc. 2006–2007. Executive positions at America Online, Inc. 2000–2004. Previous positions as Partner at Brera Capital Partners, managing director of Alpine Capital Group, LLC., various executive positions at Time Warner, Inc., legal adviser to the Chairman of the Federal Communications Commission, and General Counsel of the Cable Group at Viacom International, Inc.</w:t>
      </w:r>
    </w:p>
    <w:p>
      <w:pPr>
        <w:spacing w:after="0" w:line="51" w:lineRule="exact"/>
        <w:rPr>
          <w:sz w:val="20"/>
          <w:szCs w:val="20"/>
          <w:color w:val="auto"/>
        </w:rPr>
      </w:pPr>
    </w:p>
    <w:p>
      <w:pPr>
        <w:spacing w:after="0" w:line="248" w:lineRule="auto"/>
        <w:rPr>
          <w:sz w:val="20"/>
          <w:szCs w:val="20"/>
          <w:color w:val="auto"/>
        </w:rPr>
      </w:pPr>
      <w:r>
        <w:rPr>
          <w:rFonts w:ascii="Times New Roman" w:cs="Times New Roman" w:eastAsia="Times New Roman" w:hAnsi="Times New Roman"/>
          <w:sz w:val="10"/>
          <w:szCs w:val="10"/>
          <w:color w:val="auto"/>
        </w:rPr>
        <w:t>Member of the Board of Directors of Fidelity National Information Services, Inc. Lead Independent Director of the Board of Directors of Philip Morris International. Member of the Board of Zayo Group. Chair of Advisory Board of Trilantic Capital Partners. Member of the US National Security Telecommunications Advisory Committee. Member of the Board of Directors of Ritchie Bros. Auctioneers Inc. 2021–2023, Ping Identity Holding Corporation 2019–2022, Partners Group Holdings 2020–2021, Unisys Corporation 2019–2021, Neustar, Inc. 2010–2019 and RELX Plc and RELX NV, 2006–2016.</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Nokia Board member since 2017.</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Audit Committee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Technology Committee.</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MBA, Business Administration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Management, Boston University,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United States. BSc, Mathematics,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University of London, United Kingdom.</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Various executive and managerial</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positions at IBM 1998–2015. Vice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of Digital Equipment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Corporation 1994–1998.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Development of Open Software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Foundation 1989–1994.</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Supervisory Board at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Wolters Kluwer, and the Chair of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Selection and Remuneration Committee.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Advisors at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Jane Doe No More, a not-for-profit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organization. Member of the Board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Directors of the Ridgefield Symphony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Orchestra, a not-for-profit organization.</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Advisors of</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Cybereason 2017–2018. Member of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Board of Directors of West Corporation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2016–2017 and Microvision 2006–2017.</w:t>
      </w:r>
    </w:p>
    <w:p>
      <w:pPr>
        <w:sectPr>
          <w:pgSz w:w="11900" w:h="16838" w:orient="portrait"/>
          <w:cols w:equalWidth="0" w:num="3">
            <w:col w:w="2020" w:space="20"/>
            <w:col w:w="1780" w:space="260"/>
            <w:col w:w="5900"/>
          </w:cols>
          <w:pgMar w:left="960" w:top="409" w:right="959" w:bottom="1440" w:gutter="0" w:footer="0" w:header="0"/>
          <w:type w:val="continuous"/>
        </w:sectPr>
      </w:pPr>
    </w:p>
    <w:bookmarkStart w:id="48" w:name="page49"/>
    <w:bookmarkEnd w:id="48"/>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41</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680" w:val="left"/>
        </w:tabs>
        <w:rPr>
          <w:sz w:val="20"/>
          <w:szCs w:val="20"/>
          <w:color w:val="auto"/>
        </w:rPr>
      </w:pPr>
      <w:r>
        <w:rPr>
          <w:rFonts w:ascii="Times New Roman" w:cs="Times New Roman" w:eastAsia="Times New Roman" w:hAnsi="Times New Roman"/>
          <w:sz w:val="11"/>
          <w:szCs w:val="11"/>
          <w:b w:val="1"/>
          <w:bCs w:val="1"/>
          <w:color w:val="auto"/>
        </w:rPr>
        <w:t>Biographical details of our current Board members</w:t>
      </w:r>
      <w:r>
        <w:rPr>
          <w:sz w:val="20"/>
          <w:szCs w:val="20"/>
          <w:color w:val="auto"/>
        </w:rPr>
        <w:tab/>
      </w:r>
      <w:r>
        <w:rPr>
          <w:rFonts w:ascii="Times New Roman" w:cs="Times New Roman" w:eastAsia="Times New Roman" w:hAnsi="Times New Roman"/>
          <w:sz w:val="11"/>
          <w:szCs w:val="11"/>
          <w:color w:val="auto"/>
        </w:rPr>
        <w:t>continued</w:t>
      </w:r>
    </w:p>
    <w:p>
      <w:pPr>
        <w:sectPr>
          <w:pgSz w:w="11900" w:h="16838" w:orient="portrait"/>
          <w:cols w:equalWidth="0" w:num="1">
            <w:col w:w="9980"/>
          </w:cols>
          <w:pgMar w:left="960" w:top="409" w:right="959"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9" w:lineRule="exact"/>
        <w:rPr>
          <w:sz w:val="20"/>
          <w:szCs w:val="20"/>
          <w:color w:val="auto"/>
        </w:rPr>
      </w:pPr>
    </w:p>
    <w:tbl>
      <w:tblPr>
        <w:tblLayout w:type="fixed"/>
        <w:tblInd w:w="0" w:type="dxa"/>
        <w:tblCellMar>
          <w:top w:w="0" w:type="dxa"/>
          <w:left w:w="0" w:type="dxa"/>
          <w:bottom w:w="0" w:type="dxa"/>
          <w:right w:w="0" w:type="dxa"/>
        </w:tblCellMar>
      </w:tblPr>
      <w:tr>
        <w:trPr>
          <w:trHeight w:val="150"/>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Thomas Saueressig</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005AFF"/>
              </w:rPr>
              <w:t>Carla Smits-Nusteling</w:t>
            </w:r>
          </w:p>
        </w:tc>
      </w:tr>
      <w:tr>
        <w:trPr>
          <w:trHeight w:val="172"/>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1985</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b. 1966</w:t>
            </w:r>
          </w:p>
        </w:tc>
      </w:tr>
      <w:tr>
        <w:trPr>
          <w:trHeight w:val="57"/>
        </w:trPr>
        <w:tc>
          <w:tcPr>
            <w:tcW w:w="1880" w:type="dxa"/>
            <w:vAlign w:val="bottom"/>
            <w:tcBorders>
              <w:bottom w:val="single" w:sz="8" w:color="005AFF"/>
            </w:tcBorders>
          </w:tcPr>
          <w:p>
            <w:pPr>
              <w:spacing w:after="0"/>
              <w:rPr>
                <w:sz w:val="4"/>
                <w:szCs w:val="4"/>
                <w:color w:val="auto"/>
              </w:rPr>
            </w:pPr>
          </w:p>
        </w:tc>
        <w:tc>
          <w:tcPr>
            <w:tcW w:w="16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Kai Öistämö</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 1964</w:t>
      </w:r>
    </w:p>
    <w:p>
      <w:pPr>
        <w:spacing w:after="0" w:line="172" w:lineRule="exact"/>
        <w:rPr>
          <w:sz w:val="20"/>
          <w:szCs w:val="20"/>
          <w:color w:val="auto"/>
        </w:rPr>
      </w:pPr>
    </w:p>
    <w:p>
      <w:pPr>
        <w:sectPr>
          <w:pgSz w:w="11900" w:h="16838" w:orient="portrait"/>
          <w:cols w:equalWidth="0" w:num="2">
            <w:col w:w="3940" w:space="180"/>
            <w:col w:w="5860"/>
          </w:cols>
          <w:pgMar w:left="960" w:top="409" w:right="959" w:bottom="1440" w:gutter="0" w:footer="0" w:header="0"/>
          <w:type w:val="continuous"/>
        </w:sectPr>
      </w:pPr>
    </w:p>
    <w:p>
      <w:pPr>
        <w:ind w:right="260"/>
        <w:spacing w:after="0" w:line="261" w:lineRule="auto"/>
        <w:rPr>
          <w:sz w:val="20"/>
          <w:szCs w:val="20"/>
          <w:color w:val="auto"/>
        </w:rPr>
      </w:pPr>
      <w:r>
        <w:rPr>
          <w:rFonts w:ascii="Times New Roman" w:cs="Times New Roman" w:eastAsia="Times New Roman" w:hAnsi="Times New Roman"/>
          <w:sz w:val="10"/>
          <w:szCs w:val="10"/>
          <w:color w:val="auto"/>
        </w:rPr>
        <w:t>Member of the Executive Board of SAP SE and Global Head of SAP Product Engineering. Nokia Board member since 2022. Member of the Technology Committee.</w:t>
      </w:r>
    </w:p>
    <w:p>
      <w:pPr>
        <w:spacing w:after="0" w:line="32" w:lineRule="exact"/>
        <w:rPr>
          <w:sz w:val="20"/>
          <w:szCs w:val="20"/>
          <w:color w:val="auto"/>
        </w:rPr>
      </w:pPr>
    </w:p>
    <w:p>
      <w:pPr>
        <w:ind w:right="320"/>
        <w:spacing w:after="0" w:line="261" w:lineRule="auto"/>
        <w:rPr>
          <w:sz w:val="20"/>
          <w:szCs w:val="20"/>
          <w:color w:val="auto"/>
        </w:rPr>
      </w:pPr>
      <w:r>
        <w:rPr>
          <w:rFonts w:ascii="Times New Roman" w:cs="Times New Roman" w:eastAsia="Times New Roman" w:hAnsi="Times New Roman"/>
          <w:sz w:val="10"/>
          <w:szCs w:val="10"/>
          <w:color w:val="auto"/>
        </w:rPr>
        <w:t>Degree in Business Information Technology, University of Cooperative Education in Mannheim, Germany. Joint Executive MBA from ESSEC, France and Mannheim Business School, Germany.</w:t>
      </w:r>
    </w:p>
    <w:p>
      <w:pPr>
        <w:spacing w:after="0" w:line="32" w:lineRule="exact"/>
        <w:rPr>
          <w:sz w:val="20"/>
          <w:szCs w:val="20"/>
          <w:color w:val="auto"/>
        </w:rPr>
      </w:pPr>
    </w:p>
    <w:p>
      <w:pPr>
        <w:ind w:right="220"/>
        <w:spacing w:after="0" w:line="258" w:lineRule="auto"/>
        <w:rPr>
          <w:sz w:val="20"/>
          <w:szCs w:val="20"/>
          <w:color w:val="auto"/>
        </w:rPr>
      </w:pPr>
      <w:r>
        <w:rPr>
          <w:rFonts w:ascii="Times New Roman" w:cs="Times New Roman" w:eastAsia="Times New Roman" w:hAnsi="Times New Roman"/>
          <w:sz w:val="10"/>
          <w:szCs w:val="10"/>
          <w:color w:val="auto"/>
        </w:rPr>
        <w:t>Chief Information Officer of SAP SE 2016–2019, Vice President, Global Head of IT Services of SAP SE 2014–2016. Held various positions at SAP in Germany since 2007, including assignment in the SAP Labs Silicon Valley in Palo Alto, California, the United States.</w:t>
      </w:r>
    </w:p>
    <w:p>
      <w:pPr>
        <w:spacing w:after="0" w:line="45" w:lineRule="exact"/>
        <w:rPr>
          <w:sz w:val="20"/>
          <w:szCs w:val="20"/>
          <w:color w:val="auto"/>
        </w:rPr>
      </w:pPr>
    </w:p>
    <w:p>
      <w:pPr>
        <w:ind w:right="300"/>
        <w:spacing w:after="0" w:line="261" w:lineRule="auto"/>
        <w:rPr>
          <w:sz w:val="20"/>
          <w:szCs w:val="20"/>
          <w:color w:val="auto"/>
        </w:rPr>
      </w:pPr>
      <w:r>
        <w:rPr>
          <w:rFonts w:ascii="Times New Roman" w:cs="Times New Roman" w:eastAsia="Times New Roman" w:hAnsi="Times New Roman"/>
          <w:sz w:val="10"/>
          <w:szCs w:val="10"/>
          <w:color w:val="auto"/>
        </w:rPr>
        <w:t>Member of the Young Global Leaders of the World Economic Forum. Member of the Industry Advisory Board of the Munich Institute of Robotics and Machine Intelligence (MIRMI).</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ind w:right="60"/>
        <w:spacing w:after="0" w:line="263" w:lineRule="auto"/>
        <w:rPr>
          <w:sz w:val="20"/>
          <w:szCs w:val="20"/>
          <w:color w:val="auto"/>
        </w:rPr>
      </w:pPr>
      <w:r>
        <w:rPr>
          <w:rFonts w:ascii="Times New Roman" w:cs="Times New Roman" w:eastAsia="Times New Roman" w:hAnsi="Times New Roman"/>
          <w:sz w:val="10"/>
          <w:szCs w:val="10"/>
          <w:color w:val="auto"/>
        </w:rPr>
        <w:t>Nokia Board member since 2016. Chair of the Audit Committee and member of the Corporate Governance and Nomination Committee.</w:t>
      </w:r>
    </w:p>
    <w:p>
      <w:pPr>
        <w:spacing w:after="0" w:line="32" w:lineRule="exact"/>
        <w:rPr>
          <w:sz w:val="20"/>
          <w:szCs w:val="20"/>
          <w:color w:val="auto"/>
        </w:rPr>
      </w:pPr>
    </w:p>
    <w:p>
      <w:pPr>
        <w:ind w:right="80"/>
        <w:spacing w:after="0" w:line="261" w:lineRule="auto"/>
        <w:rPr>
          <w:sz w:val="20"/>
          <w:szCs w:val="20"/>
          <w:color w:val="auto"/>
        </w:rPr>
      </w:pPr>
      <w:r>
        <w:rPr>
          <w:rFonts w:ascii="Times New Roman" w:cs="Times New Roman" w:eastAsia="Times New Roman" w:hAnsi="Times New Roman"/>
          <w:sz w:val="10"/>
          <w:szCs w:val="10"/>
          <w:color w:val="auto"/>
        </w:rPr>
        <w:t>Master’s Degree in Business Economics, Erasmus University Rotterdam, the Netherlands. Executive Master of Finance and Control, Vrije University Amsterdam, the Netherlands.</w:t>
      </w:r>
    </w:p>
    <w:p>
      <w:pPr>
        <w:spacing w:after="0" w:line="32" w:lineRule="exact"/>
        <w:rPr>
          <w:sz w:val="20"/>
          <w:szCs w:val="20"/>
          <w:color w:val="auto"/>
        </w:rPr>
      </w:pPr>
    </w:p>
    <w:p>
      <w:pPr>
        <w:spacing w:after="0" w:line="261" w:lineRule="auto"/>
        <w:rPr>
          <w:sz w:val="20"/>
          <w:szCs w:val="20"/>
          <w:color w:val="auto"/>
        </w:rPr>
      </w:pPr>
      <w:r>
        <w:rPr>
          <w:rFonts w:ascii="Times New Roman" w:cs="Times New Roman" w:eastAsia="Times New Roman" w:hAnsi="Times New Roman"/>
          <w:sz w:val="10"/>
          <w:szCs w:val="10"/>
          <w:color w:val="auto"/>
        </w:rPr>
        <w:t>Member of the Board of Directors and Chief Financial Officer of KPN 2009–2012. Various financial positions at KPN 2000– 2009. Various financial and operational positions at TNT/PTT Post 1990–2000.</w:t>
      </w:r>
    </w:p>
    <w:p>
      <w:pPr>
        <w:spacing w:after="0" w:line="42" w:lineRule="exact"/>
        <w:rPr>
          <w:sz w:val="20"/>
          <w:szCs w:val="20"/>
          <w:color w:val="auto"/>
        </w:rPr>
      </w:pPr>
    </w:p>
    <w:p>
      <w:pPr>
        <w:ind w:right="160"/>
        <w:spacing w:after="0" w:line="261" w:lineRule="auto"/>
        <w:rPr>
          <w:sz w:val="20"/>
          <w:szCs w:val="20"/>
          <w:color w:val="auto"/>
        </w:rPr>
      </w:pPr>
      <w:r>
        <w:rPr>
          <w:rFonts w:ascii="Times New Roman" w:cs="Times New Roman" w:eastAsia="Times New Roman" w:hAnsi="Times New Roman"/>
          <w:sz w:val="10"/>
          <w:szCs w:val="10"/>
          <w:color w:val="auto"/>
        </w:rPr>
        <w:t>Member of the Board of Directors and Chair of the Audit Committee of Allegro.eu SA. Member of the Board of Directors of the Stichting Continuïteit Ahold Delhaize (SCAD) foundation.</w:t>
      </w:r>
    </w:p>
    <w:p>
      <w:pPr>
        <w:spacing w:after="0" w:line="32" w:lineRule="exact"/>
        <w:rPr>
          <w:sz w:val="20"/>
          <w:szCs w:val="20"/>
          <w:color w:val="auto"/>
        </w:rPr>
      </w:pPr>
    </w:p>
    <w:p>
      <w:pPr>
        <w:ind w:right="40"/>
        <w:spacing w:after="0" w:line="257" w:lineRule="auto"/>
        <w:rPr>
          <w:sz w:val="20"/>
          <w:szCs w:val="20"/>
          <w:color w:val="auto"/>
        </w:rPr>
      </w:pPr>
      <w:r>
        <w:rPr>
          <w:rFonts w:ascii="Times New Roman" w:cs="Times New Roman" w:eastAsia="Times New Roman" w:hAnsi="Times New Roman"/>
          <w:sz w:val="10"/>
          <w:szCs w:val="10"/>
          <w:color w:val="auto"/>
        </w:rPr>
        <w:t>Chair of the Board of Directors of TELE2 AB 2013–2023. Lay Judge in the Enterprise Court of the Amsterdam Court of Appeal 2015–2022. Member of the Supervisory Board and Chair of the Audit Committee of ASML 2013–2021. Member of the Management Board of the Unilever Trust Office 2015–2019.</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President and CEO of Vaisala Corporation.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Nokia Board member since 2022. Chair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Technology Committee and member</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the Corporate Governance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Nomination Committee.</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PhD in computer science, Tampere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University of Technology, Finland.</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Chief Operating Officer of InterDigital,</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Inc. 2018–2020. Executive Partner of Siris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Capital Group 2016–2018. EVP, Chief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Development Officer at Nokia 2010–</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2014. EVP, Devices at Nokia 2008–2010.</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EVP, Mobile Phones Business Group at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Nokia 2006–2008. Several previous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positions at Nokia 1991–2006.</w:t>
      </w:r>
    </w:p>
    <w:p>
      <w:pPr>
        <w:spacing w:after="0" w:line="58" w:lineRule="exact"/>
        <w:rPr>
          <w:sz w:val="20"/>
          <w:szCs w:val="20"/>
          <w:color w:val="auto"/>
        </w:rPr>
      </w:pPr>
    </w:p>
    <w:p>
      <w:pPr>
        <w:spacing w:after="0"/>
        <w:tabs>
          <w:tab w:leader="none" w:pos="1420" w:val="left"/>
        </w:tabs>
        <w:rPr>
          <w:sz w:val="20"/>
          <w:szCs w:val="20"/>
          <w:color w:val="auto"/>
        </w:rPr>
      </w:pPr>
      <w:r>
        <w:rPr>
          <w:rFonts w:ascii="Times New Roman" w:cs="Times New Roman" w:eastAsia="Times New Roman" w:hAnsi="Times New Roman"/>
          <w:sz w:val="10"/>
          <w:szCs w:val="10"/>
          <w:color w:val="auto"/>
          <w:highlight w:val="white"/>
        </w:rPr>
        <w:t>Venture Partner of Kvanted Oy.</w:t>
      </w:r>
      <w:r>
        <w:rPr>
          <w:sz w:val="20"/>
          <w:szCs w:val="20"/>
          <w:color w:val="auto"/>
        </w:rPr>
        <w:tab/>
      </w:r>
      <w:r>
        <w:rPr>
          <w:rFonts w:ascii="Times New Roman" w:cs="Times New Roman" w:eastAsia="Times New Roman" w:hAnsi="Times New Roman"/>
          <w:sz w:val="10"/>
          <w:szCs w:val="10"/>
          <w:color w:val="auto"/>
        </w:rPr>
        <w:t>Chairman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the Board of Fastems Group 2014–</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2022. Member of the Board of Directors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Sanoma Group 2010–2021. Chairman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the Board of Helvar Oy Ab 2014–2020.</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Directors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Mavenir Plc. 2017–2018. Member of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Board of Directors of Digia / Qt Group Oyj</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2015–2018. Member of the Board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Directors of InterDigital, Inc. 2015–2018.</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Directors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Oikian solutions Oy 2014–2018. Chairman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the Board, Tampere University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2013–2017. Chairman of the Board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Directors, Tekes 2012–2014. Member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Board of Directors of Nokian Renkaat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Oyj 2008–2010.</w:t>
      </w:r>
    </w:p>
    <w:p>
      <w:pPr>
        <w:sectPr>
          <w:pgSz w:w="11900" w:h="16838" w:orient="portrait"/>
          <w:cols w:equalWidth="0" w:num="3">
            <w:col w:w="2020" w:space="20"/>
            <w:col w:w="1780" w:space="260"/>
            <w:col w:w="5900"/>
          </w:cols>
          <w:pgMar w:left="960" w:top="409" w:right="959" w:bottom="1440" w:gutter="0" w:footer="0" w:header="0"/>
          <w:type w:val="continuous"/>
        </w:sectPr>
      </w:pPr>
    </w:p>
    <w:bookmarkStart w:id="49" w:name="page50"/>
    <w:bookmarkEnd w:id="49"/>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42</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820" w:space="580"/>
            <w:col w:w="6580"/>
          </w:cols>
          <w:pgMar w:left="960" w:top="409" w:right="959" w:bottom="1440" w:gutter="0" w:footer="0" w:header="0"/>
        </w:sectPr>
      </w:pPr>
    </w:p>
    <w:p>
      <w:pPr>
        <w:spacing w:after="0" w:line="1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Operations of the Board of Directors</w:t>
      </w:r>
    </w:p>
    <w:p>
      <w:pPr>
        <w:spacing w:after="0" w:line="24" w:lineRule="exact"/>
        <w:rPr>
          <w:sz w:val="20"/>
          <w:szCs w:val="20"/>
          <w:color w:val="auto"/>
        </w:rPr>
      </w:pPr>
    </w:p>
    <w:p>
      <w:pPr>
        <w:spacing w:after="0" w:line="261" w:lineRule="auto"/>
        <w:rPr>
          <w:sz w:val="20"/>
          <w:szCs w:val="20"/>
          <w:color w:val="auto"/>
        </w:rPr>
      </w:pPr>
      <w:r>
        <w:rPr>
          <w:rFonts w:ascii="Times New Roman" w:cs="Times New Roman" w:eastAsia="Times New Roman" w:hAnsi="Times New Roman"/>
          <w:sz w:val="11"/>
          <w:szCs w:val="11"/>
          <w:color w:val="auto"/>
        </w:rPr>
        <w:t>The Board represents and is accountable to the shareholders of Nokia. While its ultimate statutory accountability is to the shareholders, the Board also takes into account the interests of Nokia’s other stakeholders. The Board’s responsibilities are active, not passive, and include the responsibility to evaluate the strategic direction of Nokia, its management policies and the effectiveness of the implementation of such by the management on a regular basis. It is the responsibility of the members of the Board to act in good faith and with due care, so as to exercise their business judgment on an informed basis, in a manner that they reasonably and honestly believe to be in</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line="289" w:lineRule="auto"/>
        <w:rPr>
          <w:sz w:val="20"/>
          <w:szCs w:val="20"/>
          <w:color w:val="auto"/>
        </w:rPr>
      </w:pPr>
      <w:r>
        <w:rPr>
          <w:rFonts w:ascii="Times New Roman" w:cs="Times New Roman" w:eastAsia="Times New Roman" w:hAnsi="Times New Roman"/>
          <w:sz w:val="11"/>
          <w:szCs w:val="11"/>
          <w:color w:val="auto"/>
        </w:rPr>
        <w:t>The Board has the responsibility for appointing and discharging the President and Chief Executive Officer, Chief Financial Officer and Chief Legal Officer.</w:t>
      </w:r>
    </w:p>
    <w:p>
      <w:pPr>
        <w:spacing w:after="0" w:line="39"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color w:val="auto"/>
        </w:rPr>
        <w:t>The Board approves and the independent directors of the Board confirm the compensation and terms of employment of the President and CEO, subject to the requirements of Finnish law, upon the recommendation of the Personnel Committee of the Board. The compensation and terms of employment of the other Group Leadership Team members are approved by the Personnel Committee upon the recommendation of the President and CEO.</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Personnel Committee oversees human capital</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management, including personnel policies and practices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related to Nokia’s culture, physical safety, employee well-being,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diversity, recruiting, development and retention. In 2023,</w:t>
      </w:r>
    </w:p>
    <w:p>
      <w:pPr>
        <w:spacing w:after="0" w:line="10" w:lineRule="exact"/>
        <w:rPr>
          <w:sz w:val="20"/>
          <w:szCs w:val="20"/>
          <w:color w:val="auto"/>
        </w:rPr>
      </w:pPr>
    </w:p>
    <w:p>
      <w:pPr>
        <w:ind w:right="220"/>
        <w:spacing w:after="0" w:line="261" w:lineRule="auto"/>
        <w:rPr>
          <w:sz w:val="20"/>
          <w:szCs w:val="20"/>
          <w:color w:val="auto"/>
        </w:rPr>
      </w:pPr>
      <w:r>
        <w:rPr>
          <w:rFonts w:ascii="Times New Roman" w:cs="Times New Roman" w:eastAsia="Times New Roman" w:hAnsi="Times New Roman"/>
          <w:sz w:val="11"/>
          <w:szCs w:val="11"/>
          <w:color w:val="auto"/>
        </w:rPr>
        <w:t>the Personnel Committee focused, among other things, on a people risk review, including physical safety and succession planning, as well as preparing Nokia’s Long-Term Incentive Plan 2024–2026. The Committee recommended to the Board</w:t>
      </w:r>
    </w:p>
    <w:p>
      <w:pPr>
        <w:spacing w:after="0" w:line="1" w:lineRule="exact"/>
        <w:rPr>
          <w:sz w:val="20"/>
          <w:szCs w:val="20"/>
          <w:color w:val="auto"/>
        </w:rPr>
      </w:pPr>
    </w:p>
    <w:p>
      <w:pPr>
        <w:ind w:right="420"/>
        <w:spacing w:after="0" w:line="261" w:lineRule="auto"/>
        <w:rPr>
          <w:sz w:val="20"/>
          <w:szCs w:val="20"/>
          <w:color w:val="auto"/>
        </w:rPr>
      </w:pPr>
      <w:r>
        <w:rPr>
          <w:rFonts w:ascii="Times New Roman" w:cs="Times New Roman" w:eastAsia="Times New Roman" w:hAnsi="Times New Roman"/>
          <w:sz w:val="11"/>
          <w:szCs w:val="11"/>
          <w:color w:val="auto"/>
        </w:rPr>
        <w:t>to include carbon emission reduction in the metrics of the long-term incentive plan as well as diversity and health and safety as metrics in the short-term incentive plan. The Corporate Governance and Nomination Committee assesses</w:t>
      </w:r>
    </w:p>
    <w:p>
      <w:pPr>
        <w:spacing w:after="0" w:line="1" w:lineRule="exact"/>
        <w:rPr>
          <w:sz w:val="20"/>
          <w:szCs w:val="20"/>
          <w:color w:val="auto"/>
        </w:rPr>
      </w:pPr>
    </w:p>
    <w:p>
      <w:pPr>
        <w:sectPr>
          <w:pgSz w:w="11900" w:h="16838" w:orient="portrait"/>
          <w:cols w:equalWidth="0" w:num="3">
            <w:col w:w="2880" w:space="520"/>
            <w:col w:w="2920" w:space="480"/>
            <w:col w:w="3180"/>
          </w:cols>
          <w:pgMar w:left="960" w:top="409" w:right="959" w:bottom="1440" w:gutter="0" w:footer="0" w:header="0"/>
          <w:type w:val="continuous"/>
        </w:sectPr>
      </w:pPr>
    </w:p>
    <w:p>
      <w:pPr>
        <w:spacing w:after="0" w:line="260" w:lineRule="auto"/>
        <w:rPr>
          <w:sz w:val="20"/>
          <w:szCs w:val="20"/>
          <w:color w:val="auto"/>
        </w:rPr>
      </w:pPr>
      <w:r>
        <w:rPr>
          <w:rFonts w:ascii="Times New Roman" w:cs="Times New Roman" w:eastAsia="Times New Roman" w:hAnsi="Times New Roman"/>
          <w:sz w:val="11"/>
          <w:szCs w:val="11"/>
          <w:color w:val="auto"/>
        </w:rPr>
        <w:t>the best interests of Nokia and its shareholders. In discharging this obligation, the members of the Board must inform themselves of all relevant information reasonably available to them. The Board and each Board Committee also have the power to appoint independent legal, financial or other advisers as they deem necessary. The Company will provide sufficient funding to the Board and to each Committee to exercise their functions and provide compensation for the services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their advisers.</w:t>
      </w:r>
    </w:p>
    <w:p>
      <w:pPr>
        <w:spacing w:after="0" w:line="84" w:lineRule="exact"/>
        <w:rPr>
          <w:sz w:val="20"/>
          <w:szCs w:val="20"/>
          <w:color w:val="auto"/>
        </w:rPr>
      </w:pPr>
    </w:p>
    <w:p>
      <w:pPr>
        <w:jc w:val="both"/>
        <w:spacing w:after="0" w:line="266" w:lineRule="auto"/>
        <w:rPr>
          <w:sz w:val="20"/>
          <w:szCs w:val="20"/>
          <w:color w:val="auto"/>
        </w:rPr>
      </w:pPr>
      <w:r>
        <w:rPr>
          <w:rFonts w:ascii="Times New Roman" w:cs="Times New Roman" w:eastAsia="Times New Roman" w:hAnsi="Times New Roman"/>
          <w:sz w:val="11"/>
          <w:szCs w:val="11"/>
          <w:color w:val="auto"/>
        </w:rPr>
        <w:t>The Board is ultimately responsible for, and its duties include, monitoring and reviewing Nokia’s financial reporting process, the effectiveness of related control and audit functions and the</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28"/>
        </w:trPr>
        <w:tc>
          <w:tcPr>
            <w:tcW w:w="29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Board oversight of environmental and social activities and</w:t>
            </w:r>
          </w:p>
        </w:tc>
        <w:tc>
          <w:tcPr>
            <w:tcW w:w="280" w:type="dxa"/>
            <w:vAlign w:val="bottom"/>
          </w:tcPr>
          <w:p>
            <w:pPr>
              <w:spacing w:after="0"/>
              <w:rPr>
                <w:sz w:val="11"/>
                <w:szCs w:val="11"/>
                <w:color w:val="auto"/>
              </w:rPr>
            </w:pPr>
          </w:p>
        </w:tc>
        <w:tc>
          <w:tcPr>
            <w:tcW w:w="304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and advises the Board on ESG-related activities and practices,</w:t>
            </w:r>
          </w:p>
        </w:tc>
        <w:tc>
          <w:tcPr>
            <w:tcW w:w="0" w:type="dxa"/>
            <w:vAlign w:val="bottom"/>
          </w:tcPr>
          <w:p>
            <w:pPr>
              <w:spacing w:after="0"/>
              <w:rPr>
                <w:sz w:val="1"/>
                <w:szCs w:val="1"/>
                <w:color w:val="auto"/>
              </w:rPr>
            </w:pPr>
          </w:p>
        </w:tc>
      </w:tr>
      <w:tr>
        <w:trPr>
          <w:trHeight w:val="142"/>
        </w:trPr>
        <w:tc>
          <w:tcPr>
            <w:tcW w:w="29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governance practices</w:t>
            </w:r>
          </w:p>
        </w:tc>
        <w:tc>
          <w:tcPr>
            <w:tcW w:w="280" w:type="dxa"/>
            <w:vAlign w:val="bottom"/>
          </w:tcPr>
          <w:p>
            <w:pPr>
              <w:spacing w:after="0"/>
              <w:rPr>
                <w:sz w:val="12"/>
                <w:szCs w:val="12"/>
                <w:color w:val="auto"/>
              </w:rPr>
            </w:pPr>
          </w:p>
        </w:tc>
        <w:tc>
          <w:tcPr>
            <w:tcW w:w="304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aiming to enhance the governance structure supporting them.</w:t>
            </w:r>
          </w:p>
        </w:tc>
        <w:tc>
          <w:tcPr>
            <w:tcW w:w="0" w:type="dxa"/>
            <w:vAlign w:val="bottom"/>
          </w:tcPr>
          <w:p>
            <w:pPr>
              <w:spacing w:after="0"/>
              <w:rPr>
                <w:sz w:val="1"/>
                <w:szCs w:val="1"/>
                <w:color w:val="auto"/>
              </w:rPr>
            </w:pPr>
          </w:p>
        </w:tc>
      </w:tr>
      <w:tr>
        <w:trPr>
          <w:trHeight w:val="131"/>
        </w:trPr>
        <w:tc>
          <w:tcPr>
            <w:tcW w:w="2980" w:type="dxa"/>
            <w:vAlign w:val="bottom"/>
          </w:tcPr>
          <w:p>
            <w:pPr>
              <w:spacing w:after="0"/>
              <w:rPr>
                <w:sz w:val="20"/>
                <w:szCs w:val="20"/>
                <w:color w:val="auto"/>
              </w:rPr>
            </w:pPr>
            <w:r>
              <w:rPr>
                <w:rFonts w:ascii="Times New Roman" w:cs="Times New Roman" w:eastAsia="Times New Roman" w:hAnsi="Times New Roman"/>
                <w:sz w:val="11"/>
                <w:szCs w:val="11"/>
                <w:color w:val="auto"/>
              </w:rPr>
              <w:t>Under our Corporate Governance Guidelines, the Board</w:t>
            </w:r>
          </w:p>
        </w:tc>
        <w:tc>
          <w:tcPr>
            <w:tcW w:w="280" w:type="dxa"/>
            <w:vAlign w:val="bottom"/>
          </w:tcPr>
          <w:p>
            <w:pPr>
              <w:spacing w:after="0"/>
              <w:rPr>
                <w:sz w:val="11"/>
                <w:szCs w:val="11"/>
                <w:color w:val="auto"/>
              </w:rPr>
            </w:pPr>
          </w:p>
        </w:tc>
        <w:tc>
          <w:tcPr>
            <w:tcW w:w="304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The Technology Committee reviews how the Company’s ESG</w:t>
            </w:r>
          </w:p>
        </w:tc>
        <w:tc>
          <w:tcPr>
            <w:tcW w:w="0" w:type="dxa"/>
            <w:vAlign w:val="bottom"/>
          </w:tcPr>
          <w:p>
            <w:pPr>
              <w:spacing w:after="0"/>
              <w:rPr>
                <w:sz w:val="1"/>
                <w:szCs w:val="1"/>
                <w:color w:val="auto"/>
              </w:rPr>
            </w:pPr>
          </w:p>
        </w:tc>
      </w:tr>
      <w:tr>
        <w:trPr>
          <w:trHeight w:val="159"/>
        </w:trPr>
        <w:tc>
          <w:tcPr>
            <w:tcW w:w="2980" w:type="dxa"/>
            <w:vAlign w:val="bottom"/>
          </w:tcPr>
          <w:p>
            <w:pPr>
              <w:spacing w:after="0"/>
              <w:rPr>
                <w:sz w:val="20"/>
                <w:szCs w:val="20"/>
                <w:color w:val="auto"/>
              </w:rPr>
            </w:pPr>
            <w:r>
              <w:rPr>
                <w:rFonts w:ascii="Times New Roman" w:cs="Times New Roman" w:eastAsia="Times New Roman" w:hAnsi="Times New Roman"/>
                <w:sz w:val="11"/>
                <w:szCs w:val="11"/>
                <w:color w:val="auto"/>
              </w:rPr>
              <w:t>evaluates Nokia’s environmental and social activities and</w:t>
            </w:r>
          </w:p>
        </w:tc>
        <w:tc>
          <w:tcPr>
            <w:tcW w:w="280" w:type="dxa"/>
            <w:vAlign w:val="bottom"/>
          </w:tcPr>
          <w:p>
            <w:pPr>
              <w:spacing w:after="0"/>
              <w:rPr>
                <w:sz w:val="13"/>
                <w:szCs w:val="13"/>
                <w:color w:val="auto"/>
              </w:rPr>
            </w:pPr>
          </w:p>
        </w:tc>
        <w:tc>
          <w:tcPr>
            <w:tcW w:w="304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strategy embeds into its technology strategy and roadmaps.</w:t>
            </w:r>
          </w:p>
        </w:tc>
        <w:tc>
          <w:tcPr>
            <w:tcW w:w="0" w:type="dxa"/>
            <w:vAlign w:val="bottom"/>
          </w:tcPr>
          <w:p>
            <w:pPr>
              <w:spacing w:after="0"/>
              <w:rPr>
                <w:sz w:val="1"/>
                <w:szCs w:val="1"/>
                <w:color w:val="auto"/>
              </w:rPr>
            </w:pPr>
          </w:p>
        </w:tc>
      </w:tr>
      <w:tr>
        <w:trPr>
          <w:trHeight w:val="142"/>
        </w:trPr>
        <w:tc>
          <w:tcPr>
            <w:tcW w:w="2980" w:type="dxa"/>
            <w:vAlign w:val="bottom"/>
          </w:tcPr>
          <w:p>
            <w:pPr>
              <w:spacing w:after="0"/>
              <w:rPr>
                <w:sz w:val="20"/>
                <w:szCs w:val="20"/>
                <w:color w:val="auto"/>
              </w:rPr>
            </w:pPr>
            <w:r>
              <w:rPr>
                <w:rFonts w:ascii="Times New Roman" w:cs="Times New Roman" w:eastAsia="Times New Roman" w:hAnsi="Times New Roman"/>
                <w:sz w:val="11"/>
                <w:szCs w:val="11"/>
                <w:color w:val="auto"/>
              </w:rPr>
              <w:t>governance practices, related risks and target setting as well as</w:t>
            </w:r>
          </w:p>
        </w:tc>
        <w:tc>
          <w:tcPr>
            <w:tcW w:w="280" w:type="dxa"/>
            <w:vAlign w:val="bottom"/>
          </w:tcPr>
          <w:p>
            <w:pPr>
              <w:spacing w:after="0"/>
              <w:rPr>
                <w:sz w:val="12"/>
                <w:szCs w:val="12"/>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b w:val="1"/>
                <w:bCs w:val="1"/>
                <w:color w:val="auto"/>
              </w:rPr>
              <w:t>Board oversight of cybersecurity</w:t>
            </w:r>
          </w:p>
        </w:tc>
        <w:tc>
          <w:tcPr>
            <w:tcW w:w="0" w:type="dxa"/>
            <w:vAlign w:val="bottom"/>
          </w:tcPr>
          <w:p>
            <w:pPr>
              <w:spacing w:after="0"/>
              <w:rPr>
                <w:sz w:val="1"/>
                <w:szCs w:val="1"/>
                <w:color w:val="auto"/>
              </w:rPr>
            </w:pPr>
          </w:p>
        </w:tc>
      </w:tr>
      <w:tr>
        <w:trPr>
          <w:trHeight w:val="6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their implementation and effectiveness across the Company</w:t>
            </w:r>
          </w:p>
        </w:tc>
        <w:tc>
          <w:tcPr>
            <w:tcW w:w="280" w:type="dxa"/>
            <w:vAlign w:val="bottom"/>
            <w:vMerge w:val="restart"/>
          </w:tcPr>
          <w:p>
            <w:pPr>
              <w:jc w:val="right"/>
              <w:ind w:right="83"/>
              <w:spacing w:after="0"/>
              <w:rPr>
                <w:sz w:val="20"/>
                <w:szCs w:val="20"/>
                <w:color w:val="auto"/>
              </w:rPr>
            </w:pPr>
            <w:r>
              <w:rPr>
                <w:rFonts w:ascii="Times New Roman" w:cs="Times New Roman" w:eastAsia="Times New Roman" w:hAnsi="Times New Roman"/>
                <w:sz w:val="11"/>
                <w:szCs w:val="11"/>
                <w:color w:val="auto"/>
                <w:highlight w:val="white"/>
              </w:rPr>
              <w:t>.</w:t>
            </w:r>
          </w:p>
        </w:tc>
        <w:tc>
          <w:tcPr>
            <w:tcW w:w="30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vMerge w:val="continue"/>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Nokia group-level security is set up in four domains: product,</w:t>
            </w:r>
          </w:p>
        </w:tc>
        <w:tc>
          <w:tcPr>
            <w:tcW w:w="0" w:type="dxa"/>
            <w:vAlign w:val="bottom"/>
          </w:tcPr>
          <w:p>
            <w:pPr>
              <w:spacing w:after="0"/>
              <w:rPr>
                <w:sz w:val="1"/>
                <w:szCs w:val="1"/>
                <w:color w:val="auto"/>
              </w:rPr>
            </w:pPr>
          </w:p>
        </w:tc>
      </w:tr>
      <w:tr>
        <w:trPr>
          <w:trHeight w:val="5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In 2023, the Board reviewed our sustainability strategy and</w:t>
            </w:r>
          </w:p>
        </w:tc>
        <w:tc>
          <w:tcPr>
            <w:tcW w:w="280" w:type="dxa"/>
            <w:vAlign w:val="bottom"/>
          </w:tcPr>
          <w:p>
            <w:pPr>
              <w:spacing w:after="0"/>
              <w:rPr>
                <w:sz w:val="4"/>
                <w:szCs w:val="4"/>
                <w:color w:val="auto"/>
              </w:rPr>
            </w:pPr>
          </w:p>
        </w:tc>
        <w:tc>
          <w:tcPr>
            <w:tcW w:w="30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service, information, and customer security. While the</w:t>
            </w:r>
          </w:p>
        </w:tc>
        <w:tc>
          <w:tcPr>
            <w:tcW w:w="0" w:type="dxa"/>
            <w:vAlign w:val="bottom"/>
          </w:tcPr>
          <w:p>
            <w:pPr>
              <w:spacing w:after="0"/>
              <w:rPr>
                <w:sz w:val="1"/>
                <w:szCs w:val="1"/>
                <w:color w:val="auto"/>
              </w:rPr>
            </w:pPr>
          </w:p>
        </w:tc>
      </w:tr>
      <w:tr>
        <w:trPr>
          <w:trHeight w:val="6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targets, approved the targets on climate change and diversity</w:t>
            </w:r>
          </w:p>
        </w:tc>
        <w:tc>
          <w:tcPr>
            <w:tcW w:w="280" w:type="dxa"/>
            <w:vAlign w:val="bottom"/>
          </w:tcPr>
          <w:p>
            <w:pPr>
              <w:spacing w:after="0"/>
              <w:rPr>
                <w:sz w:val="5"/>
                <w:szCs w:val="5"/>
                <w:color w:val="auto"/>
              </w:rPr>
            </w:pPr>
          </w:p>
        </w:tc>
        <w:tc>
          <w:tcPr>
            <w:tcW w:w="30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oversight of the security risks and their management, including</w:t>
            </w:r>
          </w:p>
        </w:tc>
        <w:tc>
          <w:tcPr>
            <w:tcW w:w="0" w:type="dxa"/>
            <w:vAlign w:val="bottom"/>
          </w:tcPr>
          <w:p>
            <w:pPr>
              <w:spacing w:after="0"/>
              <w:rPr>
                <w:sz w:val="1"/>
                <w:szCs w:val="1"/>
                <w:color w:val="auto"/>
              </w:rPr>
            </w:pPr>
          </w:p>
        </w:tc>
      </w:tr>
      <w:tr>
        <w:trPr>
          <w:trHeight w:val="5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included in the short-term incentive program and monitored</w:t>
            </w:r>
          </w:p>
        </w:tc>
        <w:tc>
          <w:tcPr>
            <w:tcW w:w="280" w:type="dxa"/>
            <w:vAlign w:val="bottom"/>
          </w:tcPr>
          <w:p>
            <w:pPr>
              <w:spacing w:after="0"/>
              <w:rPr>
                <w:sz w:val="4"/>
                <w:szCs w:val="4"/>
                <w:color w:val="auto"/>
              </w:rPr>
            </w:pPr>
          </w:p>
        </w:tc>
        <w:tc>
          <w:tcPr>
            <w:tcW w:w="30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cybersecurity, is a Board level responsibility in the Company,</w:t>
            </w:r>
          </w:p>
        </w:tc>
        <w:tc>
          <w:tcPr>
            <w:tcW w:w="0" w:type="dxa"/>
            <w:vAlign w:val="bottom"/>
          </w:tcPr>
          <w:p>
            <w:pPr>
              <w:spacing w:after="0"/>
              <w:rPr>
                <w:sz w:val="1"/>
                <w:szCs w:val="1"/>
                <w:color w:val="auto"/>
              </w:rPr>
            </w:pPr>
          </w:p>
        </w:tc>
      </w:tr>
      <w:tr>
        <w:trPr>
          <w:trHeight w:val="6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them and other ESG targets, as well as the evolving ESG</w:t>
            </w:r>
          </w:p>
        </w:tc>
        <w:tc>
          <w:tcPr>
            <w:tcW w:w="280" w:type="dxa"/>
            <w:vAlign w:val="bottom"/>
          </w:tcPr>
          <w:p>
            <w:pPr>
              <w:spacing w:after="0"/>
              <w:rPr>
                <w:sz w:val="5"/>
                <w:szCs w:val="5"/>
                <w:color w:val="auto"/>
              </w:rPr>
            </w:pPr>
          </w:p>
        </w:tc>
        <w:tc>
          <w:tcPr>
            <w:tcW w:w="30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the detailed reviews of the different security domains are</w:t>
            </w:r>
          </w:p>
        </w:tc>
        <w:tc>
          <w:tcPr>
            <w:tcW w:w="0" w:type="dxa"/>
            <w:vAlign w:val="bottom"/>
          </w:tcPr>
          <w:p>
            <w:pPr>
              <w:spacing w:after="0"/>
              <w:rPr>
                <w:sz w:val="1"/>
                <w:szCs w:val="1"/>
                <w:color w:val="auto"/>
              </w:rPr>
            </w:pPr>
          </w:p>
        </w:tc>
      </w:tr>
      <w:tr>
        <w:trPr>
          <w:trHeight w:val="6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requirements and expectations, investor feedback, our</w:t>
            </w:r>
          </w:p>
        </w:tc>
        <w:tc>
          <w:tcPr>
            <w:tcW w:w="280" w:type="dxa"/>
            <w:vAlign w:val="bottom"/>
          </w:tcPr>
          <w:p>
            <w:pPr>
              <w:spacing w:after="0"/>
              <w:rPr>
                <w:sz w:val="5"/>
                <w:szCs w:val="5"/>
                <w:color w:val="auto"/>
              </w:rPr>
            </w:pPr>
          </w:p>
        </w:tc>
        <w:tc>
          <w:tcPr>
            <w:tcW w:w="30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2980" w:type="dxa"/>
            <w:vAlign w:val="bottom"/>
            <w:vMerge w:val="continue"/>
          </w:tcPr>
          <w:p>
            <w:pPr>
              <w:spacing w:after="0"/>
              <w:rPr>
                <w:sz w:val="7"/>
                <w:szCs w:val="7"/>
                <w:color w:val="auto"/>
              </w:rPr>
            </w:pPr>
          </w:p>
        </w:tc>
        <w:tc>
          <w:tcPr>
            <w:tcW w:w="280" w:type="dxa"/>
            <w:vAlign w:val="bottom"/>
          </w:tcPr>
          <w:p>
            <w:pPr>
              <w:spacing w:after="0"/>
              <w:rPr>
                <w:sz w:val="7"/>
                <w:szCs w:val="7"/>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allocated to the Committees of the Board. These Committees</w:t>
            </w:r>
          </w:p>
        </w:tc>
        <w:tc>
          <w:tcPr>
            <w:tcW w:w="0" w:type="dxa"/>
            <w:vAlign w:val="bottom"/>
          </w:tcPr>
          <w:p>
            <w:pPr>
              <w:spacing w:after="0"/>
              <w:rPr>
                <w:sz w:val="1"/>
                <w:szCs w:val="1"/>
                <w:color w:val="auto"/>
              </w:rPr>
            </w:pPr>
          </w:p>
        </w:tc>
      </w:tr>
      <w:tr>
        <w:trPr>
          <w:trHeight w:val="51"/>
        </w:trPr>
        <w:tc>
          <w:tcPr>
            <w:tcW w:w="29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highlight w:val="white"/>
              </w:rPr>
              <w:t>disclosure approach, and Nokia’s net zero strategy and roadmap.</w:t>
            </w:r>
          </w:p>
        </w:tc>
        <w:tc>
          <w:tcPr>
            <w:tcW w:w="280" w:type="dxa"/>
            <w:vAlign w:val="bottom"/>
          </w:tcPr>
          <w:p>
            <w:pPr>
              <w:spacing w:after="0"/>
              <w:rPr>
                <w:sz w:val="4"/>
                <w:szCs w:val="4"/>
                <w:color w:val="auto"/>
              </w:rPr>
            </w:pPr>
          </w:p>
        </w:tc>
        <w:tc>
          <w:tcPr>
            <w:tcW w:w="30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98"/>
        </w:trPr>
        <w:tc>
          <w:tcPr>
            <w:tcW w:w="2980" w:type="dxa"/>
            <w:vAlign w:val="bottom"/>
            <w:vMerge w:val="continue"/>
          </w:tcPr>
          <w:p>
            <w:pPr>
              <w:spacing w:after="0"/>
              <w:rPr>
                <w:sz w:val="8"/>
                <w:szCs w:val="8"/>
                <w:color w:val="auto"/>
              </w:rPr>
            </w:pPr>
          </w:p>
        </w:tc>
        <w:tc>
          <w:tcPr>
            <w:tcW w:w="280" w:type="dxa"/>
            <w:vAlign w:val="bottom"/>
          </w:tcPr>
          <w:p>
            <w:pPr>
              <w:spacing w:after="0"/>
              <w:rPr>
                <w:sz w:val="8"/>
                <w:szCs w:val="8"/>
                <w:color w:val="auto"/>
              </w:rPr>
            </w:pPr>
          </w:p>
        </w:tc>
        <w:tc>
          <w:tcPr>
            <w:tcW w:w="304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are responsible for monitoring and assessing the security,</w:t>
            </w:r>
          </w:p>
        </w:tc>
        <w:tc>
          <w:tcPr>
            <w:tcW w:w="0" w:type="dxa"/>
            <w:vAlign w:val="bottom"/>
          </w:tcPr>
          <w:p>
            <w:pPr>
              <w:spacing w:after="0"/>
              <w:rPr>
                <w:sz w:val="1"/>
                <w:szCs w:val="1"/>
                <w:color w:val="auto"/>
              </w:rPr>
            </w:pPr>
          </w:p>
        </w:tc>
      </w:tr>
      <w:tr>
        <w:trPr>
          <w:trHeight w:val="51"/>
        </w:trPr>
        <w:tc>
          <w:tcPr>
            <w:tcW w:w="2980" w:type="dxa"/>
            <w:vAlign w:val="bottom"/>
          </w:tcPr>
          <w:p>
            <w:pPr>
              <w:spacing w:after="0"/>
              <w:rPr>
                <w:sz w:val="4"/>
                <w:szCs w:val="4"/>
                <w:color w:val="auto"/>
              </w:rPr>
            </w:pPr>
          </w:p>
        </w:tc>
        <w:tc>
          <w:tcPr>
            <w:tcW w:w="280" w:type="dxa"/>
            <w:vAlign w:val="bottom"/>
          </w:tcPr>
          <w:p>
            <w:pPr>
              <w:spacing w:after="0"/>
              <w:rPr>
                <w:sz w:val="4"/>
                <w:szCs w:val="4"/>
                <w:color w:val="auto"/>
              </w:rPr>
            </w:pPr>
          </w:p>
        </w:tc>
        <w:tc>
          <w:tcPr>
            <w:tcW w:w="30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p>
      <w:pPr>
        <w:sectPr>
          <w:pgSz w:w="11900" w:h="16838" w:orient="portrait"/>
          <w:cols w:equalWidth="0" w:num="2">
            <w:col w:w="2860" w:space="540"/>
            <w:col w:w="6580"/>
          </w:cols>
          <w:pgMar w:left="960" w:top="409" w:right="959" w:bottom="1440" w:gutter="0" w:footer="0" w:header="0"/>
          <w:type w:val="continuous"/>
        </w:sectPr>
      </w:pPr>
    </w:p>
    <w:p>
      <w:pPr>
        <w:spacing w:after="0" w:line="265" w:lineRule="auto"/>
        <w:rPr>
          <w:sz w:val="20"/>
          <w:szCs w:val="20"/>
          <w:color w:val="auto"/>
        </w:rPr>
      </w:pPr>
      <w:r>
        <w:rPr>
          <w:rFonts w:ascii="Times New Roman" w:cs="Times New Roman" w:eastAsia="Times New Roman" w:hAnsi="Times New Roman"/>
          <w:sz w:val="11"/>
          <w:szCs w:val="11"/>
          <w:color w:val="auto"/>
        </w:rPr>
        <w:t>independence of Nokia’s external auditor, as well as monitoring the Company’s statutory audit. The Board’s responsibilities also include overseeing the structure and composition of our top management and monitoring legal compliance and the management of risks related to our operations. In doing so, the Board may set annual ranges and/or individual limits for capital expenditures, investments and divestitures and other financial and non-financial commitments that may not be exceeded without a separate Board approval.</w:t>
      </w:r>
    </w:p>
    <w:p>
      <w:pPr>
        <w:spacing w:after="0" w:line="51"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In risk management, the Board’s role includes risk analysis and assessment in connection with financial, strategy and business reviews, updates and decision-making proposals. Risk management policies and processes are an integral part of Board deliberations and risk-related updates are provided to the Board on a recurring basis. For a more detailed description of our risk management policies and processes, refer to the “Risk management, internal control and internal audit functions at Nokia—Risk management principles” section.</w:t>
      </w:r>
    </w:p>
    <w:p>
      <w:pPr>
        <w:spacing w:after="0" w:line="200" w:lineRule="exact"/>
        <w:rPr>
          <w:sz w:val="20"/>
          <w:szCs w:val="20"/>
          <w:color w:val="auto"/>
        </w:rPr>
      </w:pPr>
    </w:p>
    <w:p>
      <w:pPr>
        <w:spacing w:after="0" w:line="38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64" w:lineRule="auto"/>
        <w:rPr>
          <w:sz w:val="20"/>
          <w:szCs w:val="20"/>
          <w:color w:val="auto"/>
        </w:rPr>
      </w:pPr>
      <w:r>
        <w:rPr>
          <w:rFonts w:ascii="Times New Roman" w:cs="Times New Roman" w:eastAsia="Times New Roman" w:hAnsi="Times New Roman"/>
          <w:sz w:val="11"/>
          <w:szCs w:val="11"/>
          <w:color w:val="auto"/>
          <w:highlight w:val="white"/>
        </w:rPr>
        <w:t>In addition, the Board Committees monitor environmental and social developments and activities in the Company in their respective areas of responsibilities. During 2023, the Audit Committee’s responsibilities included the continued implementation planning of new climate- and other sustainability reporting requirements, preparing the proposal for election of the auditor carrying out the assurance of the sustainability reporting, and oversight of the ethics and compliance program and cybersecurity risks and maturity. The Audit Committee also reviews sustainability disclosures annually, as well as the information on the use of conflict minerals in Nokia’s products presented in the annual reports and the related regulatory filings.</w:t>
      </w:r>
    </w:p>
    <w:p>
      <w:pPr>
        <w:spacing w:after="0" w:line="20" w:lineRule="exact"/>
        <w:rPr>
          <w:sz w:val="20"/>
          <w:szCs w:val="20"/>
          <w:color w:val="auto"/>
        </w:rPr>
      </w:pPr>
      <w:r>
        <w:rPr>
          <w:sz w:val="20"/>
          <w:szCs w:val="20"/>
          <w:color w:val="auto"/>
        </w:rPr>
        <w:br w:type="column"/>
      </w:r>
    </w:p>
    <w:p>
      <w:pPr>
        <w:ind w:right="260"/>
        <w:spacing w:after="0" w:line="263" w:lineRule="auto"/>
        <w:rPr>
          <w:sz w:val="20"/>
          <w:szCs w:val="20"/>
          <w:color w:val="auto"/>
        </w:rPr>
      </w:pPr>
      <w:r>
        <w:rPr>
          <w:rFonts w:ascii="Times New Roman" w:cs="Times New Roman" w:eastAsia="Times New Roman" w:hAnsi="Times New Roman"/>
          <w:sz w:val="11"/>
          <w:szCs w:val="11"/>
          <w:color w:val="auto"/>
        </w:rPr>
        <w:t>including cybersecurity-related risks and reporting to the Board in their respective areas of responsibilities. The responsibilities of the Audit Committee include oversight of the management and processes related to the IT and services security risks and maturity, including security-related controls, compliance, incident process, disclosures and risk management. The Technology Committee oversees the product and customer security risk management. The Committees report to the Board on a regular basis and prepare recommendations to the Board, whenever deemed necessary. In addition, the Board receives regularly updates on cybersecurity.</w:t>
      </w:r>
    </w:p>
    <w:p>
      <w:pPr>
        <w:sectPr>
          <w:pgSz w:w="11900" w:h="16838" w:orient="portrait"/>
          <w:cols w:equalWidth="0" w:num="3">
            <w:col w:w="2920" w:space="480"/>
            <w:col w:w="2780" w:space="620"/>
            <w:col w:w="3180"/>
          </w:cols>
          <w:pgMar w:left="960" w:top="409" w:right="959" w:bottom="1440" w:gutter="0" w:footer="0" w:header="0"/>
          <w:type w:val="continuous"/>
        </w:sectPr>
      </w:pPr>
    </w:p>
    <w:bookmarkStart w:id="50" w:name="page51"/>
    <w:bookmarkEnd w:id="50"/>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50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860" w:type="dxa"/>
            <w:vAlign w:val="bottom"/>
          </w:tcPr>
          <w:p>
            <w:pPr>
              <w:ind w:left="6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43</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50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860" w:type="dxa"/>
            <w:vAlign w:val="bottom"/>
          </w:tcPr>
          <w:p>
            <w:pPr>
              <w:ind w:left="6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500" w:type="dxa"/>
            <w:vAlign w:val="bottom"/>
          </w:tcPr>
          <w:p>
            <w:pPr>
              <w:spacing w:after="0"/>
              <w:rPr>
                <w:sz w:val="3"/>
                <w:szCs w:val="3"/>
                <w:color w:val="auto"/>
              </w:rPr>
            </w:pPr>
          </w:p>
        </w:tc>
        <w:tc>
          <w:tcPr>
            <w:tcW w:w="86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50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86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9"/>
        </w:trPr>
        <w:tc>
          <w:tcPr>
            <w:tcW w:w="3340" w:type="dxa"/>
            <w:vAlign w:val="bottom"/>
            <w:gridSpan w:val="4"/>
          </w:tcPr>
          <w:p>
            <w:pPr>
              <w:spacing w:after="0"/>
              <w:rPr>
                <w:sz w:val="20"/>
                <w:szCs w:val="20"/>
                <w:color w:val="auto"/>
              </w:rPr>
            </w:pPr>
            <w:r>
              <w:rPr>
                <w:rFonts w:ascii="Times New Roman" w:cs="Times New Roman" w:eastAsia="Times New Roman" w:hAnsi="Times New Roman"/>
                <w:sz w:val="11"/>
                <w:szCs w:val="11"/>
                <w:b w:val="1"/>
                <w:bCs w:val="1"/>
                <w:color w:val="auto"/>
              </w:rPr>
              <w:t>Key areas of focus for the Board’s and its Committees’ activities in</w:t>
            </w:r>
          </w:p>
        </w:tc>
        <w:tc>
          <w:tcPr>
            <w:tcW w:w="860" w:type="dxa"/>
            <w:vAlign w:val="bottom"/>
          </w:tcPr>
          <w:p>
            <w:pPr>
              <w:jc w:val="right"/>
              <w:ind w:right="389"/>
              <w:spacing w:after="0"/>
              <w:rPr>
                <w:sz w:val="20"/>
                <w:szCs w:val="20"/>
                <w:color w:val="auto"/>
              </w:rPr>
            </w:pPr>
            <w:r>
              <w:rPr>
                <w:rFonts w:ascii="Times New Roman" w:cs="Times New Roman" w:eastAsia="Times New Roman" w:hAnsi="Times New Roman"/>
                <w:sz w:val="11"/>
                <w:szCs w:val="11"/>
                <w:b w:val="1"/>
                <w:bCs w:val="1"/>
                <w:color w:val="auto"/>
              </w:rPr>
              <w:t>2023</w:t>
            </w: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pPr>
      <w:r>
        <w:rPr>
          <w:rFonts w:ascii="Times New Roman" w:cs="Times New Roman" w:eastAsia="Times New Roman" w:hAnsi="Times New Roman"/>
          <w:sz w:val="11"/>
          <w:szCs w:val="11"/>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The table below sets out a high-level overview of the key areas of focus for the Board’s and its Committees’ activities during the year.</w:t>
      </w:r>
    </w:p>
    <w:p>
      <w:pPr>
        <w:spacing w:after="0" w:line="82" w:lineRule="exact"/>
        <w:rPr>
          <w:sz w:val="20"/>
          <w:szCs w:val="20"/>
          <w:color w:val="auto"/>
        </w:rPr>
      </w:pPr>
    </w:p>
    <w:tbl>
      <w:tblPr>
        <w:tblLayout w:type="fixed"/>
        <w:tblInd w:w="0" w:type="dxa"/>
        <w:tblCellMar>
          <w:top w:w="0" w:type="dxa"/>
          <w:left w:w="0" w:type="dxa"/>
          <w:bottom w:w="0" w:type="dxa"/>
          <w:right w:w="0" w:type="dxa"/>
        </w:tblCellMar>
      </w:tblPr>
      <w:tr>
        <w:trPr>
          <w:trHeight w:val="152"/>
        </w:trPr>
        <w:tc>
          <w:tcPr>
            <w:tcW w:w="700" w:type="dxa"/>
            <w:vAlign w:val="bottom"/>
            <w:shd w:val="clear" w:color="auto" w:fill="005AFF"/>
          </w:tcPr>
          <w:p>
            <w:pPr>
              <w:spacing w:after="0"/>
              <w:rPr>
                <w:sz w:val="13"/>
                <w:szCs w:val="13"/>
                <w:color w:val="auto"/>
              </w:rPr>
            </w:pPr>
          </w:p>
        </w:tc>
        <w:tc>
          <w:tcPr>
            <w:tcW w:w="134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8"/>
                <w:szCs w:val="8"/>
                <w:b w:val="1"/>
                <w:bCs w:val="1"/>
                <w:color w:val="FFFFFF"/>
              </w:rPr>
              <w:t>January</w:t>
            </w:r>
          </w:p>
        </w:tc>
        <w:tc>
          <w:tcPr>
            <w:tcW w:w="1280" w:type="dxa"/>
            <w:vAlign w:val="bottom"/>
            <w:shd w:val="clear" w:color="auto" w:fill="005AFF"/>
          </w:tcPr>
          <w:p>
            <w:pPr>
              <w:ind w:left="80"/>
              <w:spacing w:after="0"/>
              <w:rPr>
                <w:sz w:val="20"/>
                <w:szCs w:val="20"/>
                <w:color w:val="auto"/>
              </w:rPr>
            </w:pPr>
            <w:r>
              <w:rPr>
                <w:rFonts w:ascii="Times New Roman" w:cs="Times New Roman" w:eastAsia="Times New Roman" w:hAnsi="Times New Roman"/>
                <w:sz w:val="8"/>
                <w:szCs w:val="8"/>
                <w:b w:val="1"/>
                <w:bCs w:val="1"/>
                <w:color w:val="FFFFFF"/>
              </w:rPr>
              <w:t>February/March</w:t>
            </w:r>
          </w:p>
        </w:tc>
        <w:tc>
          <w:tcPr>
            <w:tcW w:w="136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8"/>
                <w:szCs w:val="8"/>
                <w:b w:val="1"/>
                <w:bCs w:val="1"/>
                <w:color w:val="FFFFFF"/>
              </w:rPr>
              <w:t>April</w:t>
            </w:r>
          </w:p>
        </w:tc>
        <w:tc>
          <w:tcPr>
            <w:tcW w:w="1320" w:type="dxa"/>
            <w:vAlign w:val="bottom"/>
            <w:shd w:val="clear" w:color="auto" w:fill="005AFF"/>
          </w:tcPr>
          <w:p>
            <w:pPr>
              <w:ind w:left="60"/>
              <w:spacing w:after="0"/>
              <w:rPr>
                <w:sz w:val="20"/>
                <w:szCs w:val="20"/>
                <w:color w:val="auto"/>
              </w:rPr>
            </w:pPr>
            <w:r>
              <w:rPr>
                <w:rFonts w:ascii="Times New Roman" w:cs="Times New Roman" w:eastAsia="Times New Roman" w:hAnsi="Times New Roman"/>
                <w:sz w:val="8"/>
                <w:szCs w:val="8"/>
                <w:b w:val="1"/>
                <w:bCs w:val="1"/>
                <w:color w:val="FFFFFF"/>
              </w:rPr>
              <w:t>May</w:t>
            </w:r>
          </w:p>
        </w:tc>
        <w:tc>
          <w:tcPr>
            <w:tcW w:w="13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8"/>
                <w:szCs w:val="8"/>
                <w:b w:val="1"/>
                <w:bCs w:val="1"/>
                <w:color w:val="FFFFFF"/>
              </w:rPr>
              <w:t>July</w:t>
            </w:r>
          </w:p>
        </w:tc>
        <w:tc>
          <w:tcPr>
            <w:tcW w:w="134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8"/>
                <w:szCs w:val="8"/>
                <w:b w:val="1"/>
                <w:bCs w:val="1"/>
                <w:color w:val="FFFFFF"/>
              </w:rPr>
              <w:t>September/October</w:t>
            </w:r>
          </w:p>
        </w:tc>
        <w:tc>
          <w:tcPr>
            <w:tcW w:w="1380" w:type="dxa"/>
            <w:vAlign w:val="bottom"/>
            <w:shd w:val="clear" w:color="auto" w:fill="005AFF"/>
          </w:tcPr>
          <w:p>
            <w:pPr>
              <w:ind w:left="80"/>
              <w:spacing w:after="0"/>
              <w:rPr>
                <w:sz w:val="20"/>
                <w:szCs w:val="20"/>
                <w:color w:val="auto"/>
              </w:rPr>
            </w:pPr>
            <w:r>
              <w:rPr>
                <w:rFonts w:ascii="Times New Roman" w:cs="Times New Roman" w:eastAsia="Times New Roman" w:hAnsi="Times New Roman"/>
                <w:sz w:val="8"/>
                <w:szCs w:val="8"/>
                <w:b w:val="1"/>
                <w:bCs w:val="1"/>
                <w:color w:val="FFFFFF"/>
              </w:rPr>
              <w:t>November</w:t>
            </w:r>
          </w:p>
        </w:tc>
        <w:tc>
          <w:tcPr>
            <w:tcW w:w="0" w:type="dxa"/>
            <w:vAlign w:val="bottom"/>
          </w:tcPr>
          <w:p>
            <w:pPr>
              <w:spacing w:after="0"/>
              <w:rPr>
                <w:sz w:val="1"/>
                <w:szCs w:val="1"/>
                <w:color w:val="auto"/>
              </w:rPr>
            </w:pPr>
          </w:p>
        </w:tc>
      </w:tr>
      <w:tr>
        <w:trPr>
          <w:trHeight w:val="129"/>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Board</w:t>
            </w: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12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report and 20-F</w:t>
            </w:r>
          </w:p>
        </w:tc>
        <w:tc>
          <w:tcPr>
            <w:tcW w:w="136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General Meeting</w:t>
            </w: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13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strategy meeting</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reviews</w:t>
            </w:r>
          </w:p>
        </w:tc>
        <w:tc>
          <w:tcPr>
            <w:tcW w:w="12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Remuneration Report</w:t>
            </w: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(AGM) and appointing</w:t>
            </w: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reviews</w:t>
            </w: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reviews</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Geopraphical market</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reviews</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Q4 and 2022 financials</w:t>
            </w: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2022</w:t>
            </w: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Board Chair, Vice Chair and</w:t>
            </w: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Strategy</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Q2 financials</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deep-give</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Strategy</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AGM proposals, incl. profit</w:t>
            </w:r>
          </w:p>
        </w:tc>
        <w:tc>
          <w:tcPr>
            <w:tcW w:w="1280" w:type="dxa"/>
            <w:vAlign w:val="bottom"/>
          </w:tcPr>
          <w:p>
            <w:pPr>
              <w:spacing w:after="0"/>
              <w:rPr>
                <w:sz w:val="10"/>
                <w:szCs w:val="10"/>
                <w:color w:val="auto"/>
              </w:rPr>
            </w:pP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Committee members</w:t>
            </w: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Geopolitical update</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Strategy</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Long-range forecast and</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distribution</w:t>
            </w:r>
          </w:p>
        </w:tc>
        <w:tc>
          <w:tcPr>
            <w:tcW w:w="1280" w:type="dxa"/>
            <w:vAlign w:val="bottom"/>
          </w:tcPr>
          <w:p>
            <w:pPr>
              <w:spacing w:after="0"/>
              <w:rPr>
                <w:sz w:val="10"/>
                <w:szCs w:val="10"/>
                <w:color w:val="auto"/>
              </w:rPr>
            </w:pP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Business and financial</w:t>
            </w: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Product and customer</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ESG review</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reviews</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annual target setting</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Policy and Charter</w:t>
            </w:r>
          </w:p>
        </w:tc>
        <w:tc>
          <w:tcPr>
            <w:tcW w:w="1280" w:type="dxa"/>
            <w:vAlign w:val="bottom"/>
          </w:tcPr>
          <w:p>
            <w:pPr>
              <w:spacing w:after="0"/>
              <w:rPr>
                <w:sz w:val="10"/>
                <w:szCs w:val="10"/>
                <w:color w:val="auto"/>
              </w:rPr>
            </w:pP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reviews</w:t>
            </w: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security update</w:t>
            </w:r>
          </w:p>
        </w:tc>
        <w:tc>
          <w:tcPr>
            <w:tcW w:w="132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Q3 financials</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Key risks review</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review</w:t>
            </w:r>
          </w:p>
        </w:tc>
        <w:tc>
          <w:tcPr>
            <w:tcW w:w="1280" w:type="dxa"/>
            <w:vAlign w:val="bottom"/>
          </w:tcPr>
          <w:p>
            <w:pPr>
              <w:spacing w:after="0"/>
              <w:rPr>
                <w:sz w:val="10"/>
                <w:szCs w:val="10"/>
                <w:color w:val="auto"/>
              </w:rPr>
            </w:pP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Strategy</w:t>
            </w: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Digitalization update</w:t>
            </w:r>
          </w:p>
        </w:tc>
        <w:tc>
          <w:tcPr>
            <w:tcW w:w="132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GLT succession planning</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Board evaluation</w:t>
            </w:r>
          </w:p>
        </w:tc>
        <w:tc>
          <w:tcPr>
            <w:tcW w:w="1280" w:type="dxa"/>
            <w:vAlign w:val="bottom"/>
          </w:tcPr>
          <w:p>
            <w:pPr>
              <w:spacing w:after="0"/>
              <w:rPr>
                <w:sz w:val="10"/>
                <w:szCs w:val="10"/>
                <w:color w:val="auto"/>
              </w:rPr>
            </w:pP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Q1 financials</w:t>
            </w: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Ethics &amp; compliance update</w:t>
            </w:r>
          </w:p>
        </w:tc>
        <w:tc>
          <w:tcPr>
            <w:tcW w:w="132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update</w:t>
            </w:r>
          </w:p>
        </w:tc>
        <w:tc>
          <w:tcPr>
            <w:tcW w:w="0" w:type="dxa"/>
            <w:vAlign w:val="bottom"/>
          </w:tcPr>
          <w:p>
            <w:pPr>
              <w:spacing w:after="0"/>
              <w:rPr>
                <w:sz w:val="1"/>
                <w:szCs w:val="1"/>
                <w:color w:val="auto"/>
              </w:rPr>
            </w:pPr>
          </w:p>
        </w:tc>
      </w:tr>
      <w:tr>
        <w:trPr>
          <w:trHeight w:val="114"/>
        </w:trPr>
        <w:tc>
          <w:tcPr>
            <w:tcW w:w="700" w:type="dxa"/>
            <w:vAlign w:val="bottom"/>
          </w:tcPr>
          <w:p>
            <w:pPr>
              <w:spacing w:after="0"/>
              <w:rPr>
                <w:sz w:val="9"/>
                <w:szCs w:val="9"/>
                <w:color w:val="auto"/>
              </w:rPr>
            </w:pPr>
          </w:p>
        </w:tc>
        <w:tc>
          <w:tcPr>
            <w:tcW w:w="1340" w:type="dxa"/>
            <w:vAlign w:val="bottom"/>
          </w:tcPr>
          <w:p>
            <w:pPr>
              <w:ind w:left="100"/>
              <w:spacing w:after="0" w:line="114"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Review of CEO’s</w:t>
            </w:r>
          </w:p>
        </w:tc>
        <w:tc>
          <w:tcPr>
            <w:tcW w:w="1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320" w:type="dxa"/>
            <w:vAlign w:val="bottom"/>
          </w:tcPr>
          <w:p>
            <w:pPr>
              <w:ind w:left="60"/>
              <w:spacing w:after="0" w:line="114"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Litigation update</w:t>
            </w:r>
          </w:p>
        </w:tc>
        <w:tc>
          <w:tcPr>
            <w:tcW w:w="1320" w:type="dxa"/>
            <w:vAlign w:val="bottom"/>
          </w:tcPr>
          <w:p>
            <w:pPr>
              <w:spacing w:after="0"/>
              <w:rPr>
                <w:sz w:val="9"/>
                <w:szCs w:val="9"/>
                <w:color w:val="auto"/>
              </w:rPr>
            </w:pPr>
          </w:p>
        </w:tc>
        <w:tc>
          <w:tcPr>
            <w:tcW w:w="1340" w:type="dxa"/>
            <w:vAlign w:val="bottom"/>
          </w:tcPr>
          <w:p>
            <w:pPr>
              <w:spacing w:after="0"/>
              <w:rPr>
                <w:sz w:val="9"/>
                <w:szCs w:val="9"/>
                <w:color w:val="auto"/>
              </w:rPr>
            </w:pPr>
          </w:p>
        </w:tc>
        <w:tc>
          <w:tcPr>
            <w:tcW w:w="1380" w:type="dxa"/>
            <w:vAlign w:val="bottom"/>
          </w:tcPr>
          <w:p>
            <w:pPr>
              <w:ind w:left="80"/>
              <w:spacing w:after="0" w:line="114"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Investors’ feedback on</w:t>
            </w:r>
          </w:p>
        </w:tc>
        <w:tc>
          <w:tcPr>
            <w:tcW w:w="0" w:type="dxa"/>
            <w:vAlign w:val="bottom"/>
          </w:tcPr>
          <w:p>
            <w:pPr>
              <w:spacing w:after="0"/>
              <w:rPr>
                <w:sz w:val="1"/>
                <w:szCs w:val="1"/>
                <w:color w:val="auto"/>
              </w:rPr>
            </w:pPr>
          </w:p>
        </w:tc>
      </w:tr>
      <w:tr>
        <w:trPr>
          <w:trHeight w:val="139"/>
        </w:trPr>
        <w:tc>
          <w:tcPr>
            <w:tcW w:w="700" w:type="dxa"/>
            <w:vAlign w:val="bottom"/>
          </w:tcPr>
          <w:p>
            <w:pPr>
              <w:spacing w:after="0"/>
              <w:rPr>
                <w:sz w:val="12"/>
                <w:szCs w:val="12"/>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performance,</w:t>
            </w:r>
          </w:p>
        </w:tc>
        <w:tc>
          <w:tcPr>
            <w:tcW w:w="1280" w:type="dxa"/>
            <w:vAlign w:val="bottom"/>
          </w:tcPr>
          <w:p>
            <w:pPr>
              <w:spacing w:after="0"/>
              <w:rPr>
                <w:sz w:val="12"/>
                <w:szCs w:val="12"/>
                <w:color w:val="auto"/>
              </w:rPr>
            </w:pPr>
          </w:p>
        </w:tc>
        <w:tc>
          <w:tcPr>
            <w:tcW w:w="1360" w:type="dxa"/>
            <w:vAlign w:val="bottom"/>
          </w:tcPr>
          <w:p>
            <w:pPr>
              <w:spacing w:after="0"/>
              <w:rPr>
                <w:sz w:val="12"/>
                <w:szCs w:val="12"/>
                <w:color w:val="auto"/>
              </w:rPr>
            </w:pP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People strategy and Group</w:t>
            </w:r>
          </w:p>
        </w:tc>
        <w:tc>
          <w:tcPr>
            <w:tcW w:w="132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governance, remuneration</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remuneration and targets</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Leadership Team (GLT)</w:t>
            </w:r>
          </w:p>
        </w:tc>
        <w:tc>
          <w:tcPr>
            <w:tcW w:w="132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and sustainability</w:t>
            </w:r>
          </w:p>
        </w:tc>
        <w:tc>
          <w:tcPr>
            <w:tcW w:w="0" w:type="dxa"/>
            <w:vAlign w:val="bottom"/>
          </w:tcPr>
          <w:p>
            <w:pPr>
              <w:spacing w:after="0"/>
              <w:rPr>
                <w:sz w:val="1"/>
                <w:szCs w:val="1"/>
                <w:color w:val="auto"/>
              </w:rPr>
            </w:pPr>
          </w:p>
        </w:tc>
      </w:tr>
      <w:tr>
        <w:trPr>
          <w:trHeight w:val="122"/>
        </w:trPr>
        <w:tc>
          <w:tcPr>
            <w:tcW w:w="70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succession approach update</w:t>
            </w:r>
          </w:p>
        </w:tc>
        <w:tc>
          <w:tcPr>
            <w:tcW w:w="132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38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23"/>
        </w:trPr>
        <w:tc>
          <w:tcPr>
            <w:tcW w:w="700" w:type="dxa"/>
            <w:vAlign w:val="bottom"/>
            <w:tcBorders>
              <w:bottom w:val="single" w:sz="8" w:color="005AFF"/>
            </w:tcBorders>
          </w:tcPr>
          <w:p>
            <w:pPr>
              <w:spacing w:after="0" w:line="20" w:lineRule="exact"/>
              <w:rPr>
                <w:sz w:val="1"/>
                <w:szCs w:val="1"/>
                <w:color w:val="auto"/>
              </w:rPr>
            </w:pPr>
          </w:p>
        </w:tc>
        <w:tc>
          <w:tcPr>
            <w:tcW w:w="1340" w:type="dxa"/>
            <w:vAlign w:val="bottom"/>
            <w:tcBorders>
              <w:bottom w:val="single" w:sz="8" w:color="005AFF"/>
            </w:tcBorders>
          </w:tcPr>
          <w:p>
            <w:pPr>
              <w:spacing w:after="0" w:line="20" w:lineRule="exact"/>
              <w:rPr>
                <w:sz w:val="1"/>
                <w:szCs w:val="1"/>
                <w:color w:val="auto"/>
              </w:rPr>
            </w:pPr>
          </w:p>
        </w:tc>
        <w:tc>
          <w:tcPr>
            <w:tcW w:w="1280" w:type="dxa"/>
            <w:vAlign w:val="bottom"/>
            <w:tcBorders>
              <w:bottom w:val="single" w:sz="8" w:color="005AFF"/>
            </w:tcBorders>
          </w:tcPr>
          <w:p>
            <w:pPr>
              <w:spacing w:after="0" w:line="20" w:lineRule="exact"/>
              <w:rPr>
                <w:sz w:val="1"/>
                <w:szCs w:val="1"/>
                <w:color w:val="auto"/>
              </w:rPr>
            </w:pPr>
          </w:p>
        </w:tc>
        <w:tc>
          <w:tcPr>
            <w:tcW w:w="1360" w:type="dxa"/>
            <w:vAlign w:val="bottom"/>
            <w:tcBorders>
              <w:bottom w:val="single" w:sz="8" w:color="005AFF"/>
            </w:tcBorders>
          </w:tcPr>
          <w:p>
            <w:pPr>
              <w:spacing w:after="0" w:line="20" w:lineRule="exact"/>
              <w:rPr>
                <w:sz w:val="1"/>
                <w:szCs w:val="1"/>
                <w:color w:val="auto"/>
              </w:rPr>
            </w:pPr>
          </w:p>
        </w:tc>
        <w:tc>
          <w:tcPr>
            <w:tcW w:w="1320" w:type="dxa"/>
            <w:vAlign w:val="bottom"/>
            <w:tcBorders>
              <w:bottom w:val="single" w:sz="8" w:color="005AFF"/>
            </w:tcBorders>
          </w:tcPr>
          <w:p>
            <w:pPr>
              <w:spacing w:after="0" w:line="20" w:lineRule="exact"/>
              <w:rPr>
                <w:sz w:val="1"/>
                <w:szCs w:val="1"/>
                <w:color w:val="auto"/>
              </w:rPr>
            </w:pPr>
          </w:p>
        </w:tc>
        <w:tc>
          <w:tcPr>
            <w:tcW w:w="1320" w:type="dxa"/>
            <w:vAlign w:val="bottom"/>
            <w:tcBorders>
              <w:bottom w:val="single" w:sz="8" w:color="005AFF"/>
            </w:tcBorders>
          </w:tcPr>
          <w:p>
            <w:pPr>
              <w:spacing w:after="0" w:line="20" w:lineRule="exact"/>
              <w:rPr>
                <w:sz w:val="1"/>
                <w:szCs w:val="1"/>
                <w:color w:val="auto"/>
              </w:rPr>
            </w:pPr>
          </w:p>
        </w:tc>
        <w:tc>
          <w:tcPr>
            <w:tcW w:w="1340" w:type="dxa"/>
            <w:vAlign w:val="bottom"/>
            <w:tcBorders>
              <w:bottom w:val="single" w:sz="8" w:color="005AFF"/>
            </w:tcBorders>
          </w:tcPr>
          <w:p>
            <w:pPr>
              <w:spacing w:after="0" w:line="20" w:lineRule="exact"/>
              <w:rPr>
                <w:sz w:val="1"/>
                <w:szCs w:val="1"/>
                <w:color w:val="auto"/>
              </w:rPr>
            </w:pPr>
          </w:p>
        </w:tc>
        <w:tc>
          <w:tcPr>
            <w:tcW w:w="1380" w:type="dxa"/>
            <w:vAlign w:val="bottom"/>
            <w:tcBorders>
              <w:bottom w:val="single" w:sz="8" w:color="005AFF"/>
            </w:tcBorders>
          </w:tcPr>
          <w:p>
            <w:pPr>
              <w:spacing w:after="0" w:line="20" w:lineRule="exact"/>
              <w:rPr>
                <w:sz w:val="1"/>
                <w:szCs w:val="1"/>
                <w:color w:val="auto"/>
              </w:rPr>
            </w:pPr>
          </w:p>
        </w:tc>
        <w:tc>
          <w:tcPr>
            <w:tcW w:w="0" w:type="dxa"/>
            <w:vAlign w:val="bottom"/>
          </w:tcPr>
          <w:p>
            <w:pPr>
              <w:spacing w:after="0"/>
              <w:rPr>
                <w:sz w:val="1"/>
                <w:szCs w:val="1"/>
                <w:color w:val="auto"/>
              </w:rPr>
            </w:pPr>
          </w:p>
        </w:tc>
      </w:tr>
      <w:tr>
        <w:trPr>
          <w:trHeight w:val="101"/>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Corporate</w:t>
            </w:r>
          </w:p>
        </w:tc>
        <w:tc>
          <w:tcPr>
            <w:tcW w:w="1340" w:type="dxa"/>
            <w:vAlign w:val="bottom"/>
          </w:tcPr>
          <w:p>
            <w:pPr>
              <w:ind w:left="100"/>
              <w:spacing w:after="0" w:line="10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AGM proposals on Board</w:t>
            </w:r>
          </w:p>
        </w:tc>
        <w:tc>
          <w:tcPr>
            <w:tcW w:w="1280" w:type="dxa"/>
            <w:vAlign w:val="bottom"/>
          </w:tcPr>
          <w:p>
            <w:pPr>
              <w:spacing w:after="0"/>
              <w:rPr>
                <w:sz w:val="8"/>
                <w:szCs w:val="8"/>
                <w:color w:val="auto"/>
              </w:rPr>
            </w:pPr>
          </w:p>
        </w:tc>
        <w:tc>
          <w:tcPr>
            <w:tcW w:w="1360" w:type="dxa"/>
            <w:vAlign w:val="bottom"/>
          </w:tcPr>
          <w:p>
            <w:pPr>
              <w:ind w:left="100"/>
              <w:spacing w:after="0" w:line="10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Committee compositions</w:t>
            </w:r>
          </w:p>
        </w:tc>
        <w:tc>
          <w:tcPr>
            <w:tcW w:w="1320" w:type="dxa"/>
            <w:vAlign w:val="bottom"/>
          </w:tcPr>
          <w:p>
            <w:pPr>
              <w:ind w:left="60"/>
              <w:spacing w:after="0" w:line="10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Planning of Board</w:t>
            </w:r>
          </w:p>
        </w:tc>
        <w:tc>
          <w:tcPr>
            <w:tcW w:w="1320" w:type="dxa"/>
            <w:vAlign w:val="bottom"/>
          </w:tcPr>
          <w:p>
            <w:pPr>
              <w:spacing w:after="0"/>
              <w:rPr>
                <w:sz w:val="8"/>
                <w:szCs w:val="8"/>
                <w:color w:val="auto"/>
              </w:rPr>
            </w:pPr>
          </w:p>
        </w:tc>
        <w:tc>
          <w:tcPr>
            <w:tcW w:w="1340" w:type="dxa"/>
            <w:vAlign w:val="bottom"/>
          </w:tcPr>
          <w:p>
            <w:pPr>
              <w:ind w:left="100"/>
              <w:spacing w:after="0" w:line="10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Corporate governance and</w:t>
            </w:r>
          </w:p>
        </w:tc>
        <w:tc>
          <w:tcPr>
            <w:tcW w:w="1380" w:type="dxa"/>
            <w:vAlign w:val="bottom"/>
          </w:tcPr>
          <w:p>
            <w:pPr>
              <w:ind w:left="80"/>
              <w:spacing w:after="0" w:line="10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Board remuneration review</w:t>
            </w:r>
          </w:p>
        </w:tc>
        <w:tc>
          <w:tcPr>
            <w:tcW w:w="0" w:type="dxa"/>
            <w:vAlign w:val="bottom"/>
          </w:tcPr>
          <w:p>
            <w:pPr>
              <w:spacing w:after="0"/>
              <w:rPr>
                <w:sz w:val="1"/>
                <w:szCs w:val="1"/>
                <w:color w:val="auto"/>
              </w:rPr>
            </w:pPr>
          </w:p>
        </w:tc>
      </w:tr>
      <w:tr>
        <w:trPr>
          <w:trHeight w:val="90"/>
        </w:trPr>
        <w:tc>
          <w:tcPr>
            <w:tcW w:w="700" w:type="dxa"/>
            <w:vAlign w:val="bottom"/>
          </w:tcPr>
          <w:p>
            <w:pPr>
              <w:ind w:left="40"/>
              <w:spacing w:after="0" w:line="90" w:lineRule="exact"/>
              <w:rPr>
                <w:sz w:val="20"/>
                <w:szCs w:val="20"/>
                <w:color w:val="auto"/>
              </w:rPr>
            </w:pPr>
            <w:r>
              <w:rPr>
                <w:rFonts w:ascii="Times New Roman" w:cs="Times New Roman" w:eastAsia="Times New Roman" w:hAnsi="Times New Roman"/>
                <w:sz w:val="8"/>
                <w:szCs w:val="8"/>
                <w:b w:val="1"/>
                <w:bCs w:val="1"/>
                <w:color w:val="005AFF"/>
              </w:rPr>
              <w:t>Governance and</w:t>
            </w:r>
          </w:p>
        </w:tc>
        <w:tc>
          <w:tcPr>
            <w:tcW w:w="1340" w:type="dxa"/>
            <w:vAlign w:val="bottom"/>
            <w:vMerge w:val="restart"/>
          </w:tcPr>
          <w:p>
            <w:pPr>
              <w:ind w:left="200"/>
              <w:spacing w:after="0"/>
              <w:rPr>
                <w:sz w:val="20"/>
                <w:szCs w:val="20"/>
                <w:color w:val="auto"/>
              </w:rPr>
            </w:pPr>
            <w:r>
              <w:rPr>
                <w:rFonts w:ascii="Times New Roman" w:cs="Times New Roman" w:eastAsia="Times New Roman" w:hAnsi="Times New Roman"/>
                <w:sz w:val="9"/>
                <w:szCs w:val="9"/>
                <w:color w:val="0D0D0D"/>
              </w:rPr>
              <w:t>composition and</w:t>
            </w:r>
          </w:p>
        </w:tc>
        <w:tc>
          <w:tcPr>
            <w:tcW w:w="1280" w:type="dxa"/>
            <w:vAlign w:val="bottom"/>
          </w:tcPr>
          <w:p>
            <w:pPr>
              <w:spacing w:after="0"/>
              <w:rPr>
                <w:sz w:val="7"/>
                <w:szCs w:val="7"/>
                <w:color w:val="auto"/>
              </w:rPr>
            </w:pPr>
          </w:p>
        </w:tc>
        <w:tc>
          <w:tcPr>
            <w:tcW w:w="136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Future Board composition</w:t>
            </w:r>
          </w:p>
        </w:tc>
        <w:tc>
          <w:tcPr>
            <w:tcW w:w="1320" w:type="dxa"/>
            <w:vAlign w:val="bottom"/>
            <w:vMerge w:val="restart"/>
          </w:tcPr>
          <w:p>
            <w:pPr>
              <w:ind w:left="160"/>
              <w:spacing w:after="0"/>
              <w:rPr>
                <w:sz w:val="20"/>
                <w:szCs w:val="20"/>
                <w:color w:val="auto"/>
              </w:rPr>
            </w:pPr>
            <w:r>
              <w:rPr>
                <w:rFonts w:ascii="Times New Roman" w:cs="Times New Roman" w:eastAsia="Times New Roman" w:hAnsi="Times New Roman"/>
                <w:sz w:val="9"/>
                <w:szCs w:val="9"/>
                <w:color w:val="0D0D0D"/>
              </w:rPr>
              <w:t>composition proposal</w:t>
            </w:r>
          </w:p>
        </w:tc>
        <w:tc>
          <w:tcPr>
            <w:tcW w:w="1320" w:type="dxa"/>
            <w:vAlign w:val="bottom"/>
          </w:tcPr>
          <w:p>
            <w:pPr>
              <w:spacing w:after="0"/>
              <w:rPr>
                <w:sz w:val="7"/>
                <w:szCs w:val="7"/>
                <w:color w:val="auto"/>
              </w:rPr>
            </w:pPr>
          </w:p>
        </w:tc>
        <w:tc>
          <w:tcPr>
            <w:tcW w:w="1340" w:type="dxa"/>
            <w:vAlign w:val="bottom"/>
            <w:vMerge w:val="restart"/>
          </w:tcPr>
          <w:p>
            <w:pPr>
              <w:ind w:left="200"/>
              <w:spacing w:after="0"/>
              <w:rPr>
                <w:sz w:val="20"/>
                <w:szCs w:val="20"/>
                <w:color w:val="auto"/>
              </w:rPr>
            </w:pPr>
            <w:r>
              <w:rPr>
                <w:rFonts w:ascii="Times New Roman" w:cs="Times New Roman" w:eastAsia="Times New Roman" w:hAnsi="Times New Roman"/>
                <w:sz w:val="9"/>
                <w:szCs w:val="9"/>
                <w:color w:val="0D0D0D"/>
              </w:rPr>
              <w:t>ESG-related developments</w:t>
            </w:r>
          </w:p>
        </w:tc>
        <w:tc>
          <w:tcPr>
            <w:tcW w:w="1380" w:type="dxa"/>
            <w:vAlign w:val="bottom"/>
            <w:vMerge w:val="restart"/>
          </w:tcPr>
          <w:p>
            <w:pPr>
              <w:ind w:left="180"/>
              <w:spacing w:after="0"/>
              <w:rPr>
                <w:sz w:val="20"/>
                <w:szCs w:val="20"/>
                <w:color w:val="auto"/>
              </w:rPr>
            </w:pPr>
            <w:r>
              <w:rPr>
                <w:rFonts w:ascii="Times New Roman" w:cs="Times New Roman" w:eastAsia="Times New Roman" w:hAnsi="Times New Roman"/>
                <w:sz w:val="9"/>
                <w:szCs w:val="9"/>
                <w:color w:val="0D0D0D"/>
              </w:rPr>
              <w:t>and benchmarking</w:t>
            </w:r>
          </w:p>
        </w:tc>
        <w:tc>
          <w:tcPr>
            <w:tcW w:w="0" w:type="dxa"/>
            <w:vAlign w:val="bottom"/>
          </w:tcPr>
          <w:p>
            <w:pPr>
              <w:spacing w:after="0"/>
              <w:rPr>
                <w:sz w:val="1"/>
                <w:szCs w:val="1"/>
                <w:color w:val="auto"/>
              </w:rPr>
            </w:pPr>
          </w:p>
        </w:tc>
      </w:tr>
      <w:tr>
        <w:trPr>
          <w:trHeight w:val="39"/>
        </w:trPr>
        <w:tc>
          <w:tcPr>
            <w:tcW w:w="700" w:type="dxa"/>
            <w:vAlign w:val="bottom"/>
            <w:vMerge w:val="restart"/>
          </w:tcPr>
          <w:p>
            <w:pPr>
              <w:ind w:left="40"/>
              <w:spacing w:after="0"/>
              <w:rPr>
                <w:sz w:val="20"/>
                <w:szCs w:val="20"/>
                <w:color w:val="auto"/>
              </w:rPr>
            </w:pPr>
            <w:r>
              <w:rPr>
                <w:rFonts w:ascii="Times New Roman" w:cs="Times New Roman" w:eastAsia="Times New Roman" w:hAnsi="Times New Roman"/>
                <w:sz w:val="8"/>
                <w:szCs w:val="8"/>
                <w:b w:val="1"/>
                <w:bCs w:val="1"/>
                <w:color w:val="005AFF"/>
              </w:rPr>
              <w:t>Nomination</w:t>
            </w:r>
          </w:p>
        </w:tc>
        <w:tc>
          <w:tcPr>
            <w:tcW w:w="1340" w:type="dxa"/>
            <w:vAlign w:val="bottom"/>
            <w:vMerge w:val="continue"/>
          </w:tcPr>
          <w:p>
            <w:pPr>
              <w:spacing w:after="0"/>
              <w:rPr>
                <w:sz w:val="3"/>
                <w:szCs w:val="3"/>
                <w:color w:val="auto"/>
              </w:rPr>
            </w:pPr>
          </w:p>
        </w:tc>
        <w:tc>
          <w:tcPr>
            <w:tcW w:w="1280" w:type="dxa"/>
            <w:vAlign w:val="bottom"/>
          </w:tcPr>
          <w:p>
            <w:pPr>
              <w:spacing w:after="0"/>
              <w:rPr>
                <w:sz w:val="3"/>
                <w:szCs w:val="3"/>
                <w:color w:val="auto"/>
              </w:rPr>
            </w:pPr>
          </w:p>
        </w:tc>
        <w:tc>
          <w:tcPr>
            <w:tcW w:w="1360" w:type="dxa"/>
            <w:vAlign w:val="bottom"/>
            <w:vMerge w:val="continue"/>
          </w:tcPr>
          <w:p>
            <w:pPr>
              <w:spacing w:after="0"/>
              <w:rPr>
                <w:sz w:val="3"/>
                <w:szCs w:val="3"/>
                <w:color w:val="auto"/>
              </w:rPr>
            </w:pPr>
          </w:p>
        </w:tc>
        <w:tc>
          <w:tcPr>
            <w:tcW w:w="1320" w:type="dxa"/>
            <w:vAlign w:val="bottom"/>
            <w:vMerge w:val="continue"/>
          </w:tcPr>
          <w:p>
            <w:pPr>
              <w:spacing w:after="0"/>
              <w:rPr>
                <w:sz w:val="3"/>
                <w:szCs w:val="3"/>
                <w:color w:val="auto"/>
              </w:rPr>
            </w:pPr>
          </w:p>
        </w:tc>
        <w:tc>
          <w:tcPr>
            <w:tcW w:w="1320" w:type="dxa"/>
            <w:vAlign w:val="bottom"/>
          </w:tcPr>
          <w:p>
            <w:pPr>
              <w:spacing w:after="0"/>
              <w:rPr>
                <w:sz w:val="3"/>
                <w:szCs w:val="3"/>
                <w:color w:val="auto"/>
              </w:rPr>
            </w:pPr>
          </w:p>
        </w:tc>
        <w:tc>
          <w:tcPr>
            <w:tcW w:w="1340" w:type="dxa"/>
            <w:vAlign w:val="bottom"/>
            <w:vMerge w:val="continue"/>
          </w:tcPr>
          <w:p>
            <w:pPr>
              <w:spacing w:after="0"/>
              <w:rPr>
                <w:sz w:val="3"/>
                <w:szCs w:val="3"/>
                <w:color w:val="auto"/>
              </w:rPr>
            </w:pPr>
          </w:p>
        </w:tc>
        <w:tc>
          <w:tcPr>
            <w:tcW w:w="1380" w:type="dxa"/>
            <w:vAlign w:val="bottom"/>
            <w:vMerge w:val="continue"/>
          </w:tcPr>
          <w:p>
            <w:pPr>
              <w:spacing w:after="0"/>
              <w:rPr>
                <w:sz w:val="3"/>
                <w:szCs w:val="3"/>
                <w:color w:val="auto"/>
              </w:rPr>
            </w:pPr>
          </w:p>
        </w:tc>
        <w:tc>
          <w:tcPr>
            <w:tcW w:w="0" w:type="dxa"/>
            <w:vAlign w:val="bottom"/>
          </w:tcPr>
          <w:p>
            <w:pPr>
              <w:spacing w:after="0" w:line="20" w:lineRule="exact"/>
              <w:rPr>
                <w:sz w:val="1"/>
                <w:szCs w:val="1"/>
                <w:color w:val="auto"/>
              </w:rPr>
            </w:pPr>
          </w:p>
        </w:tc>
      </w:tr>
      <w:tr>
        <w:trPr>
          <w:trHeight w:val="52"/>
        </w:trPr>
        <w:tc>
          <w:tcPr>
            <w:tcW w:w="700" w:type="dxa"/>
            <w:vAlign w:val="bottom"/>
            <w:vMerge w:val="continue"/>
          </w:tcPr>
          <w:p>
            <w:pPr>
              <w:spacing w:after="0"/>
              <w:rPr>
                <w:sz w:val="4"/>
                <w:szCs w:val="4"/>
                <w:color w:val="auto"/>
              </w:rPr>
            </w:pPr>
          </w:p>
        </w:tc>
        <w:tc>
          <w:tcPr>
            <w:tcW w:w="1340" w:type="dxa"/>
            <w:vAlign w:val="bottom"/>
            <w:vMerge w:val="restart"/>
          </w:tcPr>
          <w:p>
            <w:pPr>
              <w:ind w:left="200"/>
              <w:spacing w:after="0"/>
              <w:rPr>
                <w:sz w:val="20"/>
                <w:szCs w:val="20"/>
                <w:color w:val="auto"/>
              </w:rPr>
            </w:pPr>
            <w:r>
              <w:rPr>
                <w:rFonts w:ascii="Times New Roman" w:cs="Times New Roman" w:eastAsia="Times New Roman" w:hAnsi="Times New Roman"/>
                <w:sz w:val="9"/>
                <w:szCs w:val="9"/>
                <w:color w:val="0D0D0D"/>
              </w:rPr>
              <w:t>remuneration</w:t>
            </w:r>
          </w:p>
        </w:tc>
        <w:tc>
          <w:tcPr>
            <w:tcW w:w="1280" w:type="dxa"/>
            <w:vAlign w:val="bottom"/>
          </w:tcPr>
          <w:p>
            <w:pPr>
              <w:spacing w:after="0"/>
              <w:rPr>
                <w:sz w:val="4"/>
                <w:szCs w:val="4"/>
                <w:color w:val="auto"/>
              </w:rPr>
            </w:pPr>
          </w:p>
        </w:tc>
        <w:tc>
          <w:tcPr>
            <w:tcW w:w="136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AGM shareholder feedback</w:t>
            </w:r>
          </w:p>
        </w:tc>
        <w:tc>
          <w:tcPr>
            <w:tcW w:w="1320" w:type="dxa"/>
            <w:vAlign w:val="bottom"/>
          </w:tcPr>
          <w:p>
            <w:pPr>
              <w:spacing w:after="0"/>
              <w:rPr>
                <w:sz w:val="4"/>
                <w:szCs w:val="4"/>
                <w:color w:val="auto"/>
              </w:rPr>
            </w:pPr>
          </w:p>
        </w:tc>
        <w:tc>
          <w:tcPr>
            <w:tcW w:w="1320" w:type="dxa"/>
            <w:vAlign w:val="bottom"/>
          </w:tcPr>
          <w:p>
            <w:pPr>
              <w:spacing w:after="0"/>
              <w:rPr>
                <w:sz w:val="4"/>
                <w:szCs w:val="4"/>
                <w:color w:val="auto"/>
              </w:rPr>
            </w:pPr>
          </w:p>
        </w:tc>
        <w:tc>
          <w:tcPr>
            <w:tcW w:w="1340" w:type="dxa"/>
            <w:vAlign w:val="bottom"/>
            <w:vMerge w:val="restart"/>
          </w:tcPr>
          <w:p>
            <w:pPr>
              <w:ind w:left="200"/>
              <w:spacing w:after="0"/>
              <w:rPr>
                <w:sz w:val="20"/>
                <w:szCs w:val="20"/>
                <w:color w:val="auto"/>
              </w:rPr>
            </w:pPr>
            <w:r>
              <w:rPr>
                <w:rFonts w:ascii="Times New Roman" w:cs="Times New Roman" w:eastAsia="Times New Roman" w:hAnsi="Times New Roman"/>
                <w:sz w:val="9"/>
                <w:szCs w:val="9"/>
                <w:color w:val="0D0D0D"/>
              </w:rPr>
              <w:t>in regulation</w:t>
            </w:r>
          </w:p>
        </w:tc>
        <w:tc>
          <w:tcPr>
            <w:tcW w:w="13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assessment of</w:t>
            </w:r>
          </w:p>
        </w:tc>
        <w:tc>
          <w:tcPr>
            <w:tcW w:w="0" w:type="dxa"/>
            <w:vAlign w:val="bottom"/>
          </w:tcPr>
          <w:p>
            <w:pPr>
              <w:spacing w:after="0"/>
              <w:rPr>
                <w:sz w:val="1"/>
                <w:szCs w:val="1"/>
                <w:color w:val="auto"/>
              </w:rPr>
            </w:pPr>
          </w:p>
        </w:tc>
      </w:tr>
      <w:tr>
        <w:trPr>
          <w:trHeight w:val="82"/>
        </w:trPr>
        <w:tc>
          <w:tcPr>
            <w:tcW w:w="700" w:type="dxa"/>
            <w:vAlign w:val="bottom"/>
          </w:tcPr>
          <w:p>
            <w:pPr>
              <w:ind w:left="40"/>
              <w:spacing w:after="0" w:line="83" w:lineRule="exact"/>
              <w:rPr>
                <w:sz w:val="20"/>
                <w:szCs w:val="20"/>
                <w:color w:val="auto"/>
              </w:rPr>
            </w:pPr>
            <w:r>
              <w:rPr>
                <w:rFonts w:ascii="Times New Roman" w:cs="Times New Roman" w:eastAsia="Times New Roman" w:hAnsi="Times New Roman"/>
                <w:sz w:val="8"/>
                <w:szCs w:val="8"/>
                <w:b w:val="1"/>
                <w:bCs w:val="1"/>
                <w:color w:val="005AFF"/>
              </w:rPr>
              <w:t>Committee</w:t>
            </w:r>
          </w:p>
        </w:tc>
        <w:tc>
          <w:tcPr>
            <w:tcW w:w="1340" w:type="dxa"/>
            <w:vAlign w:val="bottom"/>
            <w:vMerge w:val="continue"/>
          </w:tcPr>
          <w:p>
            <w:pPr>
              <w:spacing w:after="0"/>
              <w:rPr>
                <w:sz w:val="7"/>
                <w:szCs w:val="7"/>
                <w:color w:val="auto"/>
              </w:rPr>
            </w:pPr>
          </w:p>
        </w:tc>
        <w:tc>
          <w:tcPr>
            <w:tcW w:w="1280" w:type="dxa"/>
            <w:vAlign w:val="bottom"/>
          </w:tcPr>
          <w:p>
            <w:pPr>
              <w:spacing w:after="0"/>
              <w:rPr>
                <w:sz w:val="7"/>
                <w:szCs w:val="7"/>
                <w:color w:val="auto"/>
              </w:rPr>
            </w:pPr>
          </w:p>
        </w:tc>
        <w:tc>
          <w:tcPr>
            <w:tcW w:w="1360" w:type="dxa"/>
            <w:vAlign w:val="bottom"/>
            <w:vMerge w:val="continue"/>
          </w:tcPr>
          <w:p>
            <w:pPr>
              <w:spacing w:after="0"/>
              <w:rPr>
                <w:sz w:val="7"/>
                <w:szCs w:val="7"/>
                <w:color w:val="auto"/>
              </w:rPr>
            </w:pPr>
          </w:p>
        </w:tc>
        <w:tc>
          <w:tcPr>
            <w:tcW w:w="1320" w:type="dxa"/>
            <w:vAlign w:val="bottom"/>
          </w:tcPr>
          <w:p>
            <w:pPr>
              <w:spacing w:after="0"/>
              <w:rPr>
                <w:sz w:val="7"/>
                <w:szCs w:val="7"/>
                <w:color w:val="auto"/>
              </w:rPr>
            </w:pPr>
          </w:p>
        </w:tc>
        <w:tc>
          <w:tcPr>
            <w:tcW w:w="1320" w:type="dxa"/>
            <w:vAlign w:val="bottom"/>
          </w:tcPr>
          <w:p>
            <w:pPr>
              <w:spacing w:after="0"/>
              <w:rPr>
                <w:sz w:val="7"/>
                <w:szCs w:val="7"/>
                <w:color w:val="auto"/>
              </w:rPr>
            </w:pPr>
          </w:p>
        </w:tc>
        <w:tc>
          <w:tcPr>
            <w:tcW w:w="1340" w:type="dxa"/>
            <w:vAlign w:val="bottom"/>
            <w:vMerge w:val="continue"/>
          </w:tcPr>
          <w:p>
            <w:pPr>
              <w:spacing w:after="0"/>
              <w:rPr>
                <w:sz w:val="7"/>
                <w:szCs w:val="7"/>
                <w:color w:val="auto"/>
              </w:rPr>
            </w:pPr>
          </w:p>
        </w:tc>
        <w:tc>
          <w:tcPr>
            <w:tcW w:w="138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108"/>
        </w:trPr>
        <w:tc>
          <w:tcPr>
            <w:tcW w:w="700" w:type="dxa"/>
            <w:vAlign w:val="bottom"/>
          </w:tcPr>
          <w:p>
            <w:pPr>
              <w:spacing w:after="0"/>
              <w:rPr>
                <w:sz w:val="9"/>
                <w:szCs w:val="9"/>
                <w:color w:val="auto"/>
              </w:rPr>
            </w:pPr>
          </w:p>
        </w:tc>
        <w:tc>
          <w:tcPr>
            <w:tcW w:w="1340" w:type="dxa"/>
            <w:vAlign w:val="bottom"/>
          </w:tcPr>
          <w:p>
            <w:pPr>
              <w:ind w:left="10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Independence review</w:t>
            </w:r>
          </w:p>
        </w:tc>
        <w:tc>
          <w:tcPr>
            <w:tcW w:w="1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320" w:type="dxa"/>
            <w:vAlign w:val="bottom"/>
          </w:tcPr>
          <w:p>
            <w:pPr>
              <w:spacing w:after="0"/>
              <w:rPr>
                <w:sz w:val="9"/>
                <w:szCs w:val="9"/>
                <w:color w:val="auto"/>
              </w:rPr>
            </w:pPr>
          </w:p>
        </w:tc>
        <w:tc>
          <w:tcPr>
            <w:tcW w:w="1320" w:type="dxa"/>
            <w:vAlign w:val="bottom"/>
          </w:tcPr>
          <w:p>
            <w:pPr>
              <w:spacing w:after="0"/>
              <w:rPr>
                <w:sz w:val="9"/>
                <w:szCs w:val="9"/>
                <w:color w:val="auto"/>
              </w:rPr>
            </w:pPr>
          </w:p>
        </w:tc>
        <w:tc>
          <w:tcPr>
            <w:tcW w:w="1340" w:type="dxa"/>
            <w:vAlign w:val="bottom"/>
          </w:tcPr>
          <w:p>
            <w:pPr>
              <w:ind w:left="10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Planning of Board</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director commitments</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Corporate governance</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spacing w:after="0"/>
              <w:rPr>
                <w:sz w:val="10"/>
                <w:szCs w:val="10"/>
                <w:color w:val="auto"/>
              </w:rPr>
            </w:pPr>
          </w:p>
        </w:tc>
        <w:tc>
          <w:tcPr>
            <w:tcW w:w="132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composition proposal</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Finalizing Board</w:t>
            </w:r>
          </w:p>
        </w:tc>
        <w:tc>
          <w:tcPr>
            <w:tcW w:w="0" w:type="dxa"/>
            <w:vAlign w:val="bottom"/>
          </w:tcPr>
          <w:p>
            <w:pPr>
              <w:spacing w:after="0"/>
              <w:rPr>
                <w:sz w:val="1"/>
                <w:szCs w:val="1"/>
                <w:color w:val="auto"/>
              </w:rPr>
            </w:pPr>
          </w:p>
        </w:tc>
      </w:tr>
      <w:tr>
        <w:trPr>
          <w:trHeight w:val="131"/>
        </w:trPr>
        <w:tc>
          <w:tcPr>
            <w:tcW w:w="700" w:type="dxa"/>
            <w:vAlign w:val="bottom"/>
          </w:tcPr>
          <w:p>
            <w:pPr>
              <w:spacing w:after="0"/>
              <w:rPr>
                <w:sz w:val="11"/>
                <w:szCs w:val="11"/>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statement</w:t>
            </w:r>
          </w:p>
        </w:tc>
        <w:tc>
          <w:tcPr>
            <w:tcW w:w="1280" w:type="dxa"/>
            <w:vAlign w:val="bottom"/>
          </w:tcPr>
          <w:p>
            <w:pPr>
              <w:spacing w:after="0"/>
              <w:rPr>
                <w:sz w:val="11"/>
                <w:szCs w:val="11"/>
                <w:color w:val="auto"/>
              </w:rPr>
            </w:pPr>
          </w:p>
        </w:tc>
        <w:tc>
          <w:tcPr>
            <w:tcW w:w="1360" w:type="dxa"/>
            <w:vAlign w:val="bottom"/>
          </w:tcPr>
          <w:p>
            <w:pPr>
              <w:spacing w:after="0"/>
              <w:rPr>
                <w:sz w:val="11"/>
                <w:szCs w:val="11"/>
                <w:color w:val="auto"/>
              </w:rPr>
            </w:pPr>
          </w:p>
        </w:tc>
        <w:tc>
          <w:tcPr>
            <w:tcW w:w="1320" w:type="dxa"/>
            <w:vAlign w:val="bottom"/>
          </w:tcPr>
          <w:p>
            <w:pPr>
              <w:spacing w:after="0"/>
              <w:rPr>
                <w:sz w:val="11"/>
                <w:szCs w:val="11"/>
                <w:color w:val="auto"/>
              </w:rPr>
            </w:pPr>
          </w:p>
        </w:tc>
        <w:tc>
          <w:tcPr>
            <w:tcW w:w="1320" w:type="dxa"/>
            <w:vAlign w:val="bottom"/>
          </w:tcPr>
          <w:p>
            <w:pPr>
              <w:spacing w:after="0"/>
              <w:rPr>
                <w:sz w:val="11"/>
                <w:szCs w:val="11"/>
                <w:color w:val="auto"/>
              </w:rPr>
            </w:pP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Board evaluation approach</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composition proposal to</w:t>
            </w:r>
          </w:p>
        </w:tc>
        <w:tc>
          <w:tcPr>
            <w:tcW w:w="0" w:type="dxa"/>
            <w:vAlign w:val="bottom"/>
          </w:tcPr>
          <w:p>
            <w:pPr>
              <w:spacing w:after="0"/>
              <w:rPr>
                <w:sz w:val="1"/>
                <w:szCs w:val="1"/>
                <w:color w:val="auto"/>
              </w:rPr>
            </w:pPr>
          </w:p>
        </w:tc>
      </w:tr>
      <w:tr>
        <w:trPr>
          <w:trHeight w:val="111"/>
        </w:trPr>
        <w:tc>
          <w:tcPr>
            <w:tcW w:w="700" w:type="dxa"/>
            <w:vAlign w:val="bottom"/>
          </w:tcPr>
          <w:p>
            <w:pPr>
              <w:spacing w:after="0"/>
              <w:rPr>
                <w:sz w:val="9"/>
                <w:szCs w:val="9"/>
                <w:color w:val="auto"/>
              </w:rPr>
            </w:pPr>
          </w:p>
        </w:tc>
        <w:tc>
          <w:tcPr>
            <w:tcW w:w="1340" w:type="dxa"/>
            <w:vAlign w:val="bottom"/>
          </w:tcPr>
          <w:p>
            <w:pPr>
              <w:spacing w:after="0"/>
              <w:rPr>
                <w:sz w:val="9"/>
                <w:szCs w:val="9"/>
                <w:color w:val="auto"/>
              </w:rPr>
            </w:pPr>
          </w:p>
        </w:tc>
        <w:tc>
          <w:tcPr>
            <w:tcW w:w="1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320" w:type="dxa"/>
            <w:vAlign w:val="bottom"/>
          </w:tcPr>
          <w:p>
            <w:pPr>
              <w:spacing w:after="0"/>
              <w:rPr>
                <w:sz w:val="9"/>
                <w:szCs w:val="9"/>
                <w:color w:val="auto"/>
              </w:rPr>
            </w:pPr>
          </w:p>
        </w:tc>
        <w:tc>
          <w:tcPr>
            <w:tcW w:w="1320" w:type="dxa"/>
            <w:vAlign w:val="bottom"/>
          </w:tcPr>
          <w:p>
            <w:pPr>
              <w:spacing w:after="0"/>
              <w:rPr>
                <w:sz w:val="9"/>
                <w:szCs w:val="9"/>
                <w:color w:val="auto"/>
              </w:rPr>
            </w:pPr>
          </w:p>
        </w:tc>
        <w:tc>
          <w:tcPr>
            <w:tcW w:w="1340" w:type="dxa"/>
            <w:vAlign w:val="bottom"/>
          </w:tcPr>
          <w:p>
            <w:pPr>
              <w:spacing w:after="0"/>
              <w:rPr>
                <w:sz w:val="9"/>
                <w:szCs w:val="9"/>
                <w:color w:val="auto"/>
              </w:rPr>
            </w:pP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the AGM</w:t>
            </w:r>
          </w:p>
        </w:tc>
        <w:tc>
          <w:tcPr>
            <w:tcW w:w="0" w:type="dxa"/>
            <w:vAlign w:val="bottom"/>
          </w:tcPr>
          <w:p>
            <w:pPr>
              <w:spacing w:after="0"/>
              <w:rPr>
                <w:sz w:val="1"/>
                <w:szCs w:val="1"/>
                <w:color w:val="auto"/>
              </w:rPr>
            </w:pPr>
          </w:p>
        </w:tc>
      </w:tr>
      <w:tr>
        <w:trPr>
          <w:trHeight w:val="156"/>
        </w:trPr>
        <w:tc>
          <w:tcPr>
            <w:tcW w:w="700" w:type="dxa"/>
            <w:vAlign w:val="bottom"/>
            <w:tcBorders>
              <w:bottom w:val="single" w:sz="8" w:color="005AFF"/>
            </w:tcBorders>
          </w:tcPr>
          <w:p>
            <w:pPr>
              <w:spacing w:after="0"/>
              <w:rPr>
                <w:sz w:val="13"/>
                <w:szCs w:val="13"/>
                <w:color w:val="auto"/>
              </w:rPr>
            </w:pPr>
          </w:p>
        </w:tc>
        <w:tc>
          <w:tcPr>
            <w:tcW w:w="1340" w:type="dxa"/>
            <w:vAlign w:val="bottom"/>
            <w:tcBorders>
              <w:bottom w:val="single" w:sz="8" w:color="005AFF"/>
            </w:tcBorders>
          </w:tcPr>
          <w:p>
            <w:pPr>
              <w:spacing w:after="0"/>
              <w:rPr>
                <w:sz w:val="13"/>
                <w:szCs w:val="13"/>
                <w:color w:val="auto"/>
              </w:rPr>
            </w:pPr>
          </w:p>
        </w:tc>
        <w:tc>
          <w:tcPr>
            <w:tcW w:w="1280" w:type="dxa"/>
            <w:vAlign w:val="bottom"/>
            <w:tcBorders>
              <w:bottom w:val="single" w:sz="8" w:color="005AFF"/>
            </w:tcBorders>
          </w:tcPr>
          <w:p>
            <w:pPr>
              <w:spacing w:after="0"/>
              <w:rPr>
                <w:sz w:val="13"/>
                <w:szCs w:val="13"/>
                <w:color w:val="auto"/>
              </w:rPr>
            </w:pPr>
          </w:p>
        </w:tc>
        <w:tc>
          <w:tcPr>
            <w:tcW w:w="1360" w:type="dxa"/>
            <w:vAlign w:val="bottom"/>
            <w:tcBorders>
              <w:bottom w:val="single" w:sz="8" w:color="005AFF"/>
            </w:tcBorders>
          </w:tcPr>
          <w:p>
            <w:pPr>
              <w:spacing w:after="0"/>
              <w:rPr>
                <w:sz w:val="13"/>
                <w:szCs w:val="13"/>
                <w:color w:val="auto"/>
              </w:rPr>
            </w:pPr>
          </w:p>
        </w:tc>
        <w:tc>
          <w:tcPr>
            <w:tcW w:w="1320" w:type="dxa"/>
            <w:vAlign w:val="bottom"/>
            <w:tcBorders>
              <w:bottom w:val="single" w:sz="8" w:color="005AFF"/>
            </w:tcBorders>
          </w:tcPr>
          <w:p>
            <w:pPr>
              <w:spacing w:after="0"/>
              <w:rPr>
                <w:sz w:val="13"/>
                <w:szCs w:val="13"/>
                <w:color w:val="auto"/>
              </w:rPr>
            </w:pPr>
          </w:p>
        </w:tc>
        <w:tc>
          <w:tcPr>
            <w:tcW w:w="1320" w:type="dxa"/>
            <w:vAlign w:val="bottom"/>
            <w:tcBorders>
              <w:bottom w:val="single" w:sz="8" w:color="005AFF"/>
            </w:tcBorders>
          </w:tcPr>
          <w:p>
            <w:pPr>
              <w:spacing w:after="0"/>
              <w:rPr>
                <w:sz w:val="13"/>
                <w:szCs w:val="13"/>
                <w:color w:val="auto"/>
              </w:rPr>
            </w:pPr>
          </w:p>
        </w:tc>
        <w:tc>
          <w:tcPr>
            <w:tcW w:w="1340" w:type="dxa"/>
            <w:vAlign w:val="bottom"/>
            <w:tcBorders>
              <w:bottom w:val="single" w:sz="8" w:color="005AFF"/>
            </w:tcBorders>
          </w:tcPr>
          <w:p>
            <w:pPr>
              <w:spacing w:after="0"/>
              <w:rPr>
                <w:sz w:val="13"/>
                <w:szCs w:val="13"/>
                <w:color w:val="auto"/>
              </w:rPr>
            </w:pPr>
          </w:p>
        </w:tc>
        <w:tc>
          <w:tcPr>
            <w:tcW w:w="138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Charter review</w:t>
            </w:r>
          </w:p>
        </w:tc>
        <w:tc>
          <w:tcPr>
            <w:tcW w:w="0" w:type="dxa"/>
            <w:vAlign w:val="bottom"/>
          </w:tcPr>
          <w:p>
            <w:pPr>
              <w:spacing w:after="0"/>
              <w:rPr>
                <w:sz w:val="1"/>
                <w:szCs w:val="1"/>
                <w:color w:val="auto"/>
              </w:rPr>
            </w:pPr>
          </w:p>
        </w:tc>
      </w:tr>
      <w:tr>
        <w:trPr>
          <w:trHeight w:val="110"/>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Personnel</w:t>
            </w:r>
          </w:p>
        </w:tc>
        <w:tc>
          <w:tcPr>
            <w:tcW w:w="1340" w:type="dxa"/>
            <w:vAlign w:val="bottom"/>
          </w:tcPr>
          <w:p>
            <w:pPr>
              <w:ind w:left="100"/>
              <w:spacing w:after="0" w:line="110"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Incentive achievements for</w:t>
            </w:r>
          </w:p>
        </w:tc>
        <w:tc>
          <w:tcPr>
            <w:tcW w:w="1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320" w:type="dxa"/>
            <w:vAlign w:val="bottom"/>
          </w:tcPr>
          <w:p>
            <w:pPr>
              <w:ind w:left="60"/>
              <w:spacing w:after="0" w:line="110"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LTI design for 2024–2026</w:t>
            </w:r>
          </w:p>
        </w:tc>
        <w:tc>
          <w:tcPr>
            <w:tcW w:w="1320" w:type="dxa"/>
            <w:vAlign w:val="bottom"/>
          </w:tcPr>
          <w:p>
            <w:pPr>
              <w:ind w:left="100"/>
              <w:spacing w:after="0" w:line="110"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Remuneration Policy 2024</w:t>
            </w:r>
          </w:p>
        </w:tc>
        <w:tc>
          <w:tcPr>
            <w:tcW w:w="1340" w:type="dxa"/>
            <w:vAlign w:val="bottom"/>
          </w:tcPr>
          <w:p>
            <w:pPr>
              <w:ind w:left="100"/>
              <w:spacing w:after="0" w:line="110"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Incentive Compensation</w:t>
            </w:r>
          </w:p>
        </w:tc>
        <w:tc>
          <w:tcPr>
            <w:tcW w:w="1380" w:type="dxa"/>
            <w:vAlign w:val="bottom"/>
          </w:tcPr>
          <w:p>
            <w:pPr>
              <w:ind w:left="80"/>
              <w:spacing w:after="0" w:line="110"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2024 incentive targets</w:t>
            </w:r>
          </w:p>
        </w:tc>
        <w:tc>
          <w:tcPr>
            <w:tcW w:w="0" w:type="dxa"/>
            <w:vAlign w:val="bottom"/>
          </w:tcPr>
          <w:p>
            <w:pPr>
              <w:spacing w:after="0"/>
              <w:rPr>
                <w:sz w:val="1"/>
                <w:szCs w:val="1"/>
                <w:color w:val="auto"/>
              </w:rPr>
            </w:pPr>
          </w:p>
        </w:tc>
      </w:tr>
      <w:tr>
        <w:trPr>
          <w:trHeight w:val="129"/>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Committee</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2022</w:t>
            </w:r>
          </w:p>
        </w:tc>
        <w:tc>
          <w:tcPr>
            <w:tcW w:w="1280" w:type="dxa"/>
            <w:vAlign w:val="bottom"/>
          </w:tcPr>
          <w:p>
            <w:pPr>
              <w:spacing w:after="0"/>
              <w:rPr>
                <w:sz w:val="11"/>
                <w:szCs w:val="11"/>
                <w:color w:val="auto"/>
              </w:rPr>
            </w:pPr>
          </w:p>
        </w:tc>
        <w:tc>
          <w:tcPr>
            <w:tcW w:w="1360" w:type="dxa"/>
            <w:vAlign w:val="bottom"/>
          </w:tcPr>
          <w:p>
            <w:pPr>
              <w:spacing w:after="0"/>
              <w:rPr>
                <w:sz w:val="11"/>
                <w:szCs w:val="11"/>
                <w:color w:val="auto"/>
              </w:rPr>
            </w:pP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Equity plan status</w:t>
            </w: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structure review</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Clawback Policy</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LTI Plan 2024–2026</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CEO and GLT performance</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AGM shareholder feedback</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Executive Clawback Policy</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LTI design for 2024</w:t>
            </w: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10"/>
                <w:szCs w:val="10"/>
                <w:color w:val="000000"/>
              </w:rPr>
              <w:t>–</w:t>
            </w:r>
            <w:r>
              <w:rPr>
                <w:rFonts w:ascii="Times New Roman" w:cs="Times New Roman" w:eastAsia="Times New Roman" w:hAnsi="Times New Roman"/>
                <w:sz w:val="9"/>
                <w:szCs w:val="9"/>
                <w:color w:val="0D0D0D"/>
              </w:rPr>
              <w:t>2026</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Investor feedback</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Incentive targets and</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GLT remuneration</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LTI design for 2024–2026</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Human capital update</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Planning of Remuneration</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objectives for 2023</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Culture update</w:t>
            </w: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Human capital risk review,</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Remuneration Policy 2024</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Report for 2023</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Long-term Incentive Plan</w:t>
            </w: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6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GLT succession approach</w:t>
            </w: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including physical safety</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including shareholder</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GLT succession planning</w:t>
            </w:r>
          </w:p>
        </w:tc>
        <w:tc>
          <w:tcPr>
            <w:tcW w:w="0" w:type="dxa"/>
            <w:vAlign w:val="bottom"/>
          </w:tcPr>
          <w:p>
            <w:pPr>
              <w:spacing w:after="0"/>
              <w:rPr>
                <w:sz w:val="1"/>
                <w:szCs w:val="1"/>
                <w:color w:val="auto"/>
              </w:rPr>
            </w:pPr>
          </w:p>
        </w:tc>
      </w:tr>
      <w:tr>
        <w:trPr>
          <w:trHeight w:val="131"/>
        </w:trPr>
        <w:tc>
          <w:tcPr>
            <w:tcW w:w="700" w:type="dxa"/>
            <w:vAlign w:val="bottom"/>
          </w:tcPr>
          <w:p>
            <w:pPr>
              <w:spacing w:after="0"/>
              <w:rPr>
                <w:sz w:val="11"/>
                <w:szCs w:val="11"/>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(LTI) grant proposal for</w:t>
            </w:r>
          </w:p>
        </w:tc>
        <w:tc>
          <w:tcPr>
            <w:tcW w:w="1280" w:type="dxa"/>
            <w:vAlign w:val="bottom"/>
          </w:tcPr>
          <w:p>
            <w:pPr>
              <w:spacing w:after="0"/>
              <w:rPr>
                <w:sz w:val="11"/>
                <w:szCs w:val="11"/>
                <w:color w:val="auto"/>
              </w:rPr>
            </w:pPr>
          </w:p>
        </w:tc>
        <w:tc>
          <w:tcPr>
            <w:tcW w:w="1360" w:type="dxa"/>
            <w:vAlign w:val="bottom"/>
          </w:tcPr>
          <w:p>
            <w:pPr>
              <w:spacing w:after="0"/>
              <w:rPr>
                <w:sz w:val="11"/>
                <w:szCs w:val="11"/>
                <w:color w:val="auto"/>
              </w:rPr>
            </w:pP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Clawback Policy related</w:t>
            </w:r>
          </w:p>
        </w:tc>
        <w:tc>
          <w:tcPr>
            <w:tcW w:w="13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Committee adviser’s</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consultation</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0D0D0D"/>
              </w:rPr>
              <w:t xml:space="preserve">– </w:t>
            </w:r>
            <w:r>
              <w:rPr>
                <w:rFonts w:ascii="Times New Roman" w:cs="Times New Roman" w:eastAsia="Times New Roman" w:hAnsi="Times New Roman"/>
                <w:sz w:val="9"/>
                <w:szCs w:val="9"/>
                <w:color w:val="0D0D0D"/>
              </w:rPr>
              <w:t>Executive shareholdin  g</w:t>
            </w:r>
          </w:p>
        </w:tc>
        <w:tc>
          <w:tcPr>
            <w:tcW w:w="0" w:type="dxa"/>
            <w:vAlign w:val="bottom"/>
          </w:tcPr>
          <w:p>
            <w:pPr>
              <w:spacing w:after="0"/>
              <w:rPr>
                <w:sz w:val="1"/>
                <w:szCs w:val="1"/>
                <w:color w:val="auto"/>
              </w:rPr>
            </w:pPr>
          </w:p>
        </w:tc>
      </w:tr>
      <w:tr>
        <w:trPr>
          <w:trHeight w:val="111"/>
        </w:trPr>
        <w:tc>
          <w:tcPr>
            <w:tcW w:w="700" w:type="dxa"/>
            <w:vAlign w:val="bottom"/>
          </w:tcPr>
          <w:p>
            <w:pPr>
              <w:spacing w:after="0"/>
              <w:rPr>
                <w:sz w:val="9"/>
                <w:szCs w:val="9"/>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2023</w:t>
            </w:r>
          </w:p>
        </w:tc>
        <w:tc>
          <w:tcPr>
            <w:tcW w:w="128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regulation</w:t>
            </w: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market and benchmarking</w:t>
            </w:r>
          </w:p>
        </w:tc>
        <w:tc>
          <w:tcPr>
            <w:tcW w:w="1340" w:type="dxa"/>
            <w:vAlign w:val="bottom"/>
          </w:tcPr>
          <w:p>
            <w:pPr>
              <w:spacing w:after="0"/>
              <w:rPr>
                <w:sz w:val="9"/>
                <w:szCs w:val="9"/>
                <w:color w:val="auto"/>
              </w:rPr>
            </w:pP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assessment</w:t>
            </w:r>
          </w:p>
        </w:tc>
        <w:tc>
          <w:tcPr>
            <w:tcW w:w="0" w:type="dxa"/>
            <w:vAlign w:val="bottom"/>
          </w:tcPr>
          <w:p>
            <w:pPr>
              <w:spacing w:after="0"/>
              <w:rPr>
                <w:sz w:val="1"/>
                <w:szCs w:val="1"/>
                <w:color w:val="auto"/>
              </w:rPr>
            </w:pPr>
          </w:p>
        </w:tc>
      </w:tr>
      <w:tr>
        <w:trPr>
          <w:trHeight w:val="151"/>
        </w:trPr>
        <w:tc>
          <w:tcPr>
            <w:tcW w:w="700" w:type="dxa"/>
            <w:vAlign w:val="bottom"/>
            <w:tcBorders>
              <w:bottom w:val="single" w:sz="8" w:color="005AFF"/>
            </w:tcBorders>
          </w:tcPr>
          <w:p>
            <w:pPr>
              <w:spacing w:after="0"/>
              <w:rPr>
                <w:sz w:val="13"/>
                <w:szCs w:val="13"/>
                <w:color w:val="auto"/>
              </w:rPr>
            </w:pPr>
          </w:p>
        </w:tc>
        <w:tc>
          <w:tcPr>
            <w:tcW w:w="1340" w:type="dxa"/>
            <w:vAlign w:val="bottom"/>
            <w:tcBorders>
              <w:bottom w:val="single" w:sz="8" w:color="005AFF"/>
            </w:tcBorders>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Remuneration Report 2022</w:t>
            </w:r>
          </w:p>
        </w:tc>
        <w:tc>
          <w:tcPr>
            <w:tcW w:w="1280" w:type="dxa"/>
            <w:vAlign w:val="bottom"/>
            <w:tcBorders>
              <w:bottom w:val="single" w:sz="8" w:color="005AFF"/>
            </w:tcBorders>
          </w:tcPr>
          <w:p>
            <w:pPr>
              <w:spacing w:after="0"/>
              <w:rPr>
                <w:sz w:val="13"/>
                <w:szCs w:val="13"/>
                <w:color w:val="auto"/>
              </w:rPr>
            </w:pPr>
          </w:p>
        </w:tc>
        <w:tc>
          <w:tcPr>
            <w:tcW w:w="1360" w:type="dxa"/>
            <w:vAlign w:val="bottom"/>
            <w:tcBorders>
              <w:bottom w:val="single" w:sz="8" w:color="005AFF"/>
            </w:tcBorders>
          </w:tcPr>
          <w:p>
            <w:pPr>
              <w:spacing w:after="0"/>
              <w:rPr>
                <w:sz w:val="13"/>
                <w:szCs w:val="13"/>
                <w:color w:val="auto"/>
              </w:rPr>
            </w:pPr>
          </w:p>
        </w:tc>
        <w:tc>
          <w:tcPr>
            <w:tcW w:w="1320" w:type="dxa"/>
            <w:vAlign w:val="bottom"/>
            <w:tcBorders>
              <w:bottom w:val="single" w:sz="8" w:color="005AFF"/>
            </w:tcBorders>
          </w:tcPr>
          <w:p>
            <w:pPr>
              <w:spacing w:after="0"/>
              <w:rPr>
                <w:sz w:val="13"/>
                <w:szCs w:val="13"/>
                <w:color w:val="auto"/>
              </w:rPr>
            </w:pPr>
          </w:p>
        </w:tc>
        <w:tc>
          <w:tcPr>
            <w:tcW w:w="1320" w:type="dxa"/>
            <w:vAlign w:val="bottom"/>
            <w:tcBorders>
              <w:bottom w:val="single" w:sz="8" w:color="005AFF"/>
            </w:tcBorders>
          </w:tcPr>
          <w:p>
            <w:pPr>
              <w:ind w:left="180"/>
              <w:spacing w:after="0"/>
              <w:rPr>
                <w:sz w:val="20"/>
                <w:szCs w:val="20"/>
                <w:color w:val="auto"/>
              </w:rPr>
            </w:pPr>
            <w:r>
              <w:rPr>
                <w:rFonts w:ascii="Times New Roman" w:cs="Times New Roman" w:eastAsia="Times New Roman" w:hAnsi="Times New Roman"/>
                <w:sz w:val="9"/>
                <w:szCs w:val="9"/>
                <w:color w:val="0D0D0D"/>
              </w:rPr>
              <w:t>update</w:t>
            </w:r>
          </w:p>
        </w:tc>
        <w:tc>
          <w:tcPr>
            <w:tcW w:w="1340" w:type="dxa"/>
            <w:vAlign w:val="bottom"/>
            <w:tcBorders>
              <w:bottom w:val="single" w:sz="8" w:color="005AFF"/>
            </w:tcBorders>
          </w:tcPr>
          <w:p>
            <w:pPr>
              <w:spacing w:after="0"/>
              <w:rPr>
                <w:sz w:val="13"/>
                <w:szCs w:val="13"/>
                <w:color w:val="auto"/>
              </w:rPr>
            </w:pPr>
          </w:p>
        </w:tc>
        <w:tc>
          <w:tcPr>
            <w:tcW w:w="138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Charter review</w:t>
            </w:r>
          </w:p>
        </w:tc>
        <w:tc>
          <w:tcPr>
            <w:tcW w:w="0" w:type="dxa"/>
            <w:vAlign w:val="bottom"/>
          </w:tcPr>
          <w:p>
            <w:pPr>
              <w:spacing w:after="0"/>
              <w:rPr>
                <w:sz w:val="1"/>
                <w:szCs w:val="1"/>
                <w:color w:val="auto"/>
              </w:rPr>
            </w:pPr>
          </w:p>
        </w:tc>
      </w:tr>
      <w:tr>
        <w:trPr>
          <w:trHeight w:val="105"/>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Audit</w:t>
            </w:r>
          </w:p>
        </w:tc>
        <w:tc>
          <w:tcPr>
            <w:tcW w:w="1340" w:type="dxa"/>
            <w:vAlign w:val="bottom"/>
          </w:tcPr>
          <w:p>
            <w:pPr>
              <w:ind w:left="10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Q4 and 2022 financials</w:t>
            </w:r>
          </w:p>
        </w:tc>
        <w:tc>
          <w:tcPr>
            <w:tcW w:w="1280" w:type="dxa"/>
            <w:vAlign w:val="bottom"/>
          </w:tcPr>
          <w:p>
            <w:pPr>
              <w:ind w:left="8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report and 20-F</w:t>
            </w:r>
          </w:p>
        </w:tc>
        <w:tc>
          <w:tcPr>
            <w:tcW w:w="1360" w:type="dxa"/>
            <w:vAlign w:val="bottom"/>
          </w:tcPr>
          <w:p>
            <w:pPr>
              <w:ind w:left="10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Q1 financials</w:t>
            </w:r>
          </w:p>
        </w:tc>
        <w:tc>
          <w:tcPr>
            <w:tcW w:w="1320" w:type="dxa"/>
            <w:vAlign w:val="bottom"/>
          </w:tcPr>
          <w:p>
            <w:pPr>
              <w:spacing w:after="0"/>
              <w:rPr>
                <w:sz w:val="9"/>
                <w:szCs w:val="9"/>
                <w:color w:val="auto"/>
              </w:rPr>
            </w:pPr>
          </w:p>
        </w:tc>
        <w:tc>
          <w:tcPr>
            <w:tcW w:w="1320" w:type="dxa"/>
            <w:vAlign w:val="bottom"/>
          </w:tcPr>
          <w:p>
            <w:pPr>
              <w:ind w:left="10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Q2 financials</w:t>
            </w:r>
          </w:p>
        </w:tc>
        <w:tc>
          <w:tcPr>
            <w:tcW w:w="1340" w:type="dxa"/>
            <w:vAlign w:val="bottom"/>
          </w:tcPr>
          <w:p>
            <w:pPr>
              <w:ind w:left="10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Q3 financials</w:t>
            </w:r>
          </w:p>
        </w:tc>
        <w:tc>
          <w:tcPr>
            <w:tcW w:w="1380" w:type="dxa"/>
            <w:vAlign w:val="bottom"/>
          </w:tcPr>
          <w:p>
            <w:pPr>
              <w:ind w:left="80"/>
              <w:spacing w:after="0" w:line="105"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Treasury update</w:t>
            </w:r>
          </w:p>
        </w:tc>
        <w:tc>
          <w:tcPr>
            <w:tcW w:w="0" w:type="dxa"/>
            <w:vAlign w:val="bottom"/>
          </w:tcPr>
          <w:p>
            <w:pPr>
              <w:spacing w:after="0"/>
              <w:rPr>
                <w:sz w:val="1"/>
                <w:szCs w:val="1"/>
                <w:color w:val="auto"/>
              </w:rPr>
            </w:pPr>
          </w:p>
        </w:tc>
      </w:tr>
      <w:tr>
        <w:trPr>
          <w:trHeight w:val="129"/>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Committee</w:t>
            </w: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Auditor reporting</w:t>
            </w: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for 2022, including</w:t>
            </w:r>
          </w:p>
        </w:tc>
        <w:tc>
          <w:tcPr>
            <w:tcW w:w="136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Auditor reporting</w:t>
            </w:r>
          </w:p>
        </w:tc>
        <w:tc>
          <w:tcPr>
            <w:tcW w:w="1320" w:type="dxa"/>
            <w:vAlign w:val="bottom"/>
          </w:tcPr>
          <w:p>
            <w:pPr>
              <w:spacing w:after="0"/>
              <w:rPr>
                <w:sz w:val="11"/>
                <w:szCs w:val="11"/>
                <w:color w:val="auto"/>
              </w:rPr>
            </w:pPr>
          </w:p>
        </w:tc>
        <w:tc>
          <w:tcPr>
            <w:tcW w:w="13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Auditor reporting</w:t>
            </w: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Auditor reporting</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Pensions update</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Ethics and compliance,</w:t>
            </w: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Sustainability reporting</w:t>
            </w: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Ethics and compliance,</w:t>
            </w:r>
          </w:p>
        </w:tc>
        <w:tc>
          <w:tcPr>
            <w:tcW w:w="1320" w:type="dxa"/>
            <w:vAlign w:val="bottom"/>
          </w:tcPr>
          <w:p>
            <w:pPr>
              <w:spacing w:after="0"/>
              <w:rPr>
                <w:sz w:val="10"/>
                <w:szCs w:val="10"/>
                <w:color w:val="auto"/>
              </w:rPr>
            </w:pP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Ethics and compliance,</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Ethics and compliance,</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 internal audit and</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internal audit and internal</w:t>
            </w:r>
          </w:p>
        </w:tc>
        <w:tc>
          <w:tcPr>
            <w:tcW w:w="12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Auditor reporting</w:t>
            </w: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internal audit and internal</w:t>
            </w:r>
          </w:p>
        </w:tc>
        <w:tc>
          <w:tcPr>
            <w:tcW w:w="1320" w:type="dxa"/>
            <w:vAlign w:val="bottom"/>
          </w:tcPr>
          <w:p>
            <w:pPr>
              <w:spacing w:after="0"/>
              <w:rPr>
                <w:sz w:val="10"/>
                <w:szCs w:val="10"/>
                <w:color w:val="auto"/>
              </w:rPr>
            </w:pP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internal audit and internal</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internal audit and internal</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internal controls updates</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controls updates</w:t>
            </w:r>
          </w:p>
        </w:tc>
        <w:tc>
          <w:tcPr>
            <w:tcW w:w="12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Internal controls update</w:t>
            </w: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controls updates</w:t>
            </w:r>
          </w:p>
        </w:tc>
        <w:tc>
          <w:tcPr>
            <w:tcW w:w="1320" w:type="dxa"/>
            <w:vAlign w:val="bottom"/>
          </w:tcPr>
          <w:p>
            <w:pPr>
              <w:spacing w:after="0"/>
              <w:rPr>
                <w:sz w:val="10"/>
                <w:szCs w:val="10"/>
                <w:color w:val="auto"/>
              </w:rPr>
            </w:pP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controls updates</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controls updates</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Privacy update</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AGM proposals to the</w:t>
            </w:r>
          </w:p>
        </w:tc>
        <w:tc>
          <w:tcPr>
            <w:tcW w:w="1280" w:type="dxa"/>
            <w:vAlign w:val="bottom"/>
          </w:tcPr>
          <w:p>
            <w:pPr>
              <w:spacing w:after="0"/>
              <w:rPr>
                <w:sz w:val="10"/>
                <w:szCs w:val="10"/>
                <w:color w:val="auto"/>
              </w:rPr>
            </w:pP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Treasury update</w:t>
            </w:r>
          </w:p>
        </w:tc>
        <w:tc>
          <w:tcPr>
            <w:tcW w:w="1320" w:type="dxa"/>
            <w:vAlign w:val="bottom"/>
          </w:tcPr>
          <w:p>
            <w:pPr>
              <w:spacing w:after="0"/>
              <w:rPr>
                <w:sz w:val="10"/>
                <w:szCs w:val="10"/>
                <w:color w:val="auto"/>
              </w:rPr>
            </w:pPr>
          </w:p>
        </w:tc>
        <w:tc>
          <w:tcPr>
            <w:tcW w:w="13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Finance IT and</w:t>
            </w: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ESG disclosure and</w:t>
            </w:r>
          </w:p>
        </w:tc>
        <w:tc>
          <w:tcPr>
            <w:tcW w:w="1380" w:type="dxa"/>
            <w:vAlign w:val="bottom"/>
          </w:tcPr>
          <w:p>
            <w:pPr>
              <w:ind w:left="8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Charter and Policy</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Board</w:t>
            </w:r>
          </w:p>
        </w:tc>
        <w:tc>
          <w:tcPr>
            <w:tcW w:w="1280" w:type="dxa"/>
            <w:vAlign w:val="bottom"/>
          </w:tcPr>
          <w:p>
            <w:pPr>
              <w:spacing w:after="0"/>
              <w:rPr>
                <w:sz w:val="10"/>
                <w:szCs w:val="10"/>
                <w:color w:val="auto"/>
              </w:rPr>
            </w:pPr>
          </w:p>
        </w:tc>
        <w:tc>
          <w:tcPr>
            <w:tcW w:w="136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IT and service security</w:t>
            </w:r>
          </w:p>
        </w:tc>
        <w:tc>
          <w:tcPr>
            <w:tcW w:w="1320" w:type="dxa"/>
            <w:vAlign w:val="bottom"/>
          </w:tcPr>
          <w:p>
            <w:pPr>
              <w:spacing w:after="0"/>
              <w:rPr>
                <w:sz w:val="10"/>
                <w:szCs w:val="10"/>
                <w:color w:val="auto"/>
              </w:rPr>
            </w:pPr>
          </w:p>
        </w:tc>
        <w:tc>
          <w:tcPr>
            <w:tcW w:w="132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digitalization</w:t>
            </w: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reporting developments,</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review</w:t>
            </w:r>
          </w:p>
        </w:tc>
        <w:tc>
          <w:tcPr>
            <w:tcW w:w="0" w:type="dxa"/>
            <w:vAlign w:val="bottom"/>
          </w:tcPr>
          <w:p>
            <w:pPr>
              <w:spacing w:after="0"/>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Annual Policy review</w:t>
            </w:r>
          </w:p>
        </w:tc>
        <w:tc>
          <w:tcPr>
            <w:tcW w:w="1280" w:type="dxa"/>
            <w:vAlign w:val="bottom"/>
          </w:tcPr>
          <w:p>
            <w:pPr>
              <w:spacing w:after="0"/>
              <w:rPr>
                <w:sz w:val="10"/>
                <w:szCs w:val="10"/>
                <w:color w:val="auto"/>
              </w:rPr>
            </w:pPr>
          </w:p>
        </w:tc>
        <w:tc>
          <w:tcPr>
            <w:tcW w:w="136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update</w:t>
            </w:r>
          </w:p>
        </w:tc>
        <w:tc>
          <w:tcPr>
            <w:tcW w:w="1320" w:type="dxa"/>
            <w:vAlign w:val="bottom"/>
          </w:tcPr>
          <w:p>
            <w:pPr>
              <w:spacing w:after="0"/>
              <w:rPr>
                <w:sz w:val="10"/>
                <w:szCs w:val="10"/>
                <w:color w:val="auto"/>
              </w:rPr>
            </w:pPr>
          </w:p>
        </w:tc>
        <w:tc>
          <w:tcPr>
            <w:tcW w:w="132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processes and controls</w:t>
            </w:r>
          </w:p>
        </w:tc>
        <w:tc>
          <w:tcPr>
            <w:tcW w:w="138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14"/>
        </w:trPr>
        <w:tc>
          <w:tcPr>
            <w:tcW w:w="700" w:type="dxa"/>
            <w:vAlign w:val="bottom"/>
          </w:tcPr>
          <w:p>
            <w:pPr>
              <w:spacing w:after="0"/>
              <w:rPr>
                <w:sz w:val="9"/>
                <w:szCs w:val="9"/>
                <w:color w:val="auto"/>
              </w:rPr>
            </w:pPr>
          </w:p>
        </w:tc>
        <w:tc>
          <w:tcPr>
            <w:tcW w:w="1340" w:type="dxa"/>
            <w:vAlign w:val="bottom"/>
          </w:tcPr>
          <w:p>
            <w:pPr>
              <w:spacing w:after="0"/>
              <w:rPr>
                <w:sz w:val="9"/>
                <w:szCs w:val="9"/>
                <w:color w:val="auto"/>
              </w:rPr>
            </w:pPr>
          </w:p>
        </w:tc>
        <w:tc>
          <w:tcPr>
            <w:tcW w:w="1280" w:type="dxa"/>
            <w:vAlign w:val="bottom"/>
          </w:tcPr>
          <w:p>
            <w:pPr>
              <w:spacing w:after="0"/>
              <w:rPr>
                <w:sz w:val="9"/>
                <w:szCs w:val="9"/>
                <w:color w:val="auto"/>
              </w:rPr>
            </w:pPr>
          </w:p>
        </w:tc>
        <w:tc>
          <w:tcPr>
            <w:tcW w:w="1360" w:type="dxa"/>
            <w:vAlign w:val="bottom"/>
          </w:tcPr>
          <w:p>
            <w:pPr>
              <w:ind w:left="100"/>
              <w:spacing w:after="0" w:line="114"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Tax update</w:t>
            </w:r>
          </w:p>
        </w:tc>
        <w:tc>
          <w:tcPr>
            <w:tcW w:w="1320" w:type="dxa"/>
            <w:vAlign w:val="bottom"/>
          </w:tcPr>
          <w:p>
            <w:pPr>
              <w:spacing w:after="0"/>
              <w:rPr>
                <w:sz w:val="9"/>
                <w:szCs w:val="9"/>
                <w:color w:val="auto"/>
              </w:rPr>
            </w:pPr>
          </w:p>
        </w:tc>
        <w:tc>
          <w:tcPr>
            <w:tcW w:w="1320" w:type="dxa"/>
            <w:vAlign w:val="bottom"/>
          </w:tcPr>
          <w:p>
            <w:pPr>
              <w:spacing w:after="0"/>
              <w:rPr>
                <w:sz w:val="9"/>
                <w:szCs w:val="9"/>
                <w:color w:val="auto"/>
              </w:rPr>
            </w:pPr>
          </w:p>
        </w:tc>
        <w:tc>
          <w:tcPr>
            <w:tcW w:w="1340" w:type="dxa"/>
            <w:vAlign w:val="bottom"/>
          </w:tcPr>
          <w:p>
            <w:pPr>
              <w:ind w:left="100"/>
              <w:spacing w:after="0" w:line="114"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IT and service security</w:t>
            </w:r>
          </w:p>
        </w:tc>
        <w:tc>
          <w:tcPr>
            <w:tcW w:w="1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55"/>
        </w:trPr>
        <w:tc>
          <w:tcPr>
            <w:tcW w:w="700" w:type="dxa"/>
            <w:vAlign w:val="bottom"/>
            <w:tcBorders>
              <w:bottom w:val="single" w:sz="8" w:color="005AFF"/>
            </w:tcBorders>
          </w:tcPr>
          <w:p>
            <w:pPr>
              <w:spacing w:after="0"/>
              <w:rPr>
                <w:sz w:val="13"/>
                <w:szCs w:val="13"/>
                <w:color w:val="auto"/>
              </w:rPr>
            </w:pPr>
          </w:p>
        </w:tc>
        <w:tc>
          <w:tcPr>
            <w:tcW w:w="1340" w:type="dxa"/>
            <w:vAlign w:val="bottom"/>
            <w:tcBorders>
              <w:bottom w:val="single" w:sz="8" w:color="005AFF"/>
            </w:tcBorders>
          </w:tcPr>
          <w:p>
            <w:pPr>
              <w:spacing w:after="0"/>
              <w:rPr>
                <w:sz w:val="13"/>
                <w:szCs w:val="13"/>
                <w:color w:val="auto"/>
              </w:rPr>
            </w:pPr>
          </w:p>
        </w:tc>
        <w:tc>
          <w:tcPr>
            <w:tcW w:w="1280" w:type="dxa"/>
            <w:vAlign w:val="bottom"/>
            <w:tcBorders>
              <w:bottom w:val="single" w:sz="8" w:color="005AFF"/>
            </w:tcBorders>
          </w:tcPr>
          <w:p>
            <w:pPr>
              <w:spacing w:after="0"/>
              <w:rPr>
                <w:sz w:val="13"/>
                <w:szCs w:val="13"/>
                <w:color w:val="auto"/>
              </w:rPr>
            </w:pPr>
          </w:p>
        </w:tc>
        <w:tc>
          <w:tcPr>
            <w:tcW w:w="1360" w:type="dxa"/>
            <w:vAlign w:val="bottom"/>
            <w:tcBorders>
              <w:bottom w:val="single" w:sz="8" w:color="005AFF"/>
            </w:tcBorders>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Conflict Minerals Report</w:t>
            </w:r>
          </w:p>
        </w:tc>
        <w:tc>
          <w:tcPr>
            <w:tcW w:w="1320" w:type="dxa"/>
            <w:vAlign w:val="bottom"/>
            <w:tcBorders>
              <w:bottom w:val="single" w:sz="8" w:color="005AFF"/>
            </w:tcBorders>
          </w:tcPr>
          <w:p>
            <w:pPr>
              <w:spacing w:after="0"/>
              <w:rPr>
                <w:sz w:val="13"/>
                <w:szCs w:val="13"/>
                <w:color w:val="auto"/>
              </w:rPr>
            </w:pPr>
          </w:p>
        </w:tc>
        <w:tc>
          <w:tcPr>
            <w:tcW w:w="1320" w:type="dxa"/>
            <w:vAlign w:val="bottom"/>
            <w:tcBorders>
              <w:bottom w:val="single" w:sz="8" w:color="005AFF"/>
            </w:tcBorders>
          </w:tcPr>
          <w:p>
            <w:pPr>
              <w:spacing w:after="0"/>
              <w:rPr>
                <w:sz w:val="13"/>
                <w:szCs w:val="13"/>
                <w:color w:val="auto"/>
              </w:rPr>
            </w:pPr>
          </w:p>
        </w:tc>
        <w:tc>
          <w:tcPr>
            <w:tcW w:w="134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9"/>
                <w:szCs w:val="9"/>
                <w:color w:val="0D0D0D"/>
              </w:rPr>
              <w:t>updates</w:t>
            </w:r>
          </w:p>
        </w:tc>
        <w:tc>
          <w:tcPr>
            <w:tcW w:w="138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08"/>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Technology</w:t>
            </w:r>
          </w:p>
        </w:tc>
        <w:tc>
          <w:tcPr>
            <w:tcW w:w="1340" w:type="dxa"/>
            <w:vAlign w:val="bottom"/>
          </w:tcPr>
          <w:p>
            <w:pPr>
              <w:spacing w:after="0"/>
              <w:rPr>
                <w:sz w:val="9"/>
                <w:szCs w:val="9"/>
                <w:color w:val="auto"/>
              </w:rPr>
            </w:pPr>
          </w:p>
        </w:tc>
        <w:tc>
          <w:tcPr>
            <w:tcW w:w="1280" w:type="dxa"/>
            <w:vAlign w:val="bottom"/>
          </w:tcPr>
          <w:p>
            <w:pPr>
              <w:ind w:left="8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Updates on major</w:t>
            </w:r>
          </w:p>
        </w:tc>
        <w:tc>
          <w:tcPr>
            <w:tcW w:w="1360" w:type="dxa"/>
            <w:vAlign w:val="bottom"/>
          </w:tcPr>
          <w:p>
            <w:pPr>
              <w:spacing w:after="0"/>
              <w:rPr>
                <w:sz w:val="9"/>
                <w:szCs w:val="9"/>
                <w:color w:val="auto"/>
              </w:rPr>
            </w:pPr>
          </w:p>
        </w:tc>
        <w:tc>
          <w:tcPr>
            <w:tcW w:w="1320" w:type="dxa"/>
            <w:vAlign w:val="bottom"/>
          </w:tcPr>
          <w:p>
            <w:pPr>
              <w:ind w:left="6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Updates on major</w:t>
            </w:r>
          </w:p>
        </w:tc>
        <w:tc>
          <w:tcPr>
            <w:tcW w:w="1320" w:type="dxa"/>
            <w:vAlign w:val="bottom"/>
          </w:tcPr>
          <w:p>
            <w:pPr>
              <w:spacing w:after="0"/>
              <w:rPr>
                <w:sz w:val="9"/>
                <w:szCs w:val="9"/>
                <w:color w:val="auto"/>
              </w:rPr>
            </w:pPr>
          </w:p>
        </w:tc>
        <w:tc>
          <w:tcPr>
            <w:tcW w:w="1340" w:type="dxa"/>
            <w:vAlign w:val="bottom"/>
          </w:tcPr>
          <w:p>
            <w:pPr>
              <w:ind w:left="10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Sustainability technology</w:t>
            </w:r>
          </w:p>
        </w:tc>
        <w:tc>
          <w:tcPr>
            <w:tcW w:w="1380" w:type="dxa"/>
            <w:vAlign w:val="bottom"/>
          </w:tcPr>
          <w:p>
            <w:pPr>
              <w:ind w:left="80"/>
              <w:spacing w:after="0" w:line="109"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Updates on major</w:t>
            </w:r>
          </w:p>
        </w:tc>
        <w:tc>
          <w:tcPr>
            <w:tcW w:w="0" w:type="dxa"/>
            <w:vAlign w:val="bottom"/>
          </w:tcPr>
          <w:p>
            <w:pPr>
              <w:spacing w:after="0"/>
              <w:rPr>
                <w:sz w:val="1"/>
                <w:szCs w:val="1"/>
                <w:color w:val="auto"/>
              </w:rPr>
            </w:pPr>
          </w:p>
        </w:tc>
      </w:tr>
      <w:tr>
        <w:trPr>
          <w:trHeight w:val="106"/>
        </w:trPr>
        <w:tc>
          <w:tcPr>
            <w:tcW w:w="70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Committee</w:t>
            </w:r>
          </w:p>
        </w:tc>
        <w:tc>
          <w:tcPr>
            <w:tcW w:w="1340" w:type="dxa"/>
            <w:vAlign w:val="bottom"/>
          </w:tcPr>
          <w:p>
            <w:pPr>
              <w:spacing w:after="0"/>
              <w:rPr>
                <w:sz w:val="9"/>
                <w:szCs w:val="9"/>
                <w:color w:val="auto"/>
              </w:rPr>
            </w:pPr>
          </w:p>
        </w:tc>
        <w:tc>
          <w:tcPr>
            <w:tcW w:w="1280" w:type="dxa"/>
            <w:vAlign w:val="bottom"/>
            <w:vMerge w:val="restart"/>
          </w:tcPr>
          <w:p>
            <w:pPr>
              <w:ind w:left="180"/>
              <w:spacing w:after="0"/>
              <w:rPr>
                <w:sz w:val="20"/>
                <w:szCs w:val="20"/>
                <w:color w:val="auto"/>
              </w:rPr>
            </w:pPr>
            <w:r>
              <w:rPr>
                <w:rFonts w:ascii="Times New Roman" w:cs="Times New Roman" w:eastAsia="Times New Roman" w:hAnsi="Times New Roman"/>
                <w:sz w:val="9"/>
                <w:szCs w:val="9"/>
                <w:color w:val="0D0D0D"/>
              </w:rPr>
              <w:t>innovation and technology</w:t>
            </w:r>
          </w:p>
        </w:tc>
        <w:tc>
          <w:tcPr>
            <w:tcW w:w="1360" w:type="dxa"/>
            <w:vAlign w:val="bottom"/>
          </w:tcPr>
          <w:p>
            <w:pPr>
              <w:spacing w:after="0"/>
              <w:rPr>
                <w:sz w:val="9"/>
                <w:szCs w:val="9"/>
                <w:color w:val="auto"/>
              </w:rPr>
            </w:pPr>
          </w:p>
        </w:tc>
        <w:tc>
          <w:tcPr>
            <w:tcW w:w="1320" w:type="dxa"/>
            <w:vAlign w:val="bottom"/>
            <w:vMerge w:val="restart"/>
          </w:tcPr>
          <w:p>
            <w:pPr>
              <w:ind w:left="160"/>
              <w:spacing w:after="0"/>
              <w:rPr>
                <w:sz w:val="20"/>
                <w:szCs w:val="20"/>
                <w:color w:val="auto"/>
              </w:rPr>
            </w:pPr>
            <w:r>
              <w:rPr>
                <w:rFonts w:ascii="Times New Roman" w:cs="Times New Roman" w:eastAsia="Times New Roman" w:hAnsi="Times New Roman"/>
                <w:sz w:val="9"/>
                <w:szCs w:val="9"/>
                <w:color w:val="0D0D0D"/>
              </w:rPr>
              <w:t>innovation and technology</w:t>
            </w:r>
          </w:p>
        </w:tc>
        <w:tc>
          <w:tcPr>
            <w:tcW w:w="1320" w:type="dxa"/>
            <w:vAlign w:val="bottom"/>
          </w:tcPr>
          <w:p>
            <w:pPr>
              <w:spacing w:after="0"/>
              <w:rPr>
                <w:sz w:val="9"/>
                <w:szCs w:val="9"/>
                <w:color w:val="auto"/>
              </w:rPr>
            </w:pPr>
          </w:p>
        </w:tc>
        <w:tc>
          <w:tcPr>
            <w:tcW w:w="1340" w:type="dxa"/>
            <w:vAlign w:val="bottom"/>
            <w:vMerge w:val="restart"/>
          </w:tcPr>
          <w:p>
            <w:pPr>
              <w:ind w:left="200"/>
              <w:spacing w:after="0"/>
              <w:rPr>
                <w:sz w:val="20"/>
                <w:szCs w:val="20"/>
                <w:color w:val="auto"/>
              </w:rPr>
            </w:pPr>
            <w:r>
              <w:rPr>
                <w:rFonts w:ascii="Times New Roman" w:cs="Times New Roman" w:eastAsia="Times New Roman" w:hAnsi="Times New Roman"/>
                <w:sz w:val="9"/>
                <w:szCs w:val="9"/>
                <w:color w:val="0D0D0D"/>
              </w:rPr>
              <w:t>strategy</w:t>
            </w:r>
          </w:p>
        </w:tc>
        <w:tc>
          <w:tcPr>
            <w:tcW w:w="1380" w:type="dxa"/>
            <w:vAlign w:val="bottom"/>
            <w:vMerge w:val="restart"/>
          </w:tcPr>
          <w:p>
            <w:pPr>
              <w:ind w:left="180"/>
              <w:spacing w:after="0"/>
              <w:rPr>
                <w:sz w:val="20"/>
                <w:szCs w:val="20"/>
                <w:color w:val="auto"/>
              </w:rPr>
            </w:pPr>
            <w:r>
              <w:rPr>
                <w:rFonts w:ascii="Times New Roman" w:cs="Times New Roman" w:eastAsia="Times New Roman" w:hAnsi="Times New Roman"/>
                <w:sz w:val="9"/>
                <w:szCs w:val="9"/>
                <w:color w:val="0D0D0D"/>
              </w:rPr>
              <w:t>innovation and technology</w:t>
            </w:r>
          </w:p>
        </w:tc>
        <w:tc>
          <w:tcPr>
            <w:tcW w:w="0" w:type="dxa"/>
            <w:vAlign w:val="bottom"/>
          </w:tcPr>
          <w:p>
            <w:pPr>
              <w:spacing w:after="0"/>
              <w:rPr>
                <w:sz w:val="1"/>
                <w:szCs w:val="1"/>
                <w:color w:val="auto"/>
              </w:rPr>
            </w:pPr>
          </w:p>
        </w:tc>
      </w:tr>
      <w:tr>
        <w:trPr>
          <w:trHeight w:val="23"/>
        </w:trPr>
        <w:tc>
          <w:tcPr>
            <w:tcW w:w="700" w:type="dxa"/>
            <w:vAlign w:val="bottom"/>
          </w:tcPr>
          <w:p>
            <w:pPr>
              <w:spacing w:after="0" w:line="20" w:lineRule="exact"/>
              <w:rPr>
                <w:sz w:val="1"/>
                <w:szCs w:val="1"/>
                <w:color w:val="auto"/>
              </w:rPr>
            </w:pPr>
          </w:p>
        </w:tc>
        <w:tc>
          <w:tcPr>
            <w:tcW w:w="1340" w:type="dxa"/>
            <w:vAlign w:val="bottom"/>
          </w:tcPr>
          <w:p>
            <w:pPr>
              <w:spacing w:after="0" w:line="20" w:lineRule="exact"/>
              <w:rPr>
                <w:sz w:val="1"/>
                <w:szCs w:val="1"/>
                <w:color w:val="auto"/>
              </w:rPr>
            </w:pPr>
          </w:p>
        </w:tc>
        <w:tc>
          <w:tcPr>
            <w:tcW w:w="1280" w:type="dxa"/>
            <w:vAlign w:val="bottom"/>
            <w:vMerge w:val="continue"/>
          </w:tcPr>
          <w:p>
            <w:pPr>
              <w:spacing w:after="0" w:line="20" w:lineRule="exact"/>
              <w:rPr>
                <w:sz w:val="1"/>
                <w:szCs w:val="1"/>
                <w:color w:val="auto"/>
              </w:rPr>
            </w:pPr>
          </w:p>
        </w:tc>
        <w:tc>
          <w:tcPr>
            <w:tcW w:w="1360" w:type="dxa"/>
            <w:vAlign w:val="bottom"/>
          </w:tcPr>
          <w:p>
            <w:pPr>
              <w:spacing w:after="0" w:line="20" w:lineRule="exact"/>
              <w:rPr>
                <w:sz w:val="1"/>
                <w:szCs w:val="1"/>
                <w:color w:val="auto"/>
              </w:rPr>
            </w:pPr>
          </w:p>
        </w:tc>
        <w:tc>
          <w:tcPr>
            <w:tcW w:w="1320" w:type="dxa"/>
            <w:vAlign w:val="bottom"/>
            <w:vMerge w:val="continue"/>
          </w:tcPr>
          <w:p>
            <w:pPr>
              <w:spacing w:after="0" w:line="20" w:lineRule="exact"/>
              <w:rPr>
                <w:sz w:val="1"/>
                <w:szCs w:val="1"/>
                <w:color w:val="auto"/>
              </w:rPr>
            </w:pPr>
          </w:p>
        </w:tc>
        <w:tc>
          <w:tcPr>
            <w:tcW w:w="1320" w:type="dxa"/>
            <w:vAlign w:val="bottom"/>
          </w:tcPr>
          <w:p>
            <w:pPr>
              <w:spacing w:after="0" w:line="20" w:lineRule="exact"/>
              <w:rPr>
                <w:sz w:val="1"/>
                <w:szCs w:val="1"/>
                <w:color w:val="auto"/>
              </w:rPr>
            </w:pPr>
          </w:p>
        </w:tc>
        <w:tc>
          <w:tcPr>
            <w:tcW w:w="1340" w:type="dxa"/>
            <w:vAlign w:val="bottom"/>
            <w:vMerge w:val="continue"/>
          </w:tcPr>
          <w:p>
            <w:pPr>
              <w:spacing w:after="0" w:line="20" w:lineRule="exact"/>
              <w:rPr>
                <w:sz w:val="1"/>
                <w:szCs w:val="1"/>
                <w:color w:val="auto"/>
              </w:rPr>
            </w:pPr>
          </w:p>
        </w:tc>
        <w:tc>
          <w:tcPr>
            <w:tcW w:w="1380" w:type="dxa"/>
            <w:vAlign w:val="bottom"/>
            <w:vMerge w:val="continue"/>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r>
        <w:trPr>
          <w:trHeight w:val="121"/>
        </w:trPr>
        <w:tc>
          <w:tcPr>
            <w:tcW w:w="70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trends</w:t>
            </w:r>
          </w:p>
        </w:tc>
        <w:tc>
          <w:tcPr>
            <w:tcW w:w="1360" w:type="dxa"/>
            <w:vAlign w:val="bottom"/>
          </w:tcPr>
          <w:p>
            <w:pPr>
              <w:spacing w:after="0"/>
              <w:rPr>
                <w:sz w:val="10"/>
                <w:szCs w:val="10"/>
                <w:color w:val="auto"/>
              </w:rPr>
            </w:pP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trends</w:t>
            </w:r>
          </w:p>
        </w:tc>
        <w:tc>
          <w:tcPr>
            <w:tcW w:w="1320" w:type="dxa"/>
            <w:vAlign w:val="bottom"/>
          </w:tcPr>
          <w:p>
            <w:pPr>
              <w:spacing w:after="0"/>
              <w:rPr>
                <w:sz w:val="10"/>
                <w:szCs w:val="10"/>
                <w:color w:val="auto"/>
              </w:rPr>
            </w:pPr>
          </w:p>
        </w:tc>
        <w:tc>
          <w:tcPr>
            <w:tcW w:w="134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Updates on major</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trends</w:t>
            </w:r>
          </w:p>
        </w:tc>
        <w:tc>
          <w:tcPr>
            <w:tcW w:w="0" w:type="dxa"/>
            <w:vAlign w:val="bottom"/>
          </w:tcPr>
          <w:p>
            <w:pPr>
              <w:spacing w:after="0"/>
              <w:rPr>
                <w:sz w:val="1"/>
                <w:szCs w:val="1"/>
                <w:color w:val="auto"/>
              </w:rPr>
            </w:pPr>
          </w:p>
        </w:tc>
      </w:tr>
      <w:tr>
        <w:trPr>
          <w:trHeight w:val="141"/>
        </w:trPr>
        <w:tc>
          <w:tcPr>
            <w:tcW w:w="70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12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Review of strategic</w:t>
            </w:r>
          </w:p>
        </w:tc>
        <w:tc>
          <w:tcPr>
            <w:tcW w:w="1360" w:type="dxa"/>
            <w:vAlign w:val="bottom"/>
          </w:tcPr>
          <w:p>
            <w:pPr>
              <w:spacing w:after="0"/>
              <w:rPr>
                <w:sz w:val="12"/>
                <w:szCs w:val="12"/>
                <w:color w:val="auto"/>
              </w:rPr>
            </w:pP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Review of strategic</w:t>
            </w:r>
          </w:p>
        </w:tc>
        <w:tc>
          <w:tcPr>
            <w:tcW w:w="1320" w:type="dxa"/>
            <w:vAlign w:val="bottom"/>
          </w:tcPr>
          <w:p>
            <w:pPr>
              <w:spacing w:after="0"/>
              <w:rPr>
                <w:sz w:val="12"/>
                <w:szCs w:val="12"/>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innovation and technology</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Review of strategic</w:t>
            </w:r>
          </w:p>
        </w:tc>
        <w:tc>
          <w:tcPr>
            <w:tcW w:w="0" w:type="dxa"/>
            <w:vAlign w:val="bottom"/>
          </w:tcPr>
          <w:p>
            <w:pPr>
              <w:spacing w:after="0"/>
              <w:rPr>
                <w:sz w:val="1"/>
                <w:szCs w:val="1"/>
                <w:color w:val="auto"/>
              </w:rPr>
            </w:pPr>
          </w:p>
        </w:tc>
      </w:tr>
      <w:tr>
        <w:trPr>
          <w:trHeight w:val="101"/>
        </w:trPr>
        <w:tc>
          <w:tcPr>
            <w:tcW w:w="700" w:type="dxa"/>
            <w:vAlign w:val="bottom"/>
          </w:tcPr>
          <w:p>
            <w:pPr>
              <w:spacing w:after="0"/>
              <w:rPr>
                <w:sz w:val="8"/>
                <w:szCs w:val="8"/>
                <w:color w:val="auto"/>
              </w:rPr>
            </w:pPr>
          </w:p>
        </w:tc>
        <w:tc>
          <w:tcPr>
            <w:tcW w:w="1340" w:type="dxa"/>
            <w:vAlign w:val="bottom"/>
          </w:tcPr>
          <w:p>
            <w:pPr>
              <w:spacing w:after="0"/>
              <w:rPr>
                <w:sz w:val="8"/>
                <w:szCs w:val="8"/>
                <w:color w:val="auto"/>
              </w:rPr>
            </w:pPr>
          </w:p>
        </w:tc>
        <w:tc>
          <w:tcPr>
            <w:tcW w:w="1280" w:type="dxa"/>
            <w:vAlign w:val="bottom"/>
          </w:tcPr>
          <w:p>
            <w:pPr>
              <w:ind w:left="180"/>
              <w:spacing w:after="0" w:line="102" w:lineRule="exact"/>
              <w:rPr>
                <w:sz w:val="20"/>
                <w:szCs w:val="20"/>
                <w:color w:val="auto"/>
              </w:rPr>
            </w:pPr>
            <w:r>
              <w:rPr>
                <w:rFonts w:ascii="Times New Roman" w:cs="Times New Roman" w:eastAsia="Times New Roman" w:hAnsi="Times New Roman"/>
                <w:sz w:val="9"/>
                <w:szCs w:val="9"/>
                <w:color w:val="0D0D0D"/>
              </w:rPr>
              <w:t>technology initiatives</w:t>
            </w:r>
          </w:p>
        </w:tc>
        <w:tc>
          <w:tcPr>
            <w:tcW w:w="1360" w:type="dxa"/>
            <w:vAlign w:val="bottom"/>
          </w:tcPr>
          <w:p>
            <w:pPr>
              <w:spacing w:after="0"/>
              <w:rPr>
                <w:sz w:val="8"/>
                <w:szCs w:val="8"/>
                <w:color w:val="auto"/>
              </w:rPr>
            </w:pPr>
          </w:p>
        </w:tc>
        <w:tc>
          <w:tcPr>
            <w:tcW w:w="1320" w:type="dxa"/>
            <w:vAlign w:val="bottom"/>
          </w:tcPr>
          <w:p>
            <w:pPr>
              <w:ind w:left="160"/>
              <w:spacing w:after="0" w:line="102" w:lineRule="exact"/>
              <w:rPr>
                <w:sz w:val="20"/>
                <w:szCs w:val="20"/>
                <w:color w:val="auto"/>
              </w:rPr>
            </w:pPr>
            <w:r>
              <w:rPr>
                <w:rFonts w:ascii="Times New Roman" w:cs="Times New Roman" w:eastAsia="Times New Roman" w:hAnsi="Times New Roman"/>
                <w:sz w:val="9"/>
                <w:szCs w:val="9"/>
                <w:color w:val="0D0D0D"/>
              </w:rPr>
              <w:t>technology initiatives</w:t>
            </w:r>
          </w:p>
        </w:tc>
        <w:tc>
          <w:tcPr>
            <w:tcW w:w="1320" w:type="dxa"/>
            <w:vAlign w:val="bottom"/>
          </w:tcPr>
          <w:p>
            <w:pPr>
              <w:spacing w:after="0"/>
              <w:rPr>
                <w:sz w:val="8"/>
                <w:szCs w:val="8"/>
                <w:color w:val="auto"/>
              </w:rPr>
            </w:pPr>
          </w:p>
        </w:tc>
        <w:tc>
          <w:tcPr>
            <w:tcW w:w="1340" w:type="dxa"/>
            <w:vAlign w:val="bottom"/>
          </w:tcPr>
          <w:p>
            <w:pPr>
              <w:ind w:left="200"/>
              <w:spacing w:after="0" w:line="102" w:lineRule="exact"/>
              <w:rPr>
                <w:sz w:val="20"/>
                <w:szCs w:val="20"/>
                <w:color w:val="auto"/>
              </w:rPr>
            </w:pPr>
            <w:r>
              <w:rPr>
                <w:rFonts w:ascii="Times New Roman" w:cs="Times New Roman" w:eastAsia="Times New Roman" w:hAnsi="Times New Roman"/>
                <w:sz w:val="9"/>
                <w:szCs w:val="9"/>
                <w:color w:val="0D0D0D"/>
              </w:rPr>
              <w:t>trends</w:t>
            </w:r>
          </w:p>
        </w:tc>
        <w:tc>
          <w:tcPr>
            <w:tcW w:w="1380" w:type="dxa"/>
            <w:vAlign w:val="bottom"/>
          </w:tcPr>
          <w:p>
            <w:pPr>
              <w:ind w:left="180"/>
              <w:spacing w:after="0" w:line="102" w:lineRule="exact"/>
              <w:rPr>
                <w:sz w:val="20"/>
                <w:szCs w:val="20"/>
                <w:color w:val="auto"/>
              </w:rPr>
            </w:pPr>
            <w:r>
              <w:rPr>
                <w:rFonts w:ascii="Times New Roman" w:cs="Times New Roman" w:eastAsia="Times New Roman" w:hAnsi="Times New Roman"/>
                <w:sz w:val="9"/>
                <w:szCs w:val="9"/>
                <w:color w:val="0D0D0D"/>
              </w:rPr>
              <w:t>technology initiatives</w:t>
            </w:r>
          </w:p>
        </w:tc>
        <w:tc>
          <w:tcPr>
            <w:tcW w:w="0" w:type="dxa"/>
            <w:vAlign w:val="bottom"/>
          </w:tcPr>
          <w:p>
            <w:pPr>
              <w:spacing w:after="0"/>
              <w:rPr>
                <w:sz w:val="1"/>
                <w:szCs w:val="1"/>
                <w:color w:val="auto"/>
              </w:rPr>
            </w:pPr>
          </w:p>
        </w:tc>
      </w:tr>
      <w:tr>
        <w:trPr>
          <w:trHeight w:val="131"/>
        </w:trPr>
        <w:tc>
          <w:tcPr>
            <w:tcW w:w="700" w:type="dxa"/>
            <w:vAlign w:val="bottom"/>
          </w:tcPr>
          <w:p>
            <w:pPr>
              <w:spacing w:after="0"/>
              <w:rPr>
                <w:sz w:val="11"/>
                <w:szCs w:val="11"/>
                <w:color w:val="auto"/>
              </w:rPr>
            </w:pPr>
          </w:p>
        </w:tc>
        <w:tc>
          <w:tcPr>
            <w:tcW w:w="1340" w:type="dxa"/>
            <w:vAlign w:val="bottom"/>
          </w:tcPr>
          <w:p>
            <w:pPr>
              <w:spacing w:after="0"/>
              <w:rPr>
                <w:sz w:val="11"/>
                <w:szCs w:val="11"/>
                <w:color w:val="auto"/>
              </w:rPr>
            </w:pPr>
          </w:p>
        </w:tc>
        <w:tc>
          <w:tcPr>
            <w:tcW w:w="1280" w:type="dxa"/>
            <w:vAlign w:val="bottom"/>
          </w:tcPr>
          <w:p>
            <w:pPr>
              <w:spacing w:after="0"/>
              <w:rPr>
                <w:sz w:val="11"/>
                <w:szCs w:val="11"/>
                <w:color w:val="auto"/>
              </w:rPr>
            </w:pPr>
          </w:p>
        </w:tc>
        <w:tc>
          <w:tcPr>
            <w:tcW w:w="1360" w:type="dxa"/>
            <w:vAlign w:val="bottom"/>
          </w:tcPr>
          <w:p>
            <w:pPr>
              <w:spacing w:after="0"/>
              <w:rPr>
                <w:sz w:val="11"/>
                <w:szCs w:val="11"/>
                <w:color w:val="auto"/>
              </w:rPr>
            </w:pPr>
          </w:p>
        </w:tc>
        <w:tc>
          <w:tcPr>
            <w:tcW w:w="1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Cybersecurity: product and</w:t>
            </w:r>
          </w:p>
        </w:tc>
        <w:tc>
          <w:tcPr>
            <w:tcW w:w="1320" w:type="dxa"/>
            <w:vAlign w:val="bottom"/>
          </w:tcPr>
          <w:p>
            <w:pPr>
              <w:spacing w:after="0"/>
              <w:rPr>
                <w:sz w:val="11"/>
                <w:szCs w:val="11"/>
                <w:color w:val="auto"/>
              </w:rPr>
            </w:pPr>
          </w:p>
        </w:tc>
        <w:tc>
          <w:tcPr>
            <w:tcW w:w="13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Review of strategic</w:t>
            </w:r>
          </w:p>
        </w:tc>
        <w:tc>
          <w:tcPr>
            <w:tcW w:w="1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9"/>
                <w:szCs w:val="9"/>
                <w:color w:val="0D0D0D"/>
              </w:rPr>
              <w:t>Cybersecurity: product and</w:t>
            </w:r>
          </w:p>
        </w:tc>
        <w:tc>
          <w:tcPr>
            <w:tcW w:w="0" w:type="dxa"/>
            <w:vAlign w:val="bottom"/>
          </w:tcPr>
          <w:p>
            <w:pPr>
              <w:spacing w:after="0"/>
              <w:rPr>
                <w:sz w:val="1"/>
                <w:szCs w:val="1"/>
                <w:color w:val="auto"/>
              </w:rPr>
            </w:pPr>
          </w:p>
        </w:tc>
      </w:tr>
      <w:tr>
        <w:trPr>
          <w:trHeight w:val="122"/>
        </w:trPr>
        <w:tc>
          <w:tcPr>
            <w:tcW w:w="700" w:type="dxa"/>
            <w:vAlign w:val="bottom"/>
          </w:tcPr>
          <w:p>
            <w:pPr>
              <w:spacing w:after="0"/>
              <w:rPr>
                <w:sz w:val="10"/>
                <w:szCs w:val="10"/>
                <w:color w:val="auto"/>
              </w:rPr>
            </w:pPr>
          </w:p>
        </w:tc>
        <w:tc>
          <w:tcPr>
            <w:tcW w:w="1340" w:type="dxa"/>
            <w:vAlign w:val="bottom"/>
          </w:tcPr>
          <w:p>
            <w:pPr>
              <w:spacing w:after="0"/>
              <w:rPr>
                <w:sz w:val="10"/>
                <w:szCs w:val="10"/>
                <w:color w:val="auto"/>
              </w:rPr>
            </w:pPr>
          </w:p>
        </w:tc>
        <w:tc>
          <w:tcPr>
            <w:tcW w:w="1280" w:type="dxa"/>
            <w:vAlign w:val="bottom"/>
          </w:tcPr>
          <w:p>
            <w:pPr>
              <w:spacing w:after="0"/>
              <w:rPr>
                <w:sz w:val="10"/>
                <w:szCs w:val="10"/>
                <w:color w:val="auto"/>
              </w:rPr>
            </w:pPr>
          </w:p>
        </w:tc>
        <w:tc>
          <w:tcPr>
            <w:tcW w:w="1360" w:type="dxa"/>
            <w:vAlign w:val="bottom"/>
          </w:tcPr>
          <w:p>
            <w:pPr>
              <w:spacing w:after="0"/>
              <w:rPr>
                <w:sz w:val="10"/>
                <w:szCs w:val="10"/>
                <w:color w:val="auto"/>
              </w:rPr>
            </w:pPr>
          </w:p>
        </w:tc>
        <w:tc>
          <w:tcPr>
            <w:tcW w:w="1320" w:type="dxa"/>
            <w:vAlign w:val="bottom"/>
          </w:tcPr>
          <w:p>
            <w:pPr>
              <w:ind w:left="160"/>
              <w:spacing w:after="0"/>
              <w:rPr>
                <w:sz w:val="20"/>
                <w:szCs w:val="20"/>
                <w:color w:val="auto"/>
              </w:rPr>
            </w:pPr>
            <w:r>
              <w:rPr>
                <w:rFonts w:ascii="Times New Roman" w:cs="Times New Roman" w:eastAsia="Times New Roman" w:hAnsi="Times New Roman"/>
                <w:sz w:val="9"/>
                <w:szCs w:val="9"/>
                <w:color w:val="0D0D0D"/>
              </w:rPr>
              <w:t>customer safety</w:t>
            </w:r>
          </w:p>
        </w:tc>
        <w:tc>
          <w:tcPr>
            <w:tcW w:w="1320" w:type="dxa"/>
            <w:vAlign w:val="bottom"/>
          </w:tcPr>
          <w:p>
            <w:pPr>
              <w:spacing w:after="0"/>
              <w:rPr>
                <w:sz w:val="10"/>
                <w:szCs w:val="10"/>
                <w:color w:val="auto"/>
              </w:rPr>
            </w:pPr>
          </w:p>
        </w:tc>
        <w:tc>
          <w:tcPr>
            <w:tcW w:w="1340" w:type="dxa"/>
            <w:vAlign w:val="bottom"/>
          </w:tcPr>
          <w:p>
            <w:pPr>
              <w:ind w:left="200"/>
              <w:spacing w:after="0"/>
              <w:rPr>
                <w:sz w:val="20"/>
                <w:szCs w:val="20"/>
                <w:color w:val="auto"/>
              </w:rPr>
            </w:pPr>
            <w:r>
              <w:rPr>
                <w:rFonts w:ascii="Times New Roman" w:cs="Times New Roman" w:eastAsia="Times New Roman" w:hAnsi="Times New Roman"/>
                <w:sz w:val="9"/>
                <w:szCs w:val="9"/>
                <w:color w:val="0D0D0D"/>
              </w:rPr>
              <w:t>technology initiatives</w:t>
            </w:r>
          </w:p>
        </w:tc>
        <w:tc>
          <w:tcPr>
            <w:tcW w:w="1380" w:type="dxa"/>
            <w:vAlign w:val="bottom"/>
          </w:tcPr>
          <w:p>
            <w:pPr>
              <w:ind w:left="180"/>
              <w:spacing w:after="0"/>
              <w:rPr>
                <w:sz w:val="20"/>
                <w:szCs w:val="20"/>
                <w:color w:val="auto"/>
              </w:rPr>
            </w:pPr>
            <w:r>
              <w:rPr>
                <w:rFonts w:ascii="Times New Roman" w:cs="Times New Roman" w:eastAsia="Times New Roman" w:hAnsi="Times New Roman"/>
                <w:sz w:val="9"/>
                <w:szCs w:val="9"/>
                <w:color w:val="0D0D0D"/>
              </w:rPr>
              <w:t>customer security</w:t>
            </w:r>
          </w:p>
        </w:tc>
        <w:tc>
          <w:tcPr>
            <w:tcW w:w="0" w:type="dxa"/>
            <w:vAlign w:val="bottom"/>
          </w:tcPr>
          <w:p>
            <w:pPr>
              <w:spacing w:after="0"/>
              <w:rPr>
                <w:sz w:val="1"/>
                <w:szCs w:val="1"/>
                <w:color w:val="auto"/>
              </w:rPr>
            </w:pPr>
          </w:p>
        </w:tc>
      </w:tr>
      <w:tr>
        <w:trPr>
          <w:trHeight w:val="33"/>
        </w:trPr>
        <w:tc>
          <w:tcPr>
            <w:tcW w:w="700" w:type="dxa"/>
            <w:vAlign w:val="bottom"/>
            <w:tcBorders>
              <w:bottom w:val="single" w:sz="8" w:color="005AFF"/>
            </w:tcBorders>
          </w:tcPr>
          <w:p>
            <w:pPr>
              <w:spacing w:after="0"/>
              <w:rPr>
                <w:sz w:val="2"/>
                <w:szCs w:val="2"/>
                <w:color w:val="auto"/>
              </w:rPr>
            </w:pPr>
          </w:p>
        </w:tc>
        <w:tc>
          <w:tcPr>
            <w:tcW w:w="1340" w:type="dxa"/>
            <w:vAlign w:val="bottom"/>
            <w:tcBorders>
              <w:bottom w:val="single" w:sz="8" w:color="005AFF"/>
            </w:tcBorders>
          </w:tcPr>
          <w:p>
            <w:pPr>
              <w:spacing w:after="0"/>
              <w:rPr>
                <w:sz w:val="2"/>
                <w:szCs w:val="2"/>
                <w:color w:val="auto"/>
              </w:rPr>
            </w:pPr>
          </w:p>
        </w:tc>
        <w:tc>
          <w:tcPr>
            <w:tcW w:w="1280" w:type="dxa"/>
            <w:vAlign w:val="bottom"/>
            <w:tcBorders>
              <w:bottom w:val="single" w:sz="8" w:color="005AFF"/>
            </w:tcBorders>
          </w:tcPr>
          <w:p>
            <w:pPr>
              <w:spacing w:after="0"/>
              <w:rPr>
                <w:sz w:val="2"/>
                <w:szCs w:val="2"/>
                <w:color w:val="auto"/>
              </w:rPr>
            </w:pPr>
          </w:p>
        </w:tc>
        <w:tc>
          <w:tcPr>
            <w:tcW w:w="1360" w:type="dxa"/>
            <w:vAlign w:val="bottom"/>
            <w:tcBorders>
              <w:bottom w:val="single" w:sz="8" w:color="005AFF"/>
            </w:tcBorders>
          </w:tcPr>
          <w:p>
            <w:pPr>
              <w:spacing w:after="0"/>
              <w:rPr>
                <w:sz w:val="2"/>
                <w:szCs w:val="2"/>
                <w:color w:val="auto"/>
              </w:rPr>
            </w:pPr>
          </w:p>
        </w:tc>
        <w:tc>
          <w:tcPr>
            <w:tcW w:w="1320" w:type="dxa"/>
            <w:vAlign w:val="bottom"/>
            <w:tcBorders>
              <w:bottom w:val="single" w:sz="8" w:color="005AFF"/>
            </w:tcBorders>
          </w:tcPr>
          <w:p>
            <w:pPr>
              <w:spacing w:after="0"/>
              <w:rPr>
                <w:sz w:val="2"/>
                <w:szCs w:val="2"/>
                <w:color w:val="auto"/>
              </w:rPr>
            </w:pPr>
          </w:p>
        </w:tc>
        <w:tc>
          <w:tcPr>
            <w:tcW w:w="1320" w:type="dxa"/>
            <w:vAlign w:val="bottom"/>
            <w:tcBorders>
              <w:bottom w:val="single" w:sz="8" w:color="005AFF"/>
            </w:tcBorders>
          </w:tcPr>
          <w:p>
            <w:pPr>
              <w:spacing w:after="0"/>
              <w:rPr>
                <w:sz w:val="2"/>
                <w:szCs w:val="2"/>
                <w:color w:val="auto"/>
              </w:rPr>
            </w:pPr>
          </w:p>
        </w:tc>
        <w:tc>
          <w:tcPr>
            <w:tcW w:w="1340" w:type="dxa"/>
            <w:vAlign w:val="bottom"/>
            <w:tcBorders>
              <w:bottom w:val="single" w:sz="8" w:color="005AFF"/>
            </w:tcBorders>
          </w:tcPr>
          <w:p>
            <w:pPr>
              <w:spacing w:after="0"/>
              <w:rPr>
                <w:sz w:val="2"/>
                <w:szCs w:val="2"/>
                <w:color w:val="auto"/>
              </w:rPr>
            </w:pPr>
          </w:p>
        </w:tc>
        <w:tc>
          <w:tcPr>
            <w:tcW w:w="1380" w:type="dxa"/>
            <w:vAlign w:val="bottom"/>
            <w:tcBorders>
              <w:bottom w:val="single" w:sz="8" w:color="005AFF"/>
            </w:tcBorders>
          </w:tcPr>
          <w:p>
            <w:pPr>
              <w:spacing w:after="0"/>
              <w:rPr>
                <w:sz w:val="2"/>
                <w:szCs w:val="2"/>
                <w:color w:val="auto"/>
              </w:rPr>
            </w:pPr>
          </w:p>
        </w:tc>
        <w:tc>
          <w:tcPr>
            <w:tcW w:w="0" w:type="dxa"/>
            <w:vAlign w:val="bottom"/>
          </w:tcPr>
          <w:p>
            <w:pPr>
              <w:spacing w:after="0"/>
              <w:rPr>
                <w:sz w:val="1"/>
                <w:szCs w:val="1"/>
                <w:color w:val="auto"/>
              </w:rPr>
            </w:pPr>
          </w:p>
        </w:tc>
      </w:tr>
    </w:tbl>
    <w:p>
      <w:pPr>
        <w:spacing w:after="0" w:line="2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09" w:right="899" w:bottom="1440" w:gutter="0" w:footer="0" w:header="0"/>
        </w:sectPr>
      </w:pPr>
    </w:p>
    <w:bookmarkStart w:id="51" w:name="page52"/>
    <w:bookmarkEnd w:id="51"/>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Board evaluation</w:t>
      </w:r>
    </w:p>
    <w:p>
      <w:pPr>
        <w:spacing w:after="0" w:line="24"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In line with our Corporate Governance Guidelines, the Board conducts a comprehensive annual performance evaluation, which also includes evaluation of the Board Committees’ work, the Board and Committee Chairs and individual Board members. The Board evaluation is conducted as a self-evaluation, typically with a detailed questionnaire, while an external evaluator is periodically engaged. Feedback is also requested from selected members of management as part of the Board evaluation process. The questions aim to measure and elicit feedback on the processes, structure, accountability, transparency, and effectiveness of the Board and to gain an overview of the issues that are areas of excellence, areas where the Board thinks greater focus is warranted and determining areas where the performance could be enhanced.</w:t>
      </w:r>
    </w:p>
    <w:p>
      <w:pPr>
        <w:spacing w:after="0" w:line="55" w:lineRule="exact"/>
        <w:rPr>
          <w:sz w:val="20"/>
          <w:szCs w:val="20"/>
          <w:color w:val="auto"/>
        </w:rPr>
      </w:pPr>
    </w:p>
    <w:p>
      <w:pPr>
        <w:ind w:right="220"/>
        <w:spacing w:after="0" w:line="264" w:lineRule="auto"/>
        <w:rPr>
          <w:sz w:val="20"/>
          <w:szCs w:val="20"/>
          <w:color w:val="auto"/>
        </w:rPr>
      </w:pPr>
      <w:r>
        <w:rPr>
          <w:rFonts w:ascii="Times New Roman" w:cs="Times New Roman" w:eastAsia="Times New Roman" w:hAnsi="Times New Roman"/>
          <w:sz w:val="11"/>
          <w:szCs w:val="11"/>
          <w:color w:val="auto"/>
        </w:rPr>
        <w:t>Each year, the results of the evaluation are discussed and analyzed by the entire Board and improvement actions are agreed based on such discussions. In 2023, the evaluation process was carried out as a thorough self-evaluation for a second consecutive year by using an external evaluation platform that included both numeric assessments and the possibility to provide more detailed written comments.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44</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32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Directors’ attendance at the Board and Committee meetings in 2023 is set forth in the table below:</w:t>
      </w:r>
    </w:p>
    <w:p>
      <w:pPr>
        <w:spacing w:after="0" w:line="179" w:lineRule="exact"/>
        <w:rPr>
          <w:sz w:val="20"/>
          <w:szCs w:val="20"/>
          <w:color w:val="auto"/>
        </w:rPr>
      </w:pPr>
    </w:p>
    <w:tbl>
      <w:tblPr>
        <w:tblLayout w:type="fixed"/>
        <w:tblInd w:w="0" w:type="dxa"/>
        <w:tblCellMar>
          <w:top w:w="0" w:type="dxa"/>
          <w:left w:w="0" w:type="dxa"/>
          <w:bottom w:w="0" w:type="dxa"/>
          <w:right w:w="0" w:type="dxa"/>
        </w:tblCellMar>
      </w:tblPr>
      <w:tr>
        <w:trPr>
          <w:trHeight w:val="100"/>
        </w:trPr>
        <w:tc>
          <w:tcPr>
            <w:tcW w:w="3520" w:type="dxa"/>
            <w:vAlign w:val="bottom"/>
          </w:tcPr>
          <w:p>
            <w:pPr>
              <w:spacing w:after="0"/>
              <w:rPr>
                <w:sz w:val="8"/>
                <w:szCs w:val="8"/>
                <w:color w:val="auto"/>
              </w:rPr>
            </w:pPr>
          </w:p>
        </w:tc>
        <w:tc>
          <w:tcPr>
            <w:tcW w:w="1200" w:type="dxa"/>
            <w:vAlign w:val="bottom"/>
          </w:tcPr>
          <w:p>
            <w:pPr>
              <w:spacing w:after="0"/>
              <w:rPr>
                <w:sz w:val="8"/>
                <w:szCs w:val="8"/>
                <w:color w:val="auto"/>
              </w:rPr>
            </w:pPr>
          </w:p>
        </w:tc>
        <w:tc>
          <w:tcPr>
            <w:tcW w:w="280" w:type="dxa"/>
            <w:vAlign w:val="bottom"/>
          </w:tcPr>
          <w:p>
            <w:pPr>
              <w:spacing w:after="0"/>
              <w:rPr>
                <w:sz w:val="8"/>
                <w:szCs w:val="8"/>
                <w:color w:val="auto"/>
              </w:rPr>
            </w:pPr>
          </w:p>
        </w:tc>
        <w:tc>
          <w:tcPr>
            <w:tcW w:w="140" w:type="dxa"/>
            <w:vAlign w:val="bottom"/>
          </w:tcPr>
          <w:p>
            <w:pPr>
              <w:spacing w:after="0"/>
              <w:rPr>
                <w:sz w:val="8"/>
                <w:szCs w:val="8"/>
                <w:color w:val="auto"/>
              </w:rPr>
            </w:pPr>
          </w:p>
        </w:tc>
        <w:tc>
          <w:tcPr>
            <w:tcW w:w="12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Board and Committee meeting</w:t>
            </w:r>
          </w:p>
        </w:tc>
        <w:tc>
          <w:tcPr>
            <w:tcW w:w="260" w:type="dxa"/>
            <w:vAlign w:val="bottom"/>
          </w:tcPr>
          <w:p>
            <w:pPr>
              <w:spacing w:after="0"/>
              <w:rPr>
                <w:sz w:val="8"/>
                <w:szCs w:val="8"/>
                <w:color w:val="auto"/>
              </w:rPr>
            </w:pPr>
          </w:p>
        </w:tc>
      </w:tr>
      <w:tr>
        <w:trPr>
          <w:trHeight w:val="124"/>
        </w:trPr>
        <w:tc>
          <w:tcPr>
            <w:tcW w:w="3520" w:type="dxa"/>
            <w:vAlign w:val="bottom"/>
          </w:tcPr>
          <w:p>
            <w:pPr>
              <w:spacing w:after="0"/>
              <w:rPr>
                <w:sz w:val="10"/>
                <w:szCs w:val="10"/>
                <w:color w:val="auto"/>
              </w:rPr>
            </w:pPr>
          </w:p>
        </w:tc>
        <w:tc>
          <w:tcPr>
            <w:tcW w:w="1200" w:type="dxa"/>
            <w:vAlign w:val="bottom"/>
            <w:tcBorders>
              <w:bottom w:val="single" w:sz="8" w:color="005AFF"/>
            </w:tcBorders>
          </w:tcPr>
          <w:p>
            <w:pPr>
              <w:ind w:left="240"/>
              <w:spacing w:after="0"/>
              <w:rPr>
                <w:sz w:val="20"/>
                <w:szCs w:val="20"/>
                <w:color w:val="auto"/>
              </w:rPr>
            </w:pPr>
            <w:r>
              <w:rPr>
                <w:rFonts w:ascii="Times New Roman" w:cs="Times New Roman" w:eastAsia="Times New Roman" w:hAnsi="Times New Roman"/>
                <w:sz w:val="8"/>
                <w:szCs w:val="8"/>
                <w:b w:val="1"/>
                <w:bCs w:val="1"/>
                <w:color w:val="005AFF"/>
              </w:rPr>
              <w:t>Board meeting attendance</w:t>
            </w:r>
          </w:p>
        </w:tc>
        <w:tc>
          <w:tcPr>
            <w:tcW w:w="280" w:type="dxa"/>
            <w:vAlign w:val="bottom"/>
            <w:tcBorders>
              <w:bottom w:val="single" w:sz="8" w:color="005AFF"/>
            </w:tcBorders>
          </w:tcPr>
          <w:p>
            <w:pPr>
              <w:spacing w:after="0"/>
              <w:rPr>
                <w:sz w:val="10"/>
                <w:szCs w:val="10"/>
                <w:color w:val="auto"/>
              </w:rPr>
            </w:pPr>
          </w:p>
        </w:tc>
        <w:tc>
          <w:tcPr>
            <w:tcW w:w="140" w:type="dxa"/>
            <w:vAlign w:val="bottom"/>
          </w:tcPr>
          <w:p>
            <w:pPr>
              <w:spacing w:after="0"/>
              <w:rPr>
                <w:sz w:val="10"/>
                <w:szCs w:val="10"/>
                <w:color w:val="auto"/>
              </w:rPr>
            </w:pPr>
          </w:p>
        </w:tc>
        <w:tc>
          <w:tcPr>
            <w:tcW w:w="122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 xml:space="preserve">attendance </w:t>
            </w:r>
            <w:r>
              <w:rPr>
                <w:rFonts w:ascii="Times New Roman" w:cs="Times New Roman" w:eastAsia="Times New Roman" w:hAnsi="Times New Roman"/>
                <w:sz w:val="10"/>
                <w:szCs w:val="10"/>
                <w:b w:val="1"/>
                <w:bCs w:val="1"/>
                <w:color w:val="005AFF"/>
                <w:vertAlign w:val="superscript"/>
              </w:rPr>
              <w:t>(1)</w:t>
            </w:r>
          </w:p>
        </w:tc>
        <w:tc>
          <w:tcPr>
            <w:tcW w:w="260" w:type="dxa"/>
            <w:vAlign w:val="bottom"/>
            <w:tcBorders>
              <w:bottom w:val="single" w:sz="8" w:color="005AFF"/>
            </w:tcBorders>
          </w:tcPr>
          <w:p>
            <w:pPr>
              <w:spacing w:after="0"/>
              <w:rPr>
                <w:sz w:val="10"/>
                <w:szCs w:val="10"/>
                <w:color w:val="auto"/>
              </w:rPr>
            </w:pPr>
          </w:p>
        </w:tc>
      </w:tr>
      <w:tr>
        <w:trPr>
          <w:trHeight w:val="123"/>
        </w:trPr>
        <w:tc>
          <w:tcPr>
            <w:tcW w:w="35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Member</w:t>
            </w:r>
          </w:p>
        </w:tc>
        <w:tc>
          <w:tcPr>
            <w:tcW w:w="1200" w:type="dxa"/>
            <w:vAlign w:val="bottom"/>
            <w:tcBorders>
              <w:bottom w:val="single" w:sz="8" w:color="005AFF"/>
            </w:tcBorders>
          </w:tcPr>
          <w:p>
            <w:pPr>
              <w:ind w:left="360"/>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2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w:t>
            </w:r>
          </w:p>
        </w:tc>
        <w:tc>
          <w:tcPr>
            <w:tcW w:w="140" w:type="dxa"/>
            <w:vAlign w:val="bottom"/>
            <w:tcBorders>
              <w:bottom w:val="single" w:sz="8" w:color="005AFF"/>
            </w:tcBorders>
          </w:tcPr>
          <w:p>
            <w:pPr>
              <w:spacing w:after="0"/>
              <w:rPr>
                <w:sz w:val="10"/>
                <w:szCs w:val="10"/>
                <w:color w:val="auto"/>
              </w:rPr>
            </w:pPr>
          </w:p>
        </w:tc>
        <w:tc>
          <w:tcPr>
            <w:tcW w:w="1220" w:type="dxa"/>
            <w:vAlign w:val="bottom"/>
            <w:tcBorders>
              <w:bottom w:val="single" w:sz="8" w:color="005AFF"/>
            </w:tcBorders>
          </w:tcPr>
          <w:p>
            <w:pPr>
              <w:jc w:val="right"/>
              <w:ind w:right="511"/>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2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w:t>
            </w:r>
          </w:p>
        </w:tc>
      </w:tr>
      <w:tr>
        <w:trPr>
          <w:trHeight w:val="140"/>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 (Chair)</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2"/>
                <w:szCs w:val="12"/>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28/28</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Søren Skou (Vice Chair)</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23/23</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Timo Ahopelto (as of 4 April 2023)</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11/11</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18/18</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Bruce Brown (until 4 April 2023)</w:t>
            </w:r>
          </w:p>
        </w:tc>
        <w:tc>
          <w:tcPr>
            <w:tcW w:w="1200" w:type="dxa"/>
            <w:vAlign w:val="bottom"/>
          </w:tcPr>
          <w:p>
            <w:pPr>
              <w:ind w:left="540"/>
              <w:spacing w:after="0"/>
              <w:rPr>
                <w:sz w:val="20"/>
                <w:szCs w:val="20"/>
                <w:color w:val="auto"/>
              </w:rPr>
            </w:pPr>
            <w:r>
              <w:rPr>
                <w:rFonts w:ascii="Times New Roman" w:cs="Times New Roman" w:eastAsia="Times New Roman" w:hAnsi="Times New Roman"/>
                <w:sz w:val="10"/>
                <w:szCs w:val="10"/>
                <w:color w:val="0D0D0D"/>
              </w:rPr>
              <w:t>4/4</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11"/>
              <w:spacing w:after="0"/>
              <w:rPr>
                <w:sz w:val="20"/>
                <w:szCs w:val="20"/>
                <w:color w:val="auto"/>
              </w:rPr>
            </w:pPr>
            <w:r>
              <w:rPr>
                <w:rFonts w:ascii="Times New Roman" w:cs="Times New Roman" w:eastAsia="Times New Roman" w:hAnsi="Times New Roman"/>
                <w:sz w:val="10"/>
                <w:szCs w:val="10"/>
                <w:color w:val="0D0D0D"/>
              </w:rPr>
              <w:t>8/8</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 (as of 4 April 2023)</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11/11</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19/19</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26/26</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24/24</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14/15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93</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24/25</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96</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Edward Kozel (until 4 April 2023)</w:t>
            </w:r>
          </w:p>
        </w:tc>
        <w:tc>
          <w:tcPr>
            <w:tcW w:w="1200" w:type="dxa"/>
            <w:vAlign w:val="bottom"/>
          </w:tcPr>
          <w:p>
            <w:pPr>
              <w:ind w:left="540"/>
              <w:spacing w:after="0"/>
              <w:rPr>
                <w:sz w:val="20"/>
                <w:szCs w:val="20"/>
                <w:color w:val="auto"/>
              </w:rPr>
            </w:pPr>
            <w:r>
              <w:rPr>
                <w:rFonts w:ascii="Times New Roman" w:cs="Times New Roman" w:eastAsia="Times New Roman" w:hAnsi="Times New Roman"/>
                <w:sz w:val="10"/>
                <w:szCs w:val="10"/>
                <w:color w:val="0D0D0D"/>
              </w:rPr>
              <w:t>4/4</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11"/>
              <w:spacing w:after="0"/>
              <w:rPr>
                <w:sz w:val="20"/>
                <w:szCs w:val="20"/>
                <w:color w:val="auto"/>
              </w:rPr>
            </w:pPr>
            <w:r>
              <w:rPr>
                <w:rFonts w:ascii="Times New Roman" w:cs="Times New Roman" w:eastAsia="Times New Roman" w:hAnsi="Times New Roman"/>
                <w:sz w:val="10"/>
                <w:szCs w:val="10"/>
                <w:color w:val="0D0D0D"/>
              </w:rPr>
              <w:t>7/7</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19/19</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35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1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Pr>
          <w:p>
            <w:pPr>
              <w:spacing w:after="0"/>
              <w:rPr>
                <w:sz w:val="14"/>
                <w:szCs w:val="14"/>
                <w:color w:val="auto"/>
              </w:rPr>
            </w:pPr>
          </w:p>
        </w:tc>
        <w:tc>
          <w:tcPr>
            <w:tcW w:w="1220" w:type="dxa"/>
            <w:vAlign w:val="bottom"/>
          </w:tcPr>
          <w:p>
            <w:pPr>
              <w:jc w:val="right"/>
              <w:ind w:right="531"/>
              <w:spacing w:after="0"/>
              <w:rPr>
                <w:sz w:val="20"/>
                <w:szCs w:val="20"/>
                <w:color w:val="auto"/>
              </w:rPr>
            </w:pPr>
            <w:r>
              <w:rPr>
                <w:rFonts w:ascii="Times New Roman" w:cs="Times New Roman" w:eastAsia="Times New Roman" w:hAnsi="Times New Roman"/>
                <w:sz w:val="10"/>
                <w:szCs w:val="10"/>
                <w:color w:val="0D0D0D"/>
              </w:rPr>
              <w:t>26/26</w:t>
            </w:r>
          </w:p>
        </w:tc>
        <w:tc>
          <w:tcPr>
            <w:tcW w:w="2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67"/>
        </w:trPr>
        <w:tc>
          <w:tcPr>
            <w:tcW w:w="35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Kai Öistämö</w:t>
            </w:r>
          </w:p>
        </w:tc>
        <w:tc>
          <w:tcPr>
            <w:tcW w:w="1200" w:type="dxa"/>
            <w:vAlign w:val="bottom"/>
            <w:tcBorders>
              <w:bottom w:val="single" w:sz="8" w:color="005AFF"/>
            </w:tcBorders>
          </w:tcPr>
          <w:p>
            <w:pPr>
              <w:ind w:left="420"/>
              <w:spacing w:after="0"/>
              <w:rPr>
                <w:sz w:val="20"/>
                <w:szCs w:val="20"/>
                <w:color w:val="auto"/>
              </w:rPr>
            </w:pPr>
            <w:r>
              <w:rPr>
                <w:rFonts w:ascii="Times New Roman" w:cs="Times New Roman" w:eastAsia="Times New Roman" w:hAnsi="Times New Roman"/>
                <w:sz w:val="10"/>
                <w:szCs w:val="10"/>
                <w:color w:val="0D0D0D"/>
              </w:rPr>
              <w:t>15/15</w:t>
            </w:r>
          </w:p>
        </w:tc>
        <w:tc>
          <w:tcPr>
            <w:tcW w:w="2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100</w:t>
            </w:r>
          </w:p>
        </w:tc>
        <w:tc>
          <w:tcPr>
            <w:tcW w:w="140" w:type="dxa"/>
            <w:vAlign w:val="bottom"/>
            <w:tcBorders>
              <w:bottom w:val="single" w:sz="8" w:color="005AFF"/>
            </w:tcBorders>
          </w:tcPr>
          <w:p>
            <w:pPr>
              <w:spacing w:after="0"/>
              <w:rPr>
                <w:sz w:val="14"/>
                <w:szCs w:val="14"/>
                <w:color w:val="auto"/>
              </w:rPr>
            </w:pPr>
          </w:p>
        </w:tc>
        <w:tc>
          <w:tcPr>
            <w:tcW w:w="1220" w:type="dxa"/>
            <w:vAlign w:val="bottom"/>
            <w:tcBorders>
              <w:bottom w:val="single" w:sz="8" w:color="005AFF"/>
            </w:tcBorders>
          </w:tcPr>
          <w:p>
            <w:pPr>
              <w:jc w:val="right"/>
              <w:ind w:right="531"/>
              <w:spacing w:after="0"/>
              <w:rPr>
                <w:sz w:val="20"/>
                <w:szCs w:val="20"/>
                <w:color w:val="auto"/>
              </w:rPr>
            </w:pPr>
            <w:r>
              <w:rPr>
                <w:rFonts w:ascii="Times New Roman" w:cs="Times New Roman" w:eastAsia="Times New Roman" w:hAnsi="Times New Roman"/>
                <w:sz w:val="10"/>
                <w:szCs w:val="10"/>
                <w:color w:val="0D0D0D"/>
              </w:rPr>
              <w:t>24/24</w:t>
            </w:r>
          </w:p>
        </w:tc>
        <w:tc>
          <w:tcPr>
            <w:tcW w:w="2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100</w:t>
            </w:r>
          </w:p>
        </w:tc>
      </w:tr>
      <w:tr>
        <w:trPr>
          <w:trHeight w:val="142"/>
        </w:trPr>
        <w:tc>
          <w:tcPr>
            <w:tcW w:w="35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Average attendance (%)</w:t>
            </w:r>
          </w:p>
        </w:tc>
        <w:tc>
          <w:tcPr>
            <w:tcW w:w="1200" w:type="dxa"/>
            <w:vAlign w:val="bottom"/>
            <w:tcBorders>
              <w:bottom w:val="single" w:sz="8" w:color="005AFF"/>
            </w:tcBorders>
          </w:tcPr>
          <w:p>
            <w:pPr>
              <w:spacing w:after="0"/>
              <w:rPr>
                <w:sz w:val="12"/>
                <w:szCs w:val="12"/>
                <w:color w:val="auto"/>
              </w:rPr>
            </w:pPr>
          </w:p>
        </w:tc>
        <w:tc>
          <w:tcPr>
            <w:tcW w:w="2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99.4</w:t>
            </w:r>
          </w:p>
        </w:tc>
        <w:tc>
          <w:tcPr>
            <w:tcW w:w="140" w:type="dxa"/>
            <w:vAlign w:val="bottom"/>
            <w:tcBorders>
              <w:bottom w:val="single" w:sz="8" w:color="005AFF"/>
            </w:tcBorders>
          </w:tcPr>
          <w:p>
            <w:pPr>
              <w:spacing w:after="0"/>
              <w:rPr>
                <w:sz w:val="12"/>
                <w:szCs w:val="12"/>
                <w:color w:val="auto"/>
              </w:rPr>
            </w:pPr>
          </w:p>
        </w:tc>
        <w:tc>
          <w:tcPr>
            <w:tcW w:w="1220" w:type="dxa"/>
            <w:vAlign w:val="bottom"/>
            <w:tcBorders>
              <w:bottom w:val="single" w:sz="8" w:color="005AFF"/>
            </w:tcBorders>
          </w:tcPr>
          <w:p>
            <w:pPr>
              <w:spacing w:after="0"/>
              <w:rPr>
                <w:sz w:val="12"/>
                <w:szCs w:val="12"/>
                <w:color w:val="auto"/>
              </w:rPr>
            </w:pPr>
          </w:p>
        </w:tc>
        <w:tc>
          <w:tcPr>
            <w:tcW w:w="2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w w:val="91"/>
              </w:rPr>
              <w:t>99.7</w:t>
            </w:r>
          </w:p>
        </w:tc>
      </w:tr>
    </w:tbl>
    <w:p>
      <w:pPr>
        <w:spacing w:after="0" w:line="51" w:lineRule="exact"/>
        <w:rPr>
          <w:sz w:val="20"/>
          <w:szCs w:val="20"/>
          <w:color w:val="auto"/>
        </w:rPr>
      </w:pPr>
    </w:p>
    <w:p>
      <w:pPr>
        <w:ind w:left="220" w:right="920" w:hanging="197"/>
        <w:spacing w:after="0" w:line="269" w:lineRule="auto"/>
        <w:tabs>
          <w:tab w:leader="none" w:pos="220" w:val="left"/>
        </w:tabs>
        <w:numPr>
          <w:ilvl w:val="0"/>
          <w:numId w:val="2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Any director who so wishes may attend, as a non-voting observer, meetings of committees of which they are not members. Figures exclude directors attending committee meetings as non-voting observers.</w:t>
      </w:r>
    </w:p>
    <w:p>
      <w:pPr>
        <w:spacing w:after="0" w:line="49" w:lineRule="exact"/>
        <w:rPr>
          <w:sz w:val="20"/>
          <w:szCs w:val="20"/>
          <w:color w:val="auto"/>
        </w:rPr>
      </w:pPr>
    </w:p>
    <w:p>
      <w:pPr>
        <w:sectPr>
          <w:pgSz w:w="11900" w:h="16838" w:orient="portrait"/>
          <w:cols w:equalWidth="0" w:num="2">
            <w:col w:w="2900" w:space="500"/>
            <w:col w:w="6620"/>
          </w:cols>
          <w:pgMar w:left="960" w:top="409" w:right="919" w:bottom="1440" w:gutter="0" w:footer="0" w:header="0"/>
        </w:sectPr>
      </w:pPr>
    </w:p>
    <w:p>
      <w:pPr>
        <w:ind w:right="220"/>
        <w:spacing w:after="0" w:line="265" w:lineRule="auto"/>
        <w:rPr>
          <w:sz w:val="20"/>
          <w:szCs w:val="20"/>
          <w:color w:val="auto"/>
        </w:rPr>
      </w:pPr>
      <w:r>
        <w:rPr>
          <w:rFonts w:ascii="Times New Roman" w:cs="Times New Roman" w:eastAsia="Times New Roman" w:hAnsi="Times New Roman"/>
          <w:sz w:val="11"/>
          <w:szCs w:val="11"/>
          <w:color w:val="auto"/>
        </w:rPr>
        <w:t>The questionnaire comprised areas such as Nokia purpose and strategy, Board agenda and meetings, and Board composition and dynamics, as well as information, reporting and risk management.</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Meetings of the Board of Directors</w:t>
      </w:r>
    </w:p>
    <w:p>
      <w:pPr>
        <w:spacing w:after="0" w:line="2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The Board of Directors constitutes a quorum if more than half of its members are present. The Board held 15 meetings excluding Committee meetings during 2023. In total ten (67%) of these meetings were regular meetings in person or by video connection. The other five meetings were held in writing.</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65"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Directors meet without management in connection with each regularly scheduled meeting. According to Board practices, meetings without management present are only attended by non-executive directors. These meetings are chaired by the non-executive Chair of the Board. In cases where the non-executive Chair of the Board is unable to chair these meetings, the non-executive Vice Chair of the Board chairs the meeting. Additionally, the independent directors would meet separately at least once annually. In 2023, all members of the Board were non-executive and determined to be independent from Nokia and significant shareholders under the Finnish Corporate Governance Code and the rules of the NYSE.</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Committees of the Board of Directors</w:t>
      </w:r>
    </w:p>
    <w:p>
      <w:pPr>
        <w:spacing w:after="0" w:line="19" w:lineRule="exact"/>
        <w:rPr>
          <w:sz w:val="20"/>
          <w:szCs w:val="20"/>
          <w:color w:val="auto"/>
        </w:rPr>
      </w:pPr>
    </w:p>
    <w:p>
      <w:pPr>
        <w:ind w:right="380"/>
        <w:spacing w:after="0" w:line="260" w:lineRule="auto"/>
        <w:rPr>
          <w:sz w:val="20"/>
          <w:szCs w:val="20"/>
          <w:color w:val="auto"/>
        </w:rPr>
      </w:pPr>
      <w:r>
        <w:rPr>
          <w:rFonts w:ascii="Times New Roman" w:cs="Times New Roman" w:eastAsia="Times New Roman" w:hAnsi="Times New Roman"/>
          <w:sz w:val="11"/>
          <w:szCs w:val="11"/>
          <w:color w:val="auto"/>
        </w:rPr>
        <w:t>In 2023, the Board of Directors had four Committees that assisted the Board in its duties pursuant to their respective Committee charters. The Board may also establish new or ad hoc committees for detailed reviews or consideration of particular topics to be proposed for the approval of the Board. Any director who so wishes may attend, as a non-voting observer, meetings of Committees of which they are</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not members.</w:t>
      </w:r>
    </w:p>
    <w:p>
      <w:pPr>
        <w:sectPr>
          <w:pgSz w:w="11900" w:h="16838" w:orient="portrait"/>
          <w:cols w:equalWidth="0" w:num="3">
            <w:col w:w="2880" w:space="520"/>
            <w:col w:w="2880" w:space="520"/>
            <w:col w:w="3220"/>
          </w:cols>
          <w:pgMar w:left="960" w:top="409" w:right="919" w:bottom="1440" w:gutter="0" w:footer="0" w:header="0"/>
          <w:type w:val="continuous"/>
        </w:sectPr>
      </w:pPr>
    </w:p>
    <w:bookmarkStart w:id="52" w:name="page53"/>
    <w:bookmarkEnd w:id="52"/>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68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45</w:t>
      </w:r>
    </w:p>
    <w:p>
      <w:pPr>
        <w:spacing w:after="0" w:line="614" w:lineRule="exact"/>
        <w:rPr>
          <w:sz w:val="20"/>
          <w:szCs w:val="20"/>
          <w:color w:val="auto"/>
        </w:rPr>
      </w:pPr>
    </w:p>
    <w:p>
      <w:pPr>
        <w:sectPr>
          <w:pgSz w:w="11900" w:h="16838" w:orient="portrait"/>
          <w:cols w:equalWidth="0" w:num="2">
            <w:col w:w="9140" w:space="720"/>
            <w:col w:w="120"/>
          </w:cols>
          <w:pgMar w:left="960" w:top="409" w:right="959" w:bottom="1440" w:gutter="0" w:footer="0" w:header="0"/>
        </w:sectPr>
      </w:pPr>
    </w:p>
    <w:p>
      <w:pPr>
        <w:spacing w:after="0" w:line="124" w:lineRule="exact"/>
        <w:rPr>
          <w:sz w:val="20"/>
          <w:szCs w:val="20"/>
          <w:color w:val="auto"/>
        </w:rPr>
      </w:pPr>
    </w:p>
    <w:tbl>
      <w:tblPr>
        <w:tblLayout w:type="fixed"/>
        <w:tblInd w:w="0" w:type="dxa"/>
        <w:tblCellMar>
          <w:top w:w="0" w:type="dxa"/>
          <w:left w:w="0" w:type="dxa"/>
          <w:bottom w:w="0" w:type="dxa"/>
          <w:right w:w="0" w:type="dxa"/>
        </w:tblCellMar>
      </w:tblPr>
      <w:tr>
        <w:trPr>
          <w:trHeight w:val="144"/>
        </w:trPr>
        <w:tc>
          <w:tcPr>
            <w:tcW w:w="202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The Audit Committee</w:t>
            </w:r>
          </w:p>
        </w:tc>
        <w:tc>
          <w:tcPr>
            <w:tcW w:w="580" w:type="dxa"/>
            <w:vAlign w:val="bottom"/>
          </w:tcPr>
          <w:p>
            <w:pPr>
              <w:spacing w:after="0"/>
              <w:rPr>
                <w:sz w:val="12"/>
                <w:szCs w:val="12"/>
                <w:color w:val="auto"/>
              </w:rPr>
            </w:pPr>
          </w:p>
        </w:tc>
        <w:tc>
          <w:tcPr>
            <w:tcW w:w="640" w:type="dxa"/>
            <w:vAlign w:val="bottom"/>
          </w:tcPr>
          <w:p>
            <w:pPr>
              <w:spacing w:after="0"/>
              <w:rPr>
                <w:sz w:val="12"/>
                <w:szCs w:val="12"/>
                <w:color w:val="auto"/>
              </w:rPr>
            </w:pPr>
          </w:p>
        </w:tc>
      </w:tr>
      <w:tr>
        <w:trPr>
          <w:trHeight w:val="142"/>
        </w:trPr>
        <w:tc>
          <w:tcPr>
            <w:tcW w:w="26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The following table sets forth the members of the Audit</w:t>
            </w:r>
          </w:p>
        </w:tc>
        <w:tc>
          <w:tcPr>
            <w:tcW w:w="640" w:type="dxa"/>
            <w:vAlign w:val="bottom"/>
          </w:tcPr>
          <w:p>
            <w:pPr>
              <w:spacing w:after="0"/>
              <w:rPr>
                <w:sz w:val="12"/>
                <w:szCs w:val="12"/>
                <w:color w:val="auto"/>
              </w:rPr>
            </w:pPr>
          </w:p>
        </w:tc>
      </w:tr>
      <w:tr>
        <w:trPr>
          <w:trHeight w:val="148"/>
        </w:trPr>
        <w:tc>
          <w:tcPr>
            <w:tcW w:w="2020" w:type="dxa"/>
            <w:vAlign w:val="bottom"/>
          </w:tcPr>
          <w:p>
            <w:pPr>
              <w:spacing w:after="0"/>
              <w:rPr>
                <w:sz w:val="20"/>
                <w:szCs w:val="20"/>
                <w:color w:val="auto"/>
              </w:rPr>
            </w:pPr>
            <w:r>
              <w:rPr>
                <w:rFonts w:ascii="Times New Roman" w:cs="Times New Roman" w:eastAsia="Times New Roman" w:hAnsi="Times New Roman"/>
                <w:sz w:val="11"/>
                <w:szCs w:val="11"/>
                <w:color w:val="auto"/>
              </w:rPr>
              <w:t>Committee and their meeting attendance in</w:t>
            </w:r>
          </w:p>
        </w:tc>
        <w:tc>
          <w:tcPr>
            <w:tcW w:w="5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c>
          <w:tcPr>
            <w:tcW w:w="640" w:type="dxa"/>
            <w:vAlign w:val="bottom"/>
          </w:tcPr>
          <w:p>
            <w:pPr>
              <w:spacing w:after="0"/>
              <w:rPr>
                <w:sz w:val="12"/>
                <w:szCs w:val="12"/>
                <w:color w:val="auto"/>
              </w:rPr>
            </w:pPr>
          </w:p>
        </w:tc>
      </w:tr>
      <w:tr>
        <w:trPr>
          <w:trHeight w:val="208"/>
        </w:trPr>
        <w:tc>
          <w:tcPr>
            <w:tcW w:w="2020" w:type="dxa"/>
            <w:vAlign w:val="bottom"/>
          </w:tcPr>
          <w:p>
            <w:pPr>
              <w:spacing w:after="0"/>
              <w:rPr>
                <w:sz w:val="18"/>
                <w:szCs w:val="18"/>
                <w:color w:val="auto"/>
              </w:rPr>
            </w:pP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Attendance</w:t>
            </w:r>
          </w:p>
        </w:tc>
        <w:tc>
          <w:tcPr>
            <w:tcW w:w="640" w:type="dxa"/>
            <w:vAlign w:val="bottom"/>
          </w:tcPr>
          <w:p>
            <w:pPr>
              <w:spacing w:after="0"/>
              <w:rPr>
                <w:sz w:val="18"/>
                <w:szCs w:val="18"/>
                <w:color w:val="auto"/>
              </w:rPr>
            </w:pPr>
          </w:p>
        </w:tc>
      </w:tr>
      <w:tr>
        <w:trPr>
          <w:trHeight w:val="114"/>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Member</w:t>
            </w:r>
          </w:p>
        </w:tc>
        <w:tc>
          <w:tcPr>
            <w:tcW w:w="5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Attendance (%)</w:t>
            </w:r>
          </w:p>
        </w:tc>
      </w:tr>
      <w:tr>
        <w:trPr>
          <w:trHeight w:val="140"/>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 (Chair)</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6/6</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Timo Ahopelto (as of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4/4</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 (as of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4/4</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6/6</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 (until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2/2</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6/6</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7"/>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Edward Kozel (until 4 April 2023)</w:t>
            </w:r>
          </w:p>
        </w:tc>
        <w:tc>
          <w:tcPr>
            <w:tcW w:w="5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2/2</w:t>
            </w:r>
          </w:p>
        </w:tc>
        <w:tc>
          <w:tcPr>
            <w:tcW w:w="6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42"/>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Average attendance (%)</w:t>
            </w:r>
          </w:p>
        </w:tc>
        <w:tc>
          <w:tcPr>
            <w:tcW w:w="58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100</w:t>
            </w:r>
          </w:p>
        </w:tc>
      </w:tr>
    </w:tbl>
    <w:p>
      <w:pPr>
        <w:spacing w:after="0" w:line="119" w:lineRule="exact"/>
        <w:rPr>
          <w:sz w:val="20"/>
          <w:szCs w:val="20"/>
          <w:color w:val="auto"/>
        </w:rPr>
      </w:pPr>
    </w:p>
    <w:p>
      <w:pPr>
        <w:ind w:right="220"/>
        <w:spacing w:after="0" w:line="277" w:lineRule="auto"/>
        <w:rPr>
          <w:sz w:val="20"/>
          <w:szCs w:val="20"/>
          <w:color w:val="auto"/>
        </w:rPr>
      </w:pPr>
      <w:r>
        <w:rPr>
          <w:rFonts w:ascii="Times New Roman" w:cs="Times New Roman" w:eastAsia="Times New Roman" w:hAnsi="Times New Roman"/>
          <w:sz w:val="11"/>
          <w:szCs w:val="11"/>
          <w:color w:val="auto"/>
        </w:rPr>
        <w:t>The Committee consists of a minimum of three members of the Board who meet all applicable independence, financial literacy and other requirements as stipulated by Finnish law, the Finnish Corporate Governance Code and the rules of the NYSE. As of 4 April 2023, the Audit Committee has consisted of the following five members of the Board: Carla Smits-Nusteling (Chair), Timo Ahopelto, Elizabeth Crain, Thomas Dannenfeldt and Jeanette Horan.</w:t>
      </w:r>
    </w:p>
    <w:p>
      <w:pPr>
        <w:spacing w:after="0" w:line="56" w:lineRule="exact"/>
        <w:rPr>
          <w:sz w:val="20"/>
          <w:szCs w:val="20"/>
          <w:color w:val="auto"/>
        </w:rPr>
      </w:pPr>
    </w:p>
    <w:p>
      <w:pPr>
        <w:ind w:right="520"/>
        <w:spacing w:after="0" w:line="309" w:lineRule="auto"/>
        <w:rPr>
          <w:sz w:val="20"/>
          <w:szCs w:val="20"/>
          <w:color w:val="auto"/>
        </w:rPr>
      </w:pPr>
      <w:r>
        <w:rPr>
          <w:rFonts w:ascii="Times New Roman" w:cs="Times New Roman" w:eastAsia="Times New Roman" w:hAnsi="Times New Roman"/>
          <w:sz w:val="11"/>
          <w:szCs w:val="11"/>
          <w:color w:val="auto"/>
        </w:rPr>
        <w:t>The Committee is responsible for assisting the Board in the oversight of:</w:t>
      </w:r>
    </w:p>
    <w:p>
      <w:pPr>
        <w:spacing w:after="0" w:line="28" w:lineRule="exact"/>
        <w:rPr>
          <w:sz w:val="20"/>
          <w:szCs w:val="20"/>
          <w:color w:val="auto"/>
        </w:rPr>
      </w:pPr>
    </w:p>
    <w:p>
      <w:pPr>
        <w:ind w:left="180" w:right="500" w:hanging="171"/>
        <w:spacing w:after="0" w:line="307"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quality and integrity of the Company’s financial and non-financial reporting and related disclosures;</w:t>
      </w:r>
    </w:p>
    <w:p>
      <w:pPr>
        <w:ind w:left="180" w:right="420" w:hanging="171"/>
        <w:spacing w:after="0" w:line="290"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statutory audit of the Company’s financial statements; including the sustainability reporting therein;</w:t>
      </w:r>
    </w:p>
    <w:p>
      <w:pPr>
        <w:spacing w:after="0" w:line="7"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external auditor’s qualifications and independence;</w:t>
      </w:r>
    </w:p>
    <w:p>
      <w:pPr>
        <w:spacing w:after="0" w:line="45" w:lineRule="exact"/>
        <w:rPr>
          <w:rFonts w:ascii="Times New Roman" w:cs="Times New Roman" w:eastAsia="Times New Roman" w:hAnsi="Times New Roman"/>
          <w:sz w:val="11"/>
          <w:szCs w:val="11"/>
          <w:color w:val="005AFF"/>
        </w:rPr>
      </w:pPr>
    </w:p>
    <w:p>
      <w:pPr>
        <w:ind w:left="180" w:right="640" w:hanging="171"/>
        <w:spacing w:after="0" w:line="307"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performance of the external auditor subject to the requirements of Finnish law;</w:t>
      </w:r>
    </w:p>
    <w:p>
      <w:pPr>
        <w:ind w:left="180" w:right="680" w:hanging="171"/>
        <w:spacing w:after="0" w:line="290"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performance of the Company’s internal controls, risk management and the assurance function;</w:t>
      </w:r>
    </w:p>
    <w:p>
      <w:pPr>
        <w:spacing w:after="0" w:line="7"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performance of the internal audit function;</w:t>
      </w:r>
    </w:p>
    <w:p>
      <w:pPr>
        <w:spacing w:after="0" w:line="45" w:lineRule="exact"/>
        <w:rPr>
          <w:rFonts w:ascii="Times New Roman" w:cs="Times New Roman" w:eastAsia="Times New Roman" w:hAnsi="Times New Roman"/>
          <w:sz w:val="11"/>
          <w:szCs w:val="11"/>
          <w:color w:val="005AFF"/>
        </w:rPr>
      </w:pPr>
    </w:p>
    <w:p>
      <w:pPr>
        <w:jc w:val="both"/>
        <w:ind w:left="180" w:right="640" w:hanging="171"/>
        <w:spacing w:after="0" w:line="287"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Company’s compliance with legal and regulatory requirements, including the performance of its ethics and compliance program;</w:t>
      </w:r>
    </w:p>
    <w:p>
      <w:pPr>
        <w:spacing w:after="0" w:line="1" w:lineRule="exact"/>
        <w:rPr>
          <w:rFonts w:ascii="Times New Roman" w:cs="Times New Roman" w:eastAsia="Times New Roman" w:hAnsi="Times New Roman"/>
          <w:sz w:val="11"/>
          <w:szCs w:val="11"/>
          <w:color w:val="005AFF"/>
        </w:rPr>
      </w:pPr>
    </w:p>
    <w:p>
      <w:pPr>
        <w:ind w:left="180" w:right="740" w:hanging="171"/>
        <w:spacing w:after="0" w:line="297" w:lineRule="auto"/>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monitoring and assessment of any related party transactions;</w:t>
      </w:r>
    </w:p>
    <w:p>
      <w:pPr>
        <w:ind w:left="180" w:hanging="171"/>
        <w:spacing w:after="0"/>
        <w:tabs>
          <w:tab w:leader="none" w:pos="180" w:val="left"/>
        </w:tabs>
        <w:numPr>
          <w:ilvl w:val="0"/>
          <w:numId w:val="2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pension liabilities and taxation of the Company; and</w:t>
      </w:r>
    </w:p>
    <w:p>
      <w:pPr>
        <w:spacing w:after="0" w:line="27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left="180" w:right="120" w:hanging="170"/>
        <w:spacing w:after="0" w:line="309" w:lineRule="auto"/>
        <w:tabs>
          <w:tab w:leader="none" w:pos="180" w:val="left"/>
        </w:tabs>
        <w:numPr>
          <w:ilvl w:val="0"/>
          <w:numId w:val="2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processes and management related to the cybersecurity of the Company, including IT and services security.</w:t>
      </w:r>
    </w:p>
    <w:p>
      <w:pPr>
        <w:spacing w:after="0" w:line="38" w:lineRule="exact"/>
        <w:rPr>
          <w:sz w:val="20"/>
          <w:szCs w:val="20"/>
          <w:color w:val="auto"/>
        </w:rPr>
      </w:pPr>
    </w:p>
    <w:p>
      <w:pPr>
        <w:ind w:right="80"/>
        <w:spacing w:after="0" w:line="261" w:lineRule="auto"/>
        <w:rPr>
          <w:sz w:val="20"/>
          <w:szCs w:val="20"/>
          <w:color w:val="auto"/>
        </w:rPr>
      </w:pPr>
      <w:r>
        <w:rPr>
          <w:rFonts w:ascii="Times New Roman" w:cs="Times New Roman" w:eastAsia="Times New Roman" w:hAnsi="Times New Roman"/>
          <w:sz w:val="11"/>
          <w:szCs w:val="11"/>
          <w:color w:val="auto"/>
        </w:rPr>
        <w:t>In discharging its oversight role, the Audit Committee has full access to all Company books, records, facilities and personnel. The Audit Committee also maintains procedures for the receipt, retention and treatment of complaints received by Nokia regarding accounting, internal controls, or auditing matters and for the confidential, anonymous submission by our employees of concerns relating to accounting or auditing matters. Nokia’s disclosure controls and procedures, which are reviewed by the Audit Committee and approved by the President and CEO and the Chief Financial Officer, as well as the internal controls over financial reporting, are designed</w:t>
      </w:r>
    </w:p>
    <w:p>
      <w:pPr>
        <w:spacing w:after="0" w:line="6"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to provide reasonable assurance regarding the quality and integrity of Nokia’s financial statements and related disclosures. For further information on internal control over financial reporting, refer to the section “Risk management, internal control and internal audit functions at Nokia–Description of internal control procedures in relation to the financial reporting process”.</w:t>
      </w:r>
    </w:p>
    <w:p>
      <w:pPr>
        <w:spacing w:after="0" w:line="188"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Under the Finnish Companies Act, an external auditor is elected by a simple majority vote of the shareholders at the Annual General Meeting for one year at a time. The Audit Committee prepares the proposal to the shareholders for the election</w:t>
      </w:r>
    </w:p>
    <w:p>
      <w:pPr>
        <w:spacing w:after="0" w:line="2"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or re-election of the nominee, upon its evaluation of the qualifications and independence of the external auditor. Under Finnish law, the fees of the external auditor are also approved by the shareholders by a simple majority vote at the Annual General Meeting. The Committee prepares the proposal to the shareholders in respect of the fees of the external auditor, and approves the external auditor’s annual audit fees under the guidance given by the Annual General Meeting. For information about the fees paid to Nokia’s external auditor, Deloitte Oy, during 2023 refer to the section “Auditor fees and services”.</w:t>
      </w:r>
    </w:p>
    <w:p>
      <w:pPr>
        <w:spacing w:after="0" w:line="64"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The Board has determined that all members of the Audit Committee, including its Chair, Carla Smits-Nusteling, are “audit committee financial experts” as defined in the requirements of Item 16A of the Annual Report on Form 20-F filed with the US Securities and Exchange Commission (SEC). Carla Smits-Nusteling and each of the other members of the Audit Committee are “independent directors” as defined by Finnish law, the Finnish Corporate Governance Code and in Section 303A.02 of the NYSE Listed Company Manual.</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The Audit Committee meets a minimum of four times a year. The Committee meets separately with the representatives of Nokia’s management, heads of the internal audit, and ethics and compliance functions, and the external auditor in connection with each regularly scheduled meeting. The head of the internal audit function has, at all times, direct access to the Audit Committee, without the involvement of management.</w:t>
      </w:r>
    </w:p>
    <w:p>
      <w:pPr>
        <w:spacing w:after="0" w:line="57"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b w:val="1"/>
          <w:bCs w:val="1"/>
          <w:color w:val="6F6E6E"/>
        </w:rPr>
        <w:t xml:space="preserve">Audit Committee pre-approval policies and procedures </w:t>
      </w:r>
      <w:r>
        <w:rPr>
          <w:rFonts w:ascii="Times New Roman" w:cs="Times New Roman" w:eastAsia="Times New Roman" w:hAnsi="Times New Roman"/>
          <w:sz w:val="11"/>
          <w:szCs w:val="11"/>
          <w:color w:val="000000"/>
        </w:rPr>
        <w:t>The Audit Committee of the Board is responsible, among other matters, for oversight of the external auditor’s independence, subject to the requirements of applicable legislation. The Audit Committee has adopted a policy regarding an approval procedure of audit services performed by the external auditors of the Nokia Group and permissible non-audit services performed by the principal external auditor of the Nokia Group (the “Pre-approval Policy”).</w:t>
      </w:r>
    </w:p>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Under the Pre-approval Policy, proposed services either:</w:t>
      </w:r>
    </w:p>
    <w:p>
      <w:pPr>
        <w:spacing w:after="0" w:line="22" w:lineRule="exact"/>
        <w:rPr>
          <w:sz w:val="20"/>
          <w:szCs w:val="20"/>
          <w:color w:val="auto"/>
        </w:rPr>
      </w:pPr>
    </w:p>
    <w:p>
      <w:pPr>
        <w:ind w:right="220" w:firstLine="2"/>
        <w:spacing w:after="0" w:line="260" w:lineRule="auto"/>
        <w:tabs>
          <w:tab w:leader="none" w:pos="137" w:val="left"/>
        </w:tabs>
        <w:numPr>
          <w:ilvl w:val="0"/>
          <w:numId w:val="29"/>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may be pre-approved by the Audit Committee in accordance with certain service categories described in the Pre-approval Policy (general pre-approval); or (ii) require the specific pre-approval of the Audit Committee (specific pre-approval). The Pre-approval Policy sets out the audit, audit-related, tax and other services that have received the general pre-approval of the Audit Committee. All other audit, audit-related (including services related to internal controls and significant mergers and acquisitions projects), tax and other services are subject</w:t>
      </w:r>
    </w:p>
    <w:p>
      <w:pPr>
        <w:ind w:right="260"/>
        <w:spacing w:after="0" w:line="266" w:lineRule="auto"/>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to specific pre-approval by the Audit Committee. All service requests concerning generally pre-approved services are submitted to an appointed Audit Committee delegate within management, who determines whether the services are within the generally pre-approved services. The Pre-approval Policy is subject to annual review by the Audit Committee.</w:t>
      </w:r>
    </w:p>
    <w:p>
      <w:pPr>
        <w:spacing w:after="0" w:line="63" w:lineRule="exact"/>
        <w:rPr>
          <w:sz w:val="20"/>
          <w:szCs w:val="20"/>
          <w:color w:val="auto"/>
        </w:rPr>
      </w:pPr>
    </w:p>
    <w:p>
      <w:pPr>
        <w:ind w:right="300"/>
        <w:spacing w:after="0" w:line="265" w:lineRule="auto"/>
        <w:rPr>
          <w:sz w:val="20"/>
          <w:szCs w:val="20"/>
          <w:color w:val="auto"/>
        </w:rPr>
      </w:pPr>
      <w:r>
        <w:rPr>
          <w:rFonts w:ascii="Times New Roman" w:cs="Times New Roman" w:eastAsia="Times New Roman" w:hAnsi="Times New Roman"/>
          <w:sz w:val="11"/>
          <w:szCs w:val="11"/>
          <w:color w:val="auto"/>
        </w:rPr>
        <w:t>The Audit Committee establishes budgeted fee levels annually for each of the categories of audit and non-audit services that are pre-approved under the Pre-approval Policy, namely, audit, audit-related, tax and other services. At each regular meeting of the Audit Committee, the auditor provides a report in order for the Audit Committee to review the services that the auditor is providing, as well as the cost of those services.</w:t>
      </w:r>
    </w:p>
    <w:p>
      <w:pPr>
        <w:sectPr>
          <w:pgSz w:w="11900" w:h="16838" w:orient="portrait"/>
          <w:cols w:equalWidth="0" w:num="3">
            <w:col w:w="3240" w:space="160"/>
            <w:col w:w="2960" w:space="440"/>
            <w:col w:w="3180"/>
          </w:cols>
          <w:pgMar w:left="960" w:top="409" w:right="959" w:bottom="1440" w:gutter="0" w:footer="0" w:header="0"/>
          <w:type w:val="continuous"/>
        </w:sectPr>
      </w:pPr>
    </w:p>
    <w:bookmarkStart w:id="53" w:name="page54"/>
    <w:bookmarkEnd w:id="53"/>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46</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09"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The Corporate Governance and Nomination Committee</w:t>
      </w:r>
    </w:p>
    <w:p>
      <w:pPr>
        <w:spacing w:after="0" w:line="24" w:lineRule="exact"/>
        <w:rPr>
          <w:sz w:val="20"/>
          <w:szCs w:val="20"/>
          <w:color w:val="auto"/>
        </w:rPr>
      </w:pPr>
    </w:p>
    <w:p>
      <w:pPr>
        <w:ind w:right="500"/>
        <w:spacing w:after="0" w:line="273" w:lineRule="auto"/>
        <w:rPr>
          <w:sz w:val="20"/>
          <w:szCs w:val="20"/>
          <w:color w:val="auto"/>
        </w:rPr>
      </w:pPr>
      <w:r>
        <w:rPr>
          <w:rFonts w:ascii="Times New Roman" w:cs="Times New Roman" w:eastAsia="Times New Roman" w:hAnsi="Times New Roman"/>
          <w:sz w:val="11"/>
          <w:szCs w:val="11"/>
          <w:color w:val="auto"/>
        </w:rPr>
        <w:t>The following table sets forth the members of the Corporate Governance and Nomination Committee and their meeting attendance in 2023 :</w:t>
      </w:r>
    </w:p>
    <w:p>
      <w:pPr>
        <w:spacing w:after="0" w:line="100"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1820" w:type="dxa"/>
            <w:vAlign w:val="bottom"/>
          </w:tcPr>
          <w:p>
            <w:pPr>
              <w:spacing w:after="0"/>
              <w:rPr>
                <w:sz w:val="8"/>
                <w:szCs w:val="8"/>
                <w:color w:val="auto"/>
              </w:rPr>
            </w:pPr>
          </w:p>
        </w:tc>
        <w:tc>
          <w:tcPr>
            <w:tcW w:w="74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Attendance</w:t>
            </w:r>
          </w:p>
        </w:tc>
        <w:tc>
          <w:tcPr>
            <w:tcW w:w="700" w:type="dxa"/>
            <w:vAlign w:val="bottom"/>
          </w:tcPr>
          <w:p>
            <w:pPr>
              <w:spacing w:after="0"/>
              <w:rPr>
                <w:sz w:val="8"/>
                <w:szCs w:val="8"/>
                <w:color w:val="auto"/>
              </w:rPr>
            </w:pPr>
          </w:p>
        </w:tc>
      </w:tr>
      <w:tr>
        <w:trPr>
          <w:trHeight w:val="114"/>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Member</w:t>
            </w:r>
          </w:p>
        </w:tc>
        <w:tc>
          <w:tcPr>
            <w:tcW w:w="74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7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Attendance (%)</w:t>
            </w:r>
          </w:p>
        </w:tc>
      </w:tr>
      <w:tr>
        <w:trPr>
          <w:trHeight w:val="140"/>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Søren Skou (Chair as of 4 April 2023)</w:t>
            </w:r>
          </w:p>
        </w:tc>
        <w:tc>
          <w:tcPr>
            <w:tcW w:w="74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3/3</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w:t>
            </w:r>
          </w:p>
        </w:tc>
        <w:tc>
          <w:tcPr>
            <w:tcW w:w="74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5/5</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Bruce Brown (until 4 April 2023)</w:t>
            </w:r>
          </w:p>
        </w:tc>
        <w:tc>
          <w:tcPr>
            <w:tcW w:w="74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2/2</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 (as of 4 April 2023)</w:t>
            </w:r>
          </w:p>
        </w:tc>
        <w:tc>
          <w:tcPr>
            <w:tcW w:w="74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3/3</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74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5/5</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7"/>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Kai Öistämö</w:t>
            </w:r>
          </w:p>
        </w:tc>
        <w:tc>
          <w:tcPr>
            <w:tcW w:w="74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10"/>
                <w:szCs w:val="10"/>
                <w:color w:val="0D0D0D"/>
              </w:rPr>
              <w:t>5/5</w:t>
            </w:r>
          </w:p>
        </w:tc>
        <w:tc>
          <w:tcPr>
            <w:tcW w:w="7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42"/>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Average attendance (%)</w:t>
            </w:r>
          </w:p>
        </w:tc>
        <w:tc>
          <w:tcPr>
            <w:tcW w:w="740" w:type="dxa"/>
            <w:vAlign w:val="bottom"/>
            <w:tcBorders>
              <w:bottom w:val="single" w:sz="8" w:color="005AFF"/>
            </w:tcBorders>
          </w:tcPr>
          <w:p>
            <w:pPr>
              <w:spacing w:after="0"/>
              <w:rPr>
                <w:sz w:val="12"/>
                <w:szCs w:val="12"/>
                <w:color w:val="auto"/>
              </w:rPr>
            </w:pPr>
          </w:p>
        </w:tc>
        <w:tc>
          <w:tcPr>
            <w:tcW w:w="7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100</w:t>
            </w:r>
          </w:p>
        </w:tc>
      </w:tr>
    </w:tbl>
    <w:p>
      <w:pPr>
        <w:spacing w:after="0" w:line="108"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The Committee consists of three to five members of the Board who meet all applicable independence requirements as stipulated by Finnish law, the Finnish Corporate Governance Code and the rules of the NYSE. As of 4 April 2023, the Corporate Governance and Nomination Committee has consisted of the following five members of the Board: Søren Skou (Chair), Sari Baldauf, Lisa Hook, Carla Smits-Nusteling and Kai Öistämö.</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fulfills its responsibilities by:</w:t>
      </w:r>
    </w:p>
    <w:p>
      <w:pPr>
        <w:spacing w:after="0" w:line="96" w:lineRule="exact"/>
        <w:rPr>
          <w:sz w:val="20"/>
          <w:szCs w:val="20"/>
          <w:color w:val="auto"/>
        </w:rPr>
      </w:pPr>
    </w:p>
    <w:p>
      <w:pPr>
        <w:ind w:left="180" w:right="3820" w:hanging="170"/>
        <w:spacing w:after="0" w:line="275"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actively identifying individuals qualified to be elected members of the Board, as well as considering and evaluating the appropriate level and structure of director remuneration;</w:t>
      </w:r>
    </w:p>
    <w:p>
      <w:pPr>
        <w:spacing w:after="0" w:line="47" w:lineRule="exact"/>
        <w:rPr>
          <w:rFonts w:ascii="Times New Roman" w:cs="Times New Roman" w:eastAsia="Times New Roman" w:hAnsi="Times New Roman"/>
          <w:sz w:val="11"/>
          <w:szCs w:val="11"/>
          <w:color w:val="005AFF"/>
        </w:rPr>
      </w:pPr>
    </w:p>
    <w:p>
      <w:pPr>
        <w:ind w:left="180" w:right="3840" w:hanging="170"/>
        <w:spacing w:after="0" w:line="309"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preparing and evaluating the principles regarding Board diversity;</w:t>
      </w:r>
    </w:p>
    <w:p>
      <w:pPr>
        <w:spacing w:after="0" w:line="38" w:lineRule="exact"/>
        <w:rPr>
          <w:rFonts w:ascii="Times New Roman" w:cs="Times New Roman" w:eastAsia="Times New Roman" w:hAnsi="Times New Roman"/>
          <w:sz w:val="11"/>
          <w:szCs w:val="11"/>
          <w:color w:val="005AFF"/>
        </w:rPr>
      </w:pPr>
    </w:p>
    <w:p>
      <w:pPr>
        <w:ind w:left="180" w:right="3820" w:hanging="170"/>
        <w:spacing w:after="0" w:line="279"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preparing proposals to the shareholders on the director nominees for election at the general meetings, as well as director remuneration;</w:t>
      </w:r>
    </w:p>
    <w:p>
      <w:pPr>
        <w:spacing w:after="0" w:line="44" w:lineRule="exact"/>
        <w:rPr>
          <w:rFonts w:ascii="Times New Roman" w:cs="Times New Roman" w:eastAsia="Times New Roman" w:hAnsi="Times New Roman"/>
          <w:sz w:val="11"/>
          <w:szCs w:val="11"/>
          <w:color w:val="005AFF"/>
        </w:rPr>
      </w:pPr>
    </w:p>
    <w:p>
      <w:pPr>
        <w:ind w:left="180" w:right="3680" w:hanging="170"/>
        <w:spacing w:after="0" w:line="289"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monitoring and assessing the directors’ current and planned time commitments outside the Nokia Board and their attendance at Nokia Board and Committee meetings;</w:t>
      </w:r>
    </w:p>
    <w:p>
      <w:pPr>
        <w:spacing w:after="0" w:line="38" w:lineRule="exact"/>
        <w:rPr>
          <w:rFonts w:ascii="Times New Roman" w:cs="Times New Roman" w:eastAsia="Times New Roman" w:hAnsi="Times New Roman"/>
          <w:sz w:val="11"/>
          <w:szCs w:val="11"/>
          <w:color w:val="005AFF"/>
        </w:rPr>
      </w:pPr>
    </w:p>
    <w:p>
      <w:pPr>
        <w:ind w:left="180" w:right="3660" w:hanging="170"/>
        <w:spacing w:after="0" w:line="275"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monitoring significant developments in the law and practice of corporate governance, including the sustainability-related governance trends and the directors’ duties and responsibilities;</w:t>
      </w:r>
    </w:p>
    <w:p>
      <w:pPr>
        <w:spacing w:after="0" w:line="57" w:lineRule="exact"/>
        <w:rPr>
          <w:rFonts w:ascii="Times New Roman" w:cs="Times New Roman" w:eastAsia="Times New Roman" w:hAnsi="Times New Roman"/>
          <w:sz w:val="11"/>
          <w:szCs w:val="11"/>
          <w:color w:val="005AFF"/>
        </w:rPr>
      </w:pPr>
    </w:p>
    <w:p>
      <w:pPr>
        <w:ind w:left="180" w:right="3760" w:hanging="170"/>
        <w:spacing w:after="0" w:line="269"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assisting the Board and each Committee of the Board in its annual performance evaluation process, including establishing criteria to be applied in connection with such evaluations;</w:t>
      </w:r>
    </w:p>
    <w:p>
      <w:pPr>
        <w:spacing w:after="0" w:line="59" w:lineRule="exact"/>
        <w:rPr>
          <w:rFonts w:ascii="Times New Roman" w:cs="Times New Roman" w:eastAsia="Times New Roman" w:hAnsi="Times New Roman"/>
          <w:sz w:val="11"/>
          <w:szCs w:val="11"/>
          <w:color w:val="005AFF"/>
        </w:rPr>
      </w:pPr>
    </w:p>
    <w:p>
      <w:pPr>
        <w:ind w:left="180" w:right="3960" w:hanging="170"/>
        <w:spacing w:after="0" w:line="279"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developing and administering Nokia’s Corporate Governance Guidelines and giving recommendations regarding them to the Board; and</w:t>
      </w:r>
    </w:p>
    <w:p>
      <w:pPr>
        <w:spacing w:after="0" w:line="54" w:lineRule="exact"/>
        <w:rPr>
          <w:rFonts w:ascii="Times New Roman" w:cs="Times New Roman" w:eastAsia="Times New Roman" w:hAnsi="Times New Roman"/>
          <w:sz w:val="11"/>
          <w:szCs w:val="11"/>
          <w:color w:val="005AFF"/>
        </w:rPr>
      </w:pPr>
    </w:p>
    <w:p>
      <w:pPr>
        <w:ind w:left="180" w:right="3760" w:hanging="170"/>
        <w:spacing w:after="0" w:line="290" w:lineRule="auto"/>
        <w:tabs>
          <w:tab w:leader="none" w:pos="180" w:val="left"/>
        </w:tabs>
        <w:numPr>
          <w:ilvl w:val="0"/>
          <w:numId w:val="3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reviewing Nokia’s disclosure in the corporate governance statement.</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has the power and practice to appoint</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 recruitment firm to identify appropriate new director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candidates.</w:t>
      </w:r>
    </w:p>
    <w:p>
      <w:pPr>
        <w:sectPr>
          <w:pgSz w:w="11900" w:h="16838" w:orient="portrait"/>
          <w:cols w:equalWidth="0" w:num="2">
            <w:col w:w="3260" w:space="140"/>
            <w:col w:w="6580"/>
          </w:cols>
          <w:pgMar w:left="960" w:top="409" w:right="959" w:bottom="1440" w:gutter="0" w:footer="0" w:header="0"/>
          <w:type w:val="continuous"/>
        </w:sectPr>
      </w:pPr>
    </w:p>
    <w:bookmarkStart w:id="54" w:name="page55"/>
    <w:bookmarkEnd w:id="54"/>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The Personnel Committee</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following table sets forth the members of the Personnel</w:t>
      </w:r>
    </w:p>
    <w:p>
      <w:pPr>
        <w:spacing w:after="0" w:line="15"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2020" w:type="dxa"/>
            <w:vAlign w:val="bottom"/>
          </w:tcPr>
          <w:p>
            <w:pPr>
              <w:spacing w:after="0"/>
              <w:rPr>
                <w:sz w:val="20"/>
                <w:szCs w:val="20"/>
                <w:color w:val="auto"/>
              </w:rPr>
            </w:pPr>
            <w:r>
              <w:rPr>
                <w:rFonts w:ascii="Times New Roman" w:cs="Times New Roman" w:eastAsia="Times New Roman" w:hAnsi="Times New Roman"/>
                <w:sz w:val="11"/>
                <w:szCs w:val="11"/>
                <w:color w:val="auto"/>
              </w:rPr>
              <w:t>Committee and their meeting attendance in</w:t>
            </w:r>
          </w:p>
        </w:tc>
        <w:tc>
          <w:tcPr>
            <w:tcW w:w="5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c>
          <w:tcPr>
            <w:tcW w:w="640" w:type="dxa"/>
            <w:vAlign w:val="bottom"/>
          </w:tcPr>
          <w:p>
            <w:pPr>
              <w:spacing w:after="0"/>
              <w:rPr>
                <w:sz w:val="12"/>
                <w:szCs w:val="12"/>
                <w:color w:val="auto"/>
              </w:rPr>
            </w:pPr>
          </w:p>
        </w:tc>
      </w:tr>
      <w:tr>
        <w:trPr>
          <w:trHeight w:val="201"/>
        </w:trPr>
        <w:tc>
          <w:tcPr>
            <w:tcW w:w="2020" w:type="dxa"/>
            <w:vAlign w:val="bottom"/>
          </w:tcPr>
          <w:p>
            <w:pPr>
              <w:spacing w:after="0"/>
              <w:rPr>
                <w:sz w:val="17"/>
                <w:szCs w:val="17"/>
                <w:color w:val="auto"/>
              </w:rPr>
            </w:pP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Attendance</w:t>
            </w:r>
          </w:p>
        </w:tc>
        <w:tc>
          <w:tcPr>
            <w:tcW w:w="640" w:type="dxa"/>
            <w:vAlign w:val="bottom"/>
          </w:tcPr>
          <w:p>
            <w:pPr>
              <w:spacing w:after="0"/>
              <w:rPr>
                <w:sz w:val="17"/>
                <w:szCs w:val="17"/>
                <w:color w:val="auto"/>
              </w:rPr>
            </w:pPr>
          </w:p>
        </w:tc>
      </w:tr>
      <w:tr>
        <w:trPr>
          <w:trHeight w:val="114"/>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Member</w:t>
            </w:r>
          </w:p>
        </w:tc>
        <w:tc>
          <w:tcPr>
            <w:tcW w:w="5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Attendance (%)</w:t>
            </w:r>
          </w:p>
        </w:tc>
      </w:tr>
      <w:tr>
        <w:trPr>
          <w:trHeight w:val="131"/>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 (Chair as of</w:t>
            </w:r>
          </w:p>
        </w:tc>
        <w:tc>
          <w:tcPr>
            <w:tcW w:w="580" w:type="dxa"/>
            <w:vAlign w:val="bottom"/>
          </w:tcPr>
          <w:p>
            <w:pPr>
              <w:spacing w:after="0"/>
              <w:rPr>
                <w:sz w:val="11"/>
                <w:szCs w:val="11"/>
                <w:color w:val="auto"/>
              </w:rPr>
            </w:pPr>
          </w:p>
        </w:tc>
        <w:tc>
          <w:tcPr>
            <w:tcW w:w="640" w:type="dxa"/>
            <w:vAlign w:val="bottom"/>
          </w:tcPr>
          <w:p>
            <w:pPr>
              <w:spacing w:after="0"/>
              <w:rPr>
                <w:sz w:val="11"/>
                <w:szCs w:val="11"/>
                <w:color w:val="auto"/>
              </w:rPr>
            </w:pPr>
          </w:p>
        </w:tc>
      </w:tr>
      <w:tr>
        <w:trPr>
          <w:trHeight w:val="130"/>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5/5</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5/5</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Bruce Brown (until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1/1</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 (as of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4/4</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 (as of 4 April 2023)</w:t>
            </w:r>
          </w:p>
        </w:tc>
        <w:tc>
          <w:tcPr>
            <w:tcW w:w="5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4/4</w:t>
            </w:r>
          </w:p>
        </w:tc>
        <w:tc>
          <w:tcPr>
            <w:tcW w:w="6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67"/>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Søren Skou</w:t>
            </w:r>
          </w:p>
        </w:tc>
        <w:tc>
          <w:tcPr>
            <w:tcW w:w="5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5/5</w:t>
            </w:r>
          </w:p>
        </w:tc>
        <w:tc>
          <w:tcPr>
            <w:tcW w:w="6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100</w:t>
            </w:r>
          </w:p>
        </w:tc>
      </w:tr>
      <w:tr>
        <w:trPr>
          <w:trHeight w:val="142"/>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Average attendance (%)</w:t>
            </w:r>
          </w:p>
        </w:tc>
        <w:tc>
          <w:tcPr>
            <w:tcW w:w="58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100</w:t>
            </w:r>
          </w:p>
        </w:tc>
      </w:tr>
    </w:tbl>
    <w:p>
      <w:pPr>
        <w:spacing w:after="0" w:line="119" w:lineRule="exact"/>
        <w:rPr>
          <w:sz w:val="20"/>
          <w:szCs w:val="20"/>
          <w:color w:val="auto"/>
        </w:rPr>
      </w:pPr>
    </w:p>
    <w:p>
      <w:pPr>
        <w:ind w:right="320"/>
        <w:spacing w:after="0" w:line="265" w:lineRule="auto"/>
        <w:rPr>
          <w:sz w:val="20"/>
          <w:szCs w:val="20"/>
          <w:color w:val="auto"/>
        </w:rPr>
      </w:pPr>
      <w:r>
        <w:rPr>
          <w:rFonts w:ascii="Times New Roman" w:cs="Times New Roman" w:eastAsia="Times New Roman" w:hAnsi="Times New Roman"/>
          <w:sz w:val="11"/>
          <w:szCs w:val="11"/>
          <w:color w:val="auto"/>
        </w:rPr>
        <w:t>The Committee consists of a minimum of three members of the Board who meet all applicable independence requirements as stipulated by Finnish law, the Finnish Corporate Governance Code and the rules of the NYSE. As of 4 April 2023, the Personnel Committee has consisted of the following five members of the Board: Thomas Dannenfeldt (Chair), Sari Baldauf, Elizabeth Crain, Lisa Hook and Søren Skou.</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47</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30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has overall responsibility for evaluating,</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resolving and making recommendations to the Board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regarding:</w:t>
      </w:r>
    </w:p>
    <w:p>
      <w:pPr>
        <w:spacing w:after="0" w:line="79" w:lineRule="exact"/>
        <w:rPr>
          <w:sz w:val="20"/>
          <w:szCs w:val="20"/>
          <w:color w:val="auto"/>
        </w:rPr>
      </w:pPr>
    </w:p>
    <w:p>
      <w:pPr>
        <w:ind w:left="180" w:right="3760" w:hanging="170"/>
        <w:spacing w:after="0" w:line="309" w:lineRule="auto"/>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preparing the Remuneration Policy and the Remuneration Report;</w:t>
      </w:r>
    </w:p>
    <w:p>
      <w:pPr>
        <w:spacing w:after="0" w:line="28" w:lineRule="exact"/>
        <w:rPr>
          <w:rFonts w:ascii="Times New Roman" w:cs="Times New Roman" w:eastAsia="Times New Roman" w:hAnsi="Times New Roman"/>
          <w:sz w:val="11"/>
          <w:szCs w:val="11"/>
          <w:color w:val="005AFF"/>
        </w:rPr>
      </w:pPr>
    </w:p>
    <w:p>
      <w:pPr>
        <w:ind w:left="180" w:right="3720" w:hanging="170"/>
        <w:spacing w:after="0" w:line="309" w:lineRule="auto"/>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compensation and terms of employment of the Company’s senior management;</w:t>
      </w:r>
    </w:p>
    <w:p>
      <w:pPr>
        <w:spacing w:after="0" w:line="38"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human capital management;</w:t>
      </w:r>
    </w:p>
    <w:p>
      <w:pPr>
        <w:spacing w:after="0" w:line="85"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all equity-based plans;</w:t>
      </w:r>
    </w:p>
    <w:p>
      <w:pPr>
        <w:spacing w:after="0" w:line="95" w:lineRule="exact"/>
        <w:rPr>
          <w:rFonts w:ascii="Times New Roman" w:cs="Times New Roman" w:eastAsia="Times New Roman" w:hAnsi="Times New Roman"/>
          <w:sz w:val="11"/>
          <w:szCs w:val="11"/>
          <w:color w:val="005AFF"/>
        </w:rPr>
      </w:pPr>
    </w:p>
    <w:p>
      <w:pPr>
        <w:ind w:left="180" w:right="3980" w:hanging="170"/>
        <w:spacing w:after="0" w:line="290" w:lineRule="auto"/>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incentive compensation plans, policies and programs of the Company affecting executives; and</w:t>
      </w:r>
    </w:p>
    <w:p>
      <w:pPr>
        <w:spacing w:after="0" w:line="48"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3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possible other significant incentive plans.</w:t>
      </w:r>
    </w:p>
    <w:p>
      <w:pPr>
        <w:spacing w:after="0" w:line="9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is responsible for preparing the Remuneration</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Policy, including Nokia’s compensation philosophy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principles and ensuring that the Company’s compensation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programs are performance-based, designed to contribute to</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long-term shareholder value creation in line with shareholders’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interests, properly motivate management and are aligned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with the Remuneration Policy, as well as supporting overall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corporate strategies.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Committee also oversees human capital management</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periodically reviews the personnel policies and practices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Nokia related to human capital management and social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responsibilities relating to its employees , including Company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culture, physical safety, employee wellbeing, morale, diversity,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equity and inclusion, talent management and development,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succession planning, resourcing, recruiting, attrition,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retention and employee engagement.</w:t>
      </w:r>
    </w:p>
    <w:p>
      <w:pPr>
        <w:sectPr>
          <w:pgSz w:w="11900" w:h="16838" w:orient="portrait"/>
          <w:cols w:equalWidth="0" w:num="2">
            <w:col w:w="3240" w:space="160"/>
            <w:col w:w="6580"/>
          </w:cols>
          <w:pgMar w:left="960" w:top="410" w:right="959" w:bottom="1440" w:gutter="0" w:footer="0" w:header="0"/>
        </w:sectPr>
      </w:pPr>
    </w:p>
    <w:bookmarkStart w:id="55" w:name="page56"/>
    <w:bookmarkEnd w:id="55"/>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100" w:type="dxa"/>
            <w:vAlign w:val="bottom"/>
            <w:gridSpan w:val="3"/>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320" w:type="dxa"/>
            <w:vAlign w:val="bottom"/>
          </w:tcPr>
          <w:p>
            <w:pPr>
              <w:spacing w:after="0"/>
              <w:rPr>
                <w:sz w:val="9"/>
                <w:szCs w:val="9"/>
                <w:color w:val="auto"/>
              </w:rPr>
            </w:pPr>
          </w:p>
        </w:tc>
        <w:tc>
          <w:tcPr>
            <w:tcW w:w="10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860" w:type="dxa"/>
            <w:vAlign w:val="bottom"/>
          </w:tcPr>
          <w:p>
            <w:pPr>
              <w:ind w:left="140"/>
              <w:spacing w:after="0"/>
              <w:rPr>
                <w:sz w:val="20"/>
                <w:szCs w:val="20"/>
                <w:color w:val="auto"/>
              </w:rPr>
            </w:pPr>
            <w:r>
              <w:rPr>
                <w:rFonts w:ascii="Times New Roman" w:cs="Times New Roman" w:eastAsia="Times New Roman" w:hAnsi="Times New Roman"/>
                <w:sz w:val="9"/>
                <w:szCs w:val="9"/>
                <w:color w:val="auto"/>
              </w:rPr>
              <w:t>Financial</w:t>
            </w:r>
          </w:p>
        </w:tc>
        <w:tc>
          <w:tcPr>
            <w:tcW w:w="288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19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48</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100" w:type="dxa"/>
            <w:vAlign w:val="bottom"/>
            <w:gridSpan w:val="3"/>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320" w:type="dxa"/>
            <w:vAlign w:val="bottom"/>
          </w:tcPr>
          <w:p>
            <w:pPr>
              <w:spacing w:after="0"/>
              <w:rPr>
                <w:sz w:val="11"/>
                <w:szCs w:val="11"/>
                <w:color w:val="auto"/>
              </w:rPr>
            </w:pPr>
          </w:p>
        </w:tc>
        <w:tc>
          <w:tcPr>
            <w:tcW w:w="10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860" w:type="dxa"/>
            <w:vAlign w:val="bottom"/>
          </w:tcPr>
          <w:p>
            <w:pPr>
              <w:ind w:left="140"/>
              <w:spacing w:after="0"/>
              <w:rPr>
                <w:sz w:val="20"/>
                <w:szCs w:val="20"/>
                <w:color w:val="auto"/>
              </w:rPr>
            </w:pPr>
            <w:r>
              <w:rPr>
                <w:rFonts w:ascii="Times New Roman" w:cs="Times New Roman" w:eastAsia="Times New Roman" w:hAnsi="Times New Roman"/>
                <w:sz w:val="9"/>
                <w:szCs w:val="9"/>
                <w:color w:val="auto"/>
              </w:rPr>
              <w:t>statements</w:t>
            </w:r>
          </w:p>
        </w:tc>
        <w:tc>
          <w:tcPr>
            <w:tcW w:w="288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19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780" w:type="dxa"/>
            <w:vAlign w:val="bottom"/>
            <w:gridSpan w:val="2"/>
          </w:tcPr>
          <w:p>
            <w:pPr>
              <w:spacing w:after="0"/>
              <w:rPr>
                <w:sz w:val="3"/>
                <w:szCs w:val="3"/>
                <w:color w:val="auto"/>
              </w:rPr>
            </w:pPr>
          </w:p>
        </w:tc>
        <w:tc>
          <w:tcPr>
            <w:tcW w:w="320" w:type="dxa"/>
            <w:vAlign w:val="bottom"/>
          </w:tcPr>
          <w:p>
            <w:pPr>
              <w:spacing w:after="0"/>
              <w:rPr>
                <w:sz w:val="3"/>
                <w:szCs w:val="3"/>
                <w:color w:val="auto"/>
              </w:rPr>
            </w:pPr>
          </w:p>
        </w:tc>
        <w:tc>
          <w:tcPr>
            <w:tcW w:w="320" w:type="dxa"/>
            <w:vAlign w:val="bottom"/>
          </w:tcPr>
          <w:p>
            <w:pPr>
              <w:spacing w:after="0"/>
              <w:rPr>
                <w:sz w:val="3"/>
                <w:szCs w:val="3"/>
                <w:color w:val="auto"/>
              </w:rPr>
            </w:pPr>
          </w:p>
        </w:tc>
        <w:tc>
          <w:tcPr>
            <w:tcW w:w="1080" w:type="dxa"/>
            <w:vAlign w:val="bottom"/>
          </w:tcPr>
          <w:p>
            <w:pPr>
              <w:spacing w:after="0"/>
              <w:rPr>
                <w:sz w:val="3"/>
                <w:szCs w:val="3"/>
                <w:color w:val="auto"/>
              </w:rPr>
            </w:pPr>
          </w:p>
        </w:tc>
        <w:tc>
          <w:tcPr>
            <w:tcW w:w="860" w:type="dxa"/>
            <w:vAlign w:val="bottom"/>
          </w:tcPr>
          <w:p>
            <w:pPr>
              <w:spacing w:after="0"/>
              <w:rPr>
                <w:sz w:val="3"/>
                <w:szCs w:val="3"/>
                <w:color w:val="auto"/>
              </w:rPr>
            </w:pPr>
          </w:p>
        </w:tc>
        <w:tc>
          <w:tcPr>
            <w:tcW w:w="2880" w:type="dxa"/>
            <w:vAlign w:val="bottom"/>
          </w:tcPr>
          <w:p>
            <w:pPr>
              <w:spacing w:after="0"/>
              <w:rPr>
                <w:sz w:val="3"/>
                <w:szCs w:val="3"/>
                <w:color w:val="auto"/>
              </w:rPr>
            </w:pPr>
          </w:p>
        </w:tc>
        <w:tc>
          <w:tcPr>
            <w:tcW w:w="190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780" w:type="dxa"/>
            <w:vAlign w:val="bottom"/>
            <w:gridSpan w:val="2"/>
          </w:tcPr>
          <w:p>
            <w:pPr>
              <w:jc w:val="right"/>
              <w:ind w:right="111"/>
              <w:spacing w:after="0"/>
              <w:rPr>
                <w:sz w:val="20"/>
                <w:szCs w:val="20"/>
                <w:color w:val="auto"/>
              </w:rPr>
            </w:pPr>
            <w:r>
              <w:rPr>
                <w:rFonts w:ascii="Times New Roman" w:cs="Times New Roman" w:eastAsia="Times New Roman" w:hAnsi="Times New Roman"/>
                <w:sz w:val="13"/>
                <w:szCs w:val="13"/>
                <w:color w:val="005AFF"/>
              </w:rPr>
              <w:t>continued</w:t>
            </w:r>
          </w:p>
        </w:tc>
        <w:tc>
          <w:tcPr>
            <w:tcW w:w="320" w:type="dxa"/>
            <w:vAlign w:val="bottom"/>
          </w:tcPr>
          <w:p>
            <w:pPr>
              <w:spacing w:after="0"/>
              <w:rPr>
                <w:sz w:val="24"/>
                <w:szCs w:val="24"/>
                <w:color w:val="auto"/>
              </w:rPr>
            </w:pPr>
          </w:p>
        </w:tc>
        <w:tc>
          <w:tcPr>
            <w:tcW w:w="32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860" w:type="dxa"/>
            <w:vAlign w:val="bottom"/>
          </w:tcPr>
          <w:p>
            <w:pPr>
              <w:spacing w:after="0"/>
              <w:rPr>
                <w:sz w:val="24"/>
                <w:szCs w:val="24"/>
                <w:color w:val="auto"/>
              </w:rPr>
            </w:pPr>
          </w:p>
        </w:tc>
        <w:tc>
          <w:tcPr>
            <w:tcW w:w="2880" w:type="dxa"/>
            <w:vAlign w:val="bottom"/>
          </w:tcPr>
          <w:p>
            <w:pPr>
              <w:spacing w:after="0"/>
              <w:rPr>
                <w:sz w:val="24"/>
                <w:szCs w:val="24"/>
                <w:color w:val="auto"/>
              </w:rPr>
            </w:pPr>
          </w:p>
        </w:tc>
        <w:tc>
          <w:tcPr>
            <w:tcW w:w="19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3"/>
        </w:trPr>
        <w:tc>
          <w:tcPr>
            <w:tcW w:w="184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6F6E6E"/>
              </w:rPr>
              <w:t>The Technology Committee</w:t>
            </w:r>
          </w:p>
        </w:tc>
        <w:tc>
          <w:tcPr>
            <w:tcW w:w="180" w:type="dxa"/>
            <w:vAlign w:val="bottom"/>
          </w:tcPr>
          <w:p>
            <w:pPr>
              <w:spacing w:after="0"/>
              <w:rPr>
                <w:sz w:val="24"/>
                <w:szCs w:val="24"/>
                <w:color w:val="auto"/>
              </w:rPr>
            </w:pPr>
          </w:p>
        </w:tc>
        <w:tc>
          <w:tcPr>
            <w:tcW w:w="600" w:type="dxa"/>
            <w:vAlign w:val="bottom"/>
          </w:tcPr>
          <w:p>
            <w:pPr>
              <w:spacing w:after="0"/>
              <w:rPr>
                <w:sz w:val="24"/>
                <w:szCs w:val="24"/>
                <w:color w:val="auto"/>
              </w:rPr>
            </w:pPr>
          </w:p>
        </w:tc>
        <w:tc>
          <w:tcPr>
            <w:tcW w:w="320" w:type="dxa"/>
            <w:vAlign w:val="bottom"/>
          </w:tcPr>
          <w:p>
            <w:pPr>
              <w:spacing w:after="0"/>
              <w:rPr>
                <w:sz w:val="24"/>
                <w:szCs w:val="24"/>
                <w:color w:val="auto"/>
              </w:rPr>
            </w:pPr>
          </w:p>
        </w:tc>
        <w:tc>
          <w:tcPr>
            <w:tcW w:w="320" w:type="dxa"/>
            <w:vAlign w:val="bottom"/>
          </w:tcPr>
          <w:p>
            <w:pPr>
              <w:spacing w:after="0"/>
              <w:rPr>
                <w:sz w:val="24"/>
                <w:szCs w:val="24"/>
                <w:color w:val="auto"/>
              </w:rPr>
            </w:pPr>
          </w:p>
        </w:tc>
        <w:tc>
          <w:tcPr>
            <w:tcW w:w="482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In its dialogue with and provision of opinions and advice to the</w:t>
            </w:r>
          </w:p>
        </w:tc>
        <w:tc>
          <w:tcPr>
            <w:tcW w:w="19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2"/>
        </w:trPr>
        <w:tc>
          <w:tcPr>
            <w:tcW w:w="294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The following table sets forth the members of the Technology</w:t>
            </w:r>
          </w:p>
        </w:tc>
        <w:tc>
          <w:tcPr>
            <w:tcW w:w="320" w:type="dxa"/>
            <w:vAlign w:val="bottom"/>
          </w:tcPr>
          <w:p>
            <w:pPr>
              <w:spacing w:after="0"/>
              <w:rPr>
                <w:sz w:val="12"/>
                <w:szCs w:val="12"/>
                <w:color w:val="auto"/>
              </w:rPr>
            </w:pPr>
          </w:p>
        </w:tc>
        <w:tc>
          <w:tcPr>
            <w:tcW w:w="482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management, the Committee will periodically review:</w:t>
            </w:r>
          </w:p>
        </w:tc>
        <w:tc>
          <w:tcPr>
            <w:tcW w:w="190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202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Committee and their meeting attendance in</w:t>
            </w:r>
          </w:p>
        </w:tc>
        <w:tc>
          <w:tcPr>
            <w:tcW w:w="6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c>
          <w:tcPr>
            <w:tcW w:w="3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482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the Company’s technological competitiveness and new</w:t>
            </w:r>
          </w:p>
        </w:tc>
        <w:tc>
          <w:tcPr>
            <w:tcW w:w="190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64"/>
        </w:trPr>
        <w:tc>
          <w:tcPr>
            <w:tcW w:w="900" w:type="dxa"/>
            <w:vAlign w:val="bottom"/>
          </w:tcPr>
          <w:p>
            <w:pPr>
              <w:spacing w:after="0"/>
              <w:rPr>
                <w:sz w:val="5"/>
                <w:szCs w:val="5"/>
                <w:color w:val="auto"/>
              </w:rPr>
            </w:pPr>
          </w:p>
        </w:tc>
        <w:tc>
          <w:tcPr>
            <w:tcW w:w="540" w:type="dxa"/>
            <w:vAlign w:val="bottom"/>
          </w:tcPr>
          <w:p>
            <w:pPr>
              <w:spacing w:after="0"/>
              <w:rPr>
                <w:sz w:val="5"/>
                <w:szCs w:val="5"/>
                <w:color w:val="auto"/>
              </w:rPr>
            </w:pPr>
          </w:p>
        </w:tc>
        <w:tc>
          <w:tcPr>
            <w:tcW w:w="400" w:type="dxa"/>
            <w:vAlign w:val="bottom"/>
          </w:tcPr>
          <w:p>
            <w:pPr>
              <w:spacing w:after="0"/>
              <w:rPr>
                <w:sz w:val="5"/>
                <w:szCs w:val="5"/>
                <w:color w:val="auto"/>
              </w:rPr>
            </w:pPr>
          </w:p>
        </w:tc>
        <w:tc>
          <w:tcPr>
            <w:tcW w:w="180" w:type="dxa"/>
            <w:vAlign w:val="bottom"/>
          </w:tcPr>
          <w:p>
            <w:pPr>
              <w:spacing w:after="0"/>
              <w:rPr>
                <w:sz w:val="5"/>
                <w:szCs w:val="5"/>
                <w:color w:val="auto"/>
              </w:rPr>
            </w:pPr>
          </w:p>
        </w:tc>
        <w:tc>
          <w:tcPr>
            <w:tcW w:w="600" w:type="dxa"/>
            <w:vAlign w:val="bottom"/>
          </w:tcPr>
          <w:p>
            <w:pPr>
              <w:spacing w:after="0"/>
              <w:rPr>
                <w:sz w:val="5"/>
                <w:szCs w:val="5"/>
                <w:color w:val="auto"/>
              </w:rPr>
            </w:pPr>
          </w:p>
        </w:tc>
        <w:tc>
          <w:tcPr>
            <w:tcW w:w="320" w:type="dxa"/>
            <w:vAlign w:val="bottom"/>
          </w:tcPr>
          <w:p>
            <w:pPr>
              <w:spacing w:after="0"/>
              <w:rPr>
                <w:sz w:val="5"/>
                <w:szCs w:val="5"/>
                <w:color w:val="auto"/>
              </w:rPr>
            </w:pPr>
          </w:p>
        </w:tc>
        <w:tc>
          <w:tcPr>
            <w:tcW w:w="320" w:type="dxa"/>
            <w:vAlign w:val="bottom"/>
          </w:tcPr>
          <w:p>
            <w:pPr>
              <w:spacing w:after="0"/>
              <w:rPr>
                <w:sz w:val="5"/>
                <w:szCs w:val="5"/>
                <w:color w:val="auto"/>
              </w:rPr>
            </w:pPr>
          </w:p>
        </w:tc>
        <w:tc>
          <w:tcPr>
            <w:tcW w:w="4820" w:type="dxa"/>
            <w:vAlign w:val="bottom"/>
            <w:gridSpan w:val="3"/>
            <w:vMerge w:val="continue"/>
          </w:tcPr>
          <w:p>
            <w:pPr>
              <w:spacing w:after="0"/>
              <w:rPr>
                <w:sz w:val="5"/>
                <w:szCs w:val="5"/>
                <w:color w:val="auto"/>
              </w:rPr>
            </w:pPr>
          </w:p>
        </w:tc>
        <w:tc>
          <w:tcPr>
            <w:tcW w:w="19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142"/>
        </w:trPr>
        <w:tc>
          <w:tcPr>
            <w:tcW w:w="90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180" w:type="dxa"/>
            <w:vAlign w:val="bottom"/>
          </w:tcPr>
          <w:p>
            <w:pPr>
              <w:spacing w:after="0"/>
              <w:rPr>
                <w:sz w:val="12"/>
                <w:szCs w:val="12"/>
                <w:color w:val="auto"/>
              </w:rPr>
            </w:pPr>
          </w:p>
        </w:tc>
        <w:tc>
          <w:tcPr>
            <w:tcW w:w="600" w:type="dxa"/>
            <w:vAlign w:val="bottom"/>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Attendance</w:t>
            </w:r>
          </w:p>
        </w:tc>
        <w:tc>
          <w:tcPr>
            <w:tcW w:w="3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4820" w:type="dxa"/>
            <w:vAlign w:val="bottom"/>
            <w:gridSpan w:val="3"/>
          </w:tcPr>
          <w:p>
            <w:pPr>
              <w:ind w:left="320"/>
              <w:spacing w:after="0"/>
              <w:rPr>
                <w:sz w:val="20"/>
                <w:szCs w:val="20"/>
                <w:color w:val="auto"/>
              </w:rPr>
            </w:pPr>
            <w:r>
              <w:rPr>
                <w:rFonts w:ascii="Times New Roman" w:cs="Times New Roman" w:eastAsia="Times New Roman" w:hAnsi="Times New Roman"/>
                <w:sz w:val="11"/>
                <w:szCs w:val="11"/>
                <w:color w:val="auto"/>
              </w:rPr>
              <w:t>strategic technology initiatives as well as market trends,</w:t>
            </w:r>
          </w:p>
        </w:tc>
        <w:tc>
          <w:tcPr>
            <w:tcW w:w="190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24"/>
        </w:trPr>
        <w:tc>
          <w:tcPr>
            <w:tcW w:w="9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Member</w:t>
            </w:r>
          </w:p>
        </w:tc>
        <w:tc>
          <w:tcPr>
            <w:tcW w:w="540" w:type="dxa"/>
            <w:vAlign w:val="bottom"/>
            <w:tcBorders>
              <w:bottom w:val="single" w:sz="8" w:color="005AFF"/>
            </w:tcBorders>
          </w:tcPr>
          <w:p>
            <w:pPr>
              <w:spacing w:after="0"/>
              <w:rPr>
                <w:sz w:val="10"/>
                <w:szCs w:val="10"/>
                <w:color w:val="auto"/>
              </w:rPr>
            </w:pPr>
          </w:p>
        </w:tc>
        <w:tc>
          <w:tcPr>
            <w:tcW w:w="400" w:type="dxa"/>
            <w:vAlign w:val="bottom"/>
            <w:tcBorders>
              <w:bottom w:val="single" w:sz="8" w:color="005AFF"/>
            </w:tcBorders>
          </w:tcPr>
          <w:p>
            <w:pPr>
              <w:spacing w:after="0"/>
              <w:rPr>
                <w:sz w:val="10"/>
                <w:szCs w:val="10"/>
                <w:color w:val="auto"/>
              </w:rPr>
            </w:pPr>
          </w:p>
        </w:tc>
        <w:tc>
          <w:tcPr>
            <w:tcW w:w="180" w:type="dxa"/>
            <w:vAlign w:val="bottom"/>
            <w:tcBorders>
              <w:bottom w:val="single" w:sz="8" w:color="005AFF"/>
            </w:tcBorders>
          </w:tcPr>
          <w:p>
            <w:pPr>
              <w:spacing w:after="0"/>
              <w:rPr>
                <w:sz w:val="10"/>
                <w:szCs w:val="10"/>
                <w:color w:val="auto"/>
              </w:rPr>
            </w:pPr>
          </w:p>
        </w:tc>
        <w:tc>
          <w:tcPr>
            <w:tcW w:w="60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(meetings)</w:t>
            </w:r>
          </w:p>
        </w:tc>
        <w:tc>
          <w:tcPr>
            <w:tcW w:w="64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Attendance (%)</w:t>
            </w:r>
          </w:p>
        </w:tc>
        <w:tc>
          <w:tcPr>
            <w:tcW w:w="4820" w:type="dxa"/>
            <w:vAlign w:val="bottom"/>
            <w:gridSpan w:val="3"/>
          </w:tcPr>
          <w:p>
            <w:pPr>
              <w:ind w:left="320"/>
              <w:spacing w:after="0" w:line="124" w:lineRule="exact"/>
              <w:rPr>
                <w:sz w:val="20"/>
                <w:szCs w:val="20"/>
                <w:color w:val="auto"/>
              </w:rPr>
            </w:pPr>
            <w:r>
              <w:rPr>
                <w:rFonts w:ascii="Times New Roman" w:cs="Times New Roman" w:eastAsia="Times New Roman" w:hAnsi="Times New Roman"/>
                <w:sz w:val="11"/>
                <w:szCs w:val="11"/>
                <w:color w:val="auto"/>
              </w:rPr>
              <w:t>considering both organic and inorganic options to retain</w:t>
            </w:r>
          </w:p>
        </w:tc>
        <w:tc>
          <w:tcPr>
            <w:tcW w:w="19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35"/>
        </w:trPr>
        <w:tc>
          <w:tcPr>
            <w:tcW w:w="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Kai Öistämö (Chair)</w:t>
            </w:r>
          </w:p>
        </w:tc>
        <w:tc>
          <w:tcPr>
            <w:tcW w:w="540" w:type="dxa"/>
            <w:vAlign w:val="bottom"/>
          </w:tcPr>
          <w:p>
            <w:pPr>
              <w:spacing w:after="0"/>
              <w:rPr>
                <w:sz w:val="11"/>
                <w:szCs w:val="11"/>
                <w:color w:val="auto"/>
              </w:rPr>
            </w:pPr>
          </w:p>
        </w:tc>
        <w:tc>
          <w:tcPr>
            <w:tcW w:w="400" w:type="dxa"/>
            <w:vAlign w:val="bottom"/>
          </w:tcPr>
          <w:p>
            <w:pPr>
              <w:spacing w:after="0"/>
              <w:rPr>
                <w:sz w:val="11"/>
                <w:szCs w:val="11"/>
                <w:color w:val="auto"/>
              </w:rPr>
            </w:pPr>
          </w:p>
        </w:tc>
        <w:tc>
          <w:tcPr>
            <w:tcW w:w="180" w:type="dxa"/>
            <w:vAlign w:val="bottom"/>
          </w:tcPr>
          <w:p>
            <w:pPr>
              <w:spacing w:after="0"/>
              <w:rPr>
                <w:sz w:val="11"/>
                <w:szCs w:val="11"/>
                <w:color w:val="auto"/>
              </w:rPr>
            </w:pPr>
          </w:p>
        </w:tc>
        <w:tc>
          <w:tcPr>
            <w:tcW w:w="60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4/4</w:t>
            </w:r>
          </w:p>
        </w:tc>
        <w:tc>
          <w:tcPr>
            <w:tcW w:w="320" w:type="dxa"/>
            <w:vAlign w:val="bottom"/>
          </w:tcPr>
          <w:p>
            <w:pPr>
              <w:spacing w:after="0"/>
              <w:rPr>
                <w:sz w:val="11"/>
                <w:szCs w:val="11"/>
                <w:color w:val="auto"/>
              </w:rPr>
            </w:pPr>
          </w:p>
        </w:tc>
        <w:tc>
          <w:tcPr>
            <w:tcW w:w="3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1940" w:type="dxa"/>
            <w:vAlign w:val="bottom"/>
            <w:gridSpan w:val="2"/>
          </w:tcPr>
          <w:p>
            <w:pPr>
              <w:ind w:left="320"/>
              <w:spacing w:after="0"/>
              <w:rPr>
                <w:sz w:val="20"/>
                <w:szCs w:val="20"/>
                <w:color w:val="auto"/>
              </w:rPr>
            </w:pPr>
            <w:r>
              <w:rPr>
                <w:rFonts w:ascii="Times New Roman" w:cs="Times New Roman" w:eastAsia="Times New Roman" w:hAnsi="Times New Roman"/>
                <w:sz w:val="11"/>
                <w:szCs w:val="11"/>
                <w:color w:val="auto"/>
              </w:rPr>
              <w:t>or attain competitiveness;</w:t>
            </w:r>
          </w:p>
        </w:tc>
        <w:tc>
          <w:tcPr>
            <w:tcW w:w="2880" w:type="dxa"/>
            <w:vAlign w:val="bottom"/>
          </w:tcPr>
          <w:p>
            <w:pPr>
              <w:spacing w:after="0"/>
              <w:rPr>
                <w:sz w:val="11"/>
                <w:szCs w:val="11"/>
                <w:color w:val="auto"/>
              </w:rPr>
            </w:pPr>
          </w:p>
        </w:tc>
        <w:tc>
          <w:tcPr>
            <w:tcW w:w="19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8"/>
        </w:trPr>
        <w:tc>
          <w:tcPr>
            <w:tcW w:w="18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Timo Ahopelto (as of 4 April 2023)</w:t>
            </w:r>
          </w:p>
        </w:tc>
        <w:tc>
          <w:tcPr>
            <w:tcW w:w="180" w:type="dxa"/>
            <w:vAlign w:val="bottom"/>
          </w:tcPr>
          <w:p>
            <w:pPr>
              <w:spacing w:after="0"/>
              <w:rPr>
                <w:sz w:val="13"/>
                <w:szCs w:val="13"/>
                <w:color w:val="auto"/>
              </w:rPr>
            </w:pPr>
          </w:p>
        </w:tc>
        <w:tc>
          <w:tcPr>
            <w:tcW w:w="60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3/3</w:t>
            </w:r>
          </w:p>
        </w:tc>
        <w:tc>
          <w:tcPr>
            <w:tcW w:w="320" w:type="dxa"/>
            <w:vAlign w:val="bottom"/>
          </w:tcPr>
          <w:p>
            <w:pPr>
              <w:spacing w:after="0"/>
              <w:rPr>
                <w:sz w:val="13"/>
                <w:szCs w:val="13"/>
                <w:color w:val="auto"/>
              </w:rPr>
            </w:pPr>
          </w:p>
        </w:tc>
        <w:tc>
          <w:tcPr>
            <w:tcW w:w="3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the Company’s approach to major technological</w:t>
            </w:r>
          </w:p>
        </w:tc>
        <w:tc>
          <w:tcPr>
            <w:tcW w:w="190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58"/>
        </w:trPr>
        <w:tc>
          <w:tcPr>
            <w:tcW w:w="1840" w:type="dxa"/>
            <w:vAlign w:val="bottom"/>
            <w:gridSpan w:val="3"/>
            <w:vMerge w:val="restart"/>
          </w:tcPr>
          <w:p>
            <w:pPr>
              <w:ind w:left="40"/>
              <w:spacing w:after="0"/>
              <w:rPr>
                <w:sz w:val="20"/>
                <w:szCs w:val="20"/>
                <w:color w:val="auto"/>
              </w:rPr>
            </w:pPr>
            <w:r>
              <w:rPr>
                <w:rFonts w:ascii="Times New Roman" w:cs="Times New Roman" w:eastAsia="Times New Roman" w:hAnsi="Times New Roman"/>
                <w:sz w:val="10"/>
                <w:szCs w:val="10"/>
                <w:color w:val="0D0D0D"/>
              </w:rPr>
              <w:t>Sari Baldauf (as of 4 April 2023)</w:t>
            </w:r>
          </w:p>
        </w:tc>
        <w:tc>
          <w:tcPr>
            <w:tcW w:w="180" w:type="dxa"/>
            <w:vAlign w:val="bottom"/>
          </w:tcPr>
          <w:p>
            <w:pPr>
              <w:spacing w:after="0"/>
              <w:rPr>
                <w:sz w:val="5"/>
                <w:szCs w:val="5"/>
                <w:color w:val="auto"/>
              </w:rPr>
            </w:pPr>
          </w:p>
        </w:tc>
        <w:tc>
          <w:tcPr>
            <w:tcW w:w="60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3/3</w:t>
            </w:r>
          </w:p>
        </w:tc>
        <w:tc>
          <w:tcPr>
            <w:tcW w:w="320" w:type="dxa"/>
            <w:vAlign w:val="bottom"/>
          </w:tcPr>
          <w:p>
            <w:pPr>
              <w:spacing w:after="0"/>
              <w:rPr>
                <w:sz w:val="5"/>
                <w:szCs w:val="5"/>
                <w:color w:val="auto"/>
              </w:rPr>
            </w:pPr>
          </w:p>
        </w:tc>
        <w:tc>
          <w:tcPr>
            <w:tcW w:w="3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continue"/>
          </w:tcPr>
          <w:p>
            <w:pPr>
              <w:spacing w:after="0"/>
              <w:rPr>
                <w:sz w:val="5"/>
                <w:szCs w:val="5"/>
                <w:color w:val="auto"/>
              </w:rPr>
            </w:pPr>
          </w:p>
        </w:tc>
        <w:tc>
          <w:tcPr>
            <w:tcW w:w="19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135"/>
        </w:trPr>
        <w:tc>
          <w:tcPr>
            <w:tcW w:w="1840" w:type="dxa"/>
            <w:vAlign w:val="bottom"/>
            <w:gridSpan w:val="3"/>
            <w:vMerge w:val="continue"/>
          </w:tcPr>
          <w:p>
            <w:pPr>
              <w:spacing w:after="0"/>
              <w:rPr>
                <w:sz w:val="11"/>
                <w:szCs w:val="11"/>
                <w:color w:val="auto"/>
              </w:rPr>
            </w:pPr>
          </w:p>
        </w:tc>
        <w:tc>
          <w:tcPr>
            <w:tcW w:w="180" w:type="dxa"/>
            <w:vAlign w:val="bottom"/>
          </w:tcPr>
          <w:p>
            <w:pPr>
              <w:spacing w:after="0"/>
              <w:rPr>
                <w:sz w:val="11"/>
                <w:szCs w:val="11"/>
                <w:color w:val="auto"/>
              </w:rPr>
            </w:pPr>
          </w:p>
        </w:tc>
        <w:tc>
          <w:tcPr>
            <w:tcW w:w="600" w:type="dxa"/>
            <w:vAlign w:val="bottom"/>
            <w:vMerge w:val="continue"/>
          </w:tcPr>
          <w:p>
            <w:pPr>
              <w:spacing w:after="0"/>
              <w:rPr>
                <w:sz w:val="11"/>
                <w:szCs w:val="11"/>
                <w:color w:val="auto"/>
              </w:rPr>
            </w:pPr>
          </w:p>
        </w:tc>
        <w:tc>
          <w:tcPr>
            <w:tcW w:w="320" w:type="dxa"/>
            <w:vAlign w:val="bottom"/>
          </w:tcPr>
          <w:p>
            <w:pPr>
              <w:spacing w:after="0"/>
              <w:rPr>
                <w:sz w:val="11"/>
                <w:szCs w:val="11"/>
                <w:color w:val="auto"/>
              </w:rPr>
            </w:pPr>
          </w:p>
        </w:tc>
        <w:tc>
          <w:tcPr>
            <w:tcW w:w="320" w:type="dxa"/>
            <w:vAlign w:val="bottom"/>
            <w:vMerge w:val="continue"/>
          </w:tcPr>
          <w:p>
            <w:pPr>
              <w:spacing w:after="0"/>
              <w:rPr>
                <w:sz w:val="11"/>
                <w:szCs w:val="11"/>
                <w:color w:val="auto"/>
              </w:rPr>
            </w:pPr>
          </w:p>
        </w:tc>
        <w:tc>
          <w:tcPr>
            <w:tcW w:w="108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innovations;</w:t>
            </w:r>
          </w:p>
        </w:tc>
        <w:tc>
          <w:tcPr>
            <w:tcW w:w="860" w:type="dxa"/>
            <w:vAlign w:val="bottom"/>
          </w:tcPr>
          <w:p>
            <w:pPr>
              <w:spacing w:after="0"/>
              <w:rPr>
                <w:sz w:val="11"/>
                <w:szCs w:val="11"/>
                <w:color w:val="auto"/>
              </w:rPr>
            </w:pPr>
          </w:p>
        </w:tc>
        <w:tc>
          <w:tcPr>
            <w:tcW w:w="2880" w:type="dxa"/>
            <w:vAlign w:val="bottom"/>
          </w:tcPr>
          <w:p>
            <w:pPr>
              <w:spacing w:after="0"/>
              <w:rPr>
                <w:sz w:val="11"/>
                <w:szCs w:val="11"/>
                <w:color w:val="auto"/>
              </w:rPr>
            </w:pPr>
          </w:p>
        </w:tc>
        <w:tc>
          <w:tcPr>
            <w:tcW w:w="19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0"/>
        </w:trPr>
        <w:tc>
          <w:tcPr>
            <w:tcW w:w="18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Bruce Brown (until 4 April 2023)</w:t>
            </w:r>
          </w:p>
        </w:tc>
        <w:tc>
          <w:tcPr>
            <w:tcW w:w="180" w:type="dxa"/>
            <w:vAlign w:val="bottom"/>
          </w:tcPr>
          <w:p>
            <w:pPr>
              <w:spacing w:after="0"/>
              <w:rPr>
                <w:sz w:val="11"/>
                <w:szCs w:val="11"/>
                <w:color w:val="auto"/>
              </w:rPr>
            </w:pPr>
          </w:p>
        </w:tc>
        <w:tc>
          <w:tcPr>
            <w:tcW w:w="60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1/1</w:t>
            </w:r>
          </w:p>
        </w:tc>
        <w:tc>
          <w:tcPr>
            <w:tcW w:w="320" w:type="dxa"/>
            <w:vAlign w:val="bottom"/>
          </w:tcPr>
          <w:p>
            <w:pPr>
              <w:spacing w:after="0"/>
              <w:rPr>
                <w:sz w:val="11"/>
                <w:szCs w:val="11"/>
                <w:color w:val="auto"/>
              </w:rPr>
            </w:pPr>
          </w:p>
        </w:tc>
        <w:tc>
          <w:tcPr>
            <w:tcW w:w="3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key technology trends that may result in disruptive threats</w:t>
            </w:r>
          </w:p>
        </w:tc>
        <w:tc>
          <w:tcPr>
            <w:tcW w:w="19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89"/>
        </w:trPr>
        <w:tc>
          <w:tcPr>
            <w:tcW w:w="90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540" w:type="dxa"/>
            <w:vAlign w:val="bottom"/>
          </w:tcPr>
          <w:p>
            <w:pPr>
              <w:spacing w:after="0"/>
              <w:rPr>
                <w:sz w:val="7"/>
                <w:szCs w:val="7"/>
                <w:color w:val="auto"/>
              </w:rPr>
            </w:pPr>
          </w:p>
        </w:tc>
        <w:tc>
          <w:tcPr>
            <w:tcW w:w="400" w:type="dxa"/>
            <w:vAlign w:val="bottom"/>
          </w:tcPr>
          <w:p>
            <w:pPr>
              <w:spacing w:after="0"/>
              <w:rPr>
                <w:sz w:val="7"/>
                <w:szCs w:val="7"/>
                <w:color w:val="auto"/>
              </w:rPr>
            </w:pPr>
          </w:p>
        </w:tc>
        <w:tc>
          <w:tcPr>
            <w:tcW w:w="180" w:type="dxa"/>
            <w:vAlign w:val="bottom"/>
          </w:tcPr>
          <w:p>
            <w:pPr>
              <w:spacing w:after="0"/>
              <w:rPr>
                <w:sz w:val="7"/>
                <w:szCs w:val="7"/>
                <w:color w:val="auto"/>
              </w:rPr>
            </w:pPr>
          </w:p>
        </w:tc>
        <w:tc>
          <w:tcPr>
            <w:tcW w:w="60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4/4</w:t>
            </w:r>
          </w:p>
        </w:tc>
        <w:tc>
          <w:tcPr>
            <w:tcW w:w="320" w:type="dxa"/>
            <w:vAlign w:val="bottom"/>
          </w:tcPr>
          <w:p>
            <w:pPr>
              <w:spacing w:after="0"/>
              <w:rPr>
                <w:sz w:val="7"/>
                <w:szCs w:val="7"/>
                <w:color w:val="auto"/>
              </w:rPr>
            </w:pPr>
          </w:p>
        </w:tc>
        <w:tc>
          <w:tcPr>
            <w:tcW w:w="3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continue"/>
          </w:tcPr>
          <w:p>
            <w:pPr>
              <w:spacing w:after="0"/>
              <w:rPr>
                <w:sz w:val="7"/>
                <w:szCs w:val="7"/>
                <w:color w:val="auto"/>
              </w:rPr>
            </w:pPr>
          </w:p>
        </w:tc>
        <w:tc>
          <w:tcPr>
            <w:tcW w:w="19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73"/>
        </w:trPr>
        <w:tc>
          <w:tcPr>
            <w:tcW w:w="900" w:type="dxa"/>
            <w:vAlign w:val="bottom"/>
            <w:vMerge w:val="continue"/>
          </w:tcPr>
          <w:p>
            <w:pPr>
              <w:spacing w:after="0"/>
              <w:rPr>
                <w:sz w:val="6"/>
                <w:szCs w:val="6"/>
                <w:color w:val="auto"/>
              </w:rPr>
            </w:pPr>
          </w:p>
        </w:tc>
        <w:tc>
          <w:tcPr>
            <w:tcW w:w="540" w:type="dxa"/>
            <w:vAlign w:val="bottom"/>
          </w:tcPr>
          <w:p>
            <w:pPr>
              <w:spacing w:after="0"/>
              <w:rPr>
                <w:sz w:val="6"/>
                <w:szCs w:val="6"/>
                <w:color w:val="auto"/>
              </w:rPr>
            </w:pPr>
          </w:p>
        </w:tc>
        <w:tc>
          <w:tcPr>
            <w:tcW w:w="400" w:type="dxa"/>
            <w:vAlign w:val="bottom"/>
          </w:tcPr>
          <w:p>
            <w:pPr>
              <w:spacing w:after="0"/>
              <w:rPr>
                <w:sz w:val="6"/>
                <w:szCs w:val="6"/>
                <w:color w:val="auto"/>
              </w:rPr>
            </w:pPr>
          </w:p>
        </w:tc>
        <w:tc>
          <w:tcPr>
            <w:tcW w:w="180" w:type="dxa"/>
            <w:vAlign w:val="bottom"/>
          </w:tcPr>
          <w:p>
            <w:pPr>
              <w:spacing w:after="0"/>
              <w:rPr>
                <w:sz w:val="6"/>
                <w:szCs w:val="6"/>
                <w:color w:val="auto"/>
              </w:rPr>
            </w:pPr>
          </w:p>
        </w:tc>
        <w:tc>
          <w:tcPr>
            <w:tcW w:w="600" w:type="dxa"/>
            <w:vAlign w:val="bottom"/>
            <w:vMerge w:val="continue"/>
          </w:tcPr>
          <w:p>
            <w:pPr>
              <w:spacing w:after="0"/>
              <w:rPr>
                <w:sz w:val="6"/>
                <w:szCs w:val="6"/>
                <w:color w:val="auto"/>
              </w:rPr>
            </w:pPr>
          </w:p>
        </w:tc>
        <w:tc>
          <w:tcPr>
            <w:tcW w:w="320" w:type="dxa"/>
            <w:vAlign w:val="bottom"/>
          </w:tcPr>
          <w:p>
            <w:pPr>
              <w:spacing w:after="0"/>
              <w:rPr>
                <w:sz w:val="6"/>
                <w:szCs w:val="6"/>
                <w:color w:val="auto"/>
              </w:rPr>
            </w:pPr>
          </w:p>
        </w:tc>
        <w:tc>
          <w:tcPr>
            <w:tcW w:w="320" w:type="dxa"/>
            <w:vAlign w:val="bottom"/>
            <w:vMerge w:val="continue"/>
          </w:tcPr>
          <w:p>
            <w:pPr>
              <w:spacing w:after="0"/>
              <w:rPr>
                <w:sz w:val="6"/>
                <w:szCs w:val="6"/>
                <w:color w:val="auto"/>
              </w:rPr>
            </w:pPr>
          </w:p>
        </w:tc>
        <w:tc>
          <w:tcPr>
            <w:tcW w:w="4820" w:type="dxa"/>
            <w:vAlign w:val="bottom"/>
            <w:gridSpan w:val="3"/>
            <w:vMerge w:val="restart"/>
          </w:tcPr>
          <w:p>
            <w:pPr>
              <w:ind w:left="320"/>
              <w:spacing w:after="0"/>
              <w:rPr>
                <w:sz w:val="20"/>
                <w:szCs w:val="20"/>
                <w:color w:val="auto"/>
              </w:rPr>
            </w:pPr>
            <w:r>
              <w:rPr>
                <w:rFonts w:ascii="Times New Roman" w:cs="Times New Roman" w:eastAsia="Times New Roman" w:hAnsi="Times New Roman"/>
                <w:sz w:val="11"/>
                <w:szCs w:val="11"/>
                <w:color w:val="auto"/>
              </w:rPr>
              <w:t>or opportunities and the proposals on how to adequately</w:t>
            </w:r>
          </w:p>
        </w:tc>
        <w:tc>
          <w:tcPr>
            <w:tcW w:w="190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58"/>
        </w:trPr>
        <w:tc>
          <w:tcPr>
            <w:tcW w:w="1840" w:type="dxa"/>
            <w:vAlign w:val="bottom"/>
            <w:gridSpan w:val="3"/>
            <w:vMerge w:val="restart"/>
          </w:tcPr>
          <w:p>
            <w:pPr>
              <w:ind w:left="40"/>
              <w:spacing w:after="0"/>
              <w:rPr>
                <w:sz w:val="20"/>
                <w:szCs w:val="20"/>
                <w:color w:val="auto"/>
              </w:rPr>
            </w:pPr>
            <w:r>
              <w:rPr>
                <w:rFonts w:ascii="Times New Roman" w:cs="Times New Roman" w:eastAsia="Times New Roman" w:hAnsi="Times New Roman"/>
                <w:sz w:val="10"/>
                <w:szCs w:val="10"/>
                <w:color w:val="0D0D0D"/>
              </w:rPr>
              <w:t>Edward Kozel (until 4 April 2023)</w:t>
            </w:r>
          </w:p>
        </w:tc>
        <w:tc>
          <w:tcPr>
            <w:tcW w:w="180" w:type="dxa"/>
            <w:vAlign w:val="bottom"/>
          </w:tcPr>
          <w:p>
            <w:pPr>
              <w:spacing w:after="0"/>
              <w:rPr>
                <w:sz w:val="5"/>
                <w:szCs w:val="5"/>
                <w:color w:val="auto"/>
              </w:rPr>
            </w:pPr>
          </w:p>
        </w:tc>
        <w:tc>
          <w:tcPr>
            <w:tcW w:w="60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1/1</w:t>
            </w:r>
          </w:p>
        </w:tc>
        <w:tc>
          <w:tcPr>
            <w:tcW w:w="320" w:type="dxa"/>
            <w:vAlign w:val="bottom"/>
          </w:tcPr>
          <w:p>
            <w:pPr>
              <w:spacing w:after="0"/>
              <w:rPr>
                <w:sz w:val="5"/>
                <w:szCs w:val="5"/>
                <w:color w:val="auto"/>
              </w:rPr>
            </w:pPr>
          </w:p>
        </w:tc>
        <w:tc>
          <w:tcPr>
            <w:tcW w:w="3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continue"/>
          </w:tcPr>
          <w:p>
            <w:pPr>
              <w:spacing w:after="0"/>
              <w:rPr>
                <w:sz w:val="5"/>
                <w:szCs w:val="5"/>
                <w:color w:val="auto"/>
              </w:rPr>
            </w:pPr>
          </w:p>
        </w:tc>
        <w:tc>
          <w:tcPr>
            <w:tcW w:w="19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135"/>
        </w:trPr>
        <w:tc>
          <w:tcPr>
            <w:tcW w:w="1840" w:type="dxa"/>
            <w:vAlign w:val="bottom"/>
            <w:gridSpan w:val="3"/>
            <w:vMerge w:val="continue"/>
          </w:tcPr>
          <w:p>
            <w:pPr>
              <w:spacing w:after="0"/>
              <w:rPr>
                <w:sz w:val="11"/>
                <w:szCs w:val="11"/>
                <w:color w:val="auto"/>
              </w:rPr>
            </w:pPr>
          </w:p>
        </w:tc>
        <w:tc>
          <w:tcPr>
            <w:tcW w:w="180" w:type="dxa"/>
            <w:vAlign w:val="bottom"/>
          </w:tcPr>
          <w:p>
            <w:pPr>
              <w:spacing w:after="0"/>
              <w:rPr>
                <w:sz w:val="11"/>
                <w:szCs w:val="11"/>
                <w:color w:val="auto"/>
              </w:rPr>
            </w:pPr>
          </w:p>
        </w:tc>
        <w:tc>
          <w:tcPr>
            <w:tcW w:w="600" w:type="dxa"/>
            <w:vAlign w:val="bottom"/>
            <w:vMerge w:val="continue"/>
          </w:tcPr>
          <w:p>
            <w:pPr>
              <w:spacing w:after="0"/>
              <w:rPr>
                <w:sz w:val="11"/>
                <w:szCs w:val="11"/>
                <w:color w:val="auto"/>
              </w:rPr>
            </w:pPr>
          </w:p>
        </w:tc>
        <w:tc>
          <w:tcPr>
            <w:tcW w:w="320" w:type="dxa"/>
            <w:vAlign w:val="bottom"/>
          </w:tcPr>
          <w:p>
            <w:pPr>
              <w:spacing w:after="0"/>
              <w:rPr>
                <w:sz w:val="11"/>
                <w:szCs w:val="11"/>
                <w:color w:val="auto"/>
              </w:rPr>
            </w:pPr>
          </w:p>
        </w:tc>
        <w:tc>
          <w:tcPr>
            <w:tcW w:w="320" w:type="dxa"/>
            <w:vAlign w:val="bottom"/>
            <w:vMerge w:val="continue"/>
          </w:tcPr>
          <w:p>
            <w:pPr>
              <w:spacing w:after="0"/>
              <w:rPr>
                <w:sz w:val="11"/>
                <w:szCs w:val="11"/>
                <w:color w:val="auto"/>
              </w:rPr>
            </w:pPr>
          </w:p>
        </w:tc>
        <w:tc>
          <w:tcPr>
            <w:tcW w:w="108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address them;</w:t>
            </w:r>
          </w:p>
        </w:tc>
        <w:tc>
          <w:tcPr>
            <w:tcW w:w="860" w:type="dxa"/>
            <w:vAlign w:val="bottom"/>
          </w:tcPr>
          <w:p>
            <w:pPr>
              <w:spacing w:after="0"/>
              <w:rPr>
                <w:sz w:val="11"/>
                <w:szCs w:val="11"/>
                <w:color w:val="auto"/>
              </w:rPr>
            </w:pPr>
          </w:p>
        </w:tc>
        <w:tc>
          <w:tcPr>
            <w:tcW w:w="2880" w:type="dxa"/>
            <w:vAlign w:val="bottom"/>
          </w:tcPr>
          <w:p>
            <w:pPr>
              <w:spacing w:after="0"/>
              <w:rPr>
                <w:sz w:val="11"/>
                <w:szCs w:val="11"/>
                <w:color w:val="auto"/>
              </w:rPr>
            </w:pPr>
          </w:p>
        </w:tc>
        <w:tc>
          <w:tcPr>
            <w:tcW w:w="19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5"/>
        </w:trPr>
        <w:tc>
          <w:tcPr>
            <w:tcW w:w="9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540" w:type="dxa"/>
            <w:vAlign w:val="bottom"/>
            <w:tcBorders>
              <w:bottom w:val="single" w:sz="8" w:color="005AFF"/>
            </w:tcBorders>
          </w:tcPr>
          <w:p>
            <w:pPr>
              <w:spacing w:after="0"/>
              <w:rPr>
                <w:sz w:val="11"/>
                <w:szCs w:val="11"/>
                <w:color w:val="auto"/>
              </w:rPr>
            </w:pPr>
          </w:p>
        </w:tc>
        <w:tc>
          <w:tcPr>
            <w:tcW w:w="400" w:type="dxa"/>
            <w:vAlign w:val="bottom"/>
            <w:tcBorders>
              <w:bottom w:val="single" w:sz="8" w:color="005AFF"/>
            </w:tcBorders>
          </w:tcPr>
          <w:p>
            <w:pPr>
              <w:spacing w:after="0"/>
              <w:rPr>
                <w:sz w:val="11"/>
                <w:szCs w:val="11"/>
                <w:color w:val="auto"/>
              </w:rPr>
            </w:pPr>
          </w:p>
        </w:tc>
        <w:tc>
          <w:tcPr>
            <w:tcW w:w="180" w:type="dxa"/>
            <w:vAlign w:val="bottom"/>
            <w:tcBorders>
              <w:bottom w:val="single" w:sz="8" w:color="005AFF"/>
            </w:tcBorders>
          </w:tcPr>
          <w:p>
            <w:pPr>
              <w:spacing w:after="0"/>
              <w:rPr>
                <w:sz w:val="11"/>
                <w:szCs w:val="11"/>
                <w:color w:val="auto"/>
              </w:rPr>
            </w:pPr>
          </w:p>
        </w:tc>
        <w:tc>
          <w:tcPr>
            <w:tcW w:w="60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4/4</w:t>
            </w:r>
          </w:p>
        </w:tc>
        <w:tc>
          <w:tcPr>
            <w:tcW w:w="320" w:type="dxa"/>
            <w:vAlign w:val="bottom"/>
            <w:tcBorders>
              <w:bottom w:val="single" w:sz="8" w:color="005AFF"/>
            </w:tcBorders>
          </w:tcPr>
          <w:p>
            <w:pPr>
              <w:spacing w:after="0"/>
              <w:rPr>
                <w:sz w:val="11"/>
                <w:szCs w:val="11"/>
                <w:color w:val="auto"/>
              </w:rPr>
            </w:pPr>
          </w:p>
        </w:tc>
        <w:tc>
          <w:tcPr>
            <w:tcW w:w="32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482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high-level risks and opportunities associated with the</w:t>
            </w:r>
          </w:p>
        </w:tc>
        <w:tc>
          <w:tcPr>
            <w:tcW w:w="19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73"/>
        </w:trPr>
        <w:tc>
          <w:tcPr>
            <w:tcW w:w="1840" w:type="dxa"/>
            <w:vAlign w:val="bottom"/>
            <w:gridSpan w:val="3"/>
            <w:vMerge w:val="restart"/>
          </w:tcPr>
          <w:p>
            <w:pPr>
              <w:ind w:left="40"/>
              <w:spacing w:after="0"/>
              <w:rPr>
                <w:sz w:val="20"/>
                <w:szCs w:val="20"/>
                <w:color w:val="auto"/>
              </w:rPr>
            </w:pPr>
            <w:r>
              <w:rPr>
                <w:rFonts w:ascii="Times New Roman" w:cs="Times New Roman" w:eastAsia="Times New Roman" w:hAnsi="Times New Roman"/>
                <w:sz w:val="10"/>
                <w:szCs w:val="10"/>
                <w:b w:val="1"/>
                <w:bCs w:val="1"/>
                <w:color w:val="005AFF"/>
              </w:rPr>
              <w:t>Average attendance (%)</w:t>
            </w:r>
          </w:p>
        </w:tc>
        <w:tc>
          <w:tcPr>
            <w:tcW w:w="180" w:type="dxa"/>
            <w:vAlign w:val="bottom"/>
          </w:tcPr>
          <w:p>
            <w:pPr>
              <w:spacing w:after="0"/>
              <w:rPr>
                <w:sz w:val="6"/>
                <w:szCs w:val="6"/>
                <w:color w:val="auto"/>
              </w:rPr>
            </w:pPr>
          </w:p>
        </w:tc>
        <w:tc>
          <w:tcPr>
            <w:tcW w:w="600" w:type="dxa"/>
            <w:vAlign w:val="bottom"/>
          </w:tcPr>
          <w:p>
            <w:pPr>
              <w:spacing w:after="0"/>
              <w:rPr>
                <w:sz w:val="6"/>
                <w:szCs w:val="6"/>
                <w:color w:val="auto"/>
              </w:rPr>
            </w:pPr>
          </w:p>
        </w:tc>
        <w:tc>
          <w:tcPr>
            <w:tcW w:w="320" w:type="dxa"/>
            <w:vAlign w:val="bottom"/>
          </w:tcPr>
          <w:p>
            <w:pPr>
              <w:spacing w:after="0"/>
              <w:rPr>
                <w:sz w:val="6"/>
                <w:szCs w:val="6"/>
                <w:color w:val="auto"/>
              </w:rPr>
            </w:pPr>
          </w:p>
        </w:tc>
        <w:tc>
          <w:tcPr>
            <w:tcW w:w="3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b w:val="1"/>
                <w:bCs w:val="1"/>
                <w:color w:val="005AFF"/>
              </w:rPr>
              <w:t>100</w:t>
            </w:r>
          </w:p>
        </w:tc>
        <w:tc>
          <w:tcPr>
            <w:tcW w:w="4820" w:type="dxa"/>
            <w:vAlign w:val="bottom"/>
            <w:gridSpan w:val="3"/>
            <w:vMerge w:val="continue"/>
          </w:tcPr>
          <w:p>
            <w:pPr>
              <w:spacing w:after="0"/>
              <w:rPr>
                <w:sz w:val="6"/>
                <w:szCs w:val="6"/>
                <w:color w:val="auto"/>
              </w:rPr>
            </w:pPr>
          </w:p>
        </w:tc>
        <w:tc>
          <w:tcPr>
            <w:tcW w:w="190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68"/>
        </w:trPr>
        <w:tc>
          <w:tcPr>
            <w:tcW w:w="1840" w:type="dxa"/>
            <w:vAlign w:val="bottom"/>
            <w:tcBorders>
              <w:bottom w:val="single" w:sz="8" w:color="005AFF"/>
            </w:tcBorders>
            <w:gridSpan w:val="3"/>
            <w:vMerge w:val="continue"/>
          </w:tcPr>
          <w:p>
            <w:pPr>
              <w:spacing w:after="0"/>
              <w:rPr>
                <w:sz w:val="5"/>
                <w:szCs w:val="5"/>
                <w:color w:val="auto"/>
              </w:rPr>
            </w:pPr>
          </w:p>
        </w:tc>
        <w:tc>
          <w:tcPr>
            <w:tcW w:w="180" w:type="dxa"/>
            <w:vAlign w:val="bottom"/>
            <w:tcBorders>
              <w:bottom w:val="single" w:sz="8" w:color="005AFF"/>
            </w:tcBorders>
          </w:tcPr>
          <w:p>
            <w:pPr>
              <w:spacing w:after="0"/>
              <w:rPr>
                <w:sz w:val="5"/>
                <w:szCs w:val="5"/>
                <w:color w:val="auto"/>
              </w:rPr>
            </w:pPr>
          </w:p>
        </w:tc>
        <w:tc>
          <w:tcPr>
            <w:tcW w:w="600" w:type="dxa"/>
            <w:vAlign w:val="bottom"/>
            <w:tcBorders>
              <w:bottom w:val="single" w:sz="8" w:color="005AFF"/>
            </w:tcBorders>
          </w:tcPr>
          <w:p>
            <w:pPr>
              <w:spacing w:after="0"/>
              <w:rPr>
                <w:sz w:val="5"/>
                <w:szCs w:val="5"/>
                <w:color w:val="auto"/>
              </w:rPr>
            </w:pPr>
          </w:p>
        </w:tc>
        <w:tc>
          <w:tcPr>
            <w:tcW w:w="320" w:type="dxa"/>
            <w:vAlign w:val="bottom"/>
            <w:tcBorders>
              <w:bottom w:val="single" w:sz="8" w:color="005AFF"/>
            </w:tcBorders>
          </w:tcPr>
          <w:p>
            <w:pPr>
              <w:spacing w:after="0"/>
              <w:rPr>
                <w:sz w:val="5"/>
                <w:szCs w:val="5"/>
                <w:color w:val="auto"/>
              </w:rPr>
            </w:pPr>
          </w:p>
        </w:tc>
        <w:tc>
          <w:tcPr>
            <w:tcW w:w="320" w:type="dxa"/>
            <w:vAlign w:val="bottom"/>
            <w:tcBorders>
              <w:bottom w:val="single" w:sz="8" w:color="005AFF"/>
            </w:tcBorders>
            <w:vMerge w:val="continue"/>
          </w:tcPr>
          <w:p>
            <w:pPr>
              <w:spacing w:after="0"/>
              <w:rPr>
                <w:sz w:val="5"/>
                <w:szCs w:val="5"/>
                <w:color w:val="auto"/>
              </w:rPr>
            </w:pPr>
          </w:p>
        </w:tc>
        <w:tc>
          <w:tcPr>
            <w:tcW w:w="4820" w:type="dxa"/>
            <w:vAlign w:val="bottom"/>
            <w:gridSpan w:val="3"/>
            <w:vMerge w:val="restart"/>
          </w:tcPr>
          <w:p>
            <w:pPr>
              <w:ind w:left="320"/>
              <w:spacing w:after="0"/>
              <w:rPr>
                <w:sz w:val="20"/>
                <w:szCs w:val="20"/>
                <w:color w:val="auto"/>
              </w:rPr>
            </w:pPr>
            <w:r>
              <w:rPr>
                <w:rFonts w:ascii="Times New Roman" w:cs="Times New Roman" w:eastAsia="Times New Roman" w:hAnsi="Times New Roman"/>
                <w:sz w:val="11"/>
                <w:szCs w:val="11"/>
                <w:color w:val="auto"/>
              </w:rPr>
              <w:t>Company’s Research and Development Programs;</w:t>
            </w:r>
          </w:p>
        </w:tc>
        <w:tc>
          <w:tcPr>
            <w:tcW w:w="19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60"/>
        </w:trPr>
        <w:tc>
          <w:tcPr>
            <w:tcW w:w="2940" w:type="dxa"/>
            <w:vAlign w:val="bottom"/>
            <w:gridSpan w:val="6"/>
            <w:vMerge w:val="restart"/>
          </w:tcPr>
          <w:p>
            <w:pPr>
              <w:spacing w:after="0"/>
              <w:rPr>
                <w:sz w:val="20"/>
                <w:szCs w:val="20"/>
                <w:color w:val="auto"/>
              </w:rPr>
            </w:pPr>
            <w:r>
              <w:rPr>
                <w:rFonts w:ascii="Times New Roman" w:cs="Times New Roman" w:eastAsia="Times New Roman" w:hAnsi="Times New Roman"/>
                <w:sz w:val="11"/>
                <w:szCs w:val="11"/>
                <w:color w:val="auto"/>
              </w:rPr>
              <w:t>The Committee consists of a minimum of three members of</w:t>
            </w:r>
          </w:p>
        </w:tc>
        <w:tc>
          <w:tcPr>
            <w:tcW w:w="320" w:type="dxa"/>
            <w:vAlign w:val="bottom"/>
          </w:tcPr>
          <w:p>
            <w:pPr>
              <w:spacing w:after="0"/>
              <w:rPr>
                <w:sz w:val="5"/>
                <w:szCs w:val="5"/>
                <w:color w:val="auto"/>
              </w:rPr>
            </w:pPr>
          </w:p>
        </w:tc>
        <w:tc>
          <w:tcPr>
            <w:tcW w:w="4820" w:type="dxa"/>
            <w:vAlign w:val="bottom"/>
            <w:gridSpan w:val="3"/>
            <w:vMerge w:val="continue"/>
          </w:tcPr>
          <w:p>
            <w:pPr>
              <w:spacing w:after="0"/>
              <w:rPr>
                <w:sz w:val="5"/>
                <w:szCs w:val="5"/>
                <w:color w:val="auto"/>
              </w:rPr>
            </w:pPr>
          </w:p>
        </w:tc>
        <w:tc>
          <w:tcPr>
            <w:tcW w:w="19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186"/>
        </w:trPr>
        <w:tc>
          <w:tcPr>
            <w:tcW w:w="2940" w:type="dxa"/>
            <w:vAlign w:val="bottom"/>
            <w:gridSpan w:val="6"/>
            <w:vMerge w:val="continue"/>
          </w:tcPr>
          <w:p>
            <w:pPr>
              <w:spacing w:after="0"/>
              <w:rPr>
                <w:sz w:val="16"/>
                <w:szCs w:val="16"/>
                <w:color w:val="auto"/>
              </w:rPr>
            </w:pPr>
          </w:p>
        </w:tc>
        <w:tc>
          <w:tcPr>
            <w:tcW w:w="320" w:type="dxa"/>
            <w:vAlign w:val="bottom"/>
          </w:tcPr>
          <w:p>
            <w:pPr>
              <w:spacing w:after="0"/>
              <w:rPr>
                <w:sz w:val="16"/>
                <w:szCs w:val="16"/>
                <w:color w:val="auto"/>
              </w:rPr>
            </w:pPr>
          </w:p>
        </w:tc>
        <w:tc>
          <w:tcPr>
            <w:tcW w:w="482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embedding sustainability in the technology roadmaps; and</w:t>
            </w:r>
          </w:p>
        </w:tc>
        <w:tc>
          <w:tcPr>
            <w:tcW w:w="1900" w:type="dxa"/>
            <w:vAlign w:val="bottom"/>
          </w:tcPr>
          <w:p>
            <w:pPr>
              <w:spacing w:after="0"/>
              <w:rPr>
                <w:sz w:val="16"/>
                <w:szCs w:val="16"/>
                <w:color w:val="auto"/>
              </w:rPr>
            </w:pPr>
          </w:p>
        </w:tc>
        <w:tc>
          <w:tcPr>
            <w:tcW w:w="0" w:type="dxa"/>
            <w:vAlign w:val="bottom"/>
          </w:tcPr>
          <w:p>
            <w:pPr>
              <w:spacing w:after="0"/>
              <w:rPr>
                <w:sz w:val="1"/>
                <w:szCs w:val="1"/>
                <w:color w:val="auto"/>
              </w:rPr>
            </w:pPr>
          </w:p>
        </w:tc>
      </w:tr>
      <w:tr>
        <w:trPr>
          <w:trHeight w:val="113"/>
        </w:trPr>
        <w:tc>
          <w:tcPr>
            <w:tcW w:w="2940" w:type="dxa"/>
            <w:vAlign w:val="bottom"/>
            <w:gridSpan w:val="6"/>
          </w:tcPr>
          <w:p>
            <w:pPr>
              <w:spacing w:after="0" w:line="113" w:lineRule="exact"/>
              <w:rPr>
                <w:sz w:val="20"/>
                <w:szCs w:val="20"/>
                <w:color w:val="auto"/>
              </w:rPr>
            </w:pPr>
            <w:r>
              <w:rPr>
                <w:rFonts w:ascii="Times New Roman" w:cs="Times New Roman" w:eastAsia="Times New Roman" w:hAnsi="Times New Roman"/>
                <w:sz w:val="11"/>
                <w:szCs w:val="11"/>
                <w:color w:val="auto"/>
              </w:rPr>
              <w:t>the Board who meet applicable independence requirements as</w:t>
            </w:r>
          </w:p>
        </w:tc>
        <w:tc>
          <w:tcPr>
            <w:tcW w:w="320" w:type="dxa"/>
            <w:vAlign w:val="bottom"/>
          </w:tcPr>
          <w:p>
            <w:pPr>
              <w:spacing w:after="0"/>
              <w:rPr>
                <w:sz w:val="9"/>
                <w:szCs w:val="9"/>
                <w:color w:val="auto"/>
              </w:rPr>
            </w:pPr>
          </w:p>
        </w:tc>
        <w:tc>
          <w:tcPr>
            <w:tcW w:w="1080" w:type="dxa"/>
            <w:vAlign w:val="bottom"/>
          </w:tcPr>
          <w:p>
            <w:pPr>
              <w:spacing w:after="0"/>
              <w:rPr>
                <w:sz w:val="9"/>
                <w:szCs w:val="9"/>
                <w:color w:val="auto"/>
              </w:rPr>
            </w:pPr>
          </w:p>
        </w:tc>
        <w:tc>
          <w:tcPr>
            <w:tcW w:w="860" w:type="dxa"/>
            <w:vAlign w:val="bottom"/>
          </w:tcPr>
          <w:p>
            <w:pPr>
              <w:spacing w:after="0"/>
              <w:rPr>
                <w:sz w:val="9"/>
                <w:szCs w:val="9"/>
                <w:color w:val="auto"/>
              </w:rPr>
            </w:pPr>
          </w:p>
        </w:tc>
        <w:tc>
          <w:tcPr>
            <w:tcW w:w="2880" w:type="dxa"/>
            <w:vAlign w:val="bottom"/>
          </w:tcPr>
          <w:p>
            <w:pPr>
              <w:spacing w:after="0"/>
              <w:rPr>
                <w:sz w:val="9"/>
                <w:szCs w:val="9"/>
                <w:color w:val="auto"/>
              </w:rPr>
            </w:pPr>
          </w:p>
        </w:tc>
        <w:tc>
          <w:tcPr>
            <w:tcW w:w="1900" w:type="dxa"/>
            <w:vAlign w:val="bottom"/>
          </w:tcPr>
          <w:p>
            <w:pPr>
              <w:spacing w:after="0"/>
              <w:rPr>
                <w:sz w:val="9"/>
                <w:szCs w:val="9"/>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9"/>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stipulated by Finnish law, the Finnish Corporate Governance</w:t>
            </w:r>
          </w:p>
        </w:tc>
        <w:tc>
          <w:tcPr>
            <w:tcW w:w="2880" w:type="dxa"/>
            <w:vAlign w:val="bottom"/>
          </w:tcPr>
          <w:p>
            <w:pPr>
              <w:ind w:left="280"/>
              <w:spacing w:after="0" w:line="120" w:lineRule="exact"/>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the processes and management related to the</w:t>
            </w:r>
          </w:p>
        </w:tc>
        <w:tc>
          <w:tcPr>
            <w:tcW w:w="0" w:type="dxa"/>
            <w:vAlign w:val="bottom"/>
          </w:tcPr>
          <w:p>
            <w:pPr>
              <w:spacing w:after="0"/>
              <w:rPr>
                <w:sz w:val="1"/>
                <w:szCs w:val="1"/>
                <w:color w:val="auto"/>
              </w:rPr>
            </w:pPr>
          </w:p>
        </w:tc>
      </w:tr>
      <w:tr>
        <w:trPr>
          <w:trHeight w:val="51"/>
        </w:trPr>
        <w:tc>
          <w:tcPr>
            <w:tcW w:w="3140" w:type="dxa"/>
            <w:vAlign w:val="bottom"/>
            <w:vMerge w:val="continue"/>
          </w:tcPr>
          <w:p>
            <w:pPr>
              <w:spacing w:after="0"/>
              <w:rPr>
                <w:sz w:val="4"/>
                <w:szCs w:val="4"/>
                <w:color w:val="auto"/>
              </w:rPr>
            </w:pPr>
          </w:p>
        </w:tc>
        <w:tc>
          <w:tcPr>
            <w:tcW w:w="2880" w:type="dxa"/>
            <w:vAlign w:val="bottom"/>
            <w:vMerge w:val="restart"/>
          </w:tcPr>
          <w:p>
            <w:pPr>
              <w:ind w:left="440"/>
              <w:spacing w:after="0"/>
              <w:rPr>
                <w:sz w:val="20"/>
                <w:szCs w:val="20"/>
                <w:color w:val="auto"/>
              </w:rPr>
            </w:pPr>
            <w:r>
              <w:rPr>
                <w:rFonts w:ascii="Times New Roman" w:cs="Times New Roman" w:eastAsia="Times New Roman" w:hAnsi="Times New Roman"/>
                <w:sz w:val="11"/>
                <w:szCs w:val="11"/>
                <w:color w:val="auto"/>
              </w:rPr>
              <w:t>cybersecurity of the Company, including product and</w:t>
            </w:r>
          </w:p>
        </w:tc>
        <w:tc>
          <w:tcPr>
            <w:tcW w:w="0" w:type="dxa"/>
            <w:vAlign w:val="bottom"/>
          </w:tcPr>
          <w:p>
            <w:pPr>
              <w:spacing w:after="0"/>
              <w:rPr>
                <w:sz w:val="1"/>
                <w:szCs w:val="1"/>
                <w:color w:val="auto"/>
              </w:rPr>
            </w:pPr>
          </w:p>
        </w:tc>
      </w:tr>
      <w:tr>
        <w:trPr>
          <w:trHeight w:val="9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Code and the rules of the NYSE and have such skills in</w:t>
            </w:r>
          </w:p>
        </w:tc>
        <w:tc>
          <w:tcPr>
            <w:tcW w:w="288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140" w:type="dxa"/>
            <w:vAlign w:val="bottom"/>
            <w:vMerge w:val="continue"/>
          </w:tcPr>
          <w:p>
            <w:pPr>
              <w:spacing w:after="0"/>
              <w:rPr>
                <w:sz w:val="3"/>
                <w:szCs w:val="3"/>
                <w:color w:val="auto"/>
              </w:rPr>
            </w:pPr>
          </w:p>
        </w:tc>
        <w:tc>
          <w:tcPr>
            <w:tcW w:w="2880" w:type="dxa"/>
            <w:vAlign w:val="bottom"/>
            <w:vMerge w:val="restart"/>
          </w:tcPr>
          <w:p>
            <w:pPr>
              <w:ind w:left="440"/>
              <w:spacing w:after="0"/>
              <w:rPr>
                <w:sz w:val="20"/>
                <w:szCs w:val="20"/>
                <w:color w:val="auto"/>
              </w:rPr>
            </w:pPr>
            <w:r>
              <w:rPr>
                <w:rFonts w:ascii="Times New Roman" w:cs="Times New Roman" w:eastAsia="Times New Roman" w:hAnsi="Times New Roman"/>
                <w:sz w:val="11"/>
                <w:szCs w:val="11"/>
                <w:color w:val="auto"/>
              </w:rPr>
              <w:t>customer security.</w:t>
            </w:r>
          </w:p>
        </w:tc>
        <w:tc>
          <w:tcPr>
            <w:tcW w:w="0" w:type="dxa"/>
            <w:vAlign w:val="bottom"/>
          </w:tcPr>
          <w:p>
            <w:pPr>
              <w:spacing w:after="0"/>
              <w:rPr>
                <w:sz w:val="1"/>
                <w:szCs w:val="1"/>
                <w:color w:val="auto"/>
              </w:rPr>
            </w:pPr>
          </w:p>
        </w:tc>
      </w:tr>
      <w:tr>
        <w:trPr>
          <w:trHeight w:val="108"/>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innovation, technology and science matters as the Board</w:t>
            </w:r>
          </w:p>
        </w:tc>
        <w:tc>
          <w:tcPr>
            <w:tcW w:w="2880" w:type="dxa"/>
            <w:vAlign w:val="bottom"/>
            <w:vMerge w:val="continue"/>
          </w:tcPr>
          <w:p>
            <w:pPr>
              <w:spacing w:after="0"/>
              <w:rPr>
                <w:sz w:val="9"/>
                <w:szCs w:val="9"/>
                <w:color w:val="auto"/>
              </w:rPr>
            </w:pPr>
          </w:p>
        </w:tc>
        <w:tc>
          <w:tcPr>
            <w:tcW w:w="0" w:type="dxa"/>
            <w:vAlign w:val="bottom"/>
          </w:tcPr>
          <w:p>
            <w:pPr>
              <w:spacing w:after="0"/>
              <w:rPr>
                <w:sz w:val="1"/>
                <w:szCs w:val="1"/>
                <w:color w:val="auto"/>
              </w:rPr>
            </w:pPr>
          </w:p>
        </w:tc>
      </w:tr>
      <w:tr>
        <w:trPr>
          <w:trHeight w:val="34"/>
        </w:trPr>
        <w:tc>
          <w:tcPr>
            <w:tcW w:w="3140" w:type="dxa"/>
            <w:vAlign w:val="bottom"/>
            <w:vMerge w:val="continue"/>
          </w:tcPr>
          <w:p>
            <w:pPr>
              <w:spacing w:after="0"/>
              <w:rPr>
                <w:sz w:val="2"/>
                <w:szCs w:val="2"/>
                <w:color w:val="auto"/>
              </w:rPr>
            </w:pPr>
          </w:p>
        </w:tc>
        <w:tc>
          <w:tcPr>
            <w:tcW w:w="2880" w:type="dxa"/>
            <w:vAlign w:val="bottom"/>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determines adequate from time to time. As of 4 April 2023,</w:t>
            </w:r>
          </w:p>
        </w:tc>
        <w:tc>
          <w:tcPr>
            <w:tcW w:w="28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the Technology Committee has consisted of the following five</w:t>
            </w:r>
          </w:p>
        </w:tc>
        <w:tc>
          <w:tcPr>
            <w:tcW w:w="28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members of the Board: Kai Öistämö (Chair), Timo Ahopelto,</w:t>
            </w:r>
          </w:p>
        </w:tc>
        <w:tc>
          <w:tcPr>
            <w:tcW w:w="28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Sari Baldauf, Jeanette Horan and Thomas Saueressig.</w:t>
            </w:r>
          </w:p>
        </w:tc>
        <w:tc>
          <w:tcPr>
            <w:tcW w:w="288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56" w:name="page57"/>
    <w:bookmarkEnd w:id="56"/>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49</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40"/>
          </w:cols>
          <w:pgMar w:left="960" w:top="409" w:right="89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Group Leadership Team and the President and CEO</w:t>
      </w:r>
    </w:p>
    <w:p>
      <w:pPr>
        <w:spacing w:after="0" w:line="32" w:lineRule="exact"/>
        <w:rPr>
          <w:sz w:val="20"/>
          <w:szCs w:val="20"/>
          <w:color w:val="auto"/>
        </w:rPr>
      </w:pPr>
    </w:p>
    <w:p>
      <w:pPr>
        <w:ind w:right="180"/>
        <w:spacing w:after="0" w:line="274" w:lineRule="auto"/>
        <w:rPr>
          <w:sz w:val="20"/>
          <w:szCs w:val="20"/>
          <w:color w:val="auto"/>
        </w:rPr>
      </w:pPr>
      <w:r>
        <w:rPr>
          <w:rFonts w:ascii="Times New Roman" w:cs="Times New Roman" w:eastAsia="Times New Roman" w:hAnsi="Times New Roman"/>
          <w:sz w:val="11"/>
          <w:szCs w:val="11"/>
          <w:color w:val="auto"/>
        </w:rPr>
        <w:t>The Group Leadership Team is responsible for the operative management of Nokia. The Group Leadership Team is chaired by the President and CEO. The President and CEO’s rights and responsibilities include those allotted to the President under Finnish law.</w:t>
      </w:r>
    </w:p>
    <w:p>
      <w:pPr>
        <w:spacing w:after="0" w:line="47" w:lineRule="exact"/>
        <w:rPr>
          <w:sz w:val="20"/>
          <w:szCs w:val="20"/>
          <w:color w:val="auto"/>
        </w:rPr>
      </w:pPr>
    </w:p>
    <w:p>
      <w:pPr>
        <w:ind w:right="160"/>
        <w:spacing w:after="0" w:line="289" w:lineRule="auto"/>
        <w:rPr>
          <w:sz w:val="20"/>
          <w:szCs w:val="20"/>
          <w:color w:val="auto"/>
        </w:rPr>
      </w:pPr>
      <w:r>
        <w:rPr>
          <w:rFonts w:ascii="Times New Roman" w:cs="Times New Roman" w:eastAsia="Times New Roman" w:hAnsi="Times New Roman"/>
          <w:sz w:val="11"/>
          <w:szCs w:val="11"/>
          <w:color w:val="auto"/>
        </w:rPr>
        <w:t xml:space="preserve">During 2023, the Group Leadership Team was complemented with the appointment of </w:t>
      </w:r>
      <w:r>
        <w:rPr>
          <w:rFonts w:ascii="Times New Roman" w:cs="Times New Roman" w:eastAsia="Times New Roman" w:hAnsi="Times New Roman"/>
          <w:sz w:val="11"/>
          <w:szCs w:val="11"/>
          <w:color w:val="auto"/>
          <w:highlight w:val="white"/>
        </w:rPr>
        <w:t>Esa Niinimäki, Chief Legal Officer,</w:t>
      </w: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11"/>
          <w:szCs w:val="11"/>
          <w:color w:val="auto"/>
          <w:highlight w:val="white"/>
        </w:rPr>
        <w:t>effective as of 25 January 2023.</w:t>
      </w:r>
    </w:p>
    <w:p>
      <w:pPr>
        <w:spacing w:after="0" w:line="39" w:lineRule="exact"/>
        <w:rPr>
          <w:sz w:val="20"/>
          <w:szCs w:val="20"/>
          <w:color w:val="auto"/>
        </w:rPr>
      </w:pPr>
    </w:p>
    <w:p>
      <w:pPr>
        <w:ind w:right="120"/>
        <w:spacing w:after="0" w:line="275" w:lineRule="auto"/>
        <w:rPr>
          <w:sz w:val="20"/>
          <w:szCs w:val="20"/>
          <w:color w:val="auto"/>
        </w:rPr>
      </w:pPr>
      <w:r>
        <w:rPr>
          <w:rFonts w:ascii="Times New Roman" w:cs="Times New Roman" w:eastAsia="Times New Roman" w:hAnsi="Times New Roman"/>
          <w:sz w:val="11"/>
          <w:szCs w:val="11"/>
          <w:color w:val="auto"/>
        </w:rPr>
        <w:t>On 31 December 2023 , the Group Leadership Team consisted of 11 members, including the President and CEO, representing six different nationalities. In total 27% of the Group Leadership Team members were female.</w:t>
      </w:r>
    </w:p>
    <w:p>
      <w:pPr>
        <w:spacing w:after="0" w:line="57"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In addition to biographical information of the Group Leadership Team members, the table on the right sets forth the number of</w:t>
      </w:r>
    </w:p>
    <w:p>
      <w:pPr>
        <w:spacing w:after="0" w:line="259" w:lineRule="auto"/>
        <w:rPr>
          <w:sz w:val="20"/>
          <w:szCs w:val="20"/>
          <w:color w:val="auto"/>
        </w:rPr>
      </w:pPr>
      <w:r>
        <w:rPr>
          <w:rFonts w:ascii="Times New Roman" w:cs="Times New Roman" w:eastAsia="Times New Roman" w:hAnsi="Times New Roman"/>
          <w:sz w:val="11"/>
          <w:szCs w:val="11"/>
          <w:color w:val="auto"/>
        </w:rPr>
        <w:t>shares held by the members as at 31 December 2023 , a total of 4 239 962 Nokia shares. These holdings represented</w:t>
      </w:r>
    </w:p>
    <w:p>
      <w:pPr>
        <w:jc w:val="both"/>
        <w:ind w:right="380"/>
        <w:spacing w:after="0" w:line="271" w:lineRule="auto"/>
        <w:rPr>
          <w:sz w:val="20"/>
          <w:szCs w:val="20"/>
          <w:color w:val="auto"/>
        </w:rPr>
      </w:pPr>
      <w:r>
        <w:rPr>
          <w:rFonts w:ascii="Times New Roman" w:cs="Times New Roman" w:eastAsia="Times New Roman" w:hAnsi="Times New Roman"/>
          <w:sz w:val="11"/>
          <w:szCs w:val="11"/>
          <w:color w:val="auto"/>
        </w:rPr>
        <w:t>approximately 0.08% of our total shares and voting rights excluding shares held by the Nokia Group. The number of shares includes shares received as compensation as well as shares acquired through other means.</w:t>
      </w:r>
    </w:p>
    <w:p>
      <w:pPr>
        <w:spacing w:after="0" w:line="49" w:lineRule="exact"/>
        <w:rPr>
          <w:sz w:val="20"/>
          <w:szCs w:val="20"/>
          <w:color w:val="auto"/>
        </w:rPr>
      </w:pPr>
    </w:p>
    <w:p>
      <w:pPr>
        <w:ind w:right="100"/>
        <w:spacing w:after="0" w:line="276" w:lineRule="auto"/>
        <w:rPr>
          <w:sz w:val="20"/>
          <w:szCs w:val="20"/>
          <w:color w:val="auto"/>
        </w:rPr>
      </w:pPr>
      <w:r>
        <w:rPr>
          <w:rFonts w:ascii="Times New Roman" w:cs="Times New Roman" w:eastAsia="Times New Roman" w:hAnsi="Times New Roman"/>
          <w:sz w:val="11"/>
          <w:szCs w:val="11"/>
          <w:color w:val="auto"/>
        </w:rPr>
        <w:t>At 31 December 2023 , no American Depositary Shares (ADS) were held by the Group Leadership Team members. Stock options or other equity awards that are deemed as being beneficially owned under the applicable SEC rules are not included in the table.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43"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9"/>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Name</w:t>
            </w:r>
          </w:p>
        </w:tc>
        <w:tc>
          <w:tcPr>
            <w:tcW w:w="210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8"/>
                <w:szCs w:val="8"/>
                <w:b w:val="1"/>
                <w:bCs w:val="1"/>
                <w:color w:val="005AFF"/>
              </w:rPr>
              <w:t>Position</w:t>
            </w:r>
          </w:p>
        </w:tc>
        <w:tc>
          <w:tcPr>
            <w:tcW w:w="660" w:type="dxa"/>
            <w:vAlign w:val="bottom"/>
            <w:tcBorders>
              <w:bottom w:val="single" w:sz="8" w:color="005AFF"/>
            </w:tcBorders>
          </w:tcPr>
          <w:p>
            <w:pPr>
              <w:ind w:left="320"/>
              <w:spacing w:after="0"/>
              <w:rPr>
                <w:sz w:val="20"/>
                <w:szCs w:val="20"/>
                <w:color w:val="auto"/>
              </w:rPr>
            </w:pPr>
            <w:r>
              <w:rPr>
                <w:rFonts w:ascii="Times New Roman" w:cs="Times New Roman" w:eastAsia="Times New Roman" w:hAnsi="Times New Roman"/>
                <w:sz w:val="8"/>
                <w:szCs w:val="8"/>
                <w:b w:val="1"/>
                <w:bCs w:val="1"/>
                <w:color w:val="005AFF"/>
              </w:rPr>
              <w:t>Gender</w:t>
            </w:r>
          </w:p>
        </w:tc>
        <w:tc>
          <w:tcPr>
            <w:tcW w:w="60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8"/>
                <w:szCs w:val="8"/>
                <w:b w:val="1"/>
                <w:bCs w:val="1"/>
                <w:color w:val="005AFF"/>
              </w:rPr>
              <w:t>Year of birth</w:t>
            </w:r>
          </w:p>
        </w:tc>
        <w:tc>
          <w:tcPr>
            <w:tcW w:w="8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Nationality</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On GLT since</w:t>
            </w:r>
          </w:p>
        </w:tc>
        <w:tc>
          <w:tcPr>
            <w:tcW w:w="6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Shares</w:t>
            </w:r>
          </w:p>
        </w:tc>
      </w:tr>
      <w:tr>
        <w:trPr>
          <w:trHeight w:val="135"/>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Pekka Lundmark</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President and CEO</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1963</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Finnish</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2020</w:t>
            </w:r>
          </w:p>
        </w:tc>
        <w:tc>
          <w:tcPr>
            <w:tcW w:w="60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1 473 060</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Nishant Batra</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Chief Strategy and Technology Officer</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1978</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Indian</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2021</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484 473</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Ricky Corker</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Chief Customer Experience Officer</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1967</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Australian</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2019</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437 199</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Federico Guillén</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President of Network Infrastructure</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1963</w:t>
            </w:r>
          </w:p>
        </w:tc>
        <w:tc>
          <w:tcPr>
            <w:tcW w:w="86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Spanish</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2016</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453 764</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Amy Hanlon-Rodemich</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Chief People Officer</w:t>
            </w:r>
          </w:p>
        </w:tc>
        <w:tc>
          <w:tcPr>
            <w:tcW w:w="6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Female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1972</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American</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2022</w:t>
            </w:r>
          </w:p>
        </w:tc>
        <w:tc>
          <w:tcPr>
            <w:tcW w:w="6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Jenni Lukander</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President of Nokia Technologies</w:t>
            </w:r>
          </w:p>
        </w:tc>
        <w:tc>
          <w:tcPr>
            <w:tcW w:w="6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Female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1974</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Finnish</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2019</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102 297</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Esa Niinimäki</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Chief Legal Officer</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1976</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Finnish</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2023</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33 588</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Raghav Sahgal</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President of Cloud and Network Services</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1962</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American</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2020</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569 659</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Melissa Schoeb</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Chief Corporate Affairs Officer</w:t>
            </w:r>
          </w:p>
        </w:tc>
        <w:tc>
          <w:tcPr>
            <w:tcW w:w="6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Female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1968</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American</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2021</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161 367</w:t>
            </w:r>
          </w:p>
        </w:tc>
      </w:tr>
      <w:tr>
        <w:trPr>
          <w:trHeight w:val="16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Tommi Uitto</w:t>
            </w:r>
          </w:p>
        </w:tc>
        <w:tc>
          <w:tcPr>
            <w:tcW w:w="210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President of Mobile Networks</w:t>
            </w:r>
          </w:p>
        </w:tc>
        <w:tc>
          <w:tcPr>
            <w:tcW w:w="66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1969</w:t>
            </w:r>
          </w:p>
        </w:tc>
        <w:tc>
          <w:tcPr>
            <w:tcW w:w="8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Finnish</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2019</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246 945</w:t>
            </w:r>
          </w:p>
        </w:tc>
      </w:tr>
      <w:tr>
        <w:trPr>
          <w:trHeight w:val="167"/>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Marco Wirén</w:t>
            </w:r>
          </w:p>
        </w:tc>
        <w:tc>
          <w:tcPr>
            <w:tcW w:w="210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10"/>
                <w:szCs w:val="10"/>
                <w:color w:val="0D0D0D"/>
              </w:rPr>
              <w:t>Chief Financial Officer</w:t>
            </w:r>
          </w:p>
        </w:tc>
        <w:tc>
          <w:tcPr>
            <w:tcW w:w="660" w:type="dxa"/>
            <w:vAlign w:val="bottom"/>
            <w:tcBorders>
              <w:bottom w:val="single" w:sz="8" w:color="005AFF"/>
            </w:tcBorders>
          </w:tcPr>
          <w:p>
            <w:pPr>
              <w:ind w:left="380"/>
              <w:spacing w:after="0"/>
              <w:rPr>
                <w:sz w:val="20"/>
                <w:szCs w:val="20"/>
                <w:color w:val="auto"/>
              </w:rPr>
            </w:pPr>
            <w:r>
              <w:rPr>
                <w:rFonts w:ascii="Times New Roman" w:cs="Times New Roman" w:eastAsia="Times New Roman" w:hAnsi="Times New Roman"/>
                <w:sz w:val="10"/>
                <w:szCs w:val="10"/>
                <w:color w:val="0D0D0D"/>
              </w:rPr>
              <w:t>Male</w:t>
            </w:r>
          </w:p>
        </w:tc>
        <w:tc>
          <w:tcPr>
            <w:tcW w:w="6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1966</w:t>
            </w:r>
          </w:p>
        </w:tc>
        <w:tc>
          <w:tcPr>
            <w:tcW w:w="8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Finnish/Swedish</w:t>
            </w:r>
          </w:p>
        </w:tc>
        <w:tc>
          <w:tcPr>
            <w:tcW w:w="6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2020</w:t>
            </w:r>
          </w:p>
        </w:tc>
        <w:tc>
          <w:tcPr>
            <w:tcW w:w="60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color w:val="0D0D0D"/>
              </w:rPr>
              <w:t>277 610</w:t>
            </w:r>
          </w:p>
        </w:tc>
      </w:tr>
    </w:tbl>
    <w:p>
      <w:pPr>
        <w:sectPr>
          <w:pgSz w:w="11900" w:h="16838" w:orient="portrait"/>
          <w:cols w:equalWidth="0" w:num="2">
            <w:col w:w="3080" w:space="320"/>
            <w:col w:w="6640"/>
          </w:cols>
          <w:pgMar w:left="960" w:top="409" w:right="899" w:bottom="1440" w:gutter="0" w:footer="0" w:header="0"/>
          <w:type w:val="continuous"/>
        </w:sectPr>
      </w:pPr>
    </w:p>
    <w:bookmarkStart w:id="57" w:name="page58"/>
    <w:bookmarkEnd w:id="57"/>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50</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80" w:type="dxa"/>
            <w:vAlign w:val="bottom"/>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0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80" w:type="dxa"/>
            <w:vAlign w:val="bottom"/>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700" w:type="dxa"/>
            <w:vAlign w:val="bottom"/>
          </w:tcPr>
          <w:p>
            <w:pPr>
              <w:spacing w:after="0"/>
              <w:rPr>
                <w:sz w:val="24"/>
                <w:szCs w:val="24"/>
                <w:color w:val="auto"/>
              </w:rPr>
            </w:pPr>
          </w:p>
        </w:tc>
        <w:tc>
          <w:tcPr>
            <w:tcW w:w="20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Biographical details of the current members of the Nokia Group Leadership Team</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9" w:lineRule="exact"/>
        <w:rPr>
          <w:sz w:val="20"/>
          <w:szCs w:val="20"/>
          <w:color w:val="auto"/>
        </w:rPr>
      </w:pPr>
    </w:p>
    <w:p>
      <w:pPr>
        <w:ind w:left="40"/>
        <w:spacing w:after="0"/>
        <w:tabs>
          <w:tab w:leader="none" w:pos="2060" w:val="left"/>
          <w:tab w:leader="none" w:pos="4100" w:val="left"/>
          <w:tab w:leader="none" w:pos="6140" w:val="left"/>
        </w:tabs>
        <w:rPr>
          <w:sz w:val="20"/>
          <w:szCs w:val="20"/>
          <w:color w:val="auto"/>
        </w:rPr>
      </w:pPr>
      <w:r>
        <w:rPr>
          <w:rFonts w:ascii="Times New Roman" w:cs="Times New Roman" w:eastAsia="Times New Roman" w:hAnsi="Times New Roman"/>
          <w:sz w:val="11"/>
          <w:szCs w:val="11"/>
          <w:b w:val="1"/>
          <w:bCs w:val="1"/>
          <w:color w:val="005AFF"/>
        </w:rPr>
        <w:t>Pekka Lundmark</w:t>
      </w:r>
      <w:r>
        <w:rPr>
          <w:sz w:val="20"/>
          <w:szCs w:val="20"/>
          <w:color w:val="auto"/>
        </w:rPr>
        <w:tab/>
      </w:r>
      <w:r>
        <w:rPr>
          <w:rFonts w:ascii="Times New Roman" w:cs="Times New Roman" w:eastAsia="Times New Roman" w:hAnsi="Times New Roman"/>
          <w:sz w:val="11"/>
          <w:szCs w:val="11"/>
          <w:b w:val="1"/>
          <w:bCs w:val="1"/>
          <w:color w:val="005AFF"/>
        </w:rPr>
        <w:t>Nishant Batra</w:t>
      </w:r>
      <w:r>
        <w:rPr>
          <w:sz w:val="20"/>
          <w:szCs w:val="20"/>
          <w:color w:val="auto"/>
        </w:rPr>
        <w:tab/>
      </w:r>
      <w:r>
        <w:rPr>
          <w:rFonts w:ascii="Times New Roman" w:cs="Times New Roman" w:eastAsia="Times New Roman" w:hAnsi="Times New Roman"/>
          <w:sz w:val="11"/>
          <w:szCs w:val="11"/>
          <w:b w:val="1"/>
          <w:bCs w:val="1"/>
          <w:color w:val="005AFF"/>
        </w:rPr>
        <w:t>Ricky Corker</w:t>
      </w:r>
      <w:r>
        <w:rPr>
          <w:sz w:val="20"/>
          <w:szCs w:val="20"/>
          <w:color w:val="auto"/>
        </w:rPr>
        <w:tab/>
      </w:r>
      <w:r>
        <w:rPr>
          <w:rFonts w:ascii="Times New Roman" w:cs="Times New Roman" w:eastAsia="Times New Roman" w:hAnsi="Times New Roman"/>
          <w:sz w:val="11"/>
          <w:szCs w:val="11"/>
          <w:b w:val="1"/>
          <w:bCs w:val="1"/>
          <w:color w:val="005AFF"/>
        </w:rPr>
        <w:t>Federico Guillén</w:t>
      </w:r>
    </w:p>
    <w:p>
      <w:pPr>
        <w:spacing w:after="0" w:line="45" w:lineRule="exact"/>
        <w:rPr>
          <w:sz w:val="20"/>
          <w:szCs w:val="20"/>
          <w:color w:val="auto"/>
        </w:rPr>
      </w:pPr>
    </w:p>
    <w:p>
      <w:pPr>
        <w:ind w:left="40"/>
        <w:spacing w:after="0"/>
        <w:tabs>
          <w:tab w:leader="none" w:pos="2060" w:val="left"/>
          <w:tab w:leader="none" w:pos="4100" w:val="left"/>
          <w:tab w:leader="none" w:pos="6140" w:val="left"/>
        </w:tabs>
        <w:rPr>
          <w:sz w:val="20"/>
          <w:szCs w:val="20"/>
          <w:color w:val="auto"/>
        </w:rPr>
      </w:pPr>
      <w:r>
        <w:rPr>
          <w:rFonts w:ascii="Times New Roman" w:cs="Times New Roman" w:eastAsia="Times New Roman" w:hAnsi="Times New Roman"/>
          <w:sz w:val="11"/>
          <w:szCs w:val="11"/>
          <w:b w:val="1"/>
          <w:bCs w:val="1"/>
          <w:color w:val="auto"/>
        </w:rPr>
        <w:t>b. 1963</w:t>
      </w:r>
      <w:r>
        <w:rPr>
          <w:sz w:val="20"/>
          <w:szCs w:val="20"/>
          <w:color w:val="auto"/>
        </w:rPr>
        <w:tab/>
      </w:r>
      <w:r>
        <w:rPr>
          <w:rFonts w:ascii="Times New Roman" w:cs="Times New Roman" w:eastAsia="Times New Roman" w:hAnsi="Times New Roman"/>
          <w:sz w:val="11"/>
          <w:szCs w:val="11"/>
          <w:b w:val="1"/>
          <w:bCs w:val="1"/>
          <w:color w:val="auto"/>
        </w:rPr>
        <w:t>b. 1978</w:t>
      </w:r>
      <w:r>
        <w:rPr>
          <w:sz w:val="20"/>
          <w:szCs w:val="20"/>
          <w:color w:val="auto"/>
        </w:rPr>
        <w:tab/>
      </w:r>
      <w:r>
        <w:rPr>
          <w:rFonts w:ascii="Times New Roman" w:cs="Times New Roman" w:eastAsia="Times New Roman" w:hAnsi="Times New Roman"/>
          <w:sz w:val="11"/>
          <w:szCs w:val="11"/>
          <w:b w:val="1"/>
          <w:bCs w:val="1"/>
          <w:color w:val="auto"/>
        </w:rPr>
        <w:t>b. 1967</w:t>
      </w:r>
      <w:r>
        <w:rPr>
          <w:sz w:val="20"/>
          <w:szCs w:val="20"/>
          <w:color w:val="auto"/>
        </w:rPr>
        <w:tab/>
      </w:r>
      <w:r>
        <w:rPr>
          <w:rFonts w:ascii="Times New Roman" w:cs="Times New Roman" w:eastAsia="Times New Roman" w:hAnsi="Times New Roman"/>
          <w:sz w:val="11"/>
          <w:szCs w:val="11"/>
          <w:b w:val="1"/>
          <w:bCs w:val="1"/>
          <w:color w:val="auto"/>
        </w:rPr>
        <w:t>b. 1963</w:t>
      </w:r>
    </w:p>
    <w:p>
      <w:pPr>
        <w:sectPr>
          <w:pgSz w:w="11900" w:h="16838" w:orient="portrait"/>
          <w:cols w:equalWidth="0" w:num="1">
            <w:col w:w="9980"/>
          </w:cols>
          <w:pgMar w:left="960" w:top="409" w:right="959" w:bottom="1440" w:gutter="0" w:footer="0" w:header="0"/>
        </w:sectPr>
      </w:pPr>
    </w:p>
    <w:p>
      <w:pPr>
        <w:spacing w:after="0" w:line="169" w:lineRule="exact"/>
        <w:rPr>
          <w:sz w:val="20"/>
          <w:szCs w:val="20"/>
          <w:color w:val="auto"/>
        </w:rPr>
      </w:pPr>
    </w:p>
    <w:p>
      <w:pPr>
        <w:ind w:right="240"/>
        <w:spacing w:after="0" w:line="263" w:lineRule="auto"/>
        <w:rPr>
          <w:sz w:val="20"/>
          <w:szCs w:val="20"/>
          <w:color w:val="auto"/>
        </w:rPr>
      </w:pPr>
      <w:r>
        <w:rPr>
          <w:rFonts w:ascii="Times New Roman" w:cs="Times New Roman" w:eastAsia="Times New Roman" w:hAnsi="Times New Roman"/>
          <w:sz w:val="11"/>
          <w:szCs w:val="11"/>
          <w:color w:val="auto"/>
        </w:rPr>
        <w:t xml:space="preserve">Pres </w:t>
      </w:r>
      <w:r>
        <w:rPr>
          <w:rFonts w:ascii="Times New Roman" w:cs="Times New Roman" w:eastAsia="Times New Roman" w:hAnsi="Times New Roman"/>
          <w:sz w:val="10"/>
          <w:szCs w:val="10"/>
          <w:color w:val="auto"/>
        </w:rPr>
        <w:t>ident and Chief Executive Officer</w:t>
      </w: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10"/>
          <w:szCs w:val="10"/>
          <w:color w:val="auto"/>
        </w:rPr>
        <w:t>(CEO) since 2020. Rejoined Nokia in 2020.</w:t>
      </w:r>
    </w:p>
    <w:p>
      <w:pPr>
        <w:spacing w:after="0" w:line="60"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0"/>
          <w:szCs w:val="10"/>
          <w:color w:val="auto"/>
        </w:rPr>
        <w:t>Master’s degree in Information Systems, Department of Technical Physics, Helsinki University of Technology, Finland.</w:t>
      </w:r>
    </w:p>
    <w:p>
      <w:pPr>
        <w:spacing w:after="0" w:line="38" w:lineRule="exact"/>
        <w:rPr>
          <w:sz w:val="20"/>
          <w:szCs w:val="20"/>
          <w:color w:val="auto"/>
        </w:rPr>
      </w:pPr>
    </w:p>
    <w:p>
      <w:pPr>
        <w:ind w:right="320"/>
        <w:spacing w:after="0" w:line="257" w:lineRule="auto"/>
        <w:rPr>
          <w:sz w:val="20"/>
          <w:szCs w:val="20"/>
          <w:color w:val="auto"/>
        </w:rPr>
      </w:pPr>
      <w:r>
        <w:rPr>
          <w:rFonts w:ascii="Times New Roman" w:cs="Times New Roman" w:eastAsia="Times New Roman" w:hAnsi="Times New Roman"/>
          <w:sz w:val="10"/>
          <w:szCs w:val="10"/>
          <w:color w:val="auto"/>
        </w:rPr>
        <w:t>President and CEO, Fortum Corporation, 2015–2020. President and CEO, Konecranes Plc, 2005–2015 and Group Executive Vice President 2004–2005. President and CEO, Hackman Oyj, 2002– 2004. Managing Partner, Startupfactory 2000–2002. Various executive positions at Nokia 1990–2000.</w:t>
      </w:r>
    </w:p>
    <w:p>
      <w:pPr>
        <w:spacing w:after="0" w:line="36" w:lineRule="exact"/>
        <w:rPr>
          <w:sz w:val="20"/>
          <w:szCs w:val="20"/>
          <w:color w:val="auto"/>
        </w:rPr>
      </w:pPr>
    </w:p>
    <w:p>
      <w:pPr>
        <w:ind w:right="260"/>
        <w:spacing w:after="0" w:line="256" w:lineRule="auto"/>
        <w:rPr>
          <w:sz w:val="20"/>
          <w:szCs w:val="20"/>
          <w:color w:val="auto"/>
        </w:rPr>
      </w:pPr>
      <w:r>
        <w:rPr>
          <w:rFonts w:ascii="Times New Roman" w:cs="Times New Roman" w:eastAsia="Times New Roman" w:hAnsi="Times New Roman"/>
          <w:sz w:val="10"/>
          <w:szCs w:val="10"/>
          <w:color w:val="auto"/>
        </w:rPr>
        <w:t>Commissioner, Broadband Commission for Sustainable Development. Member of the Board, Research Institute of the Finnish Economy (ETLA) and Finnish Business and Policy Forum (EVA). International Member of the Royal Swedish Academy of Engineering Sciences (IVA). Member of the Board, Finnish Athletics Federation. Member of the European Round Table for Industry. Member of The Business Council (the United States).</w:t>
      </w:r>
    </w:p>
    <w:p>
      <w:pPr>
        <w:spacing w:after="0" w:line="158" w:lineRule="exact"/>
        <w:rPr>
          <w:sz w:val="20"/>
          <w:szCs w:val="20"/>
          <w:color w:val="auto"/>
        </w:rPr>
      </w:pPr>
    </w:p>
    <w:p>
      <w:pPr>
        <w:ind w:right="340"/>
        <w:spacing w:after="0" w:line="261" w:lineRule="auto"/>
        <w:rPr>
          <w:sz w:val="20"/>
          <w:szCs w:val="20"/>
          <w:color w:val="auto"/>
        </w:rPr>
      </w:pPr>
      <w:r>
        <w:rPr>
          <w:rFonts w:ascii="Times New Roman" w:cs="Times New Roman" w:eastAsia="Times New Roman" w:hAnsi="Times New Roman"/>
          <w:sz w:val="10"/>
          <w:szCs w:val="10"/>
          <w:color w:val="auto"/>
        </w:rPr>
        <w:t>Chairman of the Board, Confederation of Finnish Industries 2019–2020. Member of the Board, East Office of Finnish Industries 2009–2020. Chairman of the Board, Finnish Energy 2016–2018.</w:t>
      </w:r>
    </w:p>
    <w:p>
      <w:pPr>
        <w:spacing w:after="0" w:line="200" w:lineRule="exact"/>
        <w:rPr>
          <w:sz w:val="20"/>
          <w:szCs w:val="20"/>
          <w:color w:val="auto"/>
        </w:rPr>
      </w:pPr>
    </w:p>
    <w:p>
      <w:pPr>
        <w:spacing w:after="0" w:line="200" w:lineRule="exact"/>
        <w:rPr>
          <w:sz w:val="20"/>
          <w:szCs w:val="20"/>
          <w:color w:val="auto"/>
        </w:rPr>
      </w:pPr>
    </w:p>
    <w:p>
      <w:pPr>
        <w:spacing w:after="0" w:line="34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53"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0"/>
          <w:szCs w:val="10"/>
          <w:color w:val="auto"/>
        </w:rPr>
        <w:t>Chief Strategy and Technology Officer (CSTO). Group Leadership Team member since 2021. Joined Nokia in 2021.</w:t>
      </w:r>
    </w:p>
    <w:p>
      <w:pPr>
        <w:spacing w:after="0" w:line="28" w:lineRule="exact"/>
        <w:rPr>
          <w:sz w:val="20"/>
          <w:szCs w:val="20"/>
          <w:color w:val="auto"/>
        </w:rPr>
      </w:pPr>
    </w:p>
    <w:p>
      <w:pPr>
        <w:ind w:right="20"/>
        <w:spacing w:after="0" w:line="258" w:lineRule="auto"/>
        <w:rPr>
          <w:sz w:val="20"/>
          <w:szCs w:val="20"/>
          <w:color w:val="auto"/>
        </w:rPr>
      </w:pPr>
      <w:r>
        <w:rPr>
          <w:rFonts w:ascii="Times New Roman" w:cs="Times New Roman" w:eastAsia="Times New Roman" w:hAnsi="Times New Roman"/>
          <w:sz w:val="10"/>
          <w:szCs w:val="10"/>
          <w:color w:val="auto"/>
        </w:rPr>
        <w:t>MBA from INSEAD. Master’s degrees in Telecommunications and in Computer Science, Southern Methodist University, Dallas, the United States. Bachelor’s degree in Computer Applications, Devi Ahilya University, Indore, Madhya Pradesh, India.</w:t>
      </w:r>
    </w:p>
    <w:p>
      <w:pPr>
        <w:spacing w:after="0" w:line="35" w:lineRule="exact"/>
        <w:rPr>
          <w:sz w:val="20"/>
          <w:szCs w:val="20"/>
          <w:color w:val="auto"/>
        </w:rPr>
      </w:pPr>
    </w:p>
    <w:p>
      <w:pPr>
        <w:ind w:right="100"/>
        <w:spacing w:after="0" w:line="296" w:lineRule="auto"/>
        <w:rPr>
          <w:sz w:val="20"/>
          <w:szCs w:val="20"/>
          <w:color w:val="auto"/>
        </w:rPr>
      </w:pPr>
      <w:r>
        <w:rPr>
          <w:rFonts w:ascii="Times New Roman" w:cs="Times New Roman" w:eastAsia="Times New Roman" w:hAnsi="Times New Roman"/>
          <w:sz w:val="9"/>
          <w:szCs w:val="9"/>
          <w:color w:val="auto"/>
        </w:rPr>
        <w:t>Executive Vice President and Chief Technology Officer, Veoneer Inc. 2018– 2021. Prior to Veoneer Inc. held several senior positions at Ericsson 2006–2018 in the United States, Sweden and India.</w:t>
      </w:r>
    </w:p>
    <w:p>
      <w:pPr>
        <w:spacing w:after="0" w:line="29"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Chair of the Board of ReOrbit Oy.</w:t>
      </w:r>
    </w:p>
    <w:p>
      <w:pPr>
        <w:spacing w:after="0" w:line="57" w:lineRule="exact"/>
        <w:rPr>
          <w:sz w:val="20"/>
          <w:szCs w:val="20"/>
          <w:color w:val="auto"/>
        </w:rPr>
      </w:pPr>
    </w:p>
    <w:p>
      <w:pPr>
        <w:ind w:right="220"/>
        <w:spacing w:after="0" w:line="284" w:lineRule="auto"/>
        <w:rPr>
          <w:sz w:val="20"/>
          <w:szCs w:val="20"/>
          <w:color w:val="auto"/>
        </w:rPr>
      </w:pPr>
      <w:r>
        <w:rPr>
          <w:rFonts w:ascii="Times New Roman" w:cs="Times New Roman" w:eastAsia="Times New Roman" w:hAnsi="Times New Roman"/>
          <w:sz w:val="10"/>
          <w:szCs w:val="10"/>
          <w:color w:val="auto"/>
        </w:rPr>
        <w:t>Member of the Board of Directors of Sensys Gatso Group 2020–2022.</w:t>
      </w:r>
    </w:p>
    <w:p>
      <w:pPr>
        <w:spacing w:after="0" w:line="20" w:lineRule="exact"/>
        <w:rPr>
          <w:sz w:val="20"/>
          <w:szCs w:val="20"/>
          <w:color w:val="auto"/>
        </w:rPr>
      </w:pPr>
      <w:r>
        <w:rPr>
          <w:sz w:val="20"/>
          <w:szCs w:val="20"/>
          <w:color w:val="auto"/>
        </w:rPr>
        <w:br w:type="column"/>
      </w:r>
    </w:p>
    <w:p>
      <w:pPr>
        <w:spacing w:after="0" w:line="112" w:lineRule="exact"/>
        <w:rPr>
          <w:sz w:val="20"/>
          <w:szCs w:val="20"/>
          <w:color w:val="auto"/>
        </w:rPr>
      </w:pPr>
    </w:p>
    <w:p>
      <w:pPr>
        <w:ind w:right="20"/>
        <w:spacing w:after="0" w:line="269" w:lineRule="auto"/>
        <w:rPr>
          <w:sz w:val="20"/>
          <w:szCs w:val="20"/>
          <w:color w:val="auto"/>
        </w:rPr>
      </w:pPr>
      <w:r>
        <w:rPr>
          <w:rFonts w:ascii="Times New Roman" w:cs="Times New Roman" w:eastAsia="Times New Roman" w:hAnsi="Times New Roman"/>
          <w:sz w:val="10"/>
          <w:szCs w:val="10"/>
          <w:color w:val="auto"/>
        </w:rPr>
        <w:t>Chief Customer Experience Officer (CCXO). Group Leadership Team member since 2019. Joined Nokia in 1993.</w:t>
      </w:r>
    </w:p>
    <w:p>
      <w:pPr>
        <w:spacing w:after="0" w:line="18" w:lineRule="exact"/>
        <w:rPr>
          <w:sz w:val="20"/>
          <w:szCs w:val="20"/>
          <w:color w:val="auto"/>
        </w:rPr>
      </w:pPr>
    </w:p>
    <w:p>
      <w:pPr>
        <w:ind w:right="180"/>
        <w:spacing w:after="0" w:line="263" w:lineRule="auto"/>
        <w:rPr>
          <w:sz w:val="20"/>
          <w:szCs w:val="20"/>
          <w:color w:val="auto"/>
        </w:rPr>
      </w:pPr>
      <w:r>
        <w:rPr>
          <w:rFonts w:ascii="Times New Roman" w:cs="Times New Roman" w:eastAsia="Times New Roman" w:hAnsi="Times New Roman"/>
          <w:sz w:val="10"/>
          <w:szCs w:val="10"/>
          <w:color w:val="auto"/>
        </w:rPr>
        <w:t>Bachelor in Communications and Electronic Engineering from the Royal Melbourne Institute of Technology, Australia.</w:t>
      </w:r>
    </w:p>
    <w:p>
      <w:pPr>
        <w:spacing w:after="0" w:line="32" w:lineRule="exact"/>
        <w:rPr>
          <w:sz w:val="20"/>
          <w:szCs w:val="20"/>
          <w:color w:val="auto"/>
        </w:rPr>
      </w:pPr>
    </w:p>
    <w:p>
      <w:pPr>
        <w:spacing w:after="0" w:line="254" w:lineRule="auto"/>
        <w:rPr>
          <w:sz w:val="20"/>
          <w:szCs w:val="20"/>
          <w:color w:val="auto"/>
        </w:rPr>
      </w:pPr>
      <w:r>
        <w:rPr>
          <w:rFonts w:ascii="Times New Roman" w:cs="Times New Roman" w:eastAsia="Times New Roman" w:hAnsi="Times New Roman"/>
          <w:sz w:val="10"/>
          <w:szCs w:val="10"/>
          <w:color w:val="auto"/>
        </w:rPr>
        <w:t>Heading the global Customer Experience organization 2021–2023. President of Customer Operations, Americas, Nokia 2019–2020. Executive Vice President and President of North America, Nokia 2011– 2018. Head of Asia Pacific, Nokia Siemens Networks 2009–2011. Head of Asia North Region, Nokia Siemens Networks 2008– 2009. Head of Hutchison Global Customer Business Team, Nokia Siemens Networks 2007–2008. Vice President Asia Pacific, Nokia Networks 2005–2007. Lead Sales Director Asia Pacific, Nokia Networks 2004–2005. Account Director Telstra, Nokia Networks 2002–2003. Account Director Vodafone Australia and New Zealand, and Sales Director Vodafone Asia Pacific Customer Business Team, Nokia Networks 2001–2002. Commercial Director Global Accounts British Telecom, Nokia Networks 2001. Senior sales and marketing positions at Nokia 1993–2001.</w:t>
      </w:r>
    </w:p>
    <w:p>
      <w:pPr>
        <w:spacing w:after="0" w:line="20" w:lineRule="exact"/>
        <w:rPr>
          <w:sz w:val="20"/>
          <w:szCs w:val="20"/>
          <w:color w:val="auto"/>
        </w:rPr>
      </w:pPr>
      <w:r>
        <w:rPr>
          <w:sz w:val="20"/>
          <w:szCs w:val="20"/>
          <w:color w:val="auto"/>
        </w:rPr>
        <w:br w:type="column"/>
      </w:r>
    </w:p>
    <w:p>
      <w:pPr>
        <w:spacing w:after="0" w:line="153"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of Network Infrastructure.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Group Leadership Team member since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2016. Joined Nokia in 2016.</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Degree in Telecommunications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Engineering, ETSIT at Universidad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Politécnica de Madrid, Spain. Master’s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degree in Switching &amp; Communication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Architectures, ETSIT at Universidad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Politécnica de Madrid, Spain. Master’s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Degree in International Management,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ESC Lyon and Alcatel, France.</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of Customer Operations,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Europe, Middle East &amp; Africa and Asia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Pacific, Nokia 2018–2020. President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Fixed Networks, Nokia 2016–2018.</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of Fixed Networks, Alcatel-</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Lucent 2013–2016. President and Chief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Senior Officer of Alcatel-Lucent Spain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Global Account Manager Telefónica,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Alcatel-Lucent 2009–2013.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Sales of Vertical Market Sales in Western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Europe, Alcatel-Lucent 2009. Head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Regional Support Center, Fixed Access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Division for South Europe, Middle East &amp;</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Africa, India and Caribbean &amp; Latin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America, Alcatel-Lucent 2007–2009.</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and Chief Senior Officer, Alcatel</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Mexico and Global Account Manager,</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Telmex 2003–2007. Various R&amp;D,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portfolio and sales management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positions with Telettra in Spain,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and with Alcatel in Spain, Belgium</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and the United States 1989–2003.</w:t>
      </w:r>
    </w:p>
    <w:p>
      <w:pPr>
        <w:sectPr>
          <w:pgSz w:w="11900" w:h="16838" w:orient="portrait"/>
          <w:cols w:equalWidth="0" w:num="4">
            <w:col w:w="2020" w:space="20"/>
            <w:col w:w="1720" w:space="320"/>
            <w:col w:w="1760" w:space="280"/>
            <w:col w:w="3860"/>
          </w:cols>
          <w:pgMar w:left="960" w:top="409" w:right="959" w:bottom="1440" w:gutter="0" w:footer="0" w:header="0"/>
          <w:type w:val="continuous"/>
        </w:sectPr>
      </w:pPr>
    </w:p>
    <w:bookmarkStart w:id="58" w:name="page59"/>
    <w:bookmarkEnd w:id="58"/>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4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auto"/>
              </w:rPr>
              <w:t>Operating and financial</w:t>
            </w:r>
          </w:p>
        </w:tc>
        <w:tc>
          <w:tcPr>
            <w:tcW w:w="96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Financial</w:t>
            </w:r>
          </w:p>
        </w:tc>
        <w:tc>
          <w:tcPr>
            <w:tcW w:w="920" w:type="dxa"/>
            <w:vAlign w:val="bottom"/>
            <w:gridSpan w:val="2"/>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3860" w:type="dxa"/>
            <w:vAlign w:val="bottom"/>
            <w:gridSpan w:val="2"/>
            <w:vMerge w:val="restart"/>
          </w:tcPr>
          <w:p>
            <w:pPr>
              <w:jc w:val="right"/>
              <w:spacing w:after="0"/>
              <w:rPr>
                <w:sz w:val="20"/>
                <w:szCs w:val="20"/>
                <w:color w:val="auto"/>
              </w:rPr>
            </w:pPr>
            <w:r>
              <w:rPr>
                <w:rFonts w:ascii="Times New Roman" w:cs="Times New Roman" w:eastAsia="Times New Roman" w:hAnsi="Times New Roman"/>
                <w:sz w:val="12"/>
                <w:szCs w:val="12"/>
                <w:color w:val="auto"/>
              </w:rPr>
              <w:t>51</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4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auto"/>
              </w:rPr>
              <w:t>review and prospects</w:t>
            </w:r>
          </w:p>
        </w:tc>
        <w:tc>
          <w:tcPr>
            <w:tcW w:w="96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statements</w:t>
            </w:r>
          </w:p>
        </w:tc>
        <w:tc>
          <w:tcPr>
            <w:tcW w:w="920" w:type="dxa"/>
            <w:vAlign w:val="bottom"/>
            <w:gridSpan w:val="2"/>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386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40" w:type="dxa"/>
            <w:vAlign w:val="bottom"/>
          </w:tcPr>
          <w:p>
            <w:pPr>
              <w:spacing w:after="0"/>
              <w:rPr>
                <w:sz w:val="3"/>
                <w:szCs w:val="3"/>
                <w:color w:val="auto"/>
              </w:rPr>
            </w:pPr>
          </w:p>
        </w:tc>
        <w:tc>
          <w:tcPr>
            <w:tcW w:w="1240" w:type="dxa"/>
            <w:vAlign w:val="bottom"/>
            <w:gridSpan w:val="2"/>
          </w:tcPr>
          <w:p>
            <w:pPr>
              <w:spacing w:after="0"/>
              <w:rPr>
                <w:sz w:val="3"/>
                <w:szCs w:val="3"/>
                <w:color w:val="auto"/>
              </w:rPr>
            </w:pPr>
          </w:p>
        </w:tc>
        <w:tc>
          <w:tcPr>
            <w:tcW w:w="820" w:type="dxa"/>
            <w:vAlign w:val="bottom"/>
          </w:tcPr>
          <w:p>
            <w:pPr>
              <w:spacing w:after="0"/>
              <w:rPr>
                <w:sz w:val="3"/>
                <w:szCs w:val="3"/>
                <w:color w:val="auto"/>
              </w:rPr>
            </w:pPr>
          </w:p>
        </w:tc>
        <w:tc>
          <w:tcPr>
            <w:tcW w:w="140" w:type="dxa"/>
            <w:vAlign w:val="bottom"/>
          </w:tcPr>
          <w:p>
            <w:pPr>
              <w:spacing w:after="0"/>
              <w:rPr>
                <w:sz w:val="3"/>
                <w:szCs w:val="3"/>
                <w:color w:val="auto"/>
              </w:rPr>
            </w:pPr>
          </w:p>
        </w:tc>
        <w:tc>
          <w:tcPr>
            <w:tcW w:w="1120" w:type="dxa"/>
            <w:vAlign w:val="bottom"/>
          </w:tcPr>
          <w:p>
            <w:pPr>
              <w:spacing w:after="0"/>
              <w:rPr>
                <w:sz w:val="3"/>
                <w:szCs w:val="3"/>
                <w:color w:val="auto"/>
              </w:rPr>
            </w:pPr>
          </w:p>
        </w:tc>
        <w:tc>
          <w:tcPr>
            <w:tcW w:w="780" w:type="dxa"/>
            <w:vAlign w:val="bottom"/>
          </w:tcPr>
          <w:p>
            <w:pPr>
              <w:spacing w:after="0"/>
              <w:rPr>
                <w:sz w:val="3"/>
                <w:szCs w:val="3"/>
                <w:color w:val="auto"/>
              </w:rPr>
            </w:pPr>
          </w:p>
        </w:tc>
        <w:tc>
          <w:tcPr>
            <w:tcW w:w="140" w:type="dxa"/>
            <w:vAlign w:val="bottom"/>
          </w:tcPr>
          <w:p>
            <w:pPr>
              <w:spacing w:after="0"/>
              <w:rPr>
                <w:sz w:val="3"/>
                <w:szCs w:val="3"/>
                <w:color w:val="auto"/>
              </w:rPr>
            </w:pPr>
          </w:p>
        </w:tc>
        <w:tc>
          <w:tcPr>
            <w:tcW w:w="1900" w:type="dxa"/>
            <w:vAlign w:val="bottom"/>
          </w:tcPr>
          <w:p>
            <w:pPr>
              <w:spacing w:after="0"/>
              <w:rPr>
                <w:sz w:val="3"/>
                <w:szCs w:val="3"/>
                <w:color w:val="auto"/>
              </w:rPr>
            </w:pPr>
          </w:p>
        </w:tc>
        <w:tc>
          <w:tcPr>
            <w:tcW w:w="196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8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40" w:type="dxa"/>
            <w:vAlign w:val="bottom"/>
            <w:gridSpan w:val="2"/>
          </w:tcPr>
          <w:p>
            <w:pPr>
              <w:ind w:left="40"/>
              <w:spacing w:after="0"/>
              <w:rPr>
                <w:sz w:val="20"/>
                <w:szCs w:val="20"/>
                <w:color w:val="auto"/>
              </w:rPr>
            </w:pPr>
            <w:r>
              <w:rPr>
                <w:rFonts w:ascii="Times New Roman" w:cs="Times New Roman" w:eastAsia="Times New Roman" w:hAnsi="Times New Roman"/>
                <w:sz w:val="13"/>
                <w:szCs w:val="13"/>
                <w:color w:val="005AFF"/>
              </w:rPr>
              <w:t>continued</w:t>
            </w:r>
          </w:p>
        </w:tc>
        <w:tc>
          <w:tcPr>
            <w:tcW w:w="82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1120" w:type="dxa"/>
            <w:vAlign w:val="bottom"/>
          </w:tcPr>
          <w:p>
            <w:pPr>
              <w:spacing w:after="0"/>
              <w:rPr>
                <w:sz w:val="24"/>
                <w:szCs w:val="24"/>
                <w:color w:val="auto"/>
              </w:rPr>
            </w:pPr>
          </w:p>
        </w:tc>
        <w:tc>
          <w:tcPr>
            <w:tcW w:w="78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1900" w:type="dxa"/>
            <w:vAlign w:val="bottom"/>
          </w:tcPr>
          <w:p>
            <w:pPr>
              <w:spacing w:after="0"/>
              <w:rPr>
                <w:sz w:val="24"/>
                <w:szCs w:val="24"/>
                <w:color w:val="auto"/>
              </w:rPr>
            </w:pPr>
          </w:p>
        </w:tc>
        <w:tc>
          <w:tcPr>
            <w:tcW w:w="19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57"/>
        </w:trPr>
        <w:tc>
          <w:tcPr>
            <w:tcW w:w="4080" w:type="dxa"/>
            <w:vAlign w:val="bottom"/>
            <w:gridSpan w:val="7"/>
          </w:tcPr>
          <w:p>
            <w:pPr>
              <w:spacing w:after="0"/>
              <w:rPr>
                <w:sz w:val="20"/>
                <w:szCs w:val="20"/>
                <w:color w:val="auto"/>
              </w:rPr>
            </w:pPr>
            <w:r>
              <w:rPr>
                <w:rFonts w:ascii="Times New Roman" w:cs="Times New Roman" w:eastAsia="Times New Roman" w:hAnsi="Times New Roman"/>
                <w:sz w:val="11"/>
                <w:szCs w:val="11"/>
                <w:b w:val="1"/>
                <w:bCs w:val="1"/>
                <w:color w:val="auto"/>
              </w:rPr>
              <w:t>Biographical details of the current members of the Nokia Group Leadership Team</w:t>
            </w:r>
          </w:p>
        </w:tc>
        <w:tc>
          <w:tcPr>
            <w:tcW w:w="1120" w:type="dxa"/>
            <w:vAlign w:val="bottom"/>
          </w:tcPr>
          <w:p>
            <w:pPr>
              <w:ind w:left="220"/>
              <w:spacing w:after="0"/>
              <w:rPr>
                <w:sz w:val="20"/>
                <w:szCs w:val="20"/>
                <w:color w:val="auto"/>
              </w:rPr>
            </w:pPr>
            <w:r>
              <w:rPr>
                <w:rFonts w:ascii="Times New Roman" w:cs="Times New Roman" w:eastAsia="Times New Roman" w:hAnsi="Times New Roman"/>
                <w:sz w:val="11"/>
                <w:szCs w:val="11"/>
                <w:color w:val="auto"/>
              </w:rPr>
              <w:t>continued</w:t>
            </w:r>
          </w:p>
        </w:tc>
        <w:tc>
          <w:tcPr>
            <w:tcW w:w="78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1900" w:type="dxa"/>
            <w:vAlign w:val="bottom"/>
          </w:tcPr>
          <w:p>
            <w:pPr>
              <w:spacing w:after="0"/>
              <w:rPr>
                <w:sz w:val="24"/>
                <w:szCs w:val="24"/>
                <w:color w:val="auto"/>
              </w:rPr>
            </w:pPr>
          </w:p>
        </w:tc>
        <w:tc>
          <w:tcPr>
            <w:tcW w:w="19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0"/>
        </w:trPr>
        <w:tc>
          <w:tcPr>
            <w:tcW w:w="900" w:type="dxa"/>
            <w:vAlign w:val="bottom"/>
            <w:shd w:val="clear" w:color="auto" w:fill="005AFF"/>
          </w:tcPr>
          <w:p>
            <w:pPr>
              <w:spacing w:after="0" w:line="20" w:lineRule="exact"/>
              <w:rPr>
                <w:sz w:val="1"/>
                <w:szCs w:val="1"/>
                <w:color w:val="auto"/>
              </w:rPr>
            </w:pPr>
          </w:p>
        </w:tc>
        <w:tc>
          <w:tcPr>
            <w:tcW w:w="540" w:type="dxa"/>
            <w:vAlign w:val="bottom"/>
            <w:shd w:val="clear" w:color="auto" w:fill="005AFF"/>
          </w:tcPr>
          <w:p>
            <w:pPr>
              <w:spacing w:after="0" w:line="20" w:lineRule="exact"/>
              <w:rPr>
                <w:sz w:val="1"/>
                <w:szCs w:val="1"/>
                <w:color w:val="auto"/>
              </w:rPr>
            </w:pPr>
          </w:p>
        </w:tc>
        <w:tc>
          <w:tcPr>
            <w:tcW w:w="440" w:type="dxa"/>
            <w:vAlign w:val="bottom"/>
            <w:shd w:val="clear" w:color="auto" w:fill="005AFF"/>
          </w:tcPr>
          <w:p>
            <w:pPr>
              <w:spacing w:after="0" w:line="20" w:lineRule="exact"/>
              <w:rPr>
                <w:sz w:val="1"/>
                <w:szCs w:val="1"/>
                <w:color w:val="auto"/>
              </w:rPr>
            </w:pPr>
          </w:p>
        </w:tc>
        <w:tc>
          <w:tcPr>
            <w:tcW w:w="160" w:type="dxa"/>
            <w:vAlign w:val="bottom"/>
          </w:tcPr>
          <w:p>
            <w:pPr>
              <w:spacing w:after="0" w:line="20" w:lineRule="exact"/>
              <w:rPr>
                <w:sz w:val="1"/>
                <w:szCs w:val="1"/>
                <w:color w:val="auto"/>
              </w:rPr>
            </w:pPr>
          </w:p>
        </w:tc>
        <w:tc>
          <w:tcPr>
            <w:tcW w:w="1080" w:type="dxa"/>
            <w:vAlign w:val="bottom"/>
            <w:shd w:val="clear" w:color="auto" w:fill="005AFF"/>
          </w:tcPr>
          <w:p>
            <w:pPr>
              <w:spacing w:after="0" w:line="20" w:lineRule="exact"/>
              <w:rPr>
                <w:sz w:val="1"/>
                <w:szCs w:val="1"/>
                <w:color w:val="auto"/>
              </w:rPr>
            </w:pPr>
          </w:p>
        </w:tc>
        <w:tc>
          <w:tcPr>
            <w:tcW w:w="820" w:type="dxa"/>
            <w:vAlign w:val="bottom"/>
            <w:shd w:val="clear" w:color="auto" w:fill="005AFF"/>
          </w:tcPr>
          <w:p>
            <w:pPr>
              <w:spacing w:after="0" w:line="20" w:lineRule="exact"/>
              <w:rPr>
                <w:sz w:val="1"/>
                <w:szCs w:val="1"/>
                <w:color w:val="auto"/>
              </w:rPr>
            </w:pPr>
          </w:p>
        </w:tc>
        <w:tc>
          <w:tcPr>
            <w:tcW w:w="140" w:type="dxa"/>
            <w:vAlign w:val="bottom"/>
          </w:tcPr>
          <w:p>
            <w:pPr>
              <w:spacing w:after="0" w:line="20" w:lineRule="exact"/>
              <w:rPr>
                <w:sz w:val="1"/>
                <w:szCs w:val="1"/>
                <w:color w:val="auto"/>
              </w:rPr>
            </w:pPr>
          </w:p>
        </w:tc>
        <w:tc>
          <w:tcPr>
            <w:tcW w:w="1120" w:type="dxa"/>
            <w:vAlign w:val="bottom"/>
            <w:shd w:val="clear" w:color="auto" w:fill="005AFF"/>
          </w:tcPr>
          <w:p>
            <w:pPr>
              <w:spacing w:after="0" w:line="20" w:lineRule="exact"/>
              <w:rPr>
                <w:sz w:val="1"/>
                <w:szCs w:val="1"/>
                <w:color w:val="auto"/>
              </w:rPr>
            </w:pPr>
          </w:p>
        </w:tc>
        <w:tc>
          <w:tcPr>
            <w:tcW w:w="780" w:type="dxa"/>
            <w:vAlign w:val="bottom"/>
            <w:shd w:val="clear" w:color="auto" w:fill="005AFF"/>
          </w:tcPr>
          <w:p>
            <w:pPr>
              <w:spacing w:after="0" w:line="20" w:lineRule="exact"/>
              <w:rPr>
                <w:sz w:val="1"/>
                <w:szCs w:val="1"/>
                <w:color w:val="auto"/>
              </w:rPr>
            </w:pPr>
          </w:p>
        </w:tc>
        <w:tc>
          <w:tcPr>
            <w:tcW w:w="140" w:type="dxa"/>
            <w:vAlign w:val="bottom"/>
          </w:tcPr>
          <w:p>
            <w:pPr>
              <w:spacing w:after="0" w:line="20" w:lineRule="exact"/>
              <w:rPr>
                <w:sz w:val="1"/>
                <w:szCs w:val="1"/>
                <w:color w:val="auto"/>
              </w:rPr>
            </w:pPr>
          </w:p>
        </w:tc>
        <w:tc>
          <w:tcPr>
            <w:tcW w:w="1900" w:type="dxa"/>
            <w:vAlign w:val="bottom"/>
            <w:shd w:val="clear" w:color="auto" w:fill="005AFF"/>
          </w:tcPr>
          <w:p>
            <w:pPr>
              <w:spacing w:after="0" w:line="20" w:lineRule="exact"/>
              <w:rPr>
                <w:sz w:val="1"/>
                <w:szCs w:val="1"/>
                <w:color w:val="auto"/>
              </w:rPr>
            </w:pPr>
          </w:p>
        </w:tc>
        <w:tc>
          <w:tcPr>
            <w:tcW w:w="1960" w:type="dxa"/>
            <w:vAlign w:val="bottom"/>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bl>
    <w:p>
      <w:pPr>
        <w:spacing w:after="0" w:line="20" w:lineRule="exact"/>
        <w:rPr>
          <w:sz w:val="20"/>
          <w:szCs w:val="20"/>
          <w:color w:val="auto"/>
        </w:rPr>
        <w:sectPr>
          <w:pgSz w:w="11900" w:h="16838" w:orient="portrait"/>
          <w:cols w:equalWidth="0" w:num="1">
            <w:col w:w="9980"/>
          </w:cols>
          <w:pgMar w:left="960" w:top="409"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9" w:lineRule="exact"/>
        <w:rPr>
          <w:sz w:val="20"/>
          <w:szCs w:val="20"/>
          <w:color w:val="auto"/>
        </w:rPr>
      </w:pPr>
    </w:p>
    <w:tbl>
      <w:tblPr>
        <w:tblLayout w:type="fixed"/>
        <w:tblInd w:w="0" w:type="dxa"/>
        <w:tblCellMar>
          <w:top w:w="0" w:type="dxa"/>
          <w:left w:w="0" w:type="dxa"/>
          <w:bottom w:w="0" w:type="dxa"/>
          <w:right w:w="0" w:type="dxa"/>
        </w:tblCellMar>
      </w:tblPr>
      <w:tr>
        <w:trPr>
          <w:trHeight w:val="150"/>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Amy Hanlon-Rodemich</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005AFF"/>
              </w:rPr>
              <w:t>Jenni Lukander</w:t>
            </w:r>
          </w:p>
        </w:tc>
      </w:tr>
      <w:tr>
        <w:trPr>
          <w:trHeight w:val="172"/>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1972</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b. 1974</w:t>
            </w:r>
          </w:p>
        </w:tc>
      </w:tr>
      <w:tr>
        <w:trPr>
          <w:trHeight w:val="57"/>
        </w:trPr>
        <w:tc>
          <w:tcPr>
            <w:tcW w:w="1880" w:type="dxa"/>
            <w:vAlign w:val="bottom"/>
            <w:tcBorders>
              <w:bottom w:val="single" w:sz="8" w:color="005AFF"/>
            </w:tcBorders>
          </w:tcPr>
          <w:p>
            <w:pPr>
              <w:spacing w:after="0"/>
              <w:rPr>
                <w:sz w:val="4"/>
                <w:szCs w:val="4"/>
                <w:color w:val="auto"/>
              </w:rPr>
            </w:pPr>
          </w:p>
        </w:tc>
        <w:tc>
          <w:tcPr>
            <w:tcW w:w="16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Esa Niinimäki</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 1976</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Raghav Sahgal</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 1962</w:t>
      </w:r>
    </w:p>
    <w:p>
      <w:pPr>
        <w:spacing w:after="0" w:line="172" w:lineRule="exact"/>
        <w:rPr>
          <w:sz w:val="20"/>
          <w:szCs w:val="20"/>
          <w:color w:val="auto"/>
        </w:rPr>
      </w:pPr>
    </w:p>
    <w:p>
      <w:pPr>
        <w:sectPr>
          <w:pgSz w:w="11900" w:h="16838" w:orient="portrait"/>
          <w:cols w:equalWidth="0" w:num="3">
            <w:col w:w="3940" w:space="180"/>
            <w:col w:w="1320" w:space="720"/>
            <w:col w:w="3820"/>
          </w:cols>
          <w:pgMar w:left="960" w:top="409" w:right="959" w:bottom="1440" w:gutter="0" w:footer="0" w:header="0"/>
          <w:type w:val="continuous"/>
        </w:sectPr>
      </w:pPr>
    </w:p>
    <w:p>
      <w:pPr>
        <w:ind w:right="480"/>
        <w:spacing w:after="0" w:line="269" w:lineRule="auto"/>
        <w:rPr>
          <w:sz w:val="20"/>
          <w:szCs w:val="20"/>
          <w:color w:val="auto"/>
        </w:rPr>
      </w:pPr>
      <w:r>
        <w:rPr>
          <w:rFonts w:ascii="Times New Roman" w:cs="Times New Roman" w:eastAsia="Times New Roman" w:hAnsi="Times New Roman"/>
          <w:sz w:val="10"/>
          <w:szCs w:val="10"/>
          <w:color w:val="auto"/>
        </w:rPr>
        <w:t>Chief People Officer (CPO). Group Leadership Team member since 2022. Joined Nokia in 2022.</w:t>
      </w:r>
    </w:p>
    <w:p>
      <w:pPr>
        <w:spacing w:after="0" w:line="28" w:lineRule="exact"/>
        <w:rPr>
          <w:sz w:val="20"/>
          <w:szCs w:val="20"/>
          <w:color w:val="auto"/>
        </w:rPr>
      </w:pPr>
    </w:p>
    <w:p>
      <w:pPr>
        <w:ind w:right="380"/>
        <w:spacing w:after="0" w:line="261" w:lineRule="auto"/>
        <w:rPr>
          <w:sz w:val="20"/>
          <w:szCs w:val="20"/>
          <w:color w:val="auto"/>
        </w:rPr>
      </w:pPr>
      <w:r>
        <w:rPr>
          <w:rFonts w:ascii="Times New Roman" w:cs="Times New Roman" w:eastAsia="Times New Roman" w:hAnsi="Times New Roman"/>
          <w:sz w:val="10"/>
          <w:szCs w:val="10"/>
          <w:color w:val="auto"/>
        </w:rPr>
        <w:t>Master of Human Resources and Organizational Development, University of San Francisco, the United States. Bachelor of Arts in English, Tufts University, Boston, the United States.</w:t>
      </w:r>
    </w:p>
    <w:p>
      <w:pPr>
        <w:spacing w:after="0" w:line="32" w:lineRule="exact"/>
        <w:rPr>
          <w:sz w:val="20"/>
          <w:szCs w:val="20"/>
          <w:color w:val="auto"/>
        </w:rPr>
      </w:pPr>
    </w:p>
    <w:p>
      <w:pPr>
        <w:ind w:right="280"/>
        <w:spacing w:after="0" w:line="255" w:lineRule="auto"/>
        <w:rPr>
          <w:sz w:val="20"/>
          <w:szCs w:val="20"/>
          <w:color w:val="auto"/>
        </w:rPr>
      </w:pPr>
      <w:r>
        <w:rPr>
          <w:rFonts w:ascii="Times New Roman" w:cs="Times New Roman" w:eastAsia="Times New Roman" w:hAnsi="Times New Roman"/>
          <w:sz w:val="10"/>
          <w:szCs w:val="10"/>
          <w:color w:val="auto"/>
        </w:rPr>
        <w:t>Chief People Officer, GlobalLogic, a Hitachi Group Company 2019–2022. Vice President, Human Resources, Synopsys, Inc. 2017–2019. Executive Vice President, People Success, Milestone Technologies 2016–2017. Director and Global HR Head, Yahoo 2013–2016. Various positions such as Senior HR Business Partner, Senior Manager, Director, Global Talent Development Operations, VMware 2004– 2013. Employee Relations Specialist, Technology Credit Union 2003–2004. Human Resources Manager, CAT Technology 2000–2003. Manager, Staffing Programs, Inktomi Corporation 1996–2000.</w:t>
      </w:r>
    </w:p>
    <w:p>
      <w:pPr>
        <w:spacing w:after="0" w:line="48" w:lineRule="exact"/>
        <w:rPr>
          <w:sz w:val="20"/>
          <w:szCs w:val="20"/>
          <w:color w:val="auto"/>
        </w:rPr>
      </w:pPr>
    </w:p>
    <w:p>
      <w:pPr>
        <w:ind w:right="260"/>
        <w:spacing w:after="0" w:line="263" w:lineRule="auto"/>
        <w:rPr>
          <w:sz w:val="20"/>
          <w:szCs w:val="20"/>
          <w:color w:val="auto"/>
        </w:rPr>
      </w:pPr>
      <w:r>
        <w:rPr>
          <w:rFonts w:ascii="Times New Roman" w:cs="Times New Roman" w:eastAsia="Times New Roman" w:hAnsi="Times New Roman"/>
          <w:sz w:val="10"/>
          <w:szCs w:val="10"/>
          <w:color w:val="auto"/>
        </w:rPr>
        <w:t>Member of the Board, Exceptional Women Awardees Foundation. Advisory Board member, Topia, Inc. Advisory Board Member, BrightPlan.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ind w:right="100"/>
        <w:spacing w:after="0" w:line="269" w:lineRule="auto"/>
        <w:rPr>
          <w:sz w:val="20"/>
          <w:szCs w:val="20"/>
          <w:color w:val="auto"/>
        </w:rPr>
      </w:pPr>
      <w:r>
        <w:rPr>
          <w:rFonts w:ascii="Times New Roman" w:cs="Times New Roman" w:eastAsia="Times New Roman" w:hAnsi="Times New Roman"/>
          <w:sz w:val="10"/>
          <w:szCs w:val="10"/>
          <w:color w:val="auto"/>
        </w:rPr>
        <w:t>President of Nokia Technologies. Group Leadership Team member since 2019. Joined Nokia in 2007.</w:t>
      </w:r>
    </w:p>
    <w:p>
      <w:pPr>
        <w:spacing w:after="0" w:line="28" w:lineRule="exact"/>
        <w:rPr>
          <w:sz w:val="20"/>
          <w:szCs w:val="20"/>
          <w:color w:val="auto"/>
        </w:rPr>
      </w:pPr>
    </w:p>
    <w:p>
      <w:pPr>
        <w:ind w:right="120"/>
        <w:spacing w:after="0" w:line="284" w:lineRule="auto"/>
        <w:rPr>
          <w:sz w:val="20"/>
          <w:szCs w:val="20"/>
          <w:color w:val="auto"/>
        </w:rPr>
      </w:pPr>
      <w:r>
        <w:rPr>
          <w:rFonts w:ascii="Times New Roman" w:cs="Times New Roman" w:eastAsia="Times New Roman" w:hAnsi="Times New Roman"/>
          <w:sz w:val="10"/>
          <w:szCs w:val="10"/>
          <w:color w:val="auto"/>
        </w:rPr>
        <w:t>Master of Laws, University of Helsinki, Finland.</w:t>
      </w:r>
    </w:p>
    <w:p>
      <w:pPr>
        <w:spacing w:after="0" w:line="21" w:lineRule="exact"/>
        <w:rPr>
          <w:sz w:val="20"/>
          <w:szCs w:val="20"/>
          <w:color w:val="auto"/>
        </w:rPr>
      </w:pPr>
    </w:p>
    <w:p>
      <w:pPr>
        <w:spacing w:after="0" w:line="256" w:lineRule="auto"/>
        <w:rPr>
          <w:sz w:val="20"/>
          <w:szCs w:val="20"/>
          <w:color w:val="auto"/>
        </w:rPr>
      </w:pPr>
      <w:r>
        <w:rPr>
          <w:rFonts w:ascii="Times New Roman" w:cs="Times New Roman" w:eastAsia="Times New Roman" w:hAnsi="Times New Roman"/>
          <w:sz w:val="10"/>
          <w:szCs w:val="10"/>
          <w:color w:val="auto"/>
        </w:rPr>
        <w:t>Senior Vice President, Head of Patent Business, Nokia 2018–2019. Vice President, Head of Patent Licensing, Nokia 2018. Vice President, Head of Litigation and Competition Law, Nokia 2016–2018. Director, Head of Regulatory and Competition Law, Nokia 2015–2016. Director, Head of Competition Law, Nokia 2011–2015. Senior Legal Counsel, Nokia 2007–2011. Visiting lawyer, Nokia 2001. Lawyer, Roschier Ltd. 1999–2007.</w:t>
      </w:r>
    </w:p>
    <w:p>
      <w:pPr>
        <w:spacing w:after="0" w:line="20" w:lineRule="exact"/>
        <w:rPr>
          <w:sz w:val="20"/>
          <w:szCs w:val="20"/>
          <w:color w:val="auto"/>
        </w:rPr>
      </w:pPr>
      <w:r>
        <w:rPr>
          <w:sz w:val="20"/>
          <w:szCs w:val="20"/>
          <w:color w:val="auto"/>
        </w:rPr>
        <w:br w:type="column"/>
      </w:r>
    </w:p>
    <w:p>
      <w:pPr>
        <w:ind w:right="60"/>
        <w:spacing w:after="0" w:line="312" w:lineRule="auto"/>
        <w:rPr>
          <w:sz w:val="20"/>
          <w:szCs w:val="20"/>
          <w:color w:val="auto"/>
        </w:rPr>
      </w:pPr>
      <w:r>
        <w:rPr>
          <w:rFonts w:ascii="Times New Roman" w:cs="Times New Roman" w:eastAsia="Times New Roman" w:hAnsi="Times New Roman"/>
          <w:sz w:val="9"/>
          <w:szCs w:val="9"/>
          <w:color w:val="auto"/>
        </w:rPr>
        <w:t>Chief Legal Officer (CLO) and Board Secretary. Group Leadership Team member since 2023. Joined Nokia in 2007.</w:t>
      </w:r>
    </w:p>
    <w:p>
      <w:pPr>
        <w:spacing w:after="0" w:line="11" w:lineRule="exact"/>
        <w:rPr>
          <w:sz w:val="20"/>
          <w:szCs w:val="20"/>
          <w:color w:val="auto"/>
        </w:rPr>
      </w:pPr>
    </w:p>
    <w:p>
      <w:pPr>
        <w:jc w:val="both"/>
        <w:ind w:right="240"/>
        <w:spacing w:after="0" w:line="263" w:lineRule="auto"/>
        <w:rPr>
          <w:sz w:val="20"/>
          <w:szCs w:val="20"/>
          <w:color w:val="auto"/>
        </w:rPr>
      </w:pPr>
      <w:r>
        <w:rPr>
          <w:rFonts w:ascii="Times New Roman" w:cs="Times New Roman" w:eastAsia="Times New Roman" w:hAnsi="Times New Roman"/>
          <w:sz w:val="10"/>
          <w:szCs w:val="10"/>
          <w:color w:val="auto"/>
        </w:rPr>
        <w:t>Master of Laws, Fordham University, School of Law, New York, the United States. Master of Laws, University of Helsinki, Finland.</w:t>
      </w:r>
    </w:p>
    <w:p>
      <w:pPr>
        <w:spacing w:after="0" w:line="32" w:lineRule="exact"/>
        <w:rPr>
          <w:sz w:val="20"/>
          <w:szCs w:val="20"/>
          <w:color w:val="auto"/>
        </w:rPr>
      </w:pPr>
    </w:p>
    <w:p>
      <w:pPr>
        <w:spacing w:after="0" w:line="255" w:lineRule="auto"/>
        <w:rPr>
          <w:sz w:val="20"/>
          <w:szCs w:val="20"/>
          <w:color w:val="auto"/>
        </w:rPr>
      </w:pPr>
      <w:r>
        <w:rPr>
          <w:rFonts w:ascii="Times New Roman" w:cs="Times New Roman" w:eastAsia="Times New Roman" w:hAnsi="Times New Roman"/>
          <w:sz w:val="10"/>
          <w:szCs w:val="10"/>
          <w:color w:val="auto"/>
        </w:rPr>
        <w:t>Interim Chief Legal Officer, Nokia 2022– 2023. Deputy Chief Legal Officer, Vice President, Corporate Legal and Board Secretary, Nokia 2018–2023. General Counsel, Global Services, Nokia 2015– 2018. Head of Corporate Legal, Nokia Solutions and Networks and Head of Finance &amp; Labor Legal, Nokia 2013–2015. Senior Legal Counsel, Legal and IP, India, Middle East and Africa, Nokia 2012–2013. (Senior) Legal Counsel, Corporate Legal, Nokia 2007–2011. Group Legal Counsel, Metsä Group 2005–2007. Associate Lawyer, White &amp; Case LLP 2003–2005.</w:t>
      </w:r>
    </w:p>
    <w:p>
      <w:pPr>
        <w:spacing w:after="0" w:line="49" w:lineRule="exact"/>
        <w:rPr>
          <w:sz w:val="20"/>
          <w:szCs w:val="20"/>
          <w:color w:val="auto"/>
        </w:rPr>
      </w:pPr>
    </w:p>
    <w:p>
      <w:pPr>
        <w:ind w:right="100"/>
        <w:spacing w:after="0" w:line="259" w:lineRule="auto"/>
        <w:rPr>
          <w:sz w:val="20"/>
          <w:szCs w:val="20"/>
          <w:color w:val="auto"/>
        </w:rPr>
      </w:pPr>
      <w:r>
        <w:rPr>
          <w:rFonts w:ascii="Times New Roman" w:cs="Times New Roman" w:eastAsia="Times New Roman" w:hAnsi="Times New Roman"/>
          <w:sz w:val="10"/>
          <w:szCs w:val="10"/>
          <w:color w:val="auto"/>
        </w:rPr>
        <w:t>Chair of Legal Affairs Committee of the Confederation of Finnish Industries. Member of the Market Practice Board of Securities Market Association and the Policy Committee of the Directors’ Institute Finland.</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President of Cloud and Network Services.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Group Leadership Team member since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2020. Joined Nokia in 2017.</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Master of Science in Computer Systems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Management, University of Maryland, the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United States. Bachelor of Science in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Computer Engineering, Tulane University,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New Orleans, the United States.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Executive Business Certificate in General</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Management, Harvard University,</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the United States.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of Nokia Enterprise 2020.</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Senior Vice President, Nokia Software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2017–2020. President, NICE Ltd. Asia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Pacific and the Middle East 2010–2017.</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Advisory Board Member, Orga Systems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2010–2014.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Communications Business Unit, Asia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Pacific &amp; Japan, Oracle 2008–2010. Chief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Business Officer, Comverse 2005–2006.</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Executive Vice President, Asia Pacific,</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CSG 2002–2005.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Software Products Group Asia Pacific,</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Lucent Technologies 2000–2002.</w:t>
      </w:r>
    </w:p>
    <w:p>
      <w:pPr>
        <w:sectPr>
          <w:pgSz w:w="11900" w:h="16838" w:orient="portrait"/>
          <w:cols w:equalWidth="0" w:num="4">
            <w:col w:w="2020" w:space="20"/>
            <w:col w:w="1740" w:space="300"/>
            <w:col w:w="1760" w:space="280"/>
            <w:col w:w="3860"/>
          </w:cols>
          <w:pgMar w:left="960" w:top="409" w:right="959" w:bottom="1440" w:gutter="0" w:footer="0" w:header="0"/>
          <w:type w:val="continuous"/>
        </w:sectPr>
      </w:pPr>
    </w:p>
    <w:bookmarkStart w:id="59" w:name="page60"/>
    <w:bookmarkEnd w:id="59"/>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4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auto"/>
              </w:rPr>
              <w:t>Operating and financial</w:t>
            </w:r>
          </w:p>
        </w:tc>
        <w:tc>
          <w:tcPr>
            <w:tcW w:w="96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Financial</w:t>
            </w:r>
          </w:p>
        </w:tc>
        <w:tc>
          <w:tcPr>
            <w:tcW w:w="78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40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52</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24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auto"/>
              </w:rPr>
              <w:t>review and prospects</w:t>
            </w:r>
          </w:p>
        </w:tc>
        <w:tc>
          <w:tcPr>
            <w:tcW w:w="96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statements</w:t>
            </w:r>
          </w:p>
        </w:tc>
        <w:tc>
          <w:tcPr>
            <w:tcW w:w="78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40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40" w:type="dxa"/>
            <w:vAlign w:val="bottom"/>
          </w:tcPr>
          <w:p>
            <w:pPr>
              <w:spacing w:after="0"/>
              <w:rPr>
                <w:sz w:val="3"/>
                <w:szCs w:val="3"/>
                <w:color w:val="auto"/>
              </w:rPr>
            </w:pPr>
          </w:p>
        </w:tc>
        <w:tc>
          <w:tcPr>
            <w:tcW w:w="1240" w:type="dxa"/>
            <w:vAlign w:val="bottom"/>
            <w:gridSpan w:val="2"/>
          </w:tcPr>
          <w:p>
            <w:pPr>
              <w:spacing w:after="0"/>
              <w:rPr>
                <w:sz w:val="3"/>
                <w:szCs w:val="3"/>
                <w:color w:val="auto"/>
              </w:rPr>
            </w:pPr>
          </w:p>
        </w:tc>
        <w:tc>
          <w:tcPr>
            <w:tcW w:w="820" w:type="dxa"/>
            <w:vAlign w:val="bottom"/>
          </w:tcPr>
          <w:p>
            <w:pPr>
              <w:spacing w:after="0"/>
              <w:rPr>
                <w:sz w:val="3"/>
                <w:szCs w:val="3"/>
                <w:color w:val="auto"/>
              </w:rPr>
            </w:pPr>
          </w:p>
        </w:tc>
        <w:tc>
          <w:tcPr>
            <w:tcW w:w="140" w:type="dxa"/>
            <w:vAlign w:val="bottom"/>
          </w:tcPr>
          <w:p>
            <w:pPr>
              <w:spacing w:after="0"/>
              <w:rPr>
                <w:sz w:val="3"/>
                <w:szCs w:val="3"/>
                <w:color w:val="auto"/>
              </w:rPr>
            </w:pPr>
          </w:p>
        </w:tc>
        <w:tc>
          <w:tcPr>
            <w:tcW w:w="1120" w:type="dxa"/>
            <w:vAlign w:val="bottom"/>
          </w:tcPr>
          <w:p>
            <w:pPr>
              <w:spacing w:after="0"/>
              <w:rPr>
                <w:sz w:val="3"/>
                <w:szCs w:val="3"/>
                <w:color w:val="auto"/>
              </w:rPr>
            </w:pPr>
          </w:p>
        </w:tc>
        <w:tc>
          <w:tcPr>
            <w:tcW w:w="780" w:type="dxa"/>
            <w:vAlign w:val="bottom"/>
          </w:tcPr>
          <w:p>
            <w:pPr>
              <w:spacing w:after="0"/>
              <w:rPr>
                <w:sz w:val="3"/>
                <w:szCs w:val="3"/>
                <w:color w:val="auto"/>
              </w:rPr>
            </w:pPr>
          </w:p>
        </w:tc>
        <w:tc>
          <w:tcPr>
            <w:tcW w:w="400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8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Corporate governance statement</w:t>
            </w:r>
          </w:p>
        </w:tc>
        <w:tc>
          <w:tcPr>
            <w:tcW w:w="1240" w:type="dxa"/>
            <w:vAlign w:val="bottom"/>
            <w:gridSpan w:val="2"/>
          </w:tcPr>
          <w:p>
            <w:pPr>
              <w:ind w:left="40"/>
              <w:spacing w:after="0"/>
              <w:rPr>
                <w:sz w:val="20"/>
                <w:szCs w:val="20"/>
                <w:color w:val="auto"/>
              </w:rPr>
            </w:pPr>
            <w:r>
              <w:rPr>
                <w:rFonts w:ascii="Times New Roman" w:cs="Times New Roman" w:eastAsia="Times New Roman" w:hAnsi="Times New Roman"/>
                <w:sz w:val="13"/>
                <w:szCs w:val="13"/>
                <w:color w:val="005AFF"/>
              </w:rPr>
              <w:t>continued</w:t>
            </w:r>
          </w:p>
        </w:tc>
        <w:tc>
          <w:tcPr>
            <w:tcW w:w="82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1120" w:type="dxa"/>
            <w:vAlign w:val="bottom"/>
          </w:tcPr>
          <w:p>
            <w:pPr>
              <w:spacing w:after="0"/>
              <w:rPr>
                <w:sz w:val="24"/>
                <w:szCs w:val="24"/>
                <w:color w:val="auto"/>
              </w:rPr>
            </w:pPr>
          </w:p>
        </w:tc>
        <w:tc>
          <w:tcPr>
            <w:tcW w:w="780" w:type="dxa"/>
            <w:vAlign w:val="bottom"/>
          </w:tcPr>
          <w:p>
            <w:pPr>
              <w:spacing w:after="0"/>
              <w:rPr>
                <w:sz w:val="24"/>
                <w:szCs w:val="24"/>
                <w:color w:val="auto"/>
              </w:rPr>
            </w:pPr>
          </w:p>
        </w:tc>
        <w:tc>
          <w:tcPr>
            <w:tcW w:w="40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57"/>
        </w:trPr>
        <w:tc>
          <w:tcPr>
            <w:tcW w:w="4080" w:type="dxa"/>
            <w:vAlign w:val="bottom"/>
            <w:gridSpan w:val="7"/>
          </w:tcPr>
          <w:p>
            <w:pPr>
              <w:spacing w:after="0"/>
              <w:rPr>
                <w:sz w:val="20"/>
                <w:szCs w:val="20"/>
                <w:color w:val="auto"/>
              </w:rPr>
            </w:pPr>
            <w:r>
              <w:rPr>
                <w:rFonts w:ascii="Times New Roman" w:cs="Times New Roman" w:eastAsia="Times New Roman" w:hAnsi="Times New Roman"/>
                <w:sz w:val="11"/>
                <w:szCs w:val="11"/>
                <w:b w:val="1"/>
                <w:bCs w:val="1"/>
                <w:color w:val="auto"/>
              </w:rPr>
              <w:t>Biographical details of the current members of the Nokia Group Leadership Team</w:t>
            </w:r>
          </w:p>
        </w:tc>
        <w:tc>
          <w:tcPr>
            <w:tcW w:w="1120" w:type="dxa"/>
            <w:vAlign w:val="bottom"/>
          </w:tcPr>
          <w:p>
            <w:pPr>
              <w:ind w:left="220"/>
              <w:spacing w:after="0"/>
              <w:rPr>
                <w:sz w:val="20"/>
                <w:szCs w:val="20"/>
                <w:color w:val="auto"/>
              </w:rPr>
            </w:pPr>
            <w:r>
              <w:rPr>
                <w:rFonts w:ascii="Times New Roman" w:cs="Times New Roman" w:eastAsia="Times New Roman" w:hAnsi="Times New Roman"/>
                <w:sz w:val="11"/>
                <w:szCs w:val="11"/>
                <w:color w:val="auto"/>
              </w:rPr>
              <w:t>continued</w:t>
            </w:r>
          </w:p>
        </w:tc>
        <w:tc>
          <w:tcPr>
            <w:tcW w:w="780" w:type="dxa"/>
            <w:vAlign w:val="bottom"/>
          </w:tcPr>
          <w:p>
            <w:pPr>
              <w:spacing w:after="0"/>
              <w:rPr>
                <w:sz w:val="24"/>
                <w:szCs w:val="24"/>
                <w:color w:val="auto"/>
              </w:rPr>
            </w:pPr>
          </w:p>
        </w:tc>
        <w:tc>
          <w:tcPr>
            <w:tcW w:w="40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0"/>
        </w:trPr>
        <w:tc>
          <w:tcPr>
            <w:tcW w:w="900" w:type="dxa"/>
            <w:vAlign w:val="bottom"/>
            <w:shd w:val="clear" w:color="auto" w:fill="005AFF"/>
          </w:tcPr>
          <w:p>
            <w:pPr>
              <w:spacing w:after="0" w:line="20" w:lineRule="exact"/>
              <w:rPr>
                <w:sz w:val="1"/>
                <w:szCs w:val="1"/>
                <w:color w:val="auto"/>
              </w:rPr>
            </w:pPr>
          </w:p>
        </w:tc>
        <w:tc>
          <w:tcPr>
            <w:tcW w:w="540" w:type="dxa"/>
            <w:vAlign w:val="bottom"/>
            <w:shd w:val="clear" w:color="auto" w:fill="005AFF"/>
          </w:tcPr>
          <w:p>
            <w:pPr>
              <w:spacing w:after="0" w:line="20" w:lineRule="exact"/>
              <w:rPr>
                <w:sz w:val="1"/>
                <w:szCs w:val="1"/>
                <w:color w:val="auto"/>
              </w:rPr>
            </w:pPr>
          </w:p>
        </w:tc>
        <w:tc>
          <w:tcPr>
            <w:tcW w:w="440" w:type="dxa"/>
            <w:vAlign w:val="bottom"/>
            <w:shd w:val="clear" w:color="auto" w:fill="005AFF"/>
          </w:tcPr>
          <w:p>
            <w:pPr>
              <w:spacing w:after="0" w:line="20" w:lineRule="exact"/>
              <w:rPr>
                <w:sz w:val="1"/>
                <w:szCs w:val="1"/>
                <w:color w:val="auto"/>
              </w:rPr>
            </w:pPr>
          </w:p>
        </w:tc>
        <w:tc>
          <w:tcPr>
            <w:tcW w:w="160" w:type="dxa"/>
            <w:vAlign w:val="bottom"/>
          </w:tcPr>
          <w:p>
            <w:pPr>
              <w:spacing w:after="0" w:line="20" w:lineRule="exact"/>
              <w:rPr>
                <w:sz w:val="1"/>
                <w:szCs w:val="1"/>
                <w:color w:val="auto"/>
              </w:rPr>
            </w:pPr>
          </w:p>
        </w:tc>
        <w:tc>
          <w:tcPr>
            <w:tcW w:w="1080" w:type="dxa"/>
            <w:vAlign w:val="bottom"/>
            <w:shd w:val="clear" w:color="auto" w:fill="005AFF"/>
          </w:tcPr>
          <w:p>
            <w:pPr>
              <w:spacing w:after="0" w:line="20" w:lineRule="exact"/>
              <w:rPr>
                <w:sz w:val="1"/>
                <w:szCs w:val="1"/>
                <w:color w:val="auto"/>
              </w:rPr>
            </w:pPr>
          </w:p>
        </w:tc>
        <w:tc>
          <w:tcPr>
            <w:tcW w:w="820" w:type="dxa"/>
            <w:vAlign w:val="bottom"/>
            <w:shd w:val="clear" w:color="auto" w:fill="005AFF"/>
          </w:tcPr>
          <w:p>
            <w:pPr>
              <w:spacing w:after="0" w:line="20" w:lineRule="exact"/>
              <w:rPr>
                <w:sz w:val="1"/>
                <w:szCs w:val="1"/>
                <w:color w:val="auto"/>
              </w:rPr>
            </w:pPr>
          </w:p>
        </w:tc>
        <w:tc>
          <w:tcPr>
            <w:tcW w:w="140" w:type="dxa"/>
            <w:vAlign w:val="bottom"/>
          </w:tcPr>
          <w:p>
            <w:pPr>
              <w:spacing w:after="0" w:line="20" w:lineRule="exact"/>
              <w:rPr>
                <w:sz w:val="1"/>
                <w:szCs w:val="1"/>
                <w:color w:val="auto"/>
              </w:rPr>
            </w:pPr>
          </w:p>
        </w:tc>
        <w:tc>
          <w:tcPr>
            <w:tcW w:w="1120" w:type="dxa"/>
            <w:vAlign w:val="bottom"/>
            <w:shd w:val="clear" w:color="auto" w:fill="005AFF"/>
          </w:tcPr>
          <w:p>
            <w:pPr>
              <w:spacing w:after="0" w:line="20" w:lineRule="exact"/>
              <w:rPr>
                <w:sz w:val="1"/>
                <w:szCs w:val="1"/>
                <w:color w:val="auto"/>
              </w:rPr>
            </w:pPr>
          </w:p>
        </w:tc>
        <w:tc>
          <w:tcPr>
            <w:tcW w:w="780" w:type="dxa"/>
            <w:vAlign w:val="bottom"/>
            <w:shd w:val="clear" w:color="auto" w:fill="005AFF"/>
          </w:tcPr>
          <w:p>
            <w:pPr>
              <w:spacing w:after="0" w:line="20" w:lineRule="exact"/>
              <w:rPr>
                <w:sz w:val="1"/>
                <w:szCs w:val="1"/>
                <w:color w:val="auto"/>
              </w:rPr>
            </w:pPr>
          </w:p>
        </w:tc>
        <w:tc>
          <w:tcPr>
            <w:tcW w:w="4000" w:type="dxa"/>
            <w:vAlign w:val="bottom"/>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9" w:lineRule="exact"/>
        <w:rPr>
          <w:sz w:val="20"/>
          <w:szCs w:val="20"/>
          <w:color w:val="auto"/>
        </w:rPr>
      </w:pPr>
    </w:p>
    <w:tbl>
      <w:tblPr>
        <w:tblLayout w:type="fixed"/>
        <w:tblInd w:w="0" w:type="dxa"/>
        <w:tblCellMar>
          <w:top w:w="0" w:type="dxa"/>
          <w:left w:w="0" w:type="dxa"/>
          <w:bottom w:w="0" w:type="dxa"/>
          <w:right w:w="0" w:type="dxa"/>
        </w:tblCellMar>
      </w:tblPr>
      <w:tr>
        <w:trPr>
          <w:trHeight w:val="150"/>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Melissa Schoeb</w:t>
            </w:r>
          </w:p>
        </w:tc>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005AFF"/>
              </w:rPr>
              <w:t>Tommi Uitto</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005AFF"/>
              </w:rPr>
              <w:t>Marco Wirén</w:t>
            </w:r>
          </w:p>
        </w:tc>
      </w:tr>
      <w:tr>
        <w:trPr>
          <w:trHeight w:val="172"/>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1968</w:t>
            </w:r>
          </w:p>
        </w:tc>
        <w:tc>
          <w:tcPr>
            <w:tcW w:w="204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b. 1969</w:t>
            </w:r>
          </w:p>
        </w:tc>
        <w:tc>
          <w:tcPr>
            <w:tcW w:w="190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b. 1966</w:t>
            </w:r>
          </w:p>
        </w:tc>
      </w:tr>
      <w:tr>
        <w:trPr>
          <w:trHeight w:val="57"/>
        </w:trPr>
        <w:tc>
          <w:tcPr>
            <w:tcW w:w="1880" w:type="dxa"/>
            <w:vAlign w:val="bottom"/>
            <w:tcBorders>
              <w:bottom w:val="single" w:sz="8" w:color="005AFF"/>
            </w:tcBorders>
          </w:tcPr>
          <w:p>
            <w:pPr>
              <w:spacing w:after="0"/>
              <w:rPr>
                <w:sz w:val="4"/>
                <w:szCs w:val="4"/>
                <w:color w:val="auto"/>
              </w:rPr>
            </w:pPr>
          </w:p>
        </w:tc>
        <w:tc>
          <w:tcPr>
            <w:tcW w:w="16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c>
          <w:tcPr>
            <w:tcW w:w="140" w:type="dxa"/>
            <w:vAlign w:val="bottom"/>
          </w:tcPr>
          <w:p>
            <w:pPr>
              <w:spacing w:after="0"/>
              <w:rPr>
                <w:sz w:val="4"/>
                <w:szCs w:val="4"/>
                <w:color w:val="auto"/>
              </w:rPr>
            </w:pPr>
          </w:p>
        </w:tc>
        <w:tc>
          <w:tcPr>
            <w:tcW w:w="1900" w:type="dxa"/>
            <w:vAlign w:val="bottom"/>
            <w:tcBorders>
              <w:bottom w:val="single" w:sz="8" w:color="005AFF"/>
            </w:tcBorders>
          </w:tcPr>
          <w:p>
            <w:pPr>
              <w:spacing w:after="0"/>
              <w:rPr>
                <w:sz w:val="4"/>
                <w:szCs w:val="4"/>
                <w:color w:val="auto"/>
              </w:rPr>
            </w:pPr>
          </w:p>
        </w:tc>
      </w:tr>
    </w:tbl>
    <w:p>
      <w:pPr>
        <w:spacing w:after="0" w:line="82" w:lineRule="exact"/>
        <w:rPr>
          <w:sz w:val="20"/>
          <w:szCs w:val="20"/>
          <w:color w:val="auto"/>
        </w:rPr>
      </w:pPr>
    </w:p>
    <w:p>
      <w:pPr>
        <w:sectPr>
          <w:pgSz w:w="11900" w:h="16838" w:orient="portrait"/>
          <w:cols w:equalWidth="0" w:num="1">
            <w:col w:w="9980"/>
          </w:cols>
          <w:pgMar w:left="960" w:top="409" w:right="959" w:bottom="1440" w:gutter="0" w:footer="0" w:header="0"/>
        </w:sectPr>
      </w:pPr>
    </w:p>
    <w:p>
      <w:pPr>
        <w:ind w:right="80"/>
        <w:spacing w:after="0" w:line="269" w:lineRule="auto"/>
        <w:rPr>
          <w:sz w:val="20"/>
          <w:szCs w:val="20"/>
          <w:color w:val="auto"/>
        </w:rPr>
      </w:pPr>
      <w:r>
        <w:rPr>
          <w:rFonts w:ascii="Times New Roman" w:cs="Times New Roman" w:eastAsia="Times New Roman" w:hAnsi="Times New Roman"/>
          <w:sz w:val="10"/>
          <w:szCs w:val="10"/>
          <w:color w:val="auto"/>
        </w:rPr>
        <w:t>Chief Corporate Affairs Officer (CCAO). Group Leadership Team member since 2021. Joined Nokia in 2021.</w:t>
      </w:r>
    </w:p>
    <w:p>
      <w:pPr>
        <w:spacing w:after="0" w:line="18" w:lineRule="exact"/>
        <w:rPr>
          <w:sz w:val="20"/>
          <w:szCs w:val="20"/>
          <w:color w:val="auto"/>
        </w:rPr>
      </w:pPr>
    </w:p>
    <w:p>
      <w:pPr>
        <w:ind w:right="60"/>
        <w:spacing w:after="0" w:line="261" w:lineRule="auto"/>
        <w:rPr>
          <w:sz w:val="20"/>
          <w:szCs w:val="20"/>
          <w:color w:val="auto"/>
        </w:rPr>
      </w:pPr>
      <w:r>
        <w:rPr>
          <w:rFonts w:ascii="Times New Roman" w:cs="Times New Roman" w:eastAsia="Times New Roman" w:hAnsi="Times New Roman"/>
          <w:sz w:val="10"/>
          <w:szCs w:val="10"/>
          <w:color w:val="auto"/>
        </w:rPr>
        <w:t>Bachelor of Arts, double major in International Relations and Spanish, University of Mary Washington, Virginia, the United States. Fellowship Recipient, Four Freedoms Foundation, Rome, Italy.</w:t>
      </w:r>
    </w:p>
    <w:p>
      <w:pPr>
        <w:spacing w:after="0" w:line="32" w:lineRule="exact"/>
        <w:rPr>
          <w:sz w:val="20"/>
          <w:szCs w:val="20"/>
          <w:color w:val="auto"/>
        </w:rPr>
      </w:pPr>
    </w:p>
    <w:p>
      <w:pPr>
        <w:spacing w:after="0" w:line="255" w:lineRule="auto"/>
        <w:rPr>
          <w:sz w:val="20"/>
          <w:szCs w:val="20"/>
          <w:color w:val="auto"/>
        </w:rPr>
      </w:pPr>
      <w:r>
        <w:rPr>
          <w:rFonts w:ascii="Times New Roman" w:cs="Times New Roman" w:eastAsia="Times New Roman" w:hAnsi="Times New Roman"/>
          <w:sz w:val="10"/>
          <w:szCs w:val="10"/>
          <w:color w:val="auto"/>
        </w:rPr>
        <w:t>Vice President, Corporate Affairs, Occidental 2017–2021. Vice President, Communications and Public Affairs, Occidental 2012–2017. Senior Director, Communications and Public Affairs, Occidental 2007–2012. Senior Vice President and Senior Partner, General Manager and other senior positions, FleishmanHillard 2002–2007. Director of Global Communications, Nortel Networks 2000–2002. Vice President, Technology, FleishmanHillard 1998–2000. Business Director, The VenCom Group Inc. 1995– 1997. Consultant, London, the United Kingdom and Washington D.C., the United States, Gemini Consulting 1991–1995.</w:t>
      </w:r>
    </w:p>
    <w:p>
      <w:pPr>
        <w:spacing w:after="0" w:line="37" w:lineRule="exact"/>
        <w:rPr>
          <w:sz w:val="20"/>
          <w:szCs w:val="20"/>
          <w:color w:val="auto"/>
        </w:rPr>
      </w:pPr>
    </w:p>
    <w:p>
      <w:pPr>
        <w:ind w:right="280"/>
        <w:spacing w:after="0" w:line="263" w:lineRule="auto"/>
        <w:rPr>
          <w:sz w:val="20"/>
          <w:szCs w:val="20"/>
          <w:color w:val="auto"/>
        </w:rPr>
      </w:pPr>
      <w:r>
        <w:rPr>
          <w:rFonts w:ascii="Times New Roman" w:cs="Times New Roman" w:eastAsia="Times New Roman" w:hAnsi="Times New Roman"/>
          <w:sz w:val="10"/>
          <w:szCs w:val="10"/>
          <w:color w:val="auto"/>
        </w:rPr>
        <w:t>Member of the Arthur Page Society and The Seminar. Member of Mary Washington University College of Business Executive Advisory Board.</w:t>
      </w:r>
    </w:p>
    <w:p>
      <w:pPr>
        <w:spacing w:after="0" w:line="20" w:lineRule="exact"/>
        <w:rPr>
          <w:sz w:val="20"/>
          <w:szCs w:val="20"/>
          <w:color w:val="auto"/>
        </w:rPr>
      </w:pPr>
      <w:r>
        <w:rPr>
          <w:sz w:val="20"/>
          <w:szCs w:val="20"/>
          <w:color w:val="auto"/>
        </w:rPr>
        <w:br w:type="column"/>
      </w:r>
    </w:p>
    <w:p>
      <w:pPr>
        <w:jc w:val="both"/>
        <w:ind w:right="260"/>
        <w:spacing w:after="0" w:line="269" w:lineRule="auto"/>
        <w:rPr>
          <w:sz w:val="20"/>
          <w:szCs w:val="20"/>
          <w:color w:val="auto"/>
        </w:rPr>
      </w:pPr>
      <w:r>
        <w:rPr>
          <w:rFonts w:ascii="Times New Roman" w:cs="Times New Roman" w:eastAsia="Times New Roman" w:hAnsi="Times New Roman"/>
          <w:sz w:val="10"/>
          <w:szCs w:val="10"/>
          <w:color w:val="auto"/>
        </w:rPr>
        <w:t>President of Mobile Networks. Group Leadership Team member since 2019. Joined Nokia in 1996.</w:t>
      </w:r>
    </w:p>
    <w:p>
      <w:pPr>
        <w:spacing w:after="0" w:line="28" w:lineRule="exact"/>
        <w:rPr>
          <w:sz w:val="20"/>
          <w:szCs w:val="20"/>
          <w:color w:val="auto"/>
        </w:rPr>
      </w:pPr>
    </w:p>
    <w:p>
      <w:pPr>
        <w:ind w:right="120"/>
        <w:spacing w:after="0" w:line="296" w:lineRule="auto"/>
        <w:rPr>
          <w:sz w:val="20"/>
          <w:szCs w:val="20"/>
          <w:color w:val="auto"/>
        </w:rPr>
      </w:pPr>
      <w:r>
        <w:rPr>
          <w:rFonts w:ascii="Times New Roman" w:cs="Times New Roman" w:eastAsia="Times New Roman" w:hAnsi="Times New Roman"/>
          <w:sz w:val="9"/>
          <w:szCs w:val="9"/>
          <w:color w:val="auto"/>
        </w:rPr>
        <w:t>Master’s degree in industrial management, Helsinki University of Technology, Finland. Master’s degree in operations management, Michigan Technological University, the United States.</w:t>
      </w:r>
    </w:p>
    <w:p>
      <w:pPr>
        <w:spacing w:after="0" w:line="19" w:lineRule="exact"/>
        <w:rPr>
          <w:sz w:val="20"/>
          <w:szCs w:val="20"/>
          <w:color w:val="auto"/>
        </w:rPr>
      </w:pPr>
    </w:p>
    <w:p>
      <w:pPr>
        <w:spacing w:after="0" w:line="254" w:lineRule="auto"/>
        <w:rPr>
          <w:sz w:val="20"/>
          <w:szCs w:val="20"/>
          <w:color w:val="auto"/>
        </w:rPr>
      </w:pPr>
      <w:r>
        <w:rPr>
          <w:rFonts w:ascii="Times New Roman" w:cs="Times New Roman" w:eastAsia="Times New Roman" w:hAnsi="Times New Roman"/>
          <w:sz w:val="10"/>
          <w:szCs w:val="10"/>
          <w:color w:val="auto"/>
        </w:rPr>
        <w:t>Senior Vice President (VP), Global Product Sales, Mobile Networks, Nokia 2016– 2018. Senior VP, Global Mobile Broadband Sales, Customer Operations, Nokia Networks 2015–2016. Senior VP, West Europe, Customer Operations, Nokia Networks 2013–2015. Head of Radio Cluster (Senior VP), Mobile Broadband, Nokia Siemens Networks (NSN) 2012– 2013. Head of Global LTE Radio Access Business Line (VP) and Quality, Mobile Broadband NSN, 2011–2012. Head of Product Management, Network Systems, NSN 2010. Head of Product Management, Radio Access, NSN 2009. Head of WCDMA/HSPA and Radio Platforms Product Management, NSN 2008. Head of WCDMA/HSPA Product Line Management, NSN 2007. General Manager, Radio Controller Product Management Nokia Networks, 2005–2007. Various other positions at Nokia since 1999.</w:t>
      </w:r>
    </w:p>
    <w:p>
      <w:pPr>
        <w:spacing w:after="0" w:line="173" w:lineRule="exact"/>
        <w:rPr>
          <w:sz w:val="20"/>
          <w:szCs w:val="20"/>
          <w:color w:val="auto"/>
        </w:rPr>
      </w:pPr>
    </w:p>
    <w:p>
      <w:pPr>
        <w:ind w:right="120"/>
        <w:spacing w:after="0" w:line="265" w:lineRule="auto"/>
        <w:rPr>
          <w:sz w:val="20"/>
          <w:szCs w:val="20"/>
          <w:color w:val="auto"/>
        </w:rPr>
      </w:pPr>
      <w:r>
        <w:rPr>
          <w:rFonts w:ascii="Times New Roman" w:cs="Times New Roman" w:eastAsia="Times New Roman" w:hAnsi="Times New Roman"/>
          <w:sz w:val="10"/>
          <w:szCs w:val="10"/>
          <w:color w:val="auto"/>
        </w:rPr>
        <w:t xml:space="preserve">Member of the </w:t>
      </w:r>
      <w:r>
        <w:rPr>
          <w:rFonts w:ascii="Times New Roman" w:cs="Times New Roman" w:eastAsia="Times New Roman" w:hAnsi="Times New Roman"/>
          <w:sz w:val="10"/>
          <w:szCs w:val="10"/>
          <w:i w:val="1"/>
          <w:iCs w:val="1"/>
          <w:color w:val="auto"/>
        </w:rPr>
        <w:t>Board of Technology</w:t>
      </w:r>
      <w:r>
        <w:rPr>
          <w:rFonts w:ascii="Times New Roman" w:cs="Times New Roman" w:eastAsia="Times New Roman" w:hAnsi="Times New Roman"/>
          <w:sz w:val="10"/>
          <w:szCs w:val="10"/>
          <w:color w:val="auto"/>
        </w:rPr>
        <w:t xml:space="preserve"> </w:t>
      </w:r>
      <w:r>
        <w:rPr>
          <w:rFonts w:ascii="Times New Roman" w:cs="Times New Roman" w:eastAsia="Times New Roman" w:hAnsi="Times New Roman"/>
          <w:sz w:val="10"/>
          <w:szCs w:val="10"/>
          <w:i w:val="1"/>
          <w:iCs w:val="1"/>
          <w:color w:val="auto"/>
        </w:rPr>
        <w:t>Industries of Finland. Board member at F-Secure Oyj (standing for election at the 2024 AGM).</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auto"/>
        </w:rPr>
        <w:t>Chief Financial Officer (CFO). Group</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Leadership Team member since 2020.</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Joined Nokia in 2020.</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Master’s degree in Business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Administration, University of Uppsala,</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Sweden. Studies in management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strategic leadership, including at Duke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Business School, the United States; IMD,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Switzerland and Stockholm School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Economics, Sweden.</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Wärtsilä Energy and Executive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Vice President, Wärtsilä Group 2018–</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2020. Executive Vice President and CFO,</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Wärtsilä Group 2013–2018. Executive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Vice President and CFO, SSAB Group</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2008–2013. Vice President, Business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Control, SSAB Group 2007–2008. CFO,</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Eltel Networks 2006–2007.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Business Development, Eltel Networks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2004–2005. Head of Service Division,</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Eltel Networks 2003–2004. Vice</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President, Corporate Development, Eltel</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Networks 2002–2003. Vice President,</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Strategy &amp; Business Development, NCC</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Group 1999–2002. Head of Strategic</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Planning, NCC Group 1998–1999. Group</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Controller, NCC Group 1996–1998.</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Vice Chair of the Board of Directors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of Neste Corporation 2019–2023 and</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member of the Board of Directors of</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Neste Corporation 2015–2023.</w:t>
      </w:r>
    </w:p>
    <w:p>
      <w:pPr>
        <w:spacing w:after="0" w:line="582" w:lineRule="exact"/>
        <w:rPr>
          <w:sz w:val="20"/>
          <w:szCs w:val="20"/>
          <w:color w:val="auto"/>
        </w:rPr>
      </w:pPr>
    </w:p>
    <w:p>
      <w:pPr>
        <w:sectPr>
          <w:pgSz w:w="11900" w:h="16838" w:orient="portrait"/>
          <w:cols w:equalWidth="0" w:num="3">
            <w:col w:w="1760" w:space="280"/>
            <w:col w:w="1800" w:space="240"/>
            <w:col w:w="5900"/>
          </w:cols>
          <w:pgMar w:left="960" w:top="409" w:right="959" w:bottom="1440" w:gutter="0" w:footer="0" w:header="0"/>
          <w:type w:val="continuous"/>
        </w:sectPr>
      </w:pPr>
    </w:p>
    <w:p>
      <w:pPr>
        <w:spacing w:after="0" w:line="1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60" w:name="page61"/>
    <w:bookmarkEnd w:id="60"/>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318" w:lineRule="exact"/>
        <w:rPr>
          <w:sz w:val="20"/>
          <w:szCs w:val="20"/>
          <w:color w:val="auto"/>
        </w:rPr>
      </w:pPr>
    </w:p>
    <w:p>
      <w:pPr>
        <w:ind w:right="520"/>
        <w:spacing w:after="0" w:line="275" w:lineRule="auto"/>
        <w:rPr>
          <w:sz w:val="20"/>
          <w:szCs w:val="20"/>
          <w:color w:val="auto"/>
        </w:rPr>
      </w:pPr>
      <w:r>
        <w:rPr>
          <w:rFonts w:ascii="Times New Roman" w:cs="Times New Roman" w:eastAsia="Times New Roman" w:hAnsi="Times New Roman"/>
          <w:sz w:val="16"/>
          <w:szCs w:val="16"/>
          <w:color w:val="005AFF"/>
        </w:rPr>
        <w:t>Risk management, internal control and internal audit functions at Nokia</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Risk management principles</w:t>
      </w:r>
    </w:p>
    <w:p>
      <w:pPr>
        <w:spacing w:after="0" w:line="32"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color w:val="auto"/>
        </w:rPr>
        <w:t>We have a systematic and structured approach to risk management. Risk management covers strategic, operational, financial, compliance and hazard risks. The principles documented in the Nokia Enterprise Risk Management (ERM) Policy, which is approved by the Audit Committee of the Board, require risk management and its elements to be integrated into key processes:</w:t>
      </w:r>
    </w:p>
    <w:p>
      <w:pPr>
        <w:spacing w:after="0" w:line="198" w:lineRule="exact"/>
        <w:rPr>
          <w:sz w:val="20"/>
          <w:szCs w:val="20"/>
          <w:color w:val="auto"/>
        </w:rPr>
      </w:pPr>
    </w:p>
    <w:p>
      <w:pPr>
        <w:ind w:left="180" w:right="140" w:hanging="171"/>
        <w:spacing w:after="0" w:line="272" w:lineRule="auto"/>
        <w:tabs>
          <w:tab w:leader="none" w:pos="180" w:val="left"/>
        </w:tabs>
        <w:numPr>
          <w:ilvl w:val="0"/>
          <w:numId w:val="32"/>
        </w:numPr>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b w:val="1"/>
          <w:bCs w:val="1"/>
          <w:color w:val="auto"/>
        </w:rPr>
        <w:t>ERM is an integral part of Nokia’s objective setting and key decision-making</w:t>
      </w:r>
    </w:p>
    <w:p>
      <w:pPr>
        <w:ind w:left="180" w:right="160"/>
        <w:spacing w:after="0" w:line="258" w:lineRule="auto"/>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color w:val="auto"/>
        </w:rPr>
        <w:t>Key risks and opportunities are primarily identified against business targets either in business operations or as an integral part of strategy and financial planning. Key risks</w:t>
      </w:r>
    </w:p>
    <w:p>
      <w:pPr>
        <w:spacing w:after="0" w:line="1" w:lineRule="exact"/>
        <w:rPr>
          <w:sz w:val="20"/>
          <w:szCs w:val="20"/>
          <w:color w:val="auto"/>
        </w:rPr>
      </w:pPr>
    </w:p>
    <w:p>
      <w:pPr>
        <w:ind w:left="180" w:right="40"/>
        <w:spacing w:after="0" w:line="266" w:lineRule="auto"/>
        <w:rPr>
          <w:sz w:val="20"/>
          <w:szCs w:val="20"/>
          <w:color w:val="auto"/>
        </w:rPr>
      </w:pPr>
      <w:r>
        <w:rPr>
          <w:rFonts w:ascii="Times New Roman" w:cs="Times New Roman" w:eastAsia="Times New Roman" w:hAnsi="Times New Roman"/>
          <w:sz w:val="11"/>
          <w:szCs w:val="11"/>
          <w:color w:val="auto"/>
        </w:rPr>
        <w:t>are monitored as part of the management and business performance information flow. Our overall risk management concept is based on managing the key risks that would prevent us from meeting our objectives, rather than focusing on eliminating all risks.</w:t>
      </w:r>
    </w:p>
    <w:p>
      <w:pPr>
        <w:spacing w:after="0" w:line="59" w:lineRule="exact"/>
        <w:rPr>
          <w:sz w:val="20"/>
          <w:szCs w:val="20"/>
          <w:color w:val="auto"/>
        </w:rPr>
      </w:pPr>
    </w:p>
    <w:p>
      <w:pPr>
        <w:ind w:left="180" w:right="80" w:hanging="171"/>
        <w:spacing w:after="0" w:line="266" w:lineRule="auto"/>
        <w:tabs>
          <w:tab w:leader="none" w:pos="180" w:val="left"/>
        </w:tabs>
        <w:numPr>
          <w:ilvl w:val="0"/>
          <w:numId w:val="33"/>
        </w:numPr>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b w:val="1"/>
          <w:bCs w:val="1"/>
          <w:color w:val="auto"/>
        </w:rPr>
        <w:t xml:space="preserve">ERM is an integral part of Nokia’s corporate governance </w:t>
      </w:r>
      <w:r>
        <w:rPr>
          <w:rFonts w:ascii="Times New Roman" w:cs="Times New Roman" w:eastAsia="Times New Roman" w:hAnsi="Times New Roman"/>
          <w:sz w:val="11"/>
          <w:szCs w:val="11"/>
          <w:color w:val="auto"/>
        </w:rPr>
        <w:t>ERM accountability runs through the Company and is embedded into Nokia corporate governance. The Board of Directors and Group Leadership Team are committed to effective risk management as a core management capability that supports Nokia in achieving strategic, tactical and operational business objectives and in managing business performance.</w:t>
      </w:r>
    </w:p>
    <w:p>
      <w:pPr>
        <w:spacing w:after="0" w:line="61" w:lineRule="exact"/>
        <w:rPr>
          <w:rFonts w:ascii="Times New Roman" w:cs="Times New Roman" w:eastAsia="Times New Roman" w:hAnsi="Times New Roman"/>
          <w:sz w:val="11"/>
          <w:szCs w:val="11"/>
          <w:b w:val="1"/>
          <w:bCs w:val="1"/>
          <w:color w:val="005AFF"/>
        </w:rPr>
      </w:pPr>
    </w:p>
    <w:p>
      <w:pPr>
        <w:ind w:left="180" w:hanging="171"/>
        <w:spacing w:after="0"/>
        <w:tabs>
          <w:tab w:leader="none" w:pos="180" w:val="left"/>
        </w:tabs>
        <w:numPr>
          <w:ilvl w:val="0"/>
          <w:numId w:val="33"/>
        </w:numPr>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b w:val="1"/>
          <w:bCs w:val="1"/>
          <w:color w:val="auto"/>
        </w:rPr>
        <w:t>Risk ownership follows business ownership</w:t>
      </w:r>
    </w:p>
    <w:p>
      <w:pPr>
        <w:spacing w:after="0" w:line="18" w:lineRule="exact"/>
        <w:rPr>
          <w:rFonts w:ascii="Times New Roman" w:cs="Times New Roman" w:eastAsia="Times New Roman" w:hAnsi="Times New Roman"/>
          <w:sz w:val="11"/>
          <w:szCs w:val="11"/>
          <w:b w:val="1"/>
          <w:bCs w:val="1"/>
          <w:color w:val="005AFF"/>
        </w:rPr>
      </w:pPr>
    </w:p>
    <w:p>
      <w:pPr>
        <w:ind w:left="180"/>
        <w:spacing w:after="0" w:line="262" w:lineRule="auto"/>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color w:val="auto"/>
        </w:rPr>
        <w:t>Nokia ERM is aligned to the overall Nokia governance model, where Nokia’s businesses are accountable for meeting approved plans and targets as agreed within Nokia.</w:t>
      </w:r>
    </w:p>
    <w:p>
      <w:pPr>
        <w:ind w:left="180" w:right="120"/>
        <w:spacing w:after="0" w:line="306" w:lineRule="auto"/>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0"/>
          <w:szCs w:val="10"/>
          <w:color w:val="auto"/>
        </w:rPr>
        <w:t>Each business or function head is an owner of the risks in their respective responsibility area and is responsible for identifying and managing key risks and capturing opportunities.</w:t>
      </w:r>
    </w:p>
    <w:p>
      <w:pPr>
        <w:spacing w:after="0" w:line="41" w:lineRule="exact"/>
        <w:rPr>
          <w:rFonts w:ascii="Times New Roman" w:cs="Times New Roman" w:eastAsia="Times New Roman" w:hAnsi="Times New Roman"/>
          <w:sz w:val="11"/>
          <w:szCs w:val="11"/>
          <w:b w:val="1"/>
          <w:bCs w:val="1"/>
          <w:color w:val="005AFF"/>
        </w:rPr>
      </w:pPr>
    </w:p>
    <w:p>
      <w:pPr>
        <w:ind w:left="180" w:hanging="171"/>
        <w:spacing w:after="0"/>
        <w:tabs>
          <w:tab w:leader="none" w:pos="180" w:val="left"/>
        </w:tabs>
        <w:numPr>
          <w:ilvl w:val="0"/>
          <w:numId w:val="33"/>
        </w:numPr>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b w:val="1"/>
          <w:bCs w:val="1"/>
          <w:color w:val="auto"/>
        </w:rPr>
        <w:t>ERM is an area of continuous improvement</w:t>
      </w:r>
    </w:p>
    <w:p>
      <w:pPr>
        <w:spacing w:after="0" w:line="23" w:lineRule="exact"/>
        <w:rPr>
          <w:rFonts w:ascii="Times New Roman" w:cs="Times New Roman" w:eastAsia="Times New Roman" w:hAnsi="Times New Roman"/>
          <w:sz w:val="11"/>
          <w:szCs w:val="11"/>
          <w:b w:val="1"/>
          <w:bCs w:val="1"/>
          <w:color w:val="005AFF"/>
        </w:rPr>
      </w:pPr>
    </w:p>
    <w:p>
      <w:pPr>
        <w:ind w:left="180" w:right="300"/>
        <w:spacing w:after="0" w:line="265" w:lineRule="auto"/>
        <w:rPr>
          <w:rFonts w:ascii="Times New Roman" w:cs="Times New Roman" w:eastAsia="Times New Roman" w:hAnsi="Times New Roman"/>
          <w:sz w:val="11"/>
          <w:szCs w:val="11"/>
          <w:b w:val="1"/>
          <w:bCs w:val="1"/>
          <w:color w:val="005AFF"/>
        </w:rPr>
      </w:pPr>
      <w:r>
        <w:rPr>
          <w:rFonts w:ascii="Times New Roman" w:cs="Times New Roman" w:eastAsia="Times New Roman" w:hAnsi="Times New Roman"/>
          <w:sz w:val="11"/>
          <w:szCs w:val="11"/>
          <w:color w:val="auto"/>
        </w:rPr>
        <w:t>ERM is an area of continuous improvement for Nokia. The Chief Financial Officer, who also functions as the Chief Risk Officer, provides guidance and sponsors the development of ERM practices and ERM improvement.</w:t>
      </w:r>
    </w:p>
    <w:p>
      <w:pPr>
        <w:spacing w:after="0" w:line="200" w:lineRule="exact"/>
        <w:rPr>
          <w:sz w:val="20"/>
          <w:szCs w:val="20"/>
          <w:color w:val="auto"/>
        </w:rPr>
      </w:pPr>
    </w:p>
    <w:p>
      <w:pPr>
        <w:spacing w:after="0" w:line="32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line="289" w:lineRule="auto"/>
        <w:rPr>
          <w:sz w:val="20"/>
          <w:szCs w:val="20"/>
          <w:color w:val="auto"/>
        </w:rPr>
      </w:pPr>
      <w:r>
        <w:rPr>
          <w:rFonts w:ascii="Times New Roman" w:cs="Times New Roman" w:eastAsia="Times New Roman" w:hAnsi="Times New Roman"/>
          <w:sz w:val="11"/>
          <w:szCs w:val="11"/>
          <w:color w:val="auto"/>
        </w:rPr>
        <w:t>In addition to the principles defined in the Nokia Enterprise Risk Management Policy, other key corporate level policies reflect the implementation of specific aspects of risk management.</w:t>
      </w:r>
    </w:p>
    <w:p>
      <w:pPr>
        <w:spacing w:after="0" w:line="3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Cybersecurity Risk Management</w:t>
      </w:r>
    </w:p>
    <w:p>
      <w:pPr>
        <w:spacing w:after="0" w:line="32" w:lineRule="exact"/>
        <w:rPr>
          <w:sz w:val="20"/>
          <w:szCs w:val="20"/>
          <w:color w:val="auto"/>
        </w:rPr>
      </w:pPr>
    </w:p>
    <w:p>
      <w:pPr>
        <w:ind w:right="160"/>
        <w:spacing w:after="0" w:line="266" w:lineRule="auto"/>
        <w:rPr>
          <w:sz w:val="20"/>
          <w:szCs w:val="20"/>
          <w:color w:val="auto"/>
        </w:rPr>
      </w:pPr>
      <w:r>
        <w:rPr>
          <w:rFonts w:ascii="Times New Roman" w:cs="Times New Roman" w:eastAsia="Times New Roman" w:hAnsi="Times New Roman"/>
          <w:sz w:val="11"/>
          <w:szCs w:val="11"/>
          <w:color w:val="auto"/>
        </w:rPr>
        <w:t>Nokia, along with its partners and contracted third parties, faces cybersecurity threats like ransomware, viruses, worms and other malicious software, unauthorized modifications, or illegal activities that may cause potential security risks and other harm to Nokia, its customers or consumers and other end-users of Nokia’s products and services. The dynamic nature of IT makes it challenging to fully mitigate these risks. Nokia’s joint ventures and other group companies may have limited ability to oversee such threats.</w:t>
      </w:r>
    </w:p>
    <w:p>
      <w:pPr>
        <w:spacing w:after="0" w:line="63"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The cybersecurity incidents may lead to lengthy and costly incident response, remediation of the attack or breach and legal proceedings and fines imposed on us, as well as adverse effects to our reputation and brand value. Despite ongoing investments, preventing, detecting and containing cyber-attacks remain challenging. Additionally, the cost and operational consequences of implementing further information system protection measures, especially if prescribed by national authorities, could be significant. We may not be successful in implementing such measures in due time, which could lead to business disruptions and the implementation being more expensive, time-consuming and resource intensive. The regulatory framework around responding to and disclosing such events is in flux. We may not be able to comply with the regulations that must be implemented or such compliance may negatively impact our ability to deal with the underlying event.</w:t>
      </w:r>
    </w:p>
    <w:p>
      <w:pPr>
        <w:spacing w:after="0" w:line="58"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We face a number of cybersecurity risks within our business. Although such risks have not materially affected us thus far, including our business strategy, results of operations, or financial condition, we have from time to time experienced threats to and breaches of our data and systems, including malware and computer virus attacks. We continue to address these challenges, but there is no guarantee against future attacks.</w:t>
      </w:r>
    </w:p>
    <w:p>
      <w:pPr>
        <w:spacing w:after="0" w:line="62" w:lineRule="exact"/>
        <w:rPr>
          <w:sz w:val="20"/>
          <w:szCs w:val="20"/>
          <w:color w:val="auto"/>
        </w:rPr>
      </w:pPr>
    </w:p>
    <w:p>
      <w:pPr>
        <w:ind w:right="80"/>
        <w:spacing w:after="0" w:line="269" w:lineRule="auto"/>
        <w:rPr>
          <w:sz w:val="20"/>
          <w:szCs w:val="20"/>
          <w:color w:val="auto"/>
        </w:rPr>
      </w:pPr>
      <w:r>
        <w:rPr>
          <w:rFonts w:ascii="Times New Roman" w:cs="Times New Roman" w:eastAsia="Times New Roman" w:hAnsi="Times New Roman"/>
          <w:sz w:val="11"/>
          <w:szCs w:val="11"/>
          <w:color w:val="auto"/>
        </w:rPr>
        <w:t>Nokia has well-established cybersecurity processes built into its overall security risk management framework. This integration is achieved through the implementation of a security program set on various processes, such as cybersecurity risk management, third-party security risk management, security incident management and disaster recovery.</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53</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180"/>
        <w:spacing w:after="0" w:line="264" w:lineRule="auto"/>
        <w:rPr>
          <w:sz w:val="20"/>
          <w:szCs w:val="20"/>
          <w:color w:val="auto"/>
        </w:rPr>
      </w:pPr>
      <w:r>
        <w:rPr>
          <w:rFonts w:ascii="Times New Roman" w:cs="Times New Roman" w:eastAsia="Times New Roman" w:hAnsi="Times New Roman"/>
          <w:sz w:val="11"/>
          <w:szCs w:val="11"/>
          <w:color w:val="auto"/>
        </w:rPr>
        <w:t>The Chief Security Officer, who has the authority to establish and oversee the Nokia information security program, keeps Nokia’s executive leadership informed on program outcomes and highlights information security risks which may affect Nokia business and customers. Nokia’s executive leadership provides direction and support and has the responsibility to execute</w:t>
      </w:r>
    </w:p>
    <w:p>
      <w:pPr>
        <w:spacing w:after="0" w:line="1" w:lineRule="exact"/>
        <w:rPr>
          <w:sz w:val="20"/>
          <w:szCs w:val="20"/>
          <w:color w:val="auto"/>
        </w:rPr>
      </w:pPr>
    </w:p>
    <w:p>
      <w:pPr>
        <w:ind w:right="300"/>
        <w:spacing w:after="0" w:line="271" w:lineRule="auto"/>
        <w:rPr>
          <w:sz w:val="20"/>
          <w:szCs w:val="20"/>
          <w:color w:val="auto"/>
        </w:rPr>
      </w:pPr>
      <w:r>
        <w:rPr>
          <w:rFonts w:ascii="Times New Roman" w:cs="Times New Roman" w:eastAsia="Times New Roman" w:hAnsi="Times New Roman"/>
          <w:sz w:val="11"/>
          <w:szCs w:val="11"/>
          <w:color w:val="auto"/>
        </w:rPr>
        <w:t>the program within their own domains. Key principles are communicated through the Nokia Information Security Policy, applicable also to third parties and collaborators and supported by topical Standard Operation Procedures and guidelines.</w:t>
      </w:r>
    </w:p>
    <w:p>
      <w:pPr>
        <w:spacing w:after="0" w:line="49"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Nokia’s security ambition is reflected in the supplier selection processes, contracts and supplier (re)assessments ensuring effective security is in place in our supply chain and with our third-party partners. We are dedicated to adhering to applicable laws, regulations, contractual commitments, and industry best practices, including but not limited to ISO 27001, NIST SP 800 series, Cloud Security Alliance Control Matrix, and the Information Security Forum.</w:t>
      </w:r>
    </w:p>
    <w:p>
      <w:pPr>
        <w:spacing w:after="0" w:line="49"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Nokia’s cybersecurity incidents are handled in the Security Incident Management Process, which covers all phases of incident response, including preparation, identification, containment, eradication, recovery and post-incident analysis. Each confirmed cybersecurity-related incident is assessed against a classification scheme (impact on confidentiality, integrity and availability of the related asset, urgency, and priority of the security incident). Significant cybersecurity incidents are elevated and managed by a cross-functional, executive management-level team, which is responsible for making the necessary decisions and prioritizing actions that can minimize the impact of the security incident to Nokia and its customers. Members from the CFO and Legal and Compliance teams are responsible for determining the materiality</w:t>
      </w:r>
    </w:p>
    <w:p>
      <w:pPr>
        <w:spacing w:after="0" w:line="5" w:lineRule="exact"/>
        <w:rPr>
          <w:sz w:val="20"/>
          <w:szCs w:val="20"/>
          <w:color w:val="auto"/>
        </w:rPr>
      </w:pPr>
    </w:p>
    <w:p>
      <w:pPr>
        <w:ind w:right="300"/>
        <w:spacing w:after="0" w:line="263" w:lineRule="auto"/>
        <w:rPr>
          <w:sz w:val="20"/>
          <w:szCs w:val="20"/>
          <w:color w:val="auto"/>
        </w:rPr>
      </w:pPr>
      <w:r>
        <w:rPr>
          <w:rFonts w:ascii="Times New Roman" w:cs="Times New Roman" w:eastAsia="Times New Roman" w:hAnsi="Times New Roman"/>
          <w:sz w:val="11"/>
          <w:szCs w:val="11"/>
          <w:color w:val="auto"/>
        </w:rPr>
        <w:t>of the security incident and promptly informing the Audit Committee of the Board. The Nokia management team for assessing and managing cybersecurity threats includes members with training and experience in security risk management, security governance, cyber resilience, security incident management, information technology, cybersecurity legal and compliance requirements and disclosures. For an overview of the training and experience of the members of the Board and our assessment of their experience and skills related to cybersecurity, please see “Main corporate governance bodies of Nokia–Board of Directors”.</w:t>
      </w:r>
    </w:p>
    <w:p>
      <w:pPr>
        <w:sectPr>
          <w:pgSz w:w="11900" w:h="16838" w:orient="portrait"/>
          <w:cols w:equalWidth="0" w:num="3">
            <w:col w:w="3040" w:space="360"/>
            <w:col w:w="2980" w:space="420"/>
            <w:col w:w="3180"/>
          </w:cols>
          <w:pgMar w:left="960" w:top="409" w:right="959" w:bottom="1440" w:gutter="0" w:footer="0" w:header="0"/>
        </w:sectPr>
      </w:pPr>
    </w:p>
    <w:bookmarkStart w:id="61" w:name="page62"/>
    <w:bookmarkEnd w:id="61"/>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68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54</w:t>
      </w:r>
    </w:p>
    <w:p>
      <w:pPr>
        <w:spacing w:after="0" w:line="614" w:lineRule="exact"/>
        <w:rPr>
          <w:sz w:val="20"/>
          <w:szCs w:val="20"/>
          <w:color w:val="auto"/>
        </w:rPr>
      </w:pPr>
    </w:p>
    <w:p>
      <w:pPr>
        <w:sectPr>
          <w:pgSz w:w="11900" w:h="16838" w:orient="portrait"/>
          <w:cols w:equalWidth="0" w:num="2">
            <w:col w:w="9140" w:space="720"/>
            <w:col w:w="120"/>
          </w:cols>
          <w:pgMar w:left="960" w:top="409" w:right="959" w:bottom="1440" w:gutter="0" w:footer="0" w:header="0"/>
        </w:sectPr>
      </w:pPr>
    </w:p>
    <w:p>
      <w:pPr>
        <w:spacing w:after="0" w:line="126"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3"/>
          <w:szCs w:val="13"/>
          <w:color w:val="auto"/>
        </w:rPr>
        <w:t>Description of internal control procedures in relation to the financial reporting process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Management is responsible for establishing and maintaining</w:t>
      </w:r>
    </w:p>
    <w:p>
      <w:pPr>
        <w:spacing w:after="0" w:line="22" w:lineRule="exact"/>
        <w:rPr>
          <w:sz w:val="20"/>
          <w:szCs w:val="20"/>
          <w:color w:val="auto"/>
        </w:rPr>
      </w:pPr>
    </w:p>
    <w:p>
      <w:pPr>
        <w:spacing w:after="0"/>
        <w:tabs>
          <w:tab w:leader="none" w:pos="2400" w:val="left"/>
        </w:tabs>
        <w:rPr>
          <w:sz w:val="20"/>
          <w:szCs w:val="20"/>
          <w:color w:val="auto"/>
        </w:rPr>
      </w:pPr>
      <w:r>
        <w:rPr>
          <w:rFonts w:ascii="Times New Roman" w:cs="Times New Roman" w:eastAsia="Times New Roman" w:hAnsi="Times New Roman"/>
          <w:sz w:val="11"/>
          <w:szCs w:val="11"/>
          <w:color w:val="auto"/>
        </w:rPr>
        <w:t>adequate internal control over Nokia’s financial</w:t>
      </w:r>
      <w:r>
        <w:rPr>
          <w:sz w:val="20"/>
          <w:szCs w:val="20"/>
          <w:color w:val="auto"/>
        </w:rPr>
        <w:tab/>
      </w:r>
      <w:r>
        <w:rPr>
          <w:rFonts w:ascii="Times New Roman" w:cs="Times New Roman" w:eastAsia="Times New Roman" w:hAnsi="Times New Roman"/>
          <w:sz w:val="11"/>
          <w:szCs w:val="11"/>
          <w:color w:val="auto"/>
        </w:rPr>
        <w:t>reporting. Our</w:t>
      </w:r>
    </w:p>
    <w:p>
      <w:pPr>
        <w:spacing w:after="0" w:line="15" w:lineRule="exact"/>
        <w:rPr>
          <w:sz w:val="20"/>
          <w:szCs w:val="20"/>
          <w:color w:val="auto"/>
        </w:rPr>
      </w:pPr>
    </w:p>
    <w:p>
      <w:pPr>
        <w:spacing w:after="0"/>
        <w:tabs>
          <w:tab w:leader="none" w:pos="2540" w:val="left"/>
        </w:tabs>
        <w:rPr>
          <w:sz w:val="20"/>
          <w:szCs w:val="20"/>
          <w:color w:val="auto"/>
        </w:rPr>
      </w:pPr>
      <w:r>
        <w:rPr>
          <w:rFonts w:ascii="Times New Roman" w:cs="Times New Roman" w:eastAsia="Times New Roman" w:hAnsi="Times New Roman"/>
          <w:sz w:val="11"/>
          <w:szCs w:val="11"/>
          <w:color w:val="auto"/>
        </w:rPr>
        <w:t>internal control over financial reporting is designed</w:t>
      </w:r>
      <w:r>
        <w:rPr>
          <w:sz w:val="20"/>
          <w:szCs w:val="20"/>
          <w:color w:val="auto"/>
        </w:rPr>
        <w:tab/>
      </w:r>
      <w:r>
        <w:rPr>
          <w:rFonts w:ascii="Times New Roman" w:cs="Times New Roman" w:eastAsia="Times New Roman" w:hAnsi="Times New Roman"/>
          <w:sz w:val="11"/>
          <w:szCs w:val="11"/>
          <w:color w:val="auto"/>
        </w:rPr>
        <w:t>to provide</w:t>
      </w:r>
    </w:p>
    <w:p>
      <w:pPr>
        <w:spacing w:after="0" w:line="10" w:lineRule="exact"/>
        <w:rPr>
          <w:sz w:val="20"/>
          <w:szCs w:val="20"/>
          <w:color w:val="auto"/>
        </w:rPr>
      </w:pPr>
    </w:p>
    <w:p>
      <w:pPr>
        <w:spacing w:after="0"/>
        <w:tabs>
          <w:tab w:leader="none" w:pos="2720" w:val="left"/>
        </w:tabs>
        <w:rPr>
          <w:sz w:val="20"/>
          <w:szCs w:val="20"/>
          <w:color w:val="auto"/>
        </w:rPr>
      </w:pPr>
      <w:r>
        <w:rPr>
          <w:rFonts w:ascii="Times New Roman" w:cs="Times New Roman" w:eastAsia="Times New Roman" w:hAnsi="Times New Roman"/>
          <w:sz w:val="11"/>
          <w:szCs w:val="11"/>
          <w:color w:val="auto"/>
        </w:rPr>
        <w:t>reasonable assurance to management and the Board</w:t>
      </w:r>
      <w:r>
        <w:rPr>
          <w:sz w:val="20"/>
          <w:szCs w:val="20"/>
          <w:color w:val="auto"/>
        </w:rPr>
        <w:tab/>
      </w:r>
      <w:r>
        <w:rPr>
          <w:rFonts w:ascii="Times New Roman" w:cs="Times New Roman" w:eastAsia="Times New Roman" w:hAnsi="Times New Roman"/>
          <w:sz w:val="10"/>
          <w:szCs w:val="10"/>
          <w:color w:val="auto"/>
        </w:rPr>
        <w:t>regarding</w:t>
      </w:r>
    </w:p>
    <w:p>
      <w:pPr>
        <w:spacing w:after="0" w:line="10" w:lineRule="exact"/>
        <w:rPr>
          <w:sz w:val="20"/>
          <w:szCs w:val="20"/>
          <w:color w:val="auto"/>
        </w:rPr>
      </w:pPr>
    </w:p>
    <w:p>
      <w:pPr>
        <w:spacing w:after="0"/>
        <w:tabs>
          <w:tab w:leader="none" w:pos="2720" w:val="left"/>
        </w:tabs>
        <w:rPr>
          <w:sz w:val="20"/>
          <w:szCs w:val="20"/>
          <w:color w:val="auto"/>
        </w:rPr>
      </w:pPr>
      <w:r>
        <w:rPr>
          <w:rFonts w:ascii="Times New Roman" w:cs="Times New Roman" w:eastAsia="Times New Roman" w:hAnsi="Times New Roman"/>
          <w:sz w:val="11"/>
          <w:szCs w:val="11"/>
          <w:color w:val="auto"/>
        </w:rPr>
        <w:t>the reliability of financial reporting and the preparation</w:t>
      </w:r>
      <w:r>
        <w:rPr>
          <w:sz w:val="20"/>
          <w:szCs w:val="20"/>
          <w:color w:val="auto"/>
        </w:rPr>
        <w:tab/>
      </w:r>
      <w:r>
        <w:rPr>
          <w:rFonts w:ascii="Times New Roman" w:cs="Times New Roman" w:eastAsia="Times New Roman" w:hAnsi="Times New Roman"/>
          <w:sz w:val="11"/>
          <w:szCs w:val="11"/>
          <w:color w:val="auto"/>
        </w:rPr>
        <w:t>and fair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presentation of published financial statements.</w:t>
      </w:r>
    </w:p>
    <w:p>
      <w:pPr>
        <w:spacing w:after="0" w:line="84" w:lineRule="exact"/>
        <w:rPr>
          <w:sz w:val="20"/>
          <w:szCs w:val="20"/>
          <w:color w:val="auto"/>
        </w:rPr>
      </w:pPr>
    </w:p>
    <w:p>
      <w:pPr>
        <w:ind w:right="140"/>
        <w:spacing w:after="0" w:line="262" w:lineRule="auto"/>
        <w:rPr>
          <w:sz w:val="20"/>
          <w:szCs w:val="20"/>
          <w:color w:val="auto"/>
        </w:rPr>
      </w:pPr>
      <w:r>
        <w:rPr>
          <w:rFonts w:ascii="Times New Roman" w:cs="Times New Roman" w:eastAsia="Times New Roman" w:hAnsi="Times New Roman"/>
          <w:sz w:val="11"/>
          <w:szCs w:val="11"/>
          <w:color w:val="auto"/>
        </w:rPr>
        <w:t>Management conducts a yearly assessment of Nokia’s internal controls over financial reporting in accordance with the Committee of Sponsoring Organizations framework (the “COSO framework”, 2013) and the Control Objectives for Information and Related Technology (COBIT) framework of internal controls. The assessment is performed based on a top-down risk assessment of our financial statements covering significant accounts, processes and locations, corporate-level controls</w:t>
      </w:r>
    </w:p>
    <w:p>
      <w:pPr>
        <w:spacing w:after="0" w:line="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information systems’ general controls.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 part of its assessment, management has documented:</w:t>
      </w:r>
    </w:p>
    <w:p>
      <w:pPr>
        <w:spacing w:after="0" w:line="96" w:lineRule="exact"/>
        <w:rPr>
          <w:sz w:val="20"/>
          <w:szCs w:val="20"/>
          <w:color w:val="auto"/>
        </w:rPr>
      </w:pPr>
    </w:p>
    <w:p>
      <w:pPr>
        <w:ind w:left="180" w:right="300" w:hanging="171"/>
        <w:spacing w:after="0" w:line="269" w:lineRule="auto"/>
        <w:tabs>
          <w:tab w:leader="none" w:pos="180" w:val="left"/>
        </w:tabs>
        <w:numPr>
          <w:ilvl w:val="0"/>
          <w:numId w:val="3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corporate-level controls, which create the “tone from the top” containing the Nokia values and Code of Conduct and which provide discipline and structure to decision-making processes and ways of working. Selected items from our operational mode and governance principles are separately documented as corporate-level controls;</w:t>
      </w:r>
    </w:p>
    <w:p>
      <w:pPr>
        <w:spacing w:after="0" w:line="59"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3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significant processes: (i) give a complete end-to-end</w:t>
      </w:r>
    </w:p>
    <w:p>
      <w:pPr>
        <w:spacing w:after="0" w:line="16" w:lineRule="exact"/>
        <w:rPr>
          <w:rFonts w:ascii="Times New Roman" w:cs="Times New Roman" w:eastAsia="Times New Roman" w:hAnsi="Times New Roman"/>
          <w:sz w:val="11"/>
          <w:szCs w:val="11"/>
          <w:color w:val="005AFF"/>
        </w:rPr>
      </w:pPr>
    </w:p>
    <w:p>
      <w:pPr>
        <w:ind w:left="180" w:right="120"/>
        <w:spacing w:after="0" w:line="258" w:lineRule="auto"/>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view of all financial processes; (ii) identify key control points; (iii) identify involved organizations; (iv) ensure coverage for important accounts and financial statement assertions;</w:t>
      </w:r>
    </w:p>
    <w:p>
      <w:pPr>
        <w:spacing w:after="0" w:line="1" w:lineRule="exact"/>
        <w:rPr>
          <w:rFonts w:ascii="Times New Roman" w:cs="Times New Roman" w:eastAsia="Times New Roman" w:hAnsi="Times New Roman"/>
          <w:sz w:val="11"/>
          <w:szCs w:val="11"/>
          <w:color w:val="005AFF"/>
        </w:rPr>
      </w:pPr>
    </w:p>
    <w:p>
      <w:pPr>
        <w:ind w:left="180"/>
        <w:spacing w:after="0"/>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and (v) enable internal control management within Nokia;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left="180" w:right="160" w:hanging="170"/>
        <w:spacing w:after="0" w:line="274" w:lineRule="auto"/>
        <w:tabs>
          <w:tab w:leader="none" w:pos="180" w:val="left"/>
        </w:tabs>
        <w:numPr>
          <w:ilvl w:val="0"/>
          <w:numId w:val="3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control activities, which consist of policies and procedures to ensure management’s directives are carried out and the related documentation is stored according to our document retention practices and local statutory requirements; and</w:t>
      </w:r>
    </w:p>
    <w:p>
      <w:pPr>
        <w:spacing w:after="0" w:line="46" w:lineRule="exact"/>
        <w:rPr>
          <w:rFonts w:ascii="Times New Roman" w:cs="Times New Roman" w:eastAsia="Times New Roman" w:hAnsi="Times New Roman"/>
          <w:sz w:val="11"/>
          <w:szCs w:val="11"/>
          <w:color w:val="005AFF"/>
        </w:rPr>
      </w:pPr>
    </w:p>
    <w:p>
      <w:pPr>
        <w:ind w:left="180" w:hanging="170"/>
        <w:spacing w:after="0" w:line="275" w:lineRule="auto"/>
        <w:tabs>
          <w:tab w:leader="none" w:pos="180" w:val="left"/>
        </w:tabs>
        <w:numPr>
          <w:ilvl w:val="0"/>
          <w:numId w:val="3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information systems’ general controls to ensure that sufficient IT general controls, including change management, system development and computer operations, as well as access and authorizations, are in place.</w:t>
      </w:r>
    </w:p>
    <w:p>
      <w:pPr>
        <w:spacing w:after="0" w:line="5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Further, management has also:</w:t>
      </w:r>
    </w:p>
    <w:p>
      <w:pPr>
        <w:spacing w:after="0" w:line="86" w:lineRule="exact"/>
        <w:rPr>
          <w:sz w:val="20"/>
          <w:szCs w:val="20"/>
          <w:color w:val="auto"/>
        </w:rPr>
      </w:pPr>
    </w:p>
    <w:p>
      <w:pPr>
        <w:ind w:left="180" w:right="400" w:hanging="170"/>
        <w:spacing w:after="0" w:line="309" w:lineRule="auto"/>
        <w:tabs>
          <w:tab w:leader="none" w:pos="180" w:val="left"/>
        </w:tabs>
        <w:numPr>
          <w:ilvl w:val="0"/>
          <w:numId w:val="3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assessed the design of the controls in place aimed at mitigating the financial reporting risks;</w:t>
      </w:r>
    </w:p>
    <w:p>
      <w:pPr>
        <w:spacing w:after="0" w:line="38"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3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tested operating effectiveness of all key controls; and</w:t>
      </w:r>
    </w:p>
    <w:p>
      <w:pPr>
        <w:spacing w:after="0" w:line="85" w:lineRule="exact"/>
        <w:rPr>
          <w:rFonts w:ascii="Times New Roman" w:cs="Times New Roman" w:eastAsia="Times New Roman" w:hAnsi="Times New Roman"/>
          <w:sz w:val="11"/>
          <w:szCs w:val="11"/>
          <w:color w:val="005AFF"/>
        </w:rPr>
      </w:pPr>
    </w:p>
    <w:p>
      <w:pPr>
        <w:ind w:left="180" w:right="220" w:hanging="170"/>
        <w:spacing w:after="0" w:line="309" w:lineRule="auto"/>
        <w:tabs>
          <w:tab w:leader="none" w:pos="180" w:val="left"/>
        </w:tabs>
        <w:numPr>
          <w:ilvl w:val="0"/>
          <w:numId w:val="3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evaluated all noted deficiencies in internal controls over financial reporting in the interim and as of year end.</w:t>
      </w:r>
    </w:p>
    <w:p>
      <w:pPr>
        <w:spacing w:after="0" w:line="28" w:lineRule="exact"/>
        <w:rPr>
          <w:sz w:val="20"/>
          <w:szCs w:val="20"/>
          <w:color w:val="auto"/>
        </w:rPr>
      </w:pPr>
    </w:p>
    <w:p>
      <w:pPr>
        <w:jc w:val="both"/>
        <w:ind w:right="240"/>
        <w:spacing w:after="0" w:line="275" w:lineRule="auto"/>
        <w:rPr>
          <w:sz w:val="20"/>
          <w:szCs w:val="20"/>
          <w:color w:val="auto"/>
        </w:rPr>
      </w:pPr>
      <w:r>
        <w:rPr>
          <w:rFonts w:ascii="Times New Roman" w:cs="Times New Roman" w:eastAsia="Times New Roman" w:hAnsi="Times New Roman"/>
          <w:sz w:val="11"/>
          <w:szCs w:val="11"/>
          <w:color w:val="auto"/>
        </w:rPr>
        <w:t>In 2023 , Nokia has followed the procedures as described above and has reported on the progress and assessments to management and to the Audit Committee of the Board on a quarterly basis.</w:t>
      </w:r>
    </w:p>
    <w:p>
      <w:pPr>
        <w:spacing w:after="0" w:line="58" w:lineRule="exact"/>
        <w:rPr>
          <w:sz w:val="20"/>
          <w:szCs w:val="20"/>
          <w:color w:val="auto"/>
        </w:rPr>
      </w:pPr>
    </w:p>
    <w:p>
      <w:pPr>
        <w:ind w:right="500"/>
        <w:spacing w:after="0" w:line="275" w:lineRule="auto"/>
        <w:rPr>
          <w:sz w:val="20"/>
          <w:szCs w:val="20"/>
          <w:color w:val="auto"/>
        </w:rPr>
      </w:pPr>
      <w:r>
        <w:rPr>
          <w:rFonts w:ascii="Times New Roman" w:cs="Times New Roman" w:eastAsia="Times New Roman" w:hAnsi="Times New Roman"/>
          <w:sz w:val="13"/>
          <w:szCs w:val="13"/>
          <w:color w:val="auto"/>
        </w:rPr>
        <w:t>Description of the organization of the internal audit function</w:t>
      </w:r>
    </w:p>
    <w:p>
      <w:pPr>
        <w:spacing w:after="0" w:line="1" w:lineRule="exact"/>
        <w:rPr>
          <w:sz w:val="20"/>
          <w:szCs w:val="20"/>
          <w:color w:val="auto"/>
        </w:rPr>
      </w:pPr>
    </w:p>
    <w:p>
      <w:pPr>
        <w:ind w:right="100"/>
        <w:spacing w:after="0" w:line="262" w:lineRule="auto"/>
        <w:rPr>
          <w:sz w:val="20"/>
          <w:szCs w:val="20"/>
          <w:color w:val="auto"/>
        </w:rPr>
      </w:pPr>
      <w:r>
        <w:rPr>
          <w:rFonts w:ascii="Times New Roman" w:cs="Times New Roman" w:eastAsia="Times New Roman" w:hAnsi="Times New Roman"/>
          <w:sz w:val="11"/>
          <w:szCs w:val="11"/>
          <w:color w:val="auto"/>
        </w:rPr>
        <w:t>We have an internal audit function that examines and evaluates the adequacy and effectiveness of our system of internal control. Internal audit reports to the Audit Committee of the Board. The head of the internal audit function has direct access to the Audit Committee, without the involvement of management. The internal audit staffing levels and annual budget are approved by the Audit Committee. All authority of the internal audit function is derived from the Board.</w:t>
      </w:r>
    </w:p>
    <w:p>
      <w:pPr>
        <w:spacing w:after="0" w:line="4" w:lineRule="exact"/>
        <w:rPr>
          <w:sz w:val="20"/>
          <w:szCs w:val="20"/>
          <w:color w:val="auto"/>
        </w:rPr>
      </w:pPr>
    </w:p>
    <w:p>
      <w:pPr>
        <w:ind w:right="280"/>
        <w:spacing w:after="0" w:line="278" w:lineRule="auto"/>
        <w:rPr>
          <w:sz w:val="20"/>
          <w:szCs w:val="20"/>
          <w:color w:val="auto"/>
        </w:rPr>
      </w:pPr>
      <w:r>
        <w:rPr>
          <w:rFonts w:ascii="Times New Roman" w:cs="Times New Roman" w:eastAsia="Times New Roman" w:hAnsi="Times New Roman"/>
          <w:sz w:val="11"/>
          <w:szCs w:val="11"/>
          <w:color w:val="auto"/>
        </w:rPr>
        <w:t>The internal audit aligns to the business by business group and function.</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60"/>
        <w:spacing w:after="0" w:line="265" w:lineRule="auto"/>
        <w:rPr>
          <w:sz w:val="20"/>
          <w:szCs w:val="20"/>
          <w:color w:val="auto"/>
        </w:rPr>
      </w:pPr>
      <w:r>
        <w:rPr>
          <w:rFonts w:ascii="Times New Roman" w:cs="Times New Roman" w:eastAsia="Times New Roman" w:hAnsi="Times New Roman"/>
          <w:sz w:val="11"/>
          <w:szCs w:val="11"/>
          <w:color w:val="auto"/>
        </w:rPr>
        <w:t>Annually, a risk-based internal audit plan is developed with input from management, taking into account key business risks and external factors. This plan is approved by the Audit Committee. Audits are completed across business groups and functions. The results of each audit are reported to management identifying issues, financial impact, if any, and the correcting actions to be completed. Quarterly, the internal audit function communicates the progress of the internal audit plan completion, including the results of the closed audits, to the Audit Committee. Any changes to the risk environment impacting the internal audit plan are presented to the Audit Committee for review and approval on a quarterly basis.</w:t>
      </w:r>
    </w:p>
    <w:p>
      <w:pPr>
        <w:spacing w:after="0" w:line="63" w:lineRule="exact"/>
        <w:rPr>
          <w:sz w:val="20"/>
          <w:szCs w:val="20"/>
          <w:color w:val="auto"/>
        </w:rPr>
      </w:pPr>
    </w:p>
    <w:p>
      <w:pPr>
        <w:ind w:right="340"/>
        <w:spacing w:after="0" w:line="269" w:lineRule="auto"/>
        <w:rPr>
          <w:sz w:val="20"/>
          <w:szCs w:val="20"/>
          <w:color w:val="auto"/>
        </w:rPr>
      </w:pPr>
      <w:r>
        <w:rPr>
          <w:rFonts w:ascii="Times New Roman" w:cs="Times New Roman" w:eastAsia="Times New Roman" w:hAnsi="Times New Roman"/>
          <w:sz w:val="11"/>
          <w:szCs w:val="11"/>
          <w:color w:val="auto"/>
        </w:rPr>
        <w:t>Internal audit also works closely with Internal Controls and Ethics and Compliance offices to review any financial and compliance concerns brought to light from various channels and, where relevant, works with Enterprise Risk Management to ensure priority risk areas are reviewed through audits.</w:t>
      </w:r>
    </w:p>
    <w:p>
      <w:pPr>
        <w:sectPr>
          <w:pgSz w:w="11900" w:h="16838" w:orient="portrait"/>
          <w:cols w:equalWidth="0" w:num="3">
            <w:col w:w="3160" w:space="240"/>
            <w:col w:w="2960" w:space="440"/>
            <w:col w:w="3180"/>
          </w:cols>
          <w:pgMar w:left="960" w:top="409" w:right="959" w:bottom="1440" w:gutter="0" w:footer="0" w:header="0"/>
          <w:type w:val="continuous"/>
        </w:sectPr>
      </w:pPr>
    </w:p>
    <w:bookmarkStart w:id="62" w:name="page63"/>
    <w:bookmarkEnd w:id="62"/>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3"/>
          <w:szCs w:val="13"/>
          <w:color w:val="005AFF"/>
        </w:rPr>
        <w:t>Corporate governance statement</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55</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820" w:space="580"/>
            <w:col w:w="6660"/>
          </w:cols>
          <w:pgMar w:left="960" w:top="409" w:right="879" w:bottom="1440" w:gutter="0" w:footer="0" w:header="0"/>
        </w:sectPr>
      </w:pPr>
    </w:p>
    <w:p>
      <w:pPr>
        <w:spacing w:after="0" w:line="1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Related party transactions</w:t>
      </w:r>
    </w:p>
    <w:p>
      <w:pPr>
        <w:spacing w:after="0" w:line="32" w:lineRule="exact"/>
        <w:rPr>
          <w:sz w:val="20"/>
          <w:szCs w:val="20"/>
          <w:color w:val="auto"/>
        </w:rPr>
      </w:pPr>
    </w:p>
    <w:p>
      <w:pPr>
        <w:ind w:right="40"/>
        <w:spacing w:after="0" w:line="265" w:lineRule="auto"/>
        <w:rPr>
          <w:sz w:val="20"/>
          <w:szCs w:val="20"/>
          <w:color w:val="auto"/>
        </w:rPr>
      </w:pPr>
      <w:r>
        <w:rPr>
          <w:rFonts w:ascii="Times New Roman" w:cs="Times New Roman" w:eastAsia="Times New Roman" w:hAnsi="Times New Roman"/>
          <w:sz w:val="11"/>
          <w:szCs w:val="11"/>
          <w:color w:val="auto"/>
        </w:rPr>
        <w:t>We determine and monitor related parties in accordance with the International Accounting Standards (IAS 24, Related Party Disclosures) and other applicable regulations including the applicable US securities laws. We maintain information on our related parties, as well as monitor and assess related party transactions. As a main principle, all transactions should be conducted at arm’s-length and as part of the ordinary course of business. In exceptional cases where these principles would be deviated from, Nokia would set up a separate process to determine the related parties in question and to seek relevant approvals in accordance with internal guidelines and applicable regulations.</w:t>
      </w:r>
    </w:p>
    <w:p>
      <w:pPr>
        <w:spacing w:after="0" w:line="56" w:lineRule="exact"/>
        <w:rPr>
          <w:sz w:val="20"/>
          <w:szCs w:val="20"/>
          <w:color w:val="auto"/>
        </w:rPr>
      </w:pPr>
    </w:p>
    <w:p>
      <w:pPr>
        <w:ind w:right="680"/>
        <w:spacing w:after="0" w:line="268" w:lineRule="auto"/>
        <w:rPr>
          <w:sz w:val="20"/>
          <w:szCs w:val="20"/>
          <w:color w:val="auto"/>
        </w:rPr>
      </w:pPr>
      <w:r>
        <w:rPr>
          <w:rFonts w:ascii="Times New Roman" w:cs="Times New Roman" w:eastAsia="Times New Roman" w:hAnsi="Times New Roman"/>
          <w:sz w:val="16"/>
          <w:szCs w:val="16"/>
          <w:color w:val="005AFF"/>
        </w:rPr>
        <w:t>Main procedures relating to insider administration</w:t>
      </w:r>
    </w:p>
    <w:p>
      <w:pPr>
        <w:spacing w:after="0" w:line="1"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Our insider administration is organized according to the applicable European Union and Finnish laws and regulations as well as applicable US securities laws and regulations. In addition, the Board of Directors has approved the Nokia Insider Policy, which sets out Nokia-wide rules and practices to ensure full compliance with applicable rules and that inside information is recognized and treated in an appropriate manner and with the highest integrity. The Nokia Insider Policy is applicable</w:t>
      </w:r>
    </w:p>
    <w:p>
      <w:pPr>
        <w:spacing w:after="0" w:line="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all directors, executives and employees of Nokia.</w:t>
      </w:r>
    </w:p>
    <w:p>
      <w:pPr>
        <w:spacing w:after="0" w:line="8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Persons discharging managerial responsibilities</w:t>
      </w:r>
    </w:p>
    <w:p>
      <w:pPr>
        <w:spacing w:after="0" w:line="32" w:lineRule="exact"/>
        <w:rPr>
          <w:sz w:val="20"/>
          <w:szCs w:val="20"/>
          <w:color w:val="auto"/>
        </w:rPr>
      </w:pPr>
    </w:p>
    <w:p>
      <w:pPr>
        <w:ind w:right="160"/>
        <w:spacing w:after="0" w:line="269" w:lineRule="auto"/>
        <w:rPr>
          <w:sz w:val="20"/>
          <w:szCs w:val="20"/>
          <w:color w:val="auto"/>
        </w:rPr>
      </w:pPr>
      <w:r>
        <w:rPr>
          <w:rFonts w:ascii="Times New Roman" w:cs="Times New Roman" w:eastAsia="Times New Roman" w:hAnsi="Times New Roman"/>
          <w:sz w:val="11"/>
          <w:szCs w:val="11"/>
          <w:color w:val="auto"/>
        </w:rPr>
        <w:t>Nokia has identified members of the Board of Directors and the Group Leadership Team as persons discharging managerial responsibilities who, along with persons closely associated with them, are required to notify Nokia and the Finnish Financial Supervisory Authority of their transactions with Nokia’s financial instruments. Nokia publishes the transaction notifications.</w:t>
      </w:r>
    </w:p>
    <w:p>
      <w:pPr>
        <w:spacing w:after="0" w:line="59" w:lineRule="exact"/>
        <w:rPr>
          <w:sz w:val="20"/>
          <w:szCs w:val="20"/>
          <w:color w:val="auto"/>
        </w:rPr>
      </w:pPr>
    </w:p>
    <w:p>
      <w:pPr>
        <w:ind w:right="180"/>
        <w:spacing w:after="0" w:line="263" w:lineRule="auto"/>
        <w:rPr>
          <w:sz w:val="20"/>
          <w:szCs w:val="20"/>
          <w:color w:val="auto"/>
        </w:rPr>
      </w:pPr>
      <w:r>
        <w:rPr>
          <w:rFonts w:ascii="Times New Roman" w:cs="Times New Roman" w:eastAsia="Times New Roman" w:hAnsi="Times New Roman"/>
          <w:sz w:val="11"/>
          <w:szCs w:val="11"/>
          <w:color w:val="auto"/>
        </w:rPr>
        <w:t>In addition, according to the Nokia Insider Policy, persons discharging managerial responsibilities are obligated to clear with the Head of Corporate Legal a planned transaction</w:t>
      </w:r>
    </w:p>
    <w:p>
      <w:pPr>
        <w:spacing w:after="0" w:line="1" w:lineRule="exact"/>
        <w:rPr>
          <w:sz w:val="20"/>
          <w:szCs w:val="20"/>
          <w:color w:val="auto"/>
        </w:rPr>
      </w:pPr>
    </w:p>
    <w:p>
      <w:pPr>
        <w:ind w:right="100"/>
        <w:spacing w:after="0" w:line="268" w:lineRule="auto"/>
        <w:rPr>
          <w:sz w:val="20"/>
          <w:szCs w:val="20"/>
          <w:color w:val="auto"/>
        </w:rPr>
      </w:pPr>
      <w:r>
        <w:rPr>
          <w:rFonts w:ascii="Times New Roman" w:cs="Times New Roman" w:eastAsia="Times New Roman" w:hAnsi="Times New Roman"/>
          <w:sz w:val="11"/>
          <w:szCs w:val="11"/>
          <w:color w:val="auto"/>
        </w:rPr>
        <w:t>in Nokia’s financial instruments in advance. It is also recommended that trading and other transactions in Nokia’s financial instruments are carried out in times when the information available to the market is as complete as possible.</w:t>
      </w:r>
    </w:p>
    <w:p>
      <w:pPr>
        <w:spacing w:after="0" w:line="200" w:lineRule="exact"/>
        <w:rPr>
          <w:sz w:val="20"/>
          <w:szCs w:val="20"/>
          <w:color w:val="auto"/>
        </w:rPr>
      </w:pPr>
    </w:p>
    <w:p>
      <w:pPr>
        <w:spacing w:after="0" w:line="200" w:lineRule="exact"/>
        <w:rPr>
          <w:sz w:val="20"/>
          <w:szCs w:val="20"/>
          <w:color w:val="auto"/>
        </w:rPr>
      </w:pP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Closed window</w:t>
      </w:r>
    </w:p>
    <w:p>
      <w:pPr>
        <w:spacing w:after="0" w:line="32"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Persons discharging managerial responsibilities are subject to a closed window period of 30 calendar days preceding the disclosure of Nokia’s quarterly or annual result announcements, as well as the day of the disclosure. During the closed window period, persons discharging managerial responsibilities are prohibited from dealing in Nokia’s financial instruments.</w:t>
      </w:r>
    </w:p>
    <w:p>
      <w:pPr>
        <w:spacing w:after="0" w:line="60" w:lineRule="exact"/>
        <w:rPr>
          <w:sz w:val="20"/>
          <w:szCs w:val="20"/>
          <w:color w:val="auto"/>
        </w:rPr>
      </w:pPr>
    </w:p>
    <w:p>
      <w:pPr>
        <w:ind w:right="140"/>
        <w:spacing w:after="0" w:line="270" w:lineRule="auto"/>
        <w:rPr>
          <w:sz w:val="20"/>
          <w:szCs w:val="20"/>
          <w:color w:val="auto"/>
        </w:rPr>
      </w:pPr>
      <w:r>
        <w:rPr>
          <w:rFonts w:ascii="Times New Roman" w:cs="Times New Roman" w:eastAsia="Times New Roman" w:hAnsi="Times New Roman"/>
          <w:sz w:val="11"/>
          <w:szCs w:val="11"/>
          <w:color w:val="auto"/>
        </w:rPr>
        <w:t>Nokia has imposed this closed window period also on separately designated financial reporting persons who are recurrently involved with the preparation of Nokia’s quarterly and annual results announcements. These persons are separately notified of their status as designated financial reporting persons.</w:t>
      </w:r>
    </w:p>
    <w:p>
      <w:pPr>
        <w:spacing w:after="0" w:line="19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Insider registers</w:t>
      </w:r>
    </w:p>
    <w:p>
      <w:pPr>
        <w:spacing w:after="0" w:line="32" w:lineRule="exact"/>
        <w:rPr>
          <w:sz w:val="20"/>
          <w:szCs w:val="20"/>
          <w:color w:val="auto"/>
        </w:rPr>
      </w:pPr>
    </w:p>
    <w:p>
      <w:pPr>
        <w:ind w:right="140"/>
        <w:spacing w:after="0" w:line="270" w:lineRule="auto"/>
        <w:rPr>
          <w:sz w:val="20"/>
          <w:szCs w:val="20"/>
          <w:color w:val="auto"/>
        </w:rPr>
      </w:pPr>
      <w:r>
        <w:rPr>
          <w:rFonts w:ascii="Times New Roman" w:cs="Times New Roman" w:eastAsia="Times New Roman" w:hAnsi="Times New Roman"/>
          <w:sz w:val="11"/>
          <w:szCs w:val="11"/>
          <w:color w:val="auto"/>
        </w:rPr>
        <w:t>Nokia does not maintain a permanent insider register. Insiders are identified on a case-by-case basis for specific projects and are notified of their insider status. Persons included in a project-specific insider register are prohibited from dealing in Nokia’s financial instruments until the project ends or is made public.</w:t>
      </w:r>
    </w:p>
    <w:p>
      <w:pPr>
        <w:spacing w:after="0" w:line="18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Supervision</w:t>
      </w:r>
    </w:p>
    <w:p>
      <w:pPr>
        <w:spacing w:after="0" w:line="32" w:lineRule="exact"/>
        <w:rPr>
          <w:sz w:val="20"/>
          <w:szCs w:val="20"/>
          <w:color w:val="auto"/>
        </w:rPr>
      </w:pPr>
    </w:p>
    <w:p>
      <w:pPr>
        <w:ind w:right="220"/>
        <w:spacing w:after="0" w:line="274" w:lineRule="auto"/>
        <w:rPr>
          <w:sz w:val="20"/>
          <w:szCs w:val="20"/>
          <w:color w:val="auto"/>
        </w:rPr>
      </w:pPr>
      <w:r>
        <w:rPr>
          <w:rFonts w:ascii="Times New Roman" w:cs="Times New Roman" w:eastAsia="Times New Roman" w:hAnsi="Times New Roman"/>
          <w:sz w:val="11"/>
          <w:szCs w:val="11"/>
          <w:color w:val="auto"/>
        </w:rPr>
        <w:t>Our insider administration’s responsibilities include internal communications related to insider matters and trading restrictions, setting up and maintaining our insider registers and arranging related trainings, as well as organizing and overseeing compliance with the insider rules.</w:t>
      </w:r>
    </w:p>
    <w:p>
      <w:pPr>
        <w:spacing w:after="0" w:line="47"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rPr>
        <w:t>Violations of the Nokia Insider Policy must be reported to the Head of Corporate Legal. Nokia employees may also use channels stated in the Nokia Code of Conduct for reporting incidents involving suspected violations of the Nokia Insider Policy.</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Auditor fees and services</w:t>
      </w:r>
    </w:p>
    <w:p>
      <w:pPr>
        <w:spacing w:after="0" w:line="46" w:lineRule="exact"/>
        <w:rPr>
          <w:sz w:val="20"/>
          <w:szCs w:val="20"/>
          <w:color w:val="auto"/>
        </w:rPr>
      </w:pPr>
    </w:p>
    <w:p>
      <w:pPr>
        <w:ind w:right="160"/>
        <w:spacing w:after="0" w:line="262" w:lineRule="auto"/>
        <w:rPr>
          <w:sz w:val="20"/>
          <w:szCs w:val="20"/>
          <w:color w:val="auto"/>
        </w:rPr>
      </w:pPr>
      <w:r>
        <w:rPr>
          <w:rFonts w:ascii="Times New Roman" w:cs="Times New Roman" w:eastAsia="Times New Roman" w:hAnsi="Times New Roman"/>
          <w:sz w:val="11"/>
          <w:szCs w:val="11"/>
          <w:color w:val="auto"/>
        </w:rPr>
        <w:t>Deloitte Oy, based in Helsinki, Finland, served as our auditor for the financial year ended 31 December 2023 and for the financial year ended 31 December 2022 . The auditor is elected annually by our shareholders at the Annual General Meeting for the next financial year commencing after the election. On an annual basis, the Audit Committee of the Board prepares a proposal to the shareholders regarding the appointment of</w:t>
      </w:r>
    </w:p>
    <w:p>
      <w:pPr>
        <w:spacing w:after="0" w:line="1" w:lineRule="exact"/>
        <w:rPr>
          <w:sz w:val="20"/>
          <w:szCs w:val="20"/>
          <w:color w:val="auto"/>
        </w:rPr>
      </w:pPr>
    </w:p>
    <w:p>
      <w:pPr>
        <w:ind w:right="500"/>
        <w:spacing w:after="0" w:line="278" w:lineRule="auto"/>
        <w:rPr>
          <w:sz w:val="20"/>
          <w:szCs w:val="20"/>
          <w:color w:val="auto"/>
        </w:rPr>
      </w:pPr>
      <w:r>
        <w:rPr>
          <w:rFonts w:ascii="Times New Roman" w:cs="Times New Roman" w:eastAsia="Times New Roman" w:hAnsi="Times New Roman"/>
          <w:sz w:val="11"/>
          <w:szCs w:val="11"/>
          <w:color w:val="auto"/>
        </w:rPr>
        <w:t>the auditor based upon its evaluation of the qualifications and independence of the auditor to be proposed for election.</w:t>
      </w:r>
    </w:p>
    <w:p>
      <w:pPr>
        <w:spacing w:after="0" w:line="54" w:lineRule="exact"/>
        <w:rPr>
          <w:sz w:val="20"/>
          <w:szCs w:val="20"/>
          <w:color w:val="auto"/>
        </w:rPr>
      </w:pPr>
    </w:p>
    <w:p>
      <w:pPr>
        <w:ind w:right="560"/>
        <w:spacing w:after="0" w:line="309" w:lineRule="auto"/>
        <w:rPr>
          <w:sz w:val="20"/>
          <w:szCs w:val="20"/>
          <w:color w:val="auto"/>
        </w:rPr>
      </w:pPr>
      <w:r>
        <w:rPr>
          <w:rFonts w:ascii="Times New Roman" w:cs="Times New Roman" w:eastAsia="Times New Roman" w:hAnsi="Times New Roman"/>
          <w:sz w:val="11"/>
          <w:szCs w:val="11"/>
          <w:color w:val="auto"/>
        </w:rPr>
        <w:t>The following table presents fees by type paid to Deloitte’s network of firms for the years ended 31 December:</w:t>
      </w:r>
    </w:p>
    <w:p>
      <w:pPr>
        <w:spacing w:after="0" w:line="80"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66"/>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Audit fees </w:t>
            </w:r>
            <w:r>
              <w:rPr>
                <w:rFonts w:ascii="Times New Roman" w:cs="Times New Roman" w:eastAsia="Times New Roman" w:hAnsi="Times New Roman"/>
                <w:sz w:val="13"/>
                <w:szCs w:val="13"/>
                <w:color w:val="0D0D0D"/>
                <w:vertAlign w:val="superscript"/>
              </w:rPr>
              <w:t>(1)</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20.2</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22.7</w:t>
            </w:r>
          </w:p>
        </w:tc>
      </w:tr>
      <w:tr>
        <w:trPr>
          <w:trHeight w:val="162"/>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Audit-related fees  </w:t>
            </w:r>
            <w:r>
              <w:rPr>
                <w:rFonts w:ascii="Times New Roman" w:cs="Times New Roman" w:eastAsia="Times New Roman" w:hAnsi="Times New Roman"/>
                <w:sz w:val="13"/>
                <w:szCs w:val="13"/>
                <w:color w:val="0D0D0D"/>
                <w:vertAlign w:val="superscript"/>
              </w:rPr>
              <w:t>(2)</w:t>
            </w:r>
          </w:p>
        </w:tc>
        <w:tc>
          <w:tcPr>
            <w:tcW w:w="54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5"/>
              </w:rPr>
              <w:t>1.7</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0.8</w:t>
            </w:r>
          </w:p>
        </w:tc>
      </w:tr>
      <w:tr>
        <w:trPr>
          <w:trHeight w:val="162"/>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Tax fees </w:t>
            </w:r>
            <w:r>
              <w:rPr>
                <w:rFonts w:ascii="Times New Roman" w:cs="Times New Roman" w:eastAsia="Times New Roman" w:hAnsi="Times New Roman"/>
                <w:sz w:val="13"/>
                <w:szCs w:val="13"/>
                <w:color w:val="0D0D0D"/>
                <w:vertAlign w:val="superscript"/>
              </w:rPr>
              <w:t>(3)</w:t>
            </w:r>
          </w:p>
        </w:tc>
        <w:tc>
          <w:tcPr>
            <w:tcW w:w="54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5"/>
              </w:rPr>
              <w:t>0.4</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0.4</w:t>
            </w:r>
          </w:p>
        </w:tc>
      </w:tr>
      <w:tr>
        <w:trPr>
          <w:trHeight w:val="145"/>
        </w:trPr>
        <w:tc>
          <w:tcPr>
            <w:tcW w:w="2180" w:type="dxa"/>
            <w:vAlign w:val="bottom"/>
            <w:tcBorders>
              <w:bottom w:val="single" w:sz="8" w:color="005AFF"/>
            </w:tcBorders>
          </w:tcPr>
          <w:p>
            <w:pPr>
              <w:ind w:left="40"/>
              <w:spacing w:after="0" w:line="146" w:lineRule="exact"/>
              <w:rPr>
                <w:sz w:val="20"/>
                <w:szCs w:val="20"/>
                <w:color w:val="auto"/>
              </w:rPr>
            </w:pPr>
            <w:r>
              <w:rPr>
                <w:rFonts w:ascii="Times New Roman" w:cs="Times New Roman" w:eastAsia="Times New Roman" w:hAnsi="Times New Roman"/>
                <w:sz w:val="10"/>
                <w:szCs w:val="10"/>
                <w:color w:val="0D0D0D"/>
              </w:rPr>
              <w:t xml:space="preserve">All other fees </w:t>
            </w:r>
            <w:r>
              <w:rPr>
                <w:rFonts w:ascii="Times New Roman" w:cs="Times New Roman" w:eastAsia="Times New Roman" w:hAnsi="Times New Roman"/>
                <w:sz w:val="13"/>
                <w:szCs w:val="13"/>
                <w:color w:val="0D0D0D"/>
                <w:vertAlign w:val="superscript"/>
              </w:rPr>
              <w:t>(4)</w:t>
            </w:r>
          </w:p>
        </w:tc>
        <w:tc>
          <w:tcPr>
            <w:tcW w:w="540" w:type="dxa"/>
            <w:vAlign w:val="bottom"/>
            <w:tcBorders>
              <w:bottom w:val="single" w:sz="8" w:color="005AFF"/>
            </w:tcBorders>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5"/>
              </w:rPr>
              <w:t>0.3</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0.2</w:t>
            </w:r>
          </w:p>
        </w:tc>
      </w:tr>
      <w:tr>
        <w:trPr>
          <w:trHeight w:val="137"/>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center"/>
              <w:ind w:left="231"/>
              <w:spacing w:after="0"/>
              <w:rPr>
                <w:sz w:val="20"/>
                <w:szCs w:val="20"/>
                <w:color w:val="auto"/>
              </w:rPr>
            </w:pPr>
            <w:r>
              <w:rPr>
                <w:rFonts w:ascii="Times New Roman" w:cs="Times New Roman" w:eastAsia="Times New Roman" w:hAnsi="Times New Roman"/>
                <w:sz w:val="10"/>
                <w:szCs w:val="10"/>
                <w:b w:val="1"/>
                <w:bCs w:val="1"/>
                <w:color w:val="005AFF"/>
              </w:rPr>
              <w:t>22.6</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24.1</w:t>
            </w:r>
          </w:p>
        </w:tc>
      </w:tr>
    </w:tbl>
    <w:p>
      <w:pPr>
        <w:spacing w:after="0" w:line="41" w:lineRule="exact"/>
        <w:rPr>
          <w:sz w:val="20"/>
          <w:szCs w:val="20"/>
          <w:color w:val="auto"/>
        </w:rPr>
      </w:pPr>
    </w:p>
    <w:p>
      <w:pPr>
        <w:ind w:left="200" w:right="400" w:hanging="198"/>
        <w:spacing w:after="0" w:line="257" w:lineRule="auto"/>
        <w:tabs>
          <w:tab w:leader="none" w:pos="200" w:val="left"/>
        </w:tabs>
        <w:numPr>
          <w:ilvl w:val="0"/>
          <w:numId w:val="3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Audit fees consist of fees incurred for the annual audit of the Group’s consolidated financial statements and the statutory financial statements of the Group’s subsidiaries.</w:t>
      </w:r>
    </w:p>
    <w:p>
      <w:pPr>
        <w:ind w:left="200" w:right="360" w:hanging="198"/>
        <w:spacing w:after="0" w:line="252" w:lineRule="auto"/>
        <w:tabs>
          <w:tab w:leader="none" w:pos="200" w:val="left"/>
        </w:tabs>
        <w:numPr>
          <w:ilvl w:val="0"/>
          <w:numId w:val="3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Audit-related fees consist of fees billed for assurance and related services that are reasonably related to the performance of the audit or review of the Group’s financial statements or that are traditionally performed by the independent auditor, and include consultations concerning financial accounting and reporting standards; advice and assistance in connection with local statutory accounting requirements; due diligence related to mergers and acquisitions; and audit procedures in connection with investigations in the pre-litigation phase and compliance programs. They also include fees billed for other audit services, which are those services that only the independent auditor can reasonably provide, and include the provision of comfort letters and consents in connection with statutory and regulatory filings and the review of documents filed with the SEC and other capital markets or local financial reporting regulatory bodies.</w:t>
      </w:r>
    </w:p>
    <w:p>
      <w:pPr>
        <w:spacing w:after="0" w:line="3" w:lineRule="exact"/>
        <w:rPr>
          <w:rFonts w:ascii="Times New Roman" w:cs="Times New Roman" w:eastAsia="Times New Roman" w:hAnsi="Times New Roman"/>
          <w:sz w:val="8"/>
          <w:szCs w:val="8"/>
          <w:color w:val="auto"/>
        </w:rPr>
      </w:pPr>
    </w:p>
    <w:p>
      <w:pPr>
        <w:ind w:left="200" w:right="300" w:hanging="198"/>
        <w:spacing w:after="0" w:line="253" w:lineRule="auto"/>
        <w:tabs>
          <w:tab w:leader="none" w:pos="200" w:val="left"/>
        </w:tabs>
        <w:numPr>
          <w:ilvl w:val="0"/>
          <w:numId w:val="3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Tax fees include fees billed for: (i) services related to tax compliance including preparation and/or review of tax returns, preparation, review and/or filing of various certificates and forms and consultation regarding tax returns and assistance with revenue authority queries; compliance reviews, advice and assistance on other indirect taxes; and transaction cost analysis; (ii) services related to tax audits; (iii) services related to individual compliance (preparation of individual tax returns and registrations for employees (non-executives), assistance with applying for visas, residency, work permits and tax status for expatriates); (iv) services related to technical guidance on tax matters; (v) services related to transfer pricing advice and assistance with tax clearances; and (vi) tax consultation and planning (advice on stock-based remuneration, local employer tax laws, social security laws, employment laws and compensation programs and tax implications on short-term international transfers).</w:t>
      </w:r>
    </w:p>
    <w:p>
      <w:pPr>
        <w:spacing w:after="0" w:line="3" w:lineRule="exact"/>
        <w:rPr>
          <w:rFonts w:ascii="Times New Roman" w:cs="Times New Roman" w:eastAsia="Times New Roman" w:hAnsi="Times New Roman"/>
          <w:sz w:val="8"/>
          <w:szCs w:val="8"/>
          <w:color w:val="auto"/>
        </w:rPr>
      </w:pPr>
    </w:p>
    <w:p>
      <w:pPr>
        <w:ind w:left="200" w:right="440" w:hanging="198"/>
        <w:spacing w:after="0" w:line="262" w:lineRule="auto"/>
        <w:tabs>
          <w:tab w:leader="none" w:pos="200" w:val="left"/>
        </w:tabs>
        <w:numPr>
          <w:ilvl w:val="0"/>
          <w:numId w:val="3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Other fees include fees billed for Company establishments, liquidations, forensic accounting, data security, other consulting services and reference materials and services.</w:t>
      </w:r>
    </w:p>
    <w:p>
      <w:pPr>
        <w:sectPr>
          <w:pgSz w:w="11900" w:h="16838" w:orient="portrait"/>
          <w:cols w:equalWidth="0" w:num="3">
            <w:col w:w="2960" w:space="440"/>
            <w:col w:w="2980" w:space="420"/>
            <w:col w:w="3260"/>
          </w:cols>
          <w:pgMar w:left="960" w:top="409" w:right="879" w:bottom="1440" w:gutter="0" w:footer="0" w:header="0"/>
          <w:type w:val="continuous"/>
        </w:sectPr>
      </w:pPr>
    </w:p>
    <w:bookmarkStart w:id="63" w:name="page64"/>
    <w:bookmarkEnd w:id="63"/>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Remuneration</w:t>
      </w:r>
    </w:p>
    <w:p>
      <w:pPr>
        <w:spacing w:after="0" w:line="161"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3"/>
          <w:szCs w:val="13"/>
          <w:color w:val="auto"/>
        </w:rPr>
        <w:t>This section sets out our remuneration governance, policies and how they have been implemented within Nokia. It includes our Remuneration Report where we disclose the remuneration of our Board members and the President and CEO for 2023, which will be presented to the Annual General Meeting (AGM) 2024 for an advisory vote.</w:t>
      </w:r>
    </w:p>
    <w:p>
      <w:pPr>
        <w:spacing w:after="0" w:line="104" w:lineRule="exact"/>
        <w:rPr>
          <w:sz w:val="20"/>
          <w:szCs w:val="20"/>
          <w:color w:val="auto"/>
        </w:rPr>
      </w:pPr>
    </w:p>
    <w:p>
      <w:pPr>
        <w:jc w:val="both"/>
        <w:ind w:right="300"/>
        <w:spacing w:after="0" w:line="275" w:lineRule="auto"/>
        <w:rPr>
          <w:sz w:val="20"/>
          <w:szCs w:val="20"/>
          <w:color w:val="auto"/>
        </w:rPr>
      </w:pPr>
      <w:r>
        <w:rPr>
          <w:rFonts w:ascii="Times New Roman" w:cs="Times New Roman" w:eastAsia="Times New Roman" w:hAnsi="Times New Roman"/>
          <w:sz w:val="11"/>
          <w:szCs w:val="11"/>
          <w:color w:val="auto"/>
        </w:rPr>
        <w:t>Our updated Remuneration Policy will also be presented to the AGM 2024 for an advisory vote. A summary of the updated Remuneration Policy is set out in this section and the full Policy is available on our website.</w:t>
      </w:r>
    </w:p>
    <w:p>
      <w:pPr>
        <w:spacing w:after="0" w:line="47"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Other remuneration-related information provided alongside the Remuneration Report and the Remuneration Policy is not subject to a vote at the AGM 2024 but provides added information on the remuneration policies applied within Nokia as well as on the remuneration of the Group Leadership Team members.</w:t>
      </w:r>
    </w:p>
    <w:p>
      <w:pPr>
        <w:spacing w:after="0" w:line="60" w:lineRule="exact"/>
        <w:rPr>
          <w:sz w:val="20"/>
          <w:szCs w:val="20"/>
          <w:color w:val="auto"/>
        </w:rPr>
      </w:pPr>
    </w:p>
    <w:p>
      <w:pPr>
        <w:ind w:right="220"/>
        <w:spacing w:after="0" w:line="275" w:lineRule="auto"/>
        <w:rPr>
          <w:sz w:val="20"/>
          <w:szCs w:val="20"/>
          <w:color w:val="auto"/>
        </w:rPr>
      </w:pPr>
      <w:r>
        <w:rPr>
          <w:rFonts w:ascii="Times New Roman" w:cs="Times New Roman" w:eastAsia="Times New Roman" w:hAnsi="Times New Roman"/>
          <w:sz w:val="11"/>
          <w:szCs w:val="11"/>
          <w:color w:val="auto"/>
        </w:rPr>
        <w:t>We report information applicable to executive remuneration in accordance with Finnish regulatory requirements and with requirements set by the US Securities and Exchange Commission that are applicable to us.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FFFFFF"/>
        </w:rPr>
        <w:t>Highlights</w:t>
      </w:r>
    </w:p>
    <w:p>
      <w:pPr>
        <w:spacing w:after="0" w:line="36" w:lineRule="exact"/>
        <w:rPr>
          <w:sz w:val="20"/>
          <w:szCs w:val="20"/>
          <w:color w:val="auto"/>
        </w:rPr>
      </w:pPr>
    </w:p>
    <w:p>
      <w:pPr>
        <w:ind w:left="180" w:right="60" w:hanging="170"/>
        <w:spacing w:after="0" w:line="275" w:lineRule="auto"/>
        <w:tabs>
          <w:tab w:leader="none" w:pos="180" w:val="left"/>
        </w:tabs>
        <w:numPr>
          <w:ilvl w:val="0"/>
          <w:numId w:val="3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Despite the challenging market environment in 2023, Nokia delivered a resilient financial performance, we made progress on our strategy, and continued to create world-leading technology.</w:t>
      </w:r>
    </w:p>
    <w:p>
      <w:pPr>
        <w:spacing w:after="0" w:line="47" w:lineRule="exact"/>
        <w:rPr>
          <w:rFonts w:ascii="Times New Roman" w:cs="Times New Roman" w:eastAsia="Times New Roman" w:hAnsi="Times New Roman"/>
          <w:sz w:val="11"/>
          <w:szCs w:val="11"/>
          <w:color w:val="FFFFFF"/>
        </w:rPr>
      </w:pPr>
    </w:p>
    <w:p>
      <w:pPr>
        <w:ind w:left="180" w:right="100" w:hanging="170"/>
        <w:spacing w:after="0" w:line="269" w:lineRule="auto"/>
        <w:tabs>
          <w:tab w:leader="none" w:pos="180" w:val="left"/>
        </w:tabs>
        <w:numPr>
          <w:ilvl w:val="0"/>
          <w:numId w:val="3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As reported last year, at the beginning of 2023, the President and CEO, Pekka Lundmark, received a base salary increase of 3.5% in recognition of his performance. During 2023, in line with the Company’s cost control efforts, Pekka Lundmark requested that his salary increase of 3.5% be cancelled as of 1 July 2023. His base salary for the second half of 2023 remained unchanged since his appointment in 2020.</w:t>
      </w:r>
    </w:p>
    <w:p>
      <w:pPr>
        <w:spacing w:after="0" w:line="49" w:lineRule="exact"/>
        <w:rPr>
          <w:rFonts w:ascii="Times New Roman" w:cs="Times New Roman" w:eastAsia="Times New Roman" w:hAnsi="Times New Roman"/>
          <w:sz w:val="11"/>
          <w:szCs w:val="11"/>
          <w:color w:val="FFFFFF"/>
        </w:rPr>
      </w:pPr>
    </w:p>
    <w:p>
      <w:pPr>
        <w:ind w:left="180" w:right="160" w:hanging="170"/>
        <w:spacing w:after="0" w:line="266" w:lineRule="auto"/>
        <w:tabs>
          <w:tab w:leader="none" w:pos="180" w:val="left"/>
        </w:tabs>
        <w:numPr>
          <w:ilvl w:val="0"/>
          <w:numId w:val="3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Our President and CEO, Pekka Lundmark’s 2023 Short-term Incentive (STI) was subject to a scorecard of Nokia Economic Profit, gender diversity, carbon emission reduction (Scope 1, 2 and 3) and personal strategic objectives. Following the year end, performance was assessed against the predetermined targets and resulted in an overall STI payout of 65.30% of target opportunity for Pekka Lundmark. Further details on the targets and performance assessment and outcomes are provided in the Remuneration Report.</w:t>
      </w:r>
    </w:p>
    <w:p>
      <w:pPr>
        <w:spacing w:after="0" w:line="54" w:lineRule="exact"/>
        <w:rPr>
          <w:rFonts w:ascii="Times New Roman" w:cs="Times New Roman" w:eastAsia="Times New Roman" w:hAnsi="Times New Roman"/>
          <w:sz w:val="11"/>
          <w:szCs w:val="11"/>
          <w:color w:val="FFFFFF"/>
        </w:rPr>
      </w:pPr>
    </w:p>
    <w:p>
      <w:pPr>
        <w:ind w:left="180" w:hanging="170"/>
        <w:spacing w:after="0" w:line="264" w:lineRule="auto"/>
        <w:tabs>
          <w:tab w:leader="none" w:pos="180" w:val="left"/>
        </w:tabs>
        <w:numPr>
          <w:ilvl w:val="0"/>
          <w:numId w:val="38"/>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The Long-term Incentive (LTI) awards (performance shares) granted to Pekka Lundmark and other GLT members in 2020 vested at 39.5% of target following the end of the 3-year performance period, as a result of the dividend adjusted share price achievement of €3.21. Further details of the target and performance assessment are set out in</w:t>
      </w:r>
    </w:p>
    <w:p>
      <w:pPr>
        <w:ind w:left="180"/>
        <w:spacing w:after="0"/>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the Remuneration Report.</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56</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1" w:lineRule="exact"/>
        <w:rPr>
          <w:sz w:val="20"/>
          <w:szCs w:val="20"/>
          <w:color w:val="auto"/>
        </w:rPr>
      </w:pPr>
    </w:p>
    <w:p>
      <w:pPr>
        <w:ind w:left="169" w:right="260" w:hanging="169"/>
        <w:spacing w:after="0" w:line="266" w:lineRule="auto"/>
        <w:tabs>
          <w:tab w:leader="none" w:pos="169" w:val="left"/>
        </w:tabs>
        <w:numPr>
          <w:ilvl w:val="0"/>
          <w:numId w:val="39"/>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The Personnel Committee reviewed our Remuneration Policy (“Policy”) during 2023 in preparation for our second “Say on Pay” shareholder vote at the 2024 AGM. A minor amendment is proposed to the LTI leaver provision under the Policy to further align with market practice. A few other presentational changes are also proposed to the Policy to provide enhanced disclosure for greater transparency, taking account of the feedback received from our shareholders.</w:t>
      </w:r>
    </w:p>
    <w:p>
      <w:pPr>
        <w:spacing w:after="0" w:line="203" w:lineRule="exact"/>
        <w:rPr>
          <w:rFonts w:ascii="Times New Roman" w:cs="Times New Roman" w:eastAsia="Times New Roman" w:hAnsi="Times New Roman"/>
          <w:sz w:val="11"/>
          <w:szCs w:val="11"/>
          <w:color w:val="FFFFFF"/>
        </w:rPr>
      </w:pPr>
    </w:p>
    <w:p>
      <w:pPr>
        <w:ind w:left="169" w:right="480" w:hanging="169"/>
        <w:spacing w:after="0" w:line="266" w:lineRule="auto"/>
        <w:tabs>
          <w:tab w:leader="none" w:pos="169" w:val="left"/>
        </w:tabs>
        <w:numPr>
          <w:ilvl w:val="0"/>
          <w:numId w:val="39"/>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Reflecting the input from our shareholders, we are also making some changes to the performance metrics for our 2024 LTI and STI. The 2024 metrics for the LTI (performance shares) plan for Pekka Lundmark and the rest of the GLT will be subject to a scorecard of 50% relative TSR, 40% cumulative reported Earnings Per Share (EPS) (adjusted for impairments and M&amp;A) and 10% carbon emission reduction (Scope 1, 2 and 3).</w:t>
      </w:r>
    </w:p>
    <w:p>
      <w:pPr>
        <w:spacing w:after="0" w:line="61" w:lineRule="exact"/>
        <w:rPr>
          <w:rFonts w:ascii="Times New Roman" w:cs="Times New Roman" w:eastAsia="Times New Roman" w:hAnsi="Times New Roman"/>
          <w:sz w:val="11"/>
          <w:szCs w:val="11"/>
          <w:color w:val="FFFFFF"/>
        </w:rPr>
      </w:pPr>
    </w:p>
    <w:p>
      <w:pPr>
        <w:ind w:left="169" w:right="500" w:hanging="169"/>
        <w:spacing w:after="0" w:line="269" w:lineRule="auto"/>
        <w:tabs>
          <w:tab w:leader="none" w:pos="169" w:val="left"/>
        </w:tabs>
        <w:numPr>
          <w:ilvl w:val="0"/>
          <w:numId w:val="39"/>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To bring greater focus on our profitability and cash position as well as other important ESG topics such as health and safety, the 2024 metrics for the STI plan for Pekka Lundmark will be subject to a new scorecard of 60% operating profit, 20% Cash Release, 10% health and safety and 10% diversity.</w:t>
      </w:r>
    </w:p>
    <w:p>
      <w:pPr>
        <w:spacing w:after="0" w:line="49" w:lineRule="exact"/>
        <w:rPr>
          <w:rFonts w:ascii="Times New Roman" w:cs="Times New Roman" w:eastAsia="Times New Roman" w:hAnsi="Times New Roman"/>
          <w:sz w:val="11"/>
          <w:szCs w:val="11"/>
          <w:color w:val="FFFFFF"/>
        </w:rPr>
      </w:pPr>
    </w:p>
    <w:p>
      <w:pPr>
        <w:ind w:left="169" w:right="480" w:hanging="169"/>
        <w:spacing w:after="0" w:line="275" w:lineRule="auto"/>
        <w:tabs>
          <w:tab w:leader="none" w:pos="169" w:val="left"/>
        </w:tabs>
        <w:numPr>
          <w:ilvl w:val="0"/>
          <w:numId w:val="39"/>
        </w:numPr>
        <w:rPr>
          <w:rFonts w:ascii="Times New Roman" w:cs="Times New Roman" w:eastAsia="Times New Roman" w:hAnsi="Times New Roman"/>
          <w:sz w:val="11"/>
          <w:szCs w:val="11"/>
          <w:color w:val="FFFFFF"/>
        </w:rPr>
      </w:pPr>
      <w:r>
        <w:rPr>
          <w:rFonts w:ascii="Times New Roman" w:cs="Times New Roman" w:eastAsia="Times New Roman" w:hAnsi="Times New Roman"/>
          <w:sz w:val="11"/>
          <w:szCs w:val="11"/>
          <w:color w:val="FFFFFF"/>
        </w:rPr>
        <w:t>Pekka Lundmark will receive a salary increase of 8.5% in 2024, to bring his total target remuneration closer to the market level, although remaining below median of our Global Peer Group.</w:t>
      </w:r>
    </w:p>
    <w:p>
      <w:pPr>
        <w:sectPr>
          <w:pgSz w:w="11900" w:h="16838" w:orient="portrait"/>
          <w:cols w:equalWidth="0" w:num="3">
            <w:col w:w="2960" w:space="440"/>
            <w:col w:w="2940" w:space="471"/>
            <w:col w:w="3169"/>
          </w:cols>
          <w:pgMar w:left="960" w:top="409" w:right="959" w:bottom="1440" w:gutter="0" w:footer="0" w:header="0"/>
        </w:sectPr>
      </w:pPr>
    </w:p>
    <w:bookmarkStart w:id="64" w:name="page65"/>
    <w:bookmarkEnd w:id="64"/>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06"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22"/>
          <w:szCs w:val="22"/>
          <w:color w:val="005AFF"/>
        </w:rPr>
        <w:t>Remuneration Report 2023</w:t>
      </w:r>
    </w:p>
    <w:p>
      <w:pPr>
        <w:spacing w:after="0" w:line="264" w:lineRule="exact"/>
        <w:rPr>
          <w:sz w:val="20"/>
          <w:szCs w:val="20"/>
          <w:color w:val="auto"/>
        </w:rPr>
      </w:pPr>
    </w:p>
    <w:p>
      <w:pPr>
        <w:ind w:left="160" w:right="640"/>
        <w:spacing w:after="0" w:line="299" w:lineRule="auto"/>
        <w:rPr>
          <w:sz w:val="20"/>
          <w:szCs w:val="20"/>
          <w:color w:val="auto"/>
        </w:rPr>
      </w:pPr>
      <w:r>
        <w:rPr>
          <w:rFonts w:ascii="Times New Roman" w:cs="Times New Roman" w:eastAsia="Times New Roman" w:hAnsi="Times New Roman"/>
          <w:sz w:val="13"/>
          <w:szCs w:val="13"/>
          <w:color w:val="auto"/>
        </w:rPr>
        <w:t>Word from the Chair of the Personnel Committee of the Board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1"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005AFF"/>
        </w:rPr>
        <w:t>Dear Fellow Shareholder,</w:t>
      </w:r>
    </w:p>
    <w:p>
      <w:pPr>
        <w:spacing w:after="0" w:line="16" w:lineRule="exact"/>
        <w:rPr>
          <w:sz w:val="20"/>
          <w:szCs w:val="20"/>
          <w:color w:val="auto"/>
        </w:rPr>
      </w:pPr>
    </w:p>
    <w:p>
      <w:pPr>
        <w:jc w:val="both"/>
        <w:ind w:left="160" w:right="60"/>
        <w:spacing w:after="0" w:line="268" w:lineRule="auto"/>
        <w:rPr>
          <w:sz w:val="20"/>
          <w:szCs w:val="20"/>
          <w:color w:val="auto"/>
        </w:rPr>
      </w:pPr>
      <w:r>
        <w:rPr>
          <w:rFonts w:ascii="Times New Roman" w:cs="Times New Roman" w:eastAsia="Times New Roman" w:hAnsi="Times New Roman"/>
          <w:sz w:val="13"/>
          <w:szCs w:val="13"/>
          <w:color w:val="005AFF"/>
        </w:rPr>
        <w:t>I am delighted to present the first Remuneration Report since my appointment as the Chair of the Personnel Committee of the Nokia Board.</w:t>
      </w:r>
    </w:p>
    <w:p>
      <w:pPr>
        <w:spacing w:after="0" w:line="200" w:lineRule="exact"/>
        <w:rPr>
          <w:sz w:val="20"/>
          <w:szCs w:val="20"/>
          <w:color w:val="auto"/>
        </w:rPr>
      </w:pPr>
    </w:p>
    <w:p>
      <w:pPr>
        <w:spacing w:after="0" w:line="234"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Our remuneration philosophy</w:t>
      </w:r>
    </w:p>
    <w:p>
      <w:pPr>
        <w:spacing w:after="0" w:line="24"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At the core of Nokia’s philosophy lie three principles:</w:t>
      </w:r>
    </w:p>
    <w:p>
      <w:pPr>
        <w:spacing w:after="0" w:line="15" w:lineRule="exact"/>
        <w:rPr>
          <w:sz w:val="20"/>
          <w:szCs w:val="20"/>
          <w:color w:val="auto"/>
        </w:rPr>
      </w:pPr>
    </w:p>
    <w:p>
      <w:pPr>
        <w:ind w:left="340" w:right="240" w:hanging="165"/>
        <w:spacing w:after="0" w:line="259" w:lineRule="auto"/>
        <w:tabs>
          <w:tab w:leader="none" w:pos="340" w:val="left"/>
        </w:tabs>
        <w:numPr>
          <w:ilvl w:val="0"/>
          <w:numId w:val="4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pay for performance and aligning the interests of employees with shareholders;</w:t>
      </w:r>
    </w:p>
    <w:p>
      <w:pPr>
        <w:ind w:left="340" w:right="200" w:hanging="165"/>
        <w:spacing w:after="0" w:line="272" w:lineRule="auto"/>
        <w:tabs>
          <w:tab w:leader="none" w:pos="340" w:val="left"/>
        </w:tabs>
        <w:numPr>
          <w:ilvl w:val="0"/>
          <w:numId w:val="4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ensuring that remuneration programs and policies support the delivery of the corporate strategy and create long-term sustainable shareholder value; and</w:t>
      </w:r>
    </w:p>
    <w:p>
      <w:pPr>
        <w:spacing w:after="0" w:line="121" w:lineRule="exact"/>
        <w:rPr>
          <w:rFonts w:ascii="Times New Roman" w:cs="Times New Roman" w:eastAsia="Times New Roman" w:hAnsi="Times New Roman"/>
          <w:sz w:val="11"/>
          <w:szCs w:val="11"/>
          <w:color w:val="005AFF"/>
        </w:rPr>
      </w:pPr>
    </w:p>
    <w:p>
      <w:pPr>
        <w:jc w:val="both"/>
        <w:ind w:left="340" w:right="240" w:hanging="165"/>
        <w:spacing w:after="0" w:line="268" w:lineRule="auto"/>
        <w:tabs>
          <w:tab w:leader="none" w:pos="340" w:val="left"/>
        </w:tabs>
        <w:numPr>
          <w:ilvl w:val="0"/>
          <w:numId w:val="4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ensuring that executive remuneration reflects the contribution to achieving our ESG targets which support long-term shareholder value creation.</w:t>
      </w:r>
    </w:p>
    <w:p>
      <w:pPr>
        <w:spacing w:after="0" w:line="33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Business context</w:t>
      </w:r>
    </w:p>
    <w:p>
      <w:pPr>
        <w:spacing w:after="0" w:line="24" w:lineRule="exact"/>
        <w:rPr>
          <w:sz w:val="20"/>
          <w:szCs w:val="20"/>
          <w:color w:val="auto"/>
        </w:rPr>
      </w:pPr>
    </w:p>
    <w:p>
      <w:pPr>
        <w:ind w:right="20"/>
        <w:spacing w:after="0" w:line="263" w:lineRule="auto"/>
        <w:rPr>
          <w:sz w:val="20"/>
          <w:szCs w:val="20"/>
          <w:color w:val="auto"/>
        </w:rPr>
      </w:pPr>
      <w:r>
        <w:rPr>
          <w:rFonts w:ascii="Times New Roman" w:cs="Times New Roman" w:eastAsia="Times New Roman" w:hAnsi="Times New Roman"/>
          <w:sz w:val="11"/>
          <w:szCs w:val="11"/>
          <w:color w:val="auto"/>
        </w:rPr>
        <w:t>2023 saw a meaningful shift in customer spending which impacted our industry, with more caution due to the macroeconomic environment, high interest rates and customers working down elevated inventories accumulated during the pandemic-related supply chain crisis. This industry-wide shift has led to our net sales declining over the full year. However, due to proactive actions we took across our organization, we were able to protect our profitability while continuing to invest in R&amp;D. Despite all the challenges faced during the year, we maintained a strong cash position in 2023 and the Board proposed an increase in the dividend from EUR 12 cents to 13 cents and initiated a new share buyback program to return up to EUR 600 million to our shareholders over the next two years.</w:t>
      </w:r>
    </w:p>
    <w:p>
      <w:pPr>
        <w:spacing w:after="0" w:line="1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Shareholder support and the updated Remuneration Policy</w:t>
      </w:r>
    </w:p>
    <w:p>
      <w:pPr>
        <w:spacing w:after="0" w:line="24"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The Policy that applied for the 2020-2023 period was approved by shareholders at the 2020 AGM with 86.37% of votes cast in favor. The Board’s implementation of that Policy also received strong support at the AGMs in 2021, 2022 and 2023, with over 90% votes in favor in all three years.</w:t>
      </w:r>
    </w:p>
    <w:p>
      <w:pPr>
        <w:spacing w:after="0" w:line="61" w:lineRule="exact"/>
        <w:rPr>
          <w:sz w:val="20"/>
          <w:szCs w:val="20"/>
          <w:color w:val="auto"/>
        </w:rPr>
      </w:pPr>
    </w:p>
    <w:p>
      <w:pPr>
        <w:ind w:right="100"/>
        <w:spacing w:after="0" w:line="265" w:lineRule="auto"/>
        <w:rPr>
          <w:sz w:val="20"/>
          <w:szCs w:val="20"/>
          <w:color w:val="auto"/>
        </w:rPr>
      </w:pPr>
      <w:r>
        <w:rPr>
          <w:rFonts w:ascii="Times New Roman" w:cs="Times New Roman" w:eastAsia="Times New Roman" w:hAnsi="Times New Roman"/>
          <w:sz w:val="11"/>
          <w:szCs w:val="11"/>
          <w:color w:val="auto"/>
        </w:rPr>
        <w:t>We have monitored developments in shareholder and voting agency guidance on remuneration and conducted a thorough review of the Policy during 2023. The review concluded that the overall remuneration structure continues to be suitable for Nokia and is aligned to our strategic goals. Where amendments have been proposed to the Policy, these are intended to further align our arrangements with market practice and to provide greater transparency to help shareholders understand our arrangements and practices. We consulted with our largest shareholders and several other key stakeholders on some proposed amendments to the Policy.</w:t>
      </w:r>
    </w:p>
    <w:p>
      <w:pPr>
        <w:spacing w:after="0" w:line="51"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The shareholders we engaged with were generally supportive of the proposed amendments and made a few helpful and constructive suggestions for the Committee to consider.</w:t>
      </w:r>
    </w:p>
    <w:p>
      <w:pPr>
        <w:spacing w:after="0" w:line="1" w:lineRule="exact"/>
        <w:rPr>
          <w:sz w:val="20"/>
          <w:szCs w:val="20"/>
          <w:color w:val="auto"/>
        </w:rPr>
      </w:pPr>
    </w:p>
    <w:p>
      <w:pPr>
        <w:ind w:right="140"/>
        <w:spacing w:after="0" w:line="267" w:lineRule="auto"/>
        <w:rPr>
          <w:sz w:val="20"/>
          <w:szCs w:val="20"/>
          <w:color w:val="auto"/>
        </w:rPr>
      </w:pPr>
      <w:r>
        <w:rPr>
          <w:rFonts w:ascii="Times New Roman" w:cs="Times New Roman" w:eastAsia="Times New Roman" w:hAnsi="Times New Roman"/>
          <w:sz w:val="11"/>
          <w:szCs w:val="11"/>
          <w:color w:val="auto"/>
        </w:rPr>
        <w:t>The feedback was taken into account as the proposed Policy was finalized.</w:t>
      </w:r>
    </w:p>
    <w:p>
      <w:pPr>
        <w:spacing w:after="0" w:line="59" w:lineRule="exact"/>
        <w:rPr>
          <w:sz w:val="20"/>
          <w:szCs w:val="20"/>
          <w:color w:val="auto"/>
        </w:rPr>
      </w:pPr>
    </w:p>
    <w:p>
      <w:pPr>
        <w:ind w:right="40"/>
        <w:spacing w:after="0" w:line="262" w:lineRule="auto"/>
        <w:rPr>
          <w:sz w:val="20"/>
          <w:szCs w:val="20"/>
          <w:color w:val="auto"/>
        </w:rPr>
      </w:pPr>
      <w:r>
        <w:rPr>
          <w:rFonts w:ascii="Times New Roman" w:cs="Times New Roman" w:eastAsia="Times New Roman" w:hAnsi="Times New Roman"/>
          <w:sz w:val="11"/>
          <w:szCs w:val="11"/>
          <w:b w:val="1"/>
          <w:bCs w:val="1"/>
          <w:color w:val="auto"/>
        </w:rPr>
        <w:t>Remuneration of the President and CEO – base salary and incentive opportunities</w:t>
      </w:r>
    </w:p>
    <w:p>
      <w:pPr>
        <w:spacing w:after="0" w:line="1" w:lineRule="exact"/>
        <w:rPr>
          <w:sz w:val="20"/>
          <w:szCs w:val="20"/>
          <w:color w:val="auto"/>
        </w:rPr>
      </w:pPr>
    </w:p>
    <w:p>
      <w:pPr>
        <w:ind w:right="320"/>
        <w:spacing w:after="0" w:line="261" w:lineRule="auto"/>
        <w:rPr>
          <w:sz w:val="20"/>
          <w:szCs w:val="20"/>
          <w:color w:val="auto"/>
        </w:rPr>
      </w:pPr>
      <w:r>
        <w:rPr>
          <w:rFonts w:ascii="Times New Roman" w:cs="Times New Roman" w:eastAsia="Times New Roman" w:hAnsi="Times New Roman"/>
          <w:sz w:val="11"/>
          <w:szCs w:val="11"/>
          <w:color w:val="auto"/>
        </w:rPr>
        <w:t>As reported last year, Pekka Lundmark received a salary increase of 3.5% in January 2023 as a result of Nokia’s continued growth and strong business performance. However, in July 2023, he asked to reverse the salary</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57</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increase taking into consideration the Company’s</w:t>
      </w:r>
    </w:p>
    <w:p>
      <w:pPr>
        <w:spacing w:after="0" w:line="17" w:lineRule="exact"/>
        <w:rPr>
          <w:sz w:val="20"/>
          <w:szCs w:val="20"/>
          <w:color w:val="auto"/>
        </w:rPr>
      </w:pPr>
    </w:p>
    <w:p>
      <w:pPr>
        <w:ind w:right="460"/>
        <w:spacing w:after="0" w:line="260" w:lineRule="auto"/>
        <w:rPr>
          <w:sz w:val="20"/>
          <w:szCs w:val="20"/>
          <w:color w:val="auto"/>
        </w:rPr>
      </w:pPr>
      <w:r>
        <w:rPr>
          <w:rFonts w:ascii="Times New Roman" w:cs="Times New Roman" w:eastAsia="Times New Roman" w:hAnsi="Times New Roman"/>
          <w:sz w:val="11"/>
          <w:szCs w:val="11"/>
          <w:color w:val="auto"/>
        </w:rPr>
        <w:t>cost control efforts, the macroeconomic context, the fact that our GLT requested a salary freeze for 2023 and the wider employee experience. His base salary for the second half of 2023 remained unchanged since his appointment in 2020. There was no increase to Pekka Lundmark’s STI and LTI opportunities during 2023.</w:t>
      </w:r>
    </w:p>
    <w:p>
      <w:pPr>
        <w:spacing w:after="0" w:line="56" w:lineRule="exact"/>
        <w:rPr>
          <w:sz w:val="20"/>
          <w:szCs w:val="20"/>
          <w:color w:val="auto"/>
        </w:rPr>
      </w:pPr>
    </w:p>
    <w:p>
      <w:pPr>
        <w:ind w:right="400"/>
        <w:spacing w:after="0" w:line="258" w:lineRule="auto"/>
        <w:rPr>
          <w:sz w:val="20"/>
          <w:szCs w:val="20"/>
          <w:color w:val="auto"/>
        </w:rPr>
      </w:pPr>
      <w:r>
        <w:rPr>
          <w:rFonts w:ascii="Times New Roman" w:cs="Times New Roman" w:eastAsia="Times New Roman" w:hAnsi="Times New Roman"/>
          <w:sz w:val="11"/>
          <w:szCs w:val="11"/>
          <w:color w:val="auto"/>
        </w:rPr>
        <w:t>Pekka Lundmark’s total target remuneration has remained below the median of our Global Peer Group since his appointment, as a result of the restrained approach the Personnel Committee and the Board have continued to take on executive remuneration, taking account of the current financial pressures being felt by shareholders and our employees. However, considering the Company’s resilient performance under Pekka Lundmark’s leadership despite the industry-wide challenges we faced during 2023, the Committee and the Board recognize that Pekka Lundmark’s current remuneration is not at a competitive level, either relative to others in less senior roles in the Company or relative to other CEOs in our Global Peer Group. This situation is not sustainable in the long term. The Board decided to increase Pekka Lundmark’s base salary by 8.5% in 2024. His 2024 STI and LTI opportunities will remain unchanged. As a result, his total target remuneration in 2024 will remain below the median of our Global Peer Group. Our employees globally have received salary increases</w:t>
      </w:r>
    </w:p>
    <w:p>
      <w:pPr>
        <w:spacing w:after="0" w:line="2" w:lineRule="exact"/>
        <w:rPr>
          <w:sz w:val="20"/>
          <w:szCs w:val="20"/>
          <w:color w:val="auto"/>
        </w:rPr>
      </w:pPr>
    </w:p>
    <w:p>
      <w:pPr>
        <w:ind w:right="700"/>
        <w:spacing w:after="0" w:line="278" w:lineRule="auto"/>
        <w:rPr>
          <w:sz w:val="20"/>
          <w:szCs w:val="20"/>
          <w:color w:val="auto"/>
        </w:rPr>
      </w:pPr>
      <w:r>
        <w:rPr>
          <w:rFonts w:ascii="Times New Roman" w:cs="Times New Roman" w:eastAsia="Times New Roman" w:hAnsi="Times New Roman"/>
          <w:sz w:val="11"/>
          <w:szCs w:val="11"/>
          <w:color w:val="auto"/>
        </w:rPr>
        <w:t>of approximately 14 percentage points during the past three years.</w:t>
      </w:r>
    </w:p>
    <w:p>
      <w:pPr>
        <w:spacing w:after="0" w:line="4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STI performance and outcomes for 2023</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Pekka Lundmark’s 2023 STI was subject to a scorecard of</w:t>
      </w:r>
    </w:p>
    <w:p>
      <w:pPr>
        <w:spacing w:after="0" w:line="10" w:lineRule="exact"/>
        <w:rPr>
          <w:sz w:val="20"/>
          <w:szCs w:val="20"/>
          <w:color w:val="auto"/>
        </w:rPr>
      </w:pPr>
    </w:p>
    <w:p>
      <w:pPr>
        <w:ind w:right="300"/>
        <w:spacing w:after="0" w:line="268" w:lineRule="auto"/>
        <w:rPr>
          <w:sz w:val="20"/>
          <w:szCs w:val="20"/>
          <w:color w:val="auto"/>
        </w:rPr>
      </w:pPr>
      <w:r>
        <w:rPr>
          <w:rFonts w:ascii="Times New Roman" w:cs="Times New Roman" w:eastAsia="Times New Roman" w:hAnsi="Times New Roman"/>
          <w:sz w:val="11"/>
          <w:szCs w:val="11"/>
          <w:color w:val="auto"/>
        </w:rPr>
        <w:t>70% Nokia Economic Profit, 10% gender diversity, 5% carbon emission reduction (Scope 1 and 2), 5% carbon emission reduction (Scope 3) and 10% personal strategic objectives.</w:t>
      </w:r>
    </w:p>
    <w:p>
      <w:pPr>
        <w:spacing w:after="0" w:line="50" w:lineRule="exact"/>
        <w:rPr>
          <w:sz w:val="20"/>
          <w:szCs w:val="20"/>
          <w:color w:val="auto"/>
        </w:rPr>
      </w:pPr>
    </w:p>
    <w:p>
      <w:pPr>
        <w:ind w:right="480"/>
        <w:spacing w:after="0" w:line="261" w:lineRule="auto"/>
        <w:rPr>
          <w:sz w:val="20"/>
          <w:szCs w:val="20"/>
          <w:color w:val="auto"/>
        </w:rPr>
      </w:pPr>
      <w:r>
        <w:rPr>
          <w:rFonts w:ascii="Times New Roman" w:cs="Times New Roman" w:eastAsia="Times New Roman" w:hAnsi="Times New Roman"/>
          <w:sz w:val="11"/>
          <w:szCs w:val="11"/>
          <w:color w:val="auto"/>
        </w:rPr>
        <w:t>Nokia Economic Profit was determined based on the comparable o perating profit less the cost of normalized core net working capital (i.e. net receivables, inventories and trade creditors). The 2023 Economic Profit outcome of €854m was below the threshold set at the beginning of</w:t>
      </w:r>
    </w:p>
    <w:p>
      <w:pPr>
        <w:spacing w:after="0" w:line="2" w:lineRule="exact"/>
        <w:rPr>
          <w:sz w:val="20"/>
          <w:szCs w:val="20"/>
          <w:color w:val="auto"/>
        </w:rPr>
      </w:pPr>
    </w:p>
    <w:p>
      <w:pPr>
        <w:ind w:right="260"/>
        <w:spacing w:after="0" w:line="255" w:lineRule="auto"/>
        <w:rPr>
          <w:sz w:val="20"/>
          <w:szCs w:val="20"/>
          <w:color w:val="auto"/>
        </w:rPr>
      </w:pPr>
      <w:r>
        <w:rPr>
          <w:rFonts w:ascii="Times New Roman" w:cs="Times New Roman" w:eastAsia="Times New Roman" w:hAnsi="Times New Roman"/>
          <w:sz w:val="11"/>
          <w:szCs w:val="11"/>
          <w:color w:val="auto"/>
        </w:rPr>
        <w:t>the year for Pekka Lundmark’s 2023 STI. This outcome was largely as a result of the 5G patent cross-license agreements negotiation with OPPO and vivo that continued into early</w:t>
      </w:r>
    </w:p>
    <w:p>
      <w:pPr>
        <w:spacing w:after="0" w:line="1" w:lineRule="exact"/>
        <w:rPr>
          <w:sz w:val="20"/>
          <w:szCs w:val="20"/>
          <w:color w:val="auto"/>
        </w:rPr>
      </w:pPr>
    </w:p>
    <w:p>
      <w:pPr>
        <w:ind w:right="380"/>
        <w:spacing w:after="0" w:line="268" w:lineRule="auto"/>
        <w:rPr>
          <w:sz w:val="20"/>
          <w:szCs w:val="20"/>
          <w:color w:val="auto"/>
        </w:rPr>
      </w:pPr>
      <w:r>
        <w:rPr>
          <w:rFonts w:ascii="Times New Roman" w:cs="Times New Roman" w:eastAsia="Times New Roman" w:hAnsi="Times New Roman"/>
          <w:sz w:val="11"/>
          <w:szCs w:val="11"/>
          <w:color w:val="auto"/>
        </w:rPr>
        <w:t>2024 . Since 2021, Nokia has been involved in legal disputes with OPPO and vivo o ver patent payments in several countries in Europe and Asia.</w:t>
      </w:r>
    </w:p>
    <w:p>
      <w:pPr>
        <w:sectPr>
          <w:pgSz w:w="11900" w:h="16838" w:orient="portrait"/>
          <w:cols w:equalWidth="0" w:num="3">
            <w:col w:w="2820" w:space="580"/>
            <w:col w:w="2900" w:space="500"/>
            <w:col w:w="3180"/>
          </w:cols>
          <w:pgMar w:left="960" w:top="409" w:right="959" w:bottom="1440" w:gutter="0" w:footer="0" w:header="0"/>
        </w:sectPr>
      </w:pPr>
    </w:p>
    <w:bookmarkStart w:id="65" w:name="page66"/>
    <w:bookmarkEnd w:id="65"/>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680" w:type="dxa"/>
            <w:vAlign w:val="bottom"/>
          </w:tcPr>
          <w:p>
            <w:pPr>
              <w:spacing w:after="0"/>
              <w:rPr>
                <w:sz w:val="4"/>
                <w:szCs w:val="4"/>
                <w:color w:val="auto"/>
              </w:rPr>
            </w:pPr>
          </w:p>
        </w:tc>
        <w:tc>
          <w:tcPr>
            <w:tcW w:w="10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58</w:t>
      </w:r>
    </w:p>
    <w:p>
      <w:pPr>
        <w:spacing w:after="0" w:line="614" w:lineRule="exact"/>
        <w:rPr>
          <w:sz w:val="20"/>
          <w:szCs w:val="20"/>
          <w:color w:val="auto"/>
        </w:rPr>
      </w:pPr>
    </w:p>
    <w:p>
      <w:pPr>
        <w:sectPr>
          <w:pgSz w:w="11900" w:h="16838" w:orient="portrait"/>
          <w:cols w:equalWidth="0" w:num="2">
            <w:col w:w="9140" w:space="720"/>
            <w:col w:w="120"/>
          </w:cols>
          <w:pgMar w:left="960" w:top="409" w:right="959" w:bottom="1440" w:gutter="0" w:footer="0" w:header="0"/>
        </w:sectPr>
      </w:pPr>
    </w:p>
    <w:p>
      <w:pPr>
        <w:spacing w:after="0" w:line="227" w:lineRule="exact"/>
        <w:rPr>
          <w:sz w:val="20"/>
          <w:szCs w:val="20"/>
          <w:color w:val="auto"/>
        </w:rPr>
      </w:pPr>
    </w:p>
    <w:p>
      <w:pPr>
        <w:ind w:left="160" w:right="60"/>
        <w:spacing w:after="0" w:line="260" w:lineRule="auto"/>
        <w:rPr>
          <w:sz w:val="20"/>
          <w:szCs w:val="20"/>
          <w:color w:val="auto"/>
        </w:rPr>
      </w:pPr>
      <w:r>
        <w:rPr>
          <w:rFonts w:ascii="Times New Roman" w:cs="Times New Roman" w:eastAsia="Times New Roman" w:hAnsi="Times New Roman"/>
          <w:sz w:val="11"/>
          <w:szCs w:val="11"/>
          <w:color w:val="auto"/>
        </w:rPr>
        <w:t>While there have been intense negotiations between the relevant parties , the Company prioritized protecting the value of its patent portfolio over achieving certain timelines for resolution. In January and February 2024, we announced the conclusion of the patent cross-license agreements with OPPO and vivo, respectively. Under the agreements, OPPO and vivo will make royalty payments, along with catch-up payments to cover the periods of non-payment. The agreements resolve all pending patent litigation between the parties, in all jurisdictions. The Personnel Committee</w:t>
      </w:r>
    </w:p>
    <w:p>
      <w:pPr>
        <w:spacing w:after="0" w:line="1" w:lineRule="exact"/>
        <w:rPr>
          <w:sz w:val="20"/>
          <w:szCs w:val="20"/>
          <w:color w:val="auto"/>
        </w:rPr>
      </w:pPr>
    </w:p>
    <w:p>
      <w:pPr>
        <w:ind w:left="160"/>
        <w:spacing w:after="0" w:line="259" w:lineRule="auto"/>
        <w:rPr>
          <w:sz w:val="20"/>
          <w:szCs w:val="20"/>
          <w:color w:val="auto"/>
        </w:rPr>
      </w:pPr>
      <w:r>
        <w:rPr>
          <w:rFonts w:ascii="Times New Roman" w:cs="Times New Roman" w:eastAsia="Times New Roman" w:hAnsi="Times New Roman"/>
          <w:sz w:val="11"/>
          <w:szCs w:val="11"/>
          <w:color w:val="auto"/>
        </w:rPr>
        <w:t>and the Board recognized that although both agreements were signed in early 2024 instead of 2023, the outcomes were in the best interest of the Company and our shareholders. Therefore, to fairly reflect the significant effort and achievements of Pekka Lundmark and our GLT, the Board decided it would be appropriate to reflect the value created from signing both agreements in the Nokia Economic Profit outcome for 2023 STI purposes, which would result in an above threshold payout under this element for Pekka Lundmark. However, taking account</w:t>
      </w:r>
    </w:p>
    <w:p>
      <w:pPr>
        <w:ind w:left="160" w:right="100"/>
        <w:spacing w:after="0" w:line="266" w:lineRule="auto"/>
        <w:rPr>
          <w:sz w:val="20"/>
          <w:szCs w:val="20"/>
          <w:color w:val="auto"/>
        </w:rPr>
      </w:pPr>
      <w:r>
        <w:rPr>
          <w:rFonts w:ascii="Times New Roman" w:cs="Times New Roman" w:eastAsia="Times New Roman" w:hAnsi="Times New Roman"/>
          <w:sz w:val="11"/>
          <w:szCs w:val="11"/>
          <w:color w:val="auto"/>
        </w:rPr>
        <w:t>of the current financial pressure we are under and our restrained approach to executive remuneration as a matter of principle, it was decided that a one-third discount should be applied to the EP outcome which resulted in a payout of 37% of target under this element for Pekka Lundmark.</w:t>
      </w:r>
    </w:p>
    <w:p>
      <w:pPr>
        <w:spacing w:after="0" w:line="20" w:lineRule="exact"/>
        <w:rPr>
          <w:sz w:val="20"/>
          <w:szCs w:val="20"/>
          <w:color w:val="auto"/>
        </w:rPr>
      </w:pPr>
      <w:r>
        <w:rPr>
          <w:sz w:val="20"/>
          <w:szCs w:val="20"/>
          <w:color w:val="auto"/>
        </w:rPr>
        <w:br w:type="column"/>
      </w: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LTI performance and outcomes for 2020–2023</w:t>
      </w:r>
    </w:p>
    <w:p>
      <w:pPr>
        <w:spacing w:after="0" w:line="24"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The 2020 LTI (performance shares) was subject to the predetermined dividend adjusted share price targets and a three-year performance period which ended in October 2023. Based on the dividend adjusted share price outcome of €3.21, the award vested at 39.5% of target for Pekka Lundmark and other GLT members who received the grant in 2020.</w:t>
      </w:r>
    </w:p>
    <w:p>
      <w:pPr>
        <w:spacing w:after="0" w:line="52"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Pekka Lundmark also received a grant under our eLTI co-investment arrangement in August 2020, under which he purchased €2.6 million in Nokia shares and received two-for-one matching shares in return. The matching shares were also subject to dividend adjusted share price targets with a three-year performance period, which ended in August 2023. The threshold share price was not met. Therefore, his matching shares under the 2020 eLTI lapsed in full.</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STI and LTI performance conditions for 2024</w:t>
      </w:r>
    </w:p>
    <w:p>
      <w:pPr>
        <w:spacing w:after="0" w:line="24"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During 2023, the Committee also undertook a review of the performance metrics used for our LTI and STI and decided to make a number of changes for 2024 to ensure our incentive plans continue to support the business strategy and growth over the next three years. Our 2024 incentive plans for the President and CEO and the rest of the GLT will follow the structure set out below.</w:t>
      </w:r>
    </w:p>
    <w:p>
      <w:pPr>
        <w:spacing w:after="0" w:line="20" w:lineRule="exact"/>
        <w:rPr>
          <w:sz w:val="20"/>
          <w:szCs w:val="20"/>
          <w:color w:val="auto"/>
        </w:rPr>
      </w:pPr>
      <w:r>
        <w:rPr>
          <w:sz w:val="20"/>
          <w:szCs w:val="20"/>
          <w:color w:val="auto"/>
        </w:rPr>
        <w:br w:type="column"/>
      </w:r>
    </w:p>
    <w:p>
      <w:pPr>
        <w:spacing w:after="0" w:line="207" w:lineRule="exact"/>
        <w:rPr>
          <w:sz w:val="20"/>
          <w:szCs w:val="20"/>
          <w:color w:val="auto"/>
        </w:rPr>
      </w:pPr>
    </w:p>
    <w:p>
      <w:pPr>
        <w:ind w:right="340"/>
        <w:spacing w:after="0" w:line="264" w:lineRule="auto"/>
        <w:rPr>
          <w:sz w:val="20"/>
          <w:szCs w:val="20"/>
          <w:color w:val="auto"/>
        </w:rPr>
      </w:pPr>
      <w:r>
        <w:rPr>
          <w:rFonts w:ascii="Times New Roman" w:cs="Times New Roman" w:eastAsia="Times New Roman" w:hAnsi="Times New Roman"/>
          <w:sz w:val="11"/>
          <w:szCs w:val="11"/>
          <w:color w:val="auto"/>
        </w:rPr>
        <w:t>Taking account of the shareholder feedback received as well as market practice, the absolute TSR metric in the LTI will be replaced by cumulative reported EPS (adjusted for impairments and M&amp;A) in 2024. The Scope 1, 2 and 3 carbon emission reduction targets will also be introduced to the 2024 LTI. We are one of the very few companies in the market to include Scope 3 targets in incentive plans. This demonstrates our commitment to deliver our long-term emission reduction goal and to be a market leader in addressing climate change.</w:t>
      </w:r>
    </w:p>
    <w:p>
      <w:pPr>
        <w:spacing w:after="0" w:line="204" w:lineRule="exact"/>
        <w:rPr>
          <w:sz w:val="20"/>
          <w:szCs w:val="20"/>
          <w:color w:val="auto"/>
        </w:rPr>
      </w:pPr>
    </w:p>
    <w:p>
      <w:pPr>
        <w:ind w:right="460"/>
        <w:spacing w:after="0" w:line="262" w:lineRule="auto"/>
        <w:rPr>
          <w:sz w:val="20"/>
          <w:szCs w:val="20"/>
          <w:color w:val="auto"/>
        </w:rPr>
      </w:pPr>
      <w:r>
        <w:rPr>
          <w:rFonts w:ascii="Times New Roman" w:cs="Times New Roman" w:eastAsia="Times New Roman" w:hAnsi="Times New Roman"/>
          <w:sz w:val="11"/>
          <w:szCs w:val="11"/>
          <w:color w:val="auto"/>
        </w:rPr>
        <w:t>Our other ESG-related focus and commitment is reflected in the introduction of the health and safety metric with a fatality modifier and the continued use of the diversity metric in our 2024 STI. The change of financial metric for the 2024 STI from Economic Profit to Operating Profit and Cash Release supports our short-term strategic priority on delivering profit and maintaining a strong cash position. Based on feedback received from our shareholders,</w:t>
      </w:r>
    </w:p>
    <w:p>
      <w:pPr>
        <w:spacing w:after="0" w:line="4" w:lineRule="exact"/>
        <w:rPr>
          <w:sz w:val="20"/>
          <w:szCs w:val="20"/>
          <w:color w:val="auto"/>
        </w:rPr>
      </w:pPr>
    </w:p>
    <w:p>
      <w:pPr>
        <w:ind w:right="680"/>
        <w:spacing w:after="0" w:line="278" w:lineRule="auto"/>
        <w:rPr>
          <w:sz w:val="20"/>
          <w:szCs w:val="20"/>
          <w:color w:val="auto"/>
        </w:rPr>
      </w:pPr>
      <w:r>
        <w:rPr>
          <w:rFonts w:ascii="Times New Roman" w:cs="Times New Roman" w:eastAsia="Times New Roman" w:hAnsi="Times New Roman"/>
          <w:sz w:val="11"/>
          <w:szCs w:val="11"/>
          <w:color w:val="auto"/>
        </w:rPr>
        <w:t>they are also considered more transparent metrics than Economic Profit.</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ownership requirement</w:t>
      </w:r>
    </w:p>
    <w:p>
      <w:pPr>
        <w:spacing w:after="0" w:line="24" w:lineRule="exact"/>
        <w:rPr>
          <w:sz w:val="20"/>
          <w:szCs w:val="20"/>
          <w:color w:val="auto"/>
        </w:rPr>
      </w:pPr>
    </w:p>
    <w:p>
      <w:pPr>
        <w:ind w:right="540"/>
        <w:spacing w:after="0" w:line="250" w:lineRule="auto"/>
        <w:rPr>
          <w:sz w:val="20"/>
          <w:szCs w:val="20"/>
          <w:color w:val="auto"/>
        </w:rPr>
      </w:pPr>
      <w:r>
        <w:rPr>
          <w:rFonts w:ascii="Times New Roman" w:cs="Times New Roman" w:eastAsia="Times New Roman" w:hAnsi="Times New Roman"/>
          <w:sz w:val="11"/>
          <w:szCs w:val="11"/>
          <w:color w:val="auto"/>
        </w:rPr>
        <w:t>Our President and CEO is required to hold Nokia shares equivalent to three times his annual base salary. Pekka Lundmark currently maintains a total shareholding which</w:t>
      </w:r>
    </w:p>
    <w:p>
      <w:pPr>
        <w:spacing w:after="0" w:line="9" w:lineRule="exact"/>
        <w:rPr>
          <w:sz w:val="20"/>
          <w:szCs w:val="20"/>
          <w:color w:val="auto"/>
        </w:rPr>
      </w:pPr>
    </w:p>
    <w:p>
      <w:pPr>
        <w:sectPr>
          <w:pgSz w:w="11900" w:h="16838" w:orient="portrait"/>
          <w:cols w:equalWidth="0" w:num="3">
            <w:col w:w="2980" w:space="420"/>
            <w:col w:w="2840" w:space="560"/>
            <w:col w:w="3180"/>
          </w:cols>
          <w:pgMar w:left="960" w:top="409" w:right="959" w:bottom="1440" w:gutter="0" w:footer="0" w:header="0"/>
          <w:type w:val="continuous"/>
        </w:sectPr>
      </w:pPr>
    </w:p>
    <w:p>
      <w:pPr>
        <w:spacing w:after="0" w:line="6" w:lineRule="exact"/>
        <w:rPr>
          <w:sz w:val="20"/>
          <w:szCs w:val="20"/>
          <w:color w:val="auto"/>
        </w:rPr>
      </w:pPr>
    </w:p>
    <w:tbl>
      <w:tblPr>
        <w:tblLayout w:type="fixed"/>
        <w:tblInd w:w="160" w:type="dxa"/>
        <w:tblCellMar>
          <w:top w:w="0" w:type="dxa"/>
          <w:left w:w="0" w:type="dxa"/>
          <w:bottom w:w="0" w:type="dxa"/>
          <w:right w:w="0" w:type="dxa"/>
        </w:tblCellMar>
      </w:tblPr>
      <w:tr>
        <w:trPr>
          <w:trHeight w:val="152"/>
        </w:trPr>
        <w:tc>
          <w:tcPr>
            <w:tcW w:w="2840" w:type="dxa"/>
            <w:vAlign w:val="bottom"/>
          </w:tcPr>
          <w:p>
            <w:pPr>
              <w:spacing w:after="0"/>
              <w:rPr>
                <w:sz w:val="20"/>
                <w:szCs w:val="20"/>
                <w:color w:val="auto"/>
              </w:rPr>
            </w:pPr>
            <w:r>
              <w:rPr>
                <w:rFonts w:ascii="Times New Roman" w:cs="Times New Roman" w:eastAsia="Times New Roman" w:hAnsi="Times New Roman"/>
                <w:sz w:val="11"/>
                <w:szCs w:val="11"/>
                <w:color w:val="auto"/>
              </w:rPr>
              <w:t>Our 2023 diversity objective was based on the female</w:t>
            </w:r>
          </w:p>
        </w:tc>
        <w:tc>
          <w:tcPr>
            <w:tcW w:w="400" w:type="dxa"/>
            <w:vAlign w:val="bottom"/>
          </w:tcPr>
          <w:p>
            <w:pPr>
              <w:spacing w:after="0"/>
              <w:rPr>
                <w:sz w:val="13"/>
                <w:szCs w:val="13"/>
                <w:color w:val="auto"/>
              </w:rPr>
            </w:pPr>
          </w:p>
        </w:tc>
        <w:tc>
          <w:tcPr>
            <w:tcW w:w="3240" w:type="dxa"/>
            <w:vAlign w:val="bottom"/>
            <w:gridSpan w:val="2"/>
            <w:shd w:val="clear" w:color="auto" w:fill="005AFF"/>
          </w:tcPr>
          <w:p>
            <w:pPr>
              <w:ind w:left="40"/>
              <w:spacing w:after="0"/>
              <w:rPr>
                <w:sz w:val="20"/>
                <w:szCs w:val="20"/>
                <w:color w:val="auto"/>
              </w:rPr>
            </w:pPr>
            <w:r>
              <w:rPr>
                <w:rFonts w:ascii="Times New Roman" w:cs="Times New Roman" w:eastAsia="Times New Roman" w:hAnsi="Times New Roman"/>
                <w:sz w:val="11"/>
                <w:szCs w:val="11"/>
                <w:b w:val="1"/>
                <w:bCs w:val="1"/>
                <w:color w:val="FFFFFF"/>
              </w:rPr>
              <w:t>Delivering the next year’s step in the strategic plan – STI</w:t>
            </w:r>
          </w:p>
        </w:tc>
        <w:tc>
          <w:tcPr>
            <w:tcW w:w="0" w:type="dxa"/>
            <w:vAlign w:val="bottom"/>
          </w:tcPr>
          <w:p>
            <w:pPr>
              <w:spacing w:after="0"/>
              <w:rPr>
                <w:sz w:val="1"/>
                <w:szCs w:val="1"/>
                <w:color w:val="auto"/>
              </w:rPr>
            </w:pPr>
          </w:p>
        </w:tc>
      </w:tr>
      <w:tr>
        <w:trPr>
          <w:trHeight w:val="152"/>
        </w:trPr>
        <w:tc>
          <w:tcPr>
            <w:tcW w:w="2840" w:type="dxa"/>
            <w:vAlign w:val="bottom"/>
          </w:tcPr>
          <w:p>
            <w:pPr>
              <w:spacing w:after="0"/>
              <w:rPr>
                <w:sz w:val="20"/>
                <w:szCs w:val="20"/>
                <w:color w:val="auto"/>
              </w:rPr>
            </w:pPr>
            <w:r>
              <w:rPr>
                <w:rFonts w:ascii="Times New Roman" w:cs="Times New Roman" w:eastAsia="Times New Roman" w:hAnsi="Times New Roman"/>
                <w:sz w:val="11"/>
                <w:szCs w:val="11"/>
                <w:color w:val="auto"/>
              </w:rPr>
              <w:t>percentage of our global external hires. We delivered a full</w:t>
            </w:r>
          </w:p>
        </w:tc>
        <w:tc>
          <w:tcPr>
            <w:tcW w:w="400" w:type="dxa"/>
            <w:vAlign w:val="bottom"/>
          </w:tcPr>
          <w:p>
            <w:pPr>
              <w:spacing w:after="0"/>
              <w:rPr>
                <w:sz w:val="13"/>
                <w:szCs w:val="13"/>
                <w:color w:val="auto"/>
              </w:rPr>
            </w:pPr>
          </w:p>
        </w:tc>
        <w:tc>
          <w:tcPr>
            <w:tcW w:w="1500" w:type="dxa"/>
            <w:vAlign w:val="bottom"/>
            <w:shd w:val="clear" w:color="auto" w:fill="6F6F6E"/>
          </w:tcPr>
          <w:p>
            <w:pPr>
              <w:ind w:left="40"/>
              <w:spacing w:after="0"/>
              <w:rPr>
                <w:sz w:val="20"/>
                <w:szCs w:val="20"/>
                <w:color w:val="auto"/>
              </w:rPr>
            </w:pPr>
            <w:r>
              <w:rPr>
                <w:rFonts w:ascii="Times New Roman" w:cs="Times New Roman" w:eastAsia="Times New Roman" w:hAnsi="Times New Roman"/>
                <w:sz w:val="9"/>
                <w:szCs w:val="9"/>
                <w:color w:val="FFFFFF"/>
              </w:rPr>
              <w:t>Operating Profit 60%</w:t>
            </w:r>
          </w:p>
        </w:tc>
        <w:tc>
          <w:tcPr>
            <w:tcW w:w="1740" w:type="dxa"/>
            <w:vAlign w:val="bottom"/>
            <w:shd w:val="clear" w:color="auto" w:fill="6F6F6E"/>
          </w:tcPr>
          <w:p>
            <w:pPr>
              <w:ind w:left="160"/>
              <w:spacing w:after="0"/>
              <w:rPr>
                <w:sz w:val="20"/>
                <w:szCs w:val="20"/>
                <w:color w:val="auto"/>
              </w:rPr>
            </w:pPr>
            <w:r>
              <w:rPr>
                <w:rFonts w:ascii="Times New Roman" w:cs="Times New Roman" w:eastAsia="Times New Roman" w:hAnsi="Times New Roman"/>
                <w:sz w:val="9"/>
                <w:szCs w:val="9"/>
                <w:color w:val="FFFFFF"/>
              </w:rPr>
              <w:t>Cash Release 20%</w:t>
            </w:r>
          </w:p>
        </w:tc>
        <w:tc>
          <w:tcPr>
            <w:tcW w:w="0" w:type="dxa"/>
            <w:vAlign w:val="bottom"/>
          </w:tcPr>
          <w:p>
            <w:pPr>
              <w:spacing w:after="0"/>
              <w:rPr>
                <w:sz w:val="1"/>
                <w:szCs w:val="1"/>
                <w:color w:val="auto"/>
              </w:rPr>
            </w:pPr>
          </w:p>
        </w:tc>
      </w:tr>
      <w:tr>
        <w:trPr>
          <w:trHeight w:val="121"/>
        </w:trPr>
        <w:tc>
          <w:tcPr>
            <w:tcW w:w="2840" w:type="dxa"/>
            <w:vAlign w:val="bottom"/>
          </w:tcPr>
          <w:p>
            <w:pPr>
              <w:spacing w:after="0" w:line="122" w:lineRule="exact"/>
              <w:rPr>
                <w:sz w:val="20"/>
                <w:szCs w:val="20"/>
                <w:color w:val="auto"/>
              </w:rPr>
            </w:pPr>
            <w:r>
              <w:rPr>
                <w:rFonts w:ascii="Times New Roman" w:cs="Times New Roman" w:eastAsia="Times New Roman" w:hAnsi="Times New Roman"/>
                <w:sz w:val="11"/>
                <w:szCs w:val="11"/>
                <w:color w:val="auto"/>
              </w:rPr>
              <w:t>year outcome of 27.9% of female external hiring against a</w:t>
            </w:r>
          </w:p>
        </w:tc>
        <w:tc>
          <w:tcPr>
            <w:tcW w:w="400" w:type="dxa"/>
            <w:vAlign w:val="bottom"/>
          </w:tcPr>
          <w:p>
            <w:pPr>
              <w:spacing w:after="0"/>
              <w:rPr>
                <w:sz w:val="10"/>
                <w:szCs w:val="10"/>
                <w:color w:val="auto"/>
              </w:rPr>
            </w:pPr>
          </w:p>
        </w:tc>
        <w:tc>
          <w:tcPr>
            <w:tcW w:w="1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Continued focus on profitability</w:t>
            </w:r>
          </w:p>
        </w:tc>
        <w:tc>
          <w:tcPr>
            <w:tcW w:w="174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Achieve a strong cash position</w:t>
            </w:r>
          </w:p>
        </w:tc>
        <w:tc>
          <w:tcPr>
            <w:tcW w:w="0" w:type="dxa"/>
            <w:vAlign w:val="bottom"/>
          </w:tcPr>
          <w:p>
            <w:pPr>
              <w:spacing w:after="0"/>
              <w:rPr>
                <w:sz w:val="1"/>
                <w:szCs w:val="1"/>
                <w:color w:val="auto"/>
              </w:rPr>
            </w:pPr>
          </w:p>
        </w:tc>
      </w:tr>
      <w:tr>
        <w:trPr>
          <w:trHeight w:val="40"/>
        </w:trPr>
        <w:tc>
          <w:tcPr>
            <w:tcW w:w="28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target of 28%, which resulted in 90% of the target payout</w:t>
            </w:r>
          </w:p>
        </w:tc>
        <w:tc>
          <w:tcPr>
            <w:tcW w:w="400" w:type="dxa"/>
            <w:vAlign w:val="bottom"/>
          </w:tcPr>
          <w:p>
            <w:pPr>
              <w:spacing w:after="0"/>
              <w:rPr>
                <w:sz w:val="3"/>
                <w:szCs w:val="3"/>
                <w:color w:val="auto"/>
              </w:rPr>
            </w:pPr>
          </w:p>
        </w:tc>
        <w:tc>
          <w:tcPr>
            <w:tcW w:w="1500" w:type="dxa"/>
            <w:vAlign w:val="bottom"/>
          </w:tcPr>
          <w:p>
            <w:pPr>
              <w:spacing w:after="0"/>
              <w:rPr>
                <w:sz w:val="3"/>
                <w:szCs w:val="3"/>
                <w:color w:val="auto"/>
              </w:rPr>
            </w:pPr>
          </w:p>
        </w:tc>
        <w:tc>
          <w:tcPr>
            <w:tcW w:w="174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98"/>
        </w:trPr>
        <w:tc>
          <w:tcPr>
            <w:tcW w:w="2840" w:type="dxa"/>
            <w:vAlign w:val="bottom"/>
            <w:vMerge w:val="continue"/>
          </w:tcPr>
          <w:p>
            <w:pPr>
              <w:spacing w:after="0"/>
              <w:rPr>
                <w:sz w:val="8"/>
                <w:szCs w:val="8"/>
                <w:color w:val="auto"/>
              </w:rPr>
            </w:pPr>
          </w:p>
        </w:tc>
        <w:tc>
          <w:tcPr>
            <w:tcW w:w="400" w:type="dxa"/>
            <w:vAlign w:val="bottom"/>
          </w:tcPr>
          <w:p>
            <w:pPr>
              <w:spacing w:after="0"/>
              <w:rPr>
                <w:sz w:val="8"/>
                <w:szCs w:val="8"/>
                <w:color w:val="auto"/>
              </w:rPr>
            </w:pPr>
          </w:p>
        </w:tc>
        <w:tc>
          <w:tcPr>
            <w:tcW w:w="1500" w:type="dxa"/>
            <w:vAlign w:val="bottom"/>
            <w:vMerge w:val="restart"/>
            <w:shd w:val="clear" w:color="auto" w:fill="6F6F6E"/>
          </w:tcPr>
          <w:p>
            <w:pPr>
              <w:ind w:left="40"/>
              <w:spacing w:after="0"/>
              <w:rPr>
                <w:sz w:val="20"/>
                <w:szCs w:val="20"/>
                <w:color w:val="auto"/>
              </w:rPr>
            </w:pPr>
            <w:r>
              <w:rPr>
                <w:rFonts w:ascii="Times New Roman" w:cs="Times New Roman" w:eastAsia="Times New Roman" w:hAnsi="Times New Roman"/>
                <w:sz w:val="10"/>
                <w:szCs w:val="10"/>
                <w:color w:val="FFFFFF"/>
              </w:rPr>
              <w:t>Health &amp; safety 10% – Lost</w:t>
            </w:r>
          </w:p>
        </w:tc>
        <w:tc>
          <w:tcPr>
            <w:tcW w:w="1740" w:type="dxa"/>
            <w:vAlign w:val="bottom"/>
            <w:vMerge w:val="restart"/>
            <w:shd w:val="clear" w:color="auto" w:fill="6F6F6E"/>
          </w:tcPr>
          <w:p>
            <w:pPr>
              <w:ind w:left="160"/>
              <w:spacing w:after="0"/>
              <w:rPr>
                <w:sz w:val="20"/>
                <w:szCs w:val="20"/>
                <w:color w:val="auto"/>
              </w:rPr>
            </w:pPr>
            <w:r>
              <w:rPr>
                <w:rFonts w:ascii="Times New Roman" w:cs="Times New Roman" w:eastAsia="Times New Roman" w:hAnsi="Times New Roman"/>
                <w:sz w:val="10"/>
                <w:szCs w:val="10"/>
                <w:color w:val="FFFFFF"/>
              </w:rPr>
              <w:t>Diversity 10%</w:t>
            </w:r>
          </w:p>
        </w:tc>
        <w:tc>
          <w:tcPr>
            <w:tcW w:w="0" w:type="dxa"/>
            <w:vAlign w:val="bottom"/>
          </w:tcPr>
          <w:p>
            <w:pPr>
              <w:spacing w:after="0"/>
              <w:rPr>
                <w:sz w:val="1"/>
                <w:szCs w:val="1"/>
                <w:color w:val="auto"/>
              </w:rPr>
            </w:pPr>
          </w:p>
        </w:tc>
      </w:tr>
      <w:tr>
        <w:trPr>
          <w:trHeight w:val="24"/>
        </w:trPr>
        <w:tc>
          <w:tcPr>
            <w:tcW w:w="28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under this element for Pekka Lundmark. Our absolute</w:t>
            </w:r>
          </w:p>
        </w:tc>
        <w:tc>
          <w:tcPr>
            <w:tcW w:w="400" w:type="dxa"/>
            <w:vAlign w:val="bottom"/>
          </w:tcPr>
          <w:p>
            <w:pPr>
              <w:spacing w:after="0"/>
              <w:rPr>
                <w:sz w:val="2"/>
                <w:szCs w:val="2"/>
                <w:color w:val="auto"/>
              </w:rPr>
            </w:pPr>
          </w:p>
        </w:tc>
        <w:tc>
          <w:tcPr>
            <w:tcW w:w="1500" w:type="dxa"/>
            <w:vAlign w:val="bottom"/>
            <w:vMerge w:val="continue"/>
            <w:shd w:val="clear" w:color="auto" w:fill="6F6F6E"/>
          </w:tcPr>
          <w:p>
            <w:pPr>
              <w:spacing w:after="0"/>
              <w:rPr>
                <w:sz w:val="2"/>
                <w:szCs w:val="2"/>
                <w:color w:val="auto"/>
              </w:rPr>
            </w:pPr>
          </w:p>
        </w:tc>
        <w:tc>
          <w:tcPr>
            <w:tcW w:w="1740" w:type="dxa"/>
            <w:vAlign w:val="bottom"/>
            <w:vMerge w:val="continue"/>
            <w:shd w:val="clear" w:color="auto" w:fill="6F6F6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07"/>
        </w:trPr>
        <w:tc>
          <w:tcPr>
            <w:tcW w:w="2840" w:type="dxa"/>
            <w:vAlign w:val="bottom"/>
            <w:vMerge w:val="continue"/>
          </w:tcPr>
          <w:p>
            <w:pPr>
              <w:spacing w:after="0"/>
              <w:rPr>
                <w:sz w:val="9"/>
                <w:szCs w:val="9"/>
                <w:color w:val="auto"/>
              </w:rPr>
            </w:pPr>
          </w:p>
        </w:tc>
        <w:tc>
          <w:tcPr>
            <w:tcW w:w="400" w:type="dxa"/>
            <w:vAlign w:val="bottom"/>
          </w:tcPr>
          <w:p>
            <w:pPr>
              <w:spacing w:after="0"/>
              <w:rPr>
                <w:sz w:val="9"/>
                <w:szCs w:val="9"/>
                <w:color w:val="auto"/>
              </w:rPr>
            </w:pPr>
          </w:p>
        </w:tc>
        <w:tc>
          <w:tcPr>
            <w:tcW w:w="1500" w:type="dxa"/>
            <w:vAlign w:val="bottom"/>
            <w:shd w:val="clear" w:color="auto" w:fill="6F6F6E"/>
          </w:tcPr>
          <w:p>
            <w:pPr>
              <w:ind w:left="40"/>
              <w:spacing w:after="0" w:line="108" w:lineRule="exact"/>
              <w:rPr>
                <w:sz w:val="20"/>
                <w:szCs w:val="20"/>
                <w:color w:val="auto"/>
              </w:rPr>
            </w:pPr>
            <w:r>
              <w:rPr>
                <w:rFonts w:ascii="Times New Roman" w:cs="Times New Roman" w:eastAsia="Times New Roman" w:hAnsi="Times New Roman"/>
                <w:sz w:val="10"/>
                <w:szCs w:val="10"/>
                <w:color w:val="FFFFFF"/>
              </w:rPr>
              <w:t>Time Injury Frequency Rate</w:t>
            </w:r>
          </w:p>
        </w:tc>
        <w:tc>
          <w:tcPr>
            <w:tcW w:w="1740" w:type="dxa"/>
            <w:vAlign w:val="bottom"/>
            <w:shd w:val="clear" w:color="auto" w:fill="6F6F6E"/>
          </w:tcPr>
          <w:p>
            <w:pPr>
              <w:spacing w:after="0"/>
              <w:rPr>
                <w:sz w:val="9"/>
                <w:szCs w:val="9"/>
                <w:color w:val="auto"/>
              </w:rPr>
            </w:pPr>
          </w:p>
        </w:tc>
        <w:tc>
          <w:tcPr>
            <w:tcW w:w="0" w:type="dxa"/>
            <w:vAlign w:val="bottom"/>
          </w:tcPr>
          <w:p>
            <w:pPr>
              <w:spacing w:after="0"/>
              <w:rPr>
                <w:sz w:val="1"/>
                <w:szCs w:val="1"/>
                <w:color w:val="auto"/>
              </w:rPr>
            </w:pPr>
          </w:p>
        </w:tc>
      </w:tr>
      <w:tr>
        <w:trPr>
          <w:trHeight w:val="144"/>
        </w:trPr>
        <w:tc>
          <w:tcPr>
            <w:tcW w:w="2840" w:type="dxa"/>
            <w:vAlign w:val="bottom"/>
          </w:tcPr>
          <w:p>
            <w:pPr>
              <w:spacing w:after="0"/>
              <w:rPr>
                <w:sz w:val="20"/>
                <w:szCs w:val="20"/>
                <w:color w:val="auto"/>
              </w:rPr>
            </w:pPr>
            <w:r>
              <w:rPr>
                <w:rFonts w:ascii="Times New Roman" w:cs="Times New Roman" w:eastAsia="Times New Roman" w:hAnsi="Times New Roman"/>
                <w:sz w:val="11"/>
                <w:szCs w:val="11"/>
                <w:color w:val="auto"/>
              </w:rPr>
              <w:t>Scope 1 and 2 carbon emission for 2023 was 195 897 tCO</w:t>
            </w:r>
          </w:p>
        </w:tc>
        <w:tc>
          <w:tcPr>
            <w:tcW w:w="400" w:type="dxa"/>
            <w:vAlign w:val="bottom"/>
          </w:tcPr>
          <w:p>
            <w:pPr>
              <w:ind w:left="140"/>
              <w:spacing w:after="0"/>
              <w:rPr>
                <w:sz w:val="20"/>
                <w:szCs w:val="20"/>
                <w:color w:val="auto"/>
              </w:rPr>
            </w:pPr>
            <w:r>
              <w:rPr>
                <w:rFonts w:ascii="Times New Roman" w:cs="Times New Roman" w:eastAsia="Times New Roman" w:hAnsi="Times New Roman"/>
                <w:sz w:val="7"/>
                <w:szCs w:val="7"/>
                <w:color w:val="auto"/>
              </w:rPr>
              <w:t>2</w:t>
            </w:r>
            <w:r>
              <w:rPr>
                <w:rFonts w:ascii="Times New Roman" w:cs="Times New Roman" w:eastAsia="Times New Roman" w:hAnsi="Times New Roman"/>
                <w:sz w:val="11"/>
                <w:szCs w:val="11"/>
                <w:color w:val="auto"/>
              </w:rPr>
              <w:t>e</w:t>
            </w:r>
          </w:p>
        </w:tc>
        <w:tc>
          <w:tcPr>
            <w:tcW w:w="1500" w:type="dxa"/>
            <w:vAlign w:val="bottom"/>
            <w:shd w:val="clear" w:color="auto" w:fill="6F6F6E"/>
          </w:tcPr>
          <w:p>
            <w:pPr>
              <w:ind w:left="40"/>
              <w:spacing w:after="0"/>
              <w:rPr>
                <w:sz w:val="20"/>
                <w:szCs w:val="20"/>
                <w:color w:val="auto"/>
              </w:rPr>
            </w:pPr>
            <w:r>
              <w:rPr>
                <w:rFonts w:ascii="Times New Roman" w:cs="Times New Roman" w:eastAsia="Times New Roman" w:hAnsi="Times New Roman"/>
                <w:sz w:val="10"/>
                <w:szCs w:val="10"/>
                <w:color w:val="FFFFFF"/>
              </w:rPr>
              <w:t>(with a fatality modifier)</w:t>
            </w:r>
          </w:p>
        </w:tc>
        <w:tc>
          <w:tcPr>
            <w:tcW w:w="1740" w:type="dxa"/>
            <w:vAlign w:val="bottom"/>
            <w:shd w:val="clear" w:color="auto" w:fill="6F6F6E"/>
          </w:tcPr>
          <w:p>
            <w:pPr>
              <w:spacing w:after="0"/>
              <w:rPr>
                <w:sz w:val="12"/>
                <w:szCs w:val="12"/>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jc w:val="both"/>
        <w:ind w:right="540"/>
        <w:spacing w:after="0" w:line="283" w:lineRule="auto"/>
        <w:rPr>
          <w:sz w:val="20"/>
          <w:szCs w:val="20"/>
          <w:color w:val="auto"/>
        </w:rPr>
      </w:pPr>
      <w:r>
        <w:rPr>
          <w:rFonts w:ascii="Times New Roman" w:cs="Times New Roman" w:eastAsia="Times New Roman" w:hAnsi="Times New Roman"/>
          <w:sz w:val="11"/>
          <w:szCs w:val="11"/>
          <w:color w:val="auto"/>
        </w:rPr>
        <w:t>significantly exceeds the requirement. This demonstrates his commitment to and alignment with Nokia’s long-term success and our shareholder interests.</w:t>
      </w:r>
    </w:p>
    <w:p>
      <w:pPr>
        <w:spacing w:after="0" w:line="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Conclusions</w:t>
      </w:r>
    </w:p>
    <w:p>
      <w:pPr>
        <w:spacing w:after="0" w:line="19" w:lineRule="exact"/>
        <w:rPr>
          <w:sz w:val="20"/>
          <w:szCs w:val="20"/>
          <w:color w:val="auto"/>
        </w:rPr>
      </w:pPr>
    </w:p>
    <w:p>
      <w:pPr>
        <w:ind w:right="640"/>
        <w:spacing w:after="0" w:line="211" w:lineRule="auto"/>
        <w:rPr>
          <w:sz w:val="20"/>
          <w:szCs w:val="20"/>
          <w:color w:val="auto"/>
        </w:rPr>
      </w:pPr>
      <w:r>
        <w:rPr>
          <w:rFonts w:ascii="Times New Roman" w:cs="Times New Roman" w:eastAsia="Times New Roman" w:hAnsi="Times New Roman"/>
          <w:sz w:val="11"/>
          <w:szCs w:val="11"/>
          <w:color w:val="auto"/>
        </w:rPr>
        <w:t>Remuneration outcomes for 2023 reflect our resilient performance despite the challenges during the year and</w:t>
      </w:r>
    </w:p>
    <w:p>
      <w:pPr>
        <w:spacing w:after="0" w:line="1" w:lineRule="exact"/>
        <w:rPr>
          <w:sz w:val="20"/>
          <w:szCs w:val="20"/>
          <w:color w:val="auto"/>
        </w:rPr>
      </w:pPr>
    </w:p>
    <w:p>
      <w:pPr>
        <w:sectPr>
          <w:pgSz w:w="11900" w:h="16838" w:orient="portrait"/>
          <w:cols w:equalWidth="0" w:num="2">
            <w:col w:w="6640" w:space="160"/>
            <w:col w:w="3180"/>
          </w:cols>
          <w:pgMar w:left="960" w:top="409" w:right="959" w:bottom="1440" w:gutter="0" w:footer="0" w:header="0"/>
          <w:type w:val="continuous"/>
        </w:sectPr>
      </w:pPr>
    </w:p>
    <w:p>
      <w:pPr>
        <w:ind w:left="160"/>
        <w:spacing w:after="0" w:line="251" w:lineRule="auto"/>
        <w:rPr>
          <w:sz w:val="20"/>
          <w:szCs w:val="20"/>
          <w:color w:val="auto"/>
        </w:rPr>
      </w:pPr>
      <w:r>
        <w:rPr>
          <w:rFonts w:ascii="Times New Roman" w:cs="Times New Roman" w:eastAsia="Times New Roman" w:hAnsi="Times New Roman"/>
          <w:sz w:val="11"/>
          <w:szCs w:val="11"/>
          <w:color w:val="auto"/>
        </w:rPr>
        <w:t xml:space="preserve">against a target of 221 652 tCO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which resulted in the maximum payout of 225% of target under this element. Our Scope 3 carbon emission targets were based on a number of emission improvement actions reflecting the key milestones of our Net Zero Roadmap. During 2023, we achieved 83.03 % of the targets under this element. The Personnel Committee and the Board carried out a detailed assessment of Pekka Lundmark’s personal strategic objectives achievement following the year end and determined a 150% of target payout under this element.</w:t>
      </w:r>
    </w:p>
    <w:p>
      <w:pPr>
        <w:spacing w:after="0" w:line="1" w:lineRule="exact"/>
        <w:rPr>
          <w:sz w:val="20"/>
          <w:szCs w:val="20"/>
          <w:color w:val="auto"/>
        </w:rPr>
      </w:pPr>
    </w:p>
    <w:p>
      <w:pPr>
        <w:jc w:val="both"/>
        <w:ind w:left="160" w:right="180"/>
        <w:spacing w:after="0" w:line="265" w:lineRule="auto"/>
        <w:rPr>
          <w:sz w:val="20"/>
          <w:szCs w:val="20"/>
          <w:color w:val="auto"/>
        </w:rPr>
      </w:pPr>
      <w:r>
        <w:rPr>
          <w:rFonts w:ascii="Times New Roman" w:cs="Times New Roman" w:eastAsia="Times New Roman" w:hAnsi="Times New Roman"/>
          <w:sz w:val="11"/>
          <w:szCs w:val="11"/>
          <w:color w:val="auto"/>
        </w:rPr>
        <w:t>The personal strategic objectives and the assessment are set out in the Remuneration Report. As a result, a total of 65.30% of target STI was payable to Pekka Lundmark in respect of 2023 performance.</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21"/>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Deliver on our focus on the</w:t>
            </w:r>
          </w:p>
        </w:tc>
        <w:tc>
          <w:tcPr>
            <w:tcW w:w="18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Deliver on our commitment to</w:t>
            </w:r>
          </w:p>
        </w:tc>
      </w:tr>
      <w:tr>
        <w:trPr>
          <w:trHeight w:val="121"/>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continued health and safety</w:t>
            </w:r>
          </w:p>
        </w:tc>
        <w:tc>
          <w:tcPr>
            <w:tcW w:w="18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become a more diverse employer</w:t>
            </w:r>
          </w:p>
        </w:tc>
      </w:tr>
      <w:tr>
        <w:trPr>
          <w:trHeight w:val="135"/>
        </w:trPr>
        <w:tc>
          <w:tcPr>
            <w:tcW w:w="14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of our employees</w:t>
            </w:r>
          </w:p>
        </w:tc>
        <w:tc>
          <w:tcPr>
            <w:tcW w:w="1840" w:type="dxa"/>
            <w:vAlign w:val="bottom"/>
            <w:tcBorders>
              <w:bottom w:val="single" w:sz="8" w:color="005AFF"/>
            </w:tcBorders>
          </w:tcPr>
          <w:p>
            <w:pPr>
              <w:spacing w:after="0"/>
              <w:rPr>
                <w:sz w:val="11"/>
                <w:szCs w:val="11"/>
                <w:color w:val="auto"/>
              </w:rPr>
            </w:pPr>
          </w:p>
        </w:tc>
      </w:tr>
      <w:tr>
        <w:trPr>
          <w:trHeight w:val="117"/>
        </w:trPr>
        <w:tc>
          <w:tcPr>
            <w:tcW w:w="1400" w:type="dxa"/>
            <w:vAlign w:val="bottom"/>
            <w:shd w:val="clear" w:color="auto" w:fill="F0F5FF"/>
          </w:tcPr>
          <w:p>
            <w:pPr>
              <w:spacing w:after="0"/>
              <w:rPr>
                <w:sz w:val="10"/>
                <w:szCs w:val="10"/>
                <w:color w:val="auto"/>
              </w:rPr>
            </w:pPr>
          </w:p>
        </w:tc>
        <w:tc>
          <w:tcPr>
            <w:tcW w:w="1840" w:type="dxa"/>
            <w:vAlign w:val="bottom"/>
            <w:shd w:val="clear" w:color="auto" w:fill="F0F5FF"/>
          </w:tcPr>
          <w:p>
            <w:pPr>
              <w:spacing w:after="0"/>
              <w:rPr>
                <w:sz w:val="10"/>
                <w:szCs w:val="10"/>
                <w:color w:val="auto"/>
              </w:rPr>
            </w:pPr>
          </w:p>
        </w:tc>
      </w:tr>
    </w:tbl>
    <w:p>
      <w:pPr>
        <w:spacing w:after="0" w:line="1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b w:val="1"/>
          <w:bCs w:val="1"/>
          <w:color w:val="FFFFFF"/>
        </w:rPr>
        <w:t>Delivering sustainable value – LTI</w:t>
      </w:r>
    </w:p>
    <w:p>
      <w:pPr>
        <w:spacing w:after="0" w:line="55" w:lineRule="exact"/>
        <w:rPr>
          <w:sz w:val="20"/>
          <w:szCs w:val="20"/>
          <w:color w:val="auto"/>
        </w:rPr>
      </w:pPr>
    </w:p>
    <w:p>
      <w:pPr>
        <w:ind w:left="40" w:right="340"/>
        <w:spacing w:after="0" w:line="232" w:lineRule="auto"/>
        <w:rPr>
          <w:sz w:val="20"/>
          <w:szCs w:val="20"/>
          <w:color w:val="auto"/>
        </w:rPr>
      </w:pPr>
      <w:r>
        <w:rPr>
          <w:rFonts w:ascii="Times New Roman" w:cs="Times New Roman" w:eastAsia="Times New Roman" w:hAnsi="Times New Roman"/>
          <w:sz w:val="10"/>
          <w:szCs w:val="10"/>
          <w:color w:val="FFFFFF"/>
        </w:rPr>
        <w:t>50% relative TSR, 40% cumulative reported EPS (adjusted for impairments and M&amp;A), 10% carbon emission reduction (Scope 1,</w:t>
      </w:r>
    </w:p>
    <w:p>
      <w:pPr>
        <w:ind w:left="40"/>
        <w:spacing w:after="0"/>
        <w:rPr>
          <w:sz w:val="20"/>
          <w:szCs w:val="20"/>
          <w:color w:val="auto"/>
        </w:rPr>
      </w:pPr>
      <w:r>
        <w:rPr>
          <w:rFonts w:ascii="Times New Roman" w:cs="Times New Roman" w:eastAsia="Times New Roman" w:hAnsi="Times New Roman"/>
          <w:sz w:val="10"/>
          <w:szCs w:val="10"/>
          <w:color w:val="FFFFFF"/>
        </w:rPr>
        <w:t>2 and 3)</w:t>
      </w:r>
    </w:p>
    <w:p>
      <w:pPr>
        <w:spacing w:after="0" w:line="37" w:lineRule="exact"/>
        <w:rPr>
          <w:sz w:val="20"/>
          <w:szCs w:val="20"/>
          <w:color w:val="auto"/>
        </w:rPr>
      </w:pPr>
    </w:p>
    <w:p>
      <w:pPr>
        <w:ind w:left="40" w:right="420"/>
        <w:spacing w:after="0" w:line="263" w:lineRule="auto"/>
        <w:rPr>
          <w:sz w:val="20"/>
          <w:szCs w:val="20"/>
          <w:color w:val="auto"/>
        </w:rPr>
      </w:pPr>
      <w:r>
        <w:rPr>
          <w:rFonts w:ascii="Times New Roman" w:cs="Times New Roman" w:eastAsia="Times New Roman" w:hAnsi="Times New Roman"/>
          <w:sz w:val="10"/>
          <w:szCs w:val="10"/>
          <w:color w:val="0D0D0D"/>
        </w:rPr>
        <w:t>A more rounded and balanced approach reflecting performance over the long term in growing the business and in delivering shareholder value whilst working towards our 2030 goal of 50% carbon emission reduction</w:t>
      </w:r>
    </w:p>
    <w:p>
      <w:pPr>
        <w:spacing w:after="0" w:line="20" w:lineRule="exact"/>
        <w:rPr>
          <w:sz w:val="20"/>
          <w:szCs w:val="20"/>
          <w:color w:val="auto"/>
        </w:rPr>
      </w:pPr>
      <w:r>
        <w:rPr>
          <w:sz w:val="20"/>
          <w:szCs w:val="20"/>
          <w:color w:val="auto"/>
        </w:rPr>
        <w:br w:type="column"/>
      </w:r>
    </w:p>
    <w:p>
      <w:pPr>
        <w:spacing w:after="0" w:line="18" w:lineRule="exact"/>
        <w:rPr>
          <w:sz w:val="20"/>
          <w:szCs w:val="20"/>
          <w:color w:val="auto"/>
        </w:rPr>
      </w:pPr>
    </w:p>
    <w:p>
      <w:pPr>
        <w:ind w:right="480"/>
        <w:spacing w:after="0" w:line="269" w:lineRule="auto"/>
        <w:rPr>
          <w:sz w:val="20"/>
          <w:szCs w:val="20"/>
          <w:color w:val="auto"/>
        </w:rPr>
      </w:pPr>
      <w:r>
        <w:rPr>
          <w:rFonts w:ascii="Times New Roman" w:cs="Times New Roman" w:eastAsia="Times New Roman" w:hAnsi="Times New Roman"/>
          <w:sz w:val="11"/>
          <w:szCs w:val="11"/>
          <w:color w:val="auto"/>
        </w:rPr>
        <w:t>demonstrate our remuneration philosophy of pay for performance. The proposed Remuneration Policy amendments build on what has proved to be a successful remuneration strategy over the years. I thank shareholders who assisted the Committee in the consultation process, and very much welcome their constructive feedback and support for the proposals. I look forward to your continued support at our 2024 AGM.</w:t>
      </w:r>
    </w:p>
    <w:p>
      <w:pPr>
        <w:spacing w:after="0" w:line="1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Thomas Dannenfeldt,</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Chair of the Personnel Committee</w:t>
      </w:r>
    </w:p>
    <w:p>
      <w:pPr>
        <w:spacing w:after="0" w:line="495" w:lineRule="exact"/>
        <w:rPr>
          <w:sz w:val="20"/>
          <w:szCs w:val="20"/>
          <w:color w:val="auto"/>
        </w:rPr>
      </w:pPr>
    </w:p>
    <w:p>
      <w:pPr>
        <w:sectPr>
          <w:pgSz w:w="11900" w:h="16838" w:orient="portrait"/>
          <w:cols w:equalWidth="0" w:num="3">
            <w:col w:w="2960" w:space="440"/>
            <w:col w:w="3240" w:space="160"/>
            <w:col w:w="3180"/>
          </w:cols>
          <w:pgMar w:left="960" w:top="409" w:right="959" w:bottom="1440" w:gutter="0" w:footer="0" w:header="0"/>
          <w:type w:val="continuous"/>
        </w:sectPr>
      </w:pPr>
    </w:p>
    <w:p>
      <w:pPr>
        <w:spacing w:after="0" w:line="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66" w:name="page67"/>
    <w:bookmarkEnd w:id="66"/>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1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Introduction</w:t>
      </w:r>
    </w:p>
    <w:p>
      <w:pPr>
        <w:spacing w:after="0" w:line="36" w:lineRule="exact"/>
        <w:rPr>
          <w:sz w:val="20"/>
          <w:szCs w:val="20"/>
          <w:color w:val="auto"/>
        </w:rPr>
      </w:pPr>
    </w:p>
    <w:p>
      <w:pPr>
        <w:ind w:left="160"/>
        <w:spacing w:after="0" w:line="265" w:lineRule="auto"/>
        <w:rPr>
          <w:sz w:val="20"/>
          <w:szCs w:val="20"/>
          <w:color w:val="auto"/>
        </w:rPr>
      </w:pPr>
      <w:r>
        <w:rPr>
          <w:rFonts w:ascii="Times New Roman" w:cs="Times New Roman" w:eastAsia="Times New Roman" w:hAnsi="Times New Roman"/>
          <w:sz w:val="11"/>
          <w:szCs w:val="11"/>
          <w:color w:val="auto"/>
        </w:rPr>
        <w:t>This Remuneration Report of Nokia Corporation (the Report) has been approved by the Company’s Board of Directors (the Board) to be presented to the Annual General Meeting 2024. The resolution of the Annual General Meeting on the Report is advisory. The Report presents the remuneration</w:t>
      </w:r>
    </w:p>
    <w:p>
      <w:pPr>
        <w:spacing w:after="0" w:line="1" w:lineRule="exact"/>
        <w:rPr>
          <w:sz w:val="20"/>
          <w:szCs w:val="20"/>
          <w:color w:val="auto"/>
        </w:rPr>
      </w:pPr>
    </w:p>
    <w:p>
      <w:pPr>
        <w:ind w:left="160" w:right="40"/>
        <w:spacing w:after="0" w:line="264" w:lineRule="auto"/>
        <w:rPr>
          <w:sz w:val="20"/>
          <w:szCs w:val="20"/>
          <w:color w:val="auto"/>
        </w:rPr>
      </w:pPr>
      <w:r>
        <w:rPr>
          <w:rFonts w:ascii="Times New Roman" w:cs="Times New Roman" w:eastAsia="Times New Roman" w:hAnsi="Times New Roman"/>
          <w:sz w:val="11"/>
          <w:szCs w:val="11"/>
          <w:color w:val="auto"/>
        </w:rPr>
        <w:t>of the Board members and the President and CEO for the financial year 2023 in accordance with the Finnish Decree of the Ministry of Finance 608/2019 and the Finnish Corporate Governance Code of 2020, as well as other applicable Finnish laws and regulations. The members of the Board and the President and CEO have been remunerated in accordance with our approved Remuneration Policy during the financial year 2023. No temporary or other deviations from the Policy have been made and no clawback provisions have been exercised during the financial year 2023.</w:t>
      </w:r>
    </w:p>
    <w:p>
      <w:pPr>
        <w:spacing w:after="0" w:line="53" w:lineRule="exact"/>
        <w:rPr>
          <w:sz w:val="20"/>
          <w:szCs w:val="20"/>
          <w:color w:val="auto"/>
        </w:rPr>
      </w:pPr>
    </w:p>
    <w:p>
      <w:pPr>
        <w:ind w:left="160" w:right="140"/>
        <w:spacing w:after="0" w:line="264" w:lineRule="auto"/>
        <w:rPr>
          <w:sz w:val="20"/>
          <w:szCs w:val="20"/>
          <w:color w:val="auto"/>
        </w:rPr>
      </w:pPr>
      <w:r>
        <w:rPr>
          <w:rFonts w:ascii="Times New Roman" w:cs="Times New Roman" w:eastAsia="Times New Roman" w:hAnsi="Times New Roman"/>
          <w:sz w:val="11"/>
          <w:szCs w:val="11"/>
          <w:color w:val="auto"/>
        </w:rPr>
        <w:t>In 2023, our remuneration structure promoted the Company’s long-term financial success by setting the performance criteria for short- and long-term incentives to support the Company’s short- and long-term goals, as well as through shareholding requirements set for the President and CEO, the GLT and the Board members. Aligned with Nokia’s pay-for-performance remuneration principle, performance-based remuneration was emphasized over fixed base salary. The setting and application of the performance criteria for incentive programs executed the philosophy of pay-for-performance and supported the delivery of the corporate strategy as well as the creation of long-term sustainable shareholder value.</w:t>
      </w:r>
    </w:p>
    <w:p>
      <w:pPr>
        <w:spacing w:after="0" w:line="62" w:lineRule="exact"/>
        <w:rPr>
          <w:sz w:val="20"/>
          <w:szCs w:val="20"/>
          <w:color w:val="auto"/>
        </w:rPr>
      </w:pPr>
    </w:p>
    <w:p>
      <w:pPr>
        <w:ind w:left="160" w:right="60"/>
        <w:spacing w:after="0" w:line="275" w:lineRule="auto"/>
        <w:rPr>
          <w:sz w:val="20"/>
          <w:szCs w:val="20"/>
          <w:color w:val="auto"/>
        </w:rPr>
      </w:pPr>
      <w:r>
        <w:rPr>
          <w:rFonts w:ascii="Times New Roman" w:cs="Times New Roman" w:eastAsia="Times New Roman" w:hAnsi="Times New Roman"/>
          <w:sz w:val="11"/>
          <w:szCs w:val="11"/>
          <w:color w:val="auto"/>
        </w:rPr>
        <w:t>The table on the right compares the development of the remuneration of our Board of Directors, President and CEO, average employee pay and Company performance over a five-year period.</w:t>
      </w:r>
    </w:p>
    <w:p>
      <w:pPr>
        <w:spacing w:after="0" w:line="47" w:lineRule="exact"/>
        <w:rPr>
          <w:sz w:val="20"/>
          <w:szCs w:val="20"/>
          <w:color w:val="auto"/>
        </w:rPr>
      </w:pPr>
    </w:p>
    <w:p>
      <w:pPr>
        <w:ind w:left="160" w:right="220"/>
        <w:spacing w:after="0" w:line="269" w:lineRule="auto"/>
        <w:rPr>
          <w:sz w:val="20"/>
          <w:szCs w:val="20"/>
          <w:color w:val="auto"/>
        </w:rPr>
      </w:pPr>
      <w:r>
        <w:rPr>
          <w:rFonts w:ascii="Times New Roman" w:cs="Times New Roman" w:eastAsia="Times New Roman" w:hAnsi="Times New Roman"/>
          <w:sz w:val="11"/>
          <w:szCs w:val="11"/>
          <w:color w:val="auto"/>
        </w:rPr>
        <w:t>The pay-for-performance remuneration principle applied to the President and CEO, as well as the shareholding requirement of the President and CEO and the Board members, as applicable, contribute to an alignment of interests with shareholders, while also promoting and incentivizing decisions that are in the long-term interest of the Company.</w:t>
      </w:r>
    </w:p>
    <w:p>
      <w:pPr>
        <w:spacing w:after="0" w:line="200" w:lineRule="exact"/>
        <w:rPr>
          <w:sz w:val="20"/>
          <w:szCs w:val="20"/>
          <w:color w:val="auto"/>
        </w:rPr>
      </w:pPr>
    </w:p>
    <w:p>
      <w:pPr>
        <w:spacing w:after="0" w:line="200" w:lineRule="exact"/>
        <w:rPr>
          <w:sz w:val="20"/>
          <w:szCs w:val="20"/>
          <w:color w:val="auto"/>
        </w:rPr>
      </w:pPr>
    </w:p>
    <w:p>
      <w:pPr>
        <w:spacing w:after="0" w:line="2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59</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382"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580" w:type="dxa"/>
            <w:vAlign w:val="bottom"/>
          </w:tcPr>
          <w:p>
            <w:pPr>
              <w:spacing w:after="0"/>
              <w:rPr>
                <w:sz w:val="8"/>
                <w:szCs w:val="8"/>
                <w:color w:val="auto"/>
              </w:rPr>
            </w:pPr>
          </w:p>
        </w:tc>
        <w:tc>
          <w:tcPr>
            <w:tcW w:w="1440" w:type="dxa"/>
            <w:vAlign w:val="bottom"/>
          </w:tcPr>
          <w:p>
            <w:pPr>
              <w:jc w:val="right"/>
              <w:ind w:right="133"/>
              <w:spacing w:after="0"/>
              <w:rPr>
                <w:sz w:val="20"/>
                <w:szCs w:val="20"/>
                <w:color w:val="auto"/>
              </w:rPr>
            </w:pPr>
            <w:r>
              <w:rPr>
                <w:rFonts w:ascii="Times New Roman" w:cs="Times New Roman" w:eastAsia="Times New Roman" w:hAnsi="Times New Roman"/>
                <w:sz w:val="8"/>
                <w:szCs w:val="8"/>
                <w:b w:val="1"/>
                <w:bCs w:val="1"/>
                <w:color w:val="005AFF"/>
              </w:rPr>
              <w:t>Aggregate remuneration of</w:t>
            </w:r>
          </w:p>
        </w:tc>
        <w:tc>
          <w:tcPr>
            <w:tcW w:w="1100" w:type="dxa"/>
            <w:vAlign w:val="bottom"/>
          </w:tcPr>
          <w:p>
            <w:pPr>
              <w:spacing w:after="0"/>
              <w:rPr>
                <w:sz w:val="8"/>
                <w:szCs w:val="8"/>
                <w:color w:val="auto"/>
              </w:rPr>
            </w:pPr>
          </w:p>
        </w:tc>
        <w:tc>
          <w:tcPr>
            <w:tcW w:w="1340" w:type="dxa"/>
            <w:vAlign w:val="bottom"/>
          </w:tcPr>
          <w:p>
            <w:pPr>
              <w:spacing w:after="0"/>
              <w:rPr>
                <w:sz w:val="8"/>
                <w:szCs w:val="8"/>
                <w:color w:val="auto"/>
              </w:rPr>
            </w:pPr>
          </w:p>
        </w:tc>
        <w:tc>
          <w:tcPr>
            <w:tcW w:w="980" w:type="dxa"/>
            <w:vAlign w:val="bottom"/>
          </w:tcPr>
          <w:p>
            <w:pPr>
              <w:spacing w:after="0"/>
              <w:rPr>
                <w:sz w:val="8"/>
                <w:szCs w:val="8"/>
                <w:color w:val="auto"/>
              </w:rPr>
            </w:pPr>
          </w:p>
        </w:tc>
        <w:tc>
          <w:tcPr>
            <w:tcW w:w="10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Total shareholder return</w:t>
            </w:r>
          </w:p>
        </w:tc>
      </w:tr>
      <w:tr>
        <w:trPr>
          <w:trHeight w:val="96"/>
        </w:trPr>
        <w:tc>
          <w:tcPr>
            <w:tcW w:w="580" w:type="dxa"/>
            <w:vAlign w:val="bottom"/>
          </w:tcPr>
          <w:p>
            <w:pPr>
              <w:spacing w:after="0"/>
              <w:rPr>
                <w:sz w:val="8"/>
                <w:szCs w:val="8"/>
                <w:color w:val="auto"/>
              </w:rPr>
            </w:pPr>
          </w:p>
        </w:tc>
        <w:tc>
          <w:tcPr>
            <w:tcW w:w="1440" w:type="dxa"/>
            <w:vAlign w:val="bottom"/>
          </w:tcPr>
          <w:p>
            <w:pPr>
              <w:jc w:val="right"/>
              <w:ind w:right="113"/>
              <w:spacing w:after="0"/>
              <w:rPr>
                <w:sz w:val="20"/>
                <w:szCs w:val="20"/>
                <w:color w:val="auto"/>
              </w:rPr>
            </w:pPr>
            <w:r>
              <w:rPr>
                <w:rFonts w:ascii="Times New Roman" w:cs="Times New Roman" w:eastAsia="Times New Roman" w:hAnsi="Times New Roman"/>
                <w:sz w:val="8"/>
                <w:szCs w:val="8"/>
                <w:b w:val="1"/>
                <w:bCs w:val="1"/>
                <w:color w:val="005AFF"/>
              </w:rPr>
              <w:t>the Board of Directors</w:t>
            </w:r>
          </w:p>
        </w:tc>
        <w:tc>
          <w:tcPr>
            <w:tcW w:w="110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President and CEO actual</w:t>
            </w:r>
          </w:p>
        </w:tc>
        <w:tc>
          <w:tcPr>
            <w:tcW w:w="1340" w:type="dxa"/>
            <w:vAlign w:val="bottom"/>
          </w:tcPr>
          <w:p>
            <w:pPr>
              <w:jc w:val="right"/>
              <w:ind w:right="292"/>
              <w:spacing w:after="0"/>
              <w:rPr>
                <w:sz w:val="20"/>
                <w:szCs w:val="20"/>
                <w:color w:val="auto"/>
              </w:rPr>
            </w:pPr>
            <w:r>
              <w:rPr>
                <w:rFonts w:ascii="Times New Roman" w:cs="Times New Roman" w:eastAsia="Times New Roman" w:hAnsi="Times New Roman"/>
                <w:sz w:val="8"/>
                <w:szCs w:val="8"/>
                <w:b w:val="1"/>
                <w:bCs w:val="1"/>
                <w:color w:val="005AFF"/>
              </w:rPr>
              <w:t>Average salaries and wages</w:t>
            </w:r>
          </w:p>
        </w:tc>
        <w:tc>
          <w:tcPr>
            <w:tcW w:w="980" w:type="dxa"/>
            <w:vAlign w:val="bottom"/>
          </w:tcPr>
          <w:p>
            <w:pPr>
              <w:spacing w:after="0"/>
              <w:rPr>
                <w:sz w:val="8"/>
                <w:szCs w:val="8"/>
                <w:color w:val="auto"/>
              </w:rPr>
            </w:pPr>
          </w:p>
        </w:tc>
        <w:tc>
          <w:tcPr>
            <w:tcW w:w="1080" w:type="dxa"/>
            <w:vAlign w:val="bottom"/>
          </w:tcPr>
          <w:p>
            <w:pPr>
              <w:ind w:left="80"/>
              <w:spacing w:after="0"/>
              <w:rPr>
                <w:sz w:val="20"/>
                <w:szCs w:val="20"/>
                <w:color w:val="auto"/>
              </w:rPr>
            </w:pPr>
            <w:r>
              <w:rPr>
                <w:rFonts w:ascii="Times New Roman" w:cs="Times New Roman" w:eastAsia="Times New Roman" w:hAnsi="Times New Roman"/>
                <w:sz w:val="8"/>
                <w:szCs w:val="8"/>
                <w:b w:val="1"/>
                <w:bCs w:val="1"/>
                <w:color w:val="005AFF"/>
              </w:rPr>
              <w:t>(rebased to 100 at 31 Dec</w:t>
            </w:r>
          </w:p>
        </w:tc>
      </w:tr>
      <w:tr>
        <w:trPr>
          <w:trHeight w:val="118"/>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Year</w:t>
            </w:r>
          </w:p>
        </w:tc>
        <w:tc>
          <w:tcPr>
            <w:tcW w:w="1440" w:type="dxa"/>
            <w:vAlign w:val="bottom"/>
            <w:tcBorders>
              <w:bottom w:val="single" w:sz="8" w:color="005AFF"/>
            </w:tcBorders>
          </w:tcPr>
          <w:p>
            <w:pPr>
              <w:jc w:val="right"/>
              <w:ind w:right="53"/>
              <w:spacing w:after="0"/>
              <w:rPr>
                <w:sz w:val="20"/>
                <w:szCs w:val="20"/>
                <w:color w:val="auto"/>
              </w:rPr>
            </w:pPr>
            <w:r>
              <w:rPr>
                <w:rFonts w:ascii="Times New Roman" w:cs="Times New Roman" w:eastAsia="Times New Roman" w:hAnsi="Times New Roman"/>
                <w:sz w:val="8"/>
                <w:szCs w:val="8"/>
                <w:b w:val="1"/>
                <w:bCs w:val="1"/>
                <w:color w:val="005AFF"/>
              </w:rPr>
              <w:t>(EUR)</w:t>
            </w:r>
            <w:r>
              <w:rPr>
                <w:rFonts w:ascii="Times New Roman" w:cs="Times New Roman" w:eastAsia="Times New Roman" w:hAnsi="Times New Roman"/>
                <w:sz w:val="10"/>
                <w:szCs w:val="10"/>
                <w:b w:val="1"/>
                <w:bCs w:val="1"/>
                <w:color w:val="005AFF"/>
                <w:vertAlign w:val="superscript"/>
              </w:rPr>
              <w:t>1)</w:t>
            </w:r>
          </w:p>
        </w:tc>
        <w:tc>
          <w:tcPr>
            <w:tcW w:w="11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remuneration (EUR)</w:t>
            </w:r>
            <w:r>
              <w:rPr>
                <w:rFonts w:ascii="Times New Roman" w:cs="Times New Roman" w:eastAsia="Times New Roman" w:hAnsi="Times New Roman"/>
                <w:sz w:val="10"/>
                <w:szCs w:val="10"/>
                <w:b w:val="1"/>
                <w:bCs w:val="1"/>
                <w:color w:val="005AFF"/>
                <w:vertAlign w:val="superscript"/>
              </w:rPr>
              <w:t>(2)</w:t>
            </w:r>
          </w:p>
        </w:tc>
        <w:tc>
          <w:tcPr>
            <w:tcW w:w="134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8"/>
                <w:szCs w:val="8"/>
                <w:b w:val="1"/>
                <w:bCs w:val="1"/>
                <w:color w:val="005AFF"/>
              </w:rPr>
              <w:t>(EUR)</w:t>
            </w:r>
            <w:r>
              <w:rPr>
                <w:rFonts w:ascii="Times New Roman" w:cs="Times New Roman" w:eastAsia="Times New Roman" w:hAnsi="Times New Roman"/>
                <w:sz w:val="10"/>
                <w:szCs w:val="10"/>
                <w:b w:val="1"/>
                <w:bCs w:val="1"/>
                <w:color w:val="005AFF"/>
                <w:vertAlign w:val="superscript"/>
              </w:rPr>
              <w:t>3)</w:t>
            </w:r>
          </w:p>
        </w:tc>
        <w:tc>
          <w:tcPr>
            <w:tcW w:w="9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Net sales (EURm)</w:t>
            </w:r>
          </w:p>
        </w:tc>
        <w:tc>
          <w:tcPr>
            <w:tcW w:w="1080" w:type="dxa"/>
            <w:vAlign w:val="bottom"/>
            <w:tcBorders>
              <w:bottom w:val="single" w:sz="8" w:color="005AFF"/>
            </w:tcBorders>
          </w:tcPr>
          <w:p>
            <w:pPr>
              <w:ind w:left="780"/>
              <w:spacing w:after="0"/>
              <w:rPr>
                <w:sz w:val="20"/>
                <w:szCs w:val="20"/>
                <w:color w:val="auto"/>
              </w:rPr>
            </w:pPr>
            <w:r>
              <w:rPr>
                <w:rFonts w:ascii="Times New Roman" w:cs="Times New Roman" w:eastAsia="Times New Roman" w:hAnsi="Times New Roman"/>
                <w:sz w:val="8"/>
                <w:szCs w:val="8"/>
                <w:b w:val="1"/>
                <w:bCs w:val="1"/>
                <w:color w:val="005AFF"/>
                <w:w w:val="98"/>
              </w:rPr>
              <w:t xml:space="preserve">2018) </w:t>
            </w:r>
            <w:r>
              <w:rPr>
                <w:rFonts w:ascii="Times New Roman" w:cs="Times New Roman" w:eastAsia="Times New Roman" w:hAnsi="Times New Roman"/>
                <w:sz w:val="10"/>
                <w:szCs w:val="10"/>
                <w:b w:val="1"/>
                <w:bCs w:val="1"/>
                <w:color w:val="005AFF"/>
                <w:w w:val="98"/>
                <w:vertAlign w:val="superscript"/>
              </w:rPr>
              <w:t>(4)</w:t>
            </w:r>
          </w:p>
        </w:tc>
      </w:tr>
      <w:tr>
        <w:trPr>
          <w:trHeight w:val="131"/>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2019</w:t>
            </w:r>
          </w:p>
        </w:tc>
        <w:tc>
          <w:tcPr>
            <w:tcW w:w="1440" w:type="dxa"/>
            <w:vAlign w:val="bottom"/>
          </w:tcPr>
          <w:p>
            <w:pPr>
              <w:jc w:val="right"/>
              <w:ind w:right="133"/>
              <w:spacing w:after="0"/>
              <w:rPr>
                <w:sz w:val="20"/>
                <w:szCs w:val="20"/>
                <w:color w:val="auto"/>
              </w:rPr>
            </w:pPr>
            <w:r>
              <w:rPr>
                <w:rFonts w:ascii="Times New Roman" w:cs="Times New Roman" w:eastAsia="Times New Roman" w:hAnsi="Times New Roman"/>
                <w:sz w:val="10"/>
                <w:szCs w:val="10"/>
                <w:color w:val="0D0D0D"/>
              </w:rPr>
              <w:t>2 219 000</w:t>
            </w:r>
          </w:p>
        </w:tc>
        <w:tc>
          <w:tcPr>
            <w:tcW w:w="110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3 897 625</w:t>
            </w:r>
          </w:p>
        </w:tc>
        <w:tc>
          <w:tcPr>
            <w:tcW w:w="1340" w:type="dxa"/>
            <w:vAlign w:val="bottom"/>
          </w:tcPr>
          <w:p>
            <w:pPr>
              <w:jc w:val="right"/>
              <w:ind w:right="252"/>
              <w:spacing w:after="0"/>
              <w:rPr>
                <w:sz w:val="20"/>
                <w:szCs w:val="20"/>
                <w:color w:val="auto"/>
              </w:rPr>
            </w:pPr>
            <w:r>
              <w:rPr>
                <w:rFonts w:ascii="Times New Roman" w:cs="Times New Roman" w:eastAsia="Times New Roman" w:hAnsi="Times New Roman"/>
                <w:sz w:val="10"/>
                <w:szCs w:val="10"/>
                <w:color w:val="0D0D0D"/>
              </w:rPr>
              <w:t>61 980</w:t>
            </w:r>
          </w:p>
        </w:tc>
        <w:tc>
          <w:tcPr>
            <w:tcW w:w="9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23 315</w:t>
            </w:r>
          </w:p>
        </w:tc>
        <w:tc>
          <w:tcPr>
            <w:tcW w:w="1080" w:type="dxa"/>
            <w:vAlign w:val="bottom"/>
          </w:tcPr>
          <w:p>
            <w:pPr>
              <w:ind w:left="780"/>
              <w:spacing w:after="0"/>
              <w:rPr>
                <w:sz w:val="20"/>
                <w:szCs w:val="20"/>
                <w:color w:val="auto"/>
              </w:rPr>
            </w:pPr>
            <w:r>
              <w:rPr>
                <w:rFonts w:ascii="Times New Roman" w:cs="Times New Roman" w:eastAsia="Times New Roman" w:hAnsi="Times New Roman"/>
                <w:sz w:val="10"/>
                <w:szCs w:val="10"/>
                <w:color w:val="0D0D0D"/>
              </w:rPr>
              <w:t>66.90</w:t>
            </w:r>
          </w:p>
        </w:tc>
      </w:tr>
      <w:tr>
        <w:trPr>
          <w:trHeight w:val="162"/>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2020</w:t>
            </w:r>
          </w:p>
        </w:tc>
        <w:tc>
          <w:tcPr>
            <w:tcW w:w="1440" w:type="dxa"/>
            <w:vAlign w:val="bottom"/>
          </w:tcPr>
          <w:p>
            <w:pPr>
              <w:jc w:val="right"/>
              <w:ind w:right="133"/>
              <w:spacing w:after="0"/>
              <w:rPr>
                <w:sz w:val="20"/>
                <w:szCs w:val="20"/>
                <w:color w:val="auto"/>
              </w:rPr>
            </w:pPr>
            <w:r>
              <w:rPr>
                <w:rFonts w:ascii="Times New Roman" w:cs="Times New Roman" w:eastAsia="Times New Roman" w:hAnsi="Times New Roman"/>
                <w:sz w:val="10"/>
                <w:szCs w:val="10"/>
                <w:color w:val="0D0D0D"/>
              </w:rPr>
              <w:t>2 016 000</w:t>
            </w:r>
          </w:p>
        </w:tc>
        <w:tc>
          <w:tcPr>
            <w:tcW w:w="110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auto"/>
              </w:rPr>
              <w:t>3 587 781</w:t>
            </w:r>
          </w:p>
        </w:tc>
        <w:tc>
          <w:tcPr>
            <w:tcW w:w="1340" w:type="dxa"/>
            <w:vAlign w:val="bottom"/>
          </w:tcPr>
          <w:p>
            <w:pPr>
              <w:jc w:val="right"/>
              <w:ind w:right="252"/>
              <w:spacing w:after="0"/>
              <w:rPr>
                <w:sz w:val="20"/>
                <w:szCs w:val="20"/>
                <w:color w:val="auto"/>
              </w:rPr>
            </w:pPr>
            <w:r>
              <w:rPr>
                <w:rFonts w:ascii="Times New Roman" w:cs="Times New Roman" w:eastAsia="Times New Roman" w:hAnsi="Times New Roman"/>
                <w:sz w:val="10"/>
                <w:szCs w:val="10"/>
                <w:color w:val="0D0D0D"/>
              </w:rPr>
              <w:t>65 787</w:t>
            </w:r>
          </w:p>
        </w:tc>
        <w:tc>
          <w:tcPr>
            <w:tcW w:w="9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21 852</w:t>
            </w:r>
          </w:p>
        </w:tc>
        <w:tc>
          <w:tcPr>
            <w:tcW w:w="1080" w:type="dxa"/>
            <w:vAlign w:val="bottom"/>
          </w:tcPr>
          <w:p>
            <w:pPr>
              <w:ind w:left="780"/>
              <w:spacing w:after="0"/>
              <w:rPr>
                <w:sz w:val="20"/>
                <w:szCs w:val="20"/>
                <w:color w:val="auto"/>
              </w:rPr>
            </w:pPr>
            <w:r>
              <w:rPr>
                <w:rFonts w:ascii="Times New Roman" w:cs="Times New Roman" w:eastAsia="Times New Roman" w:hAnsi="Times New Roman"/>
                <w:sz w:val="10"/>
                <w:szCs w:val="10"/>
                <w:color w:val="0D0D0D"/>
              </w:rPr>
              <w:t>63.95</w:t>
            </w:r>
          </w:p>
        </w:tc>
      </w:tr>
      <w:tr>
        <w:trPr>
          <w:trHeight w:val="162"/>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2021</w:t>
            </w:r>
          </w:p>
        </w:tc>
        <w:tc>
          <w:tcPr>
            <w:tcW w:w="1440" w:type="dxa"/>
            <w:vAlign w:val="bottom"/>
          </w:tcPr>
          <w:p>
            <w:pPr>
              <w:jc w:val="right"/>
              <w:ind w:right="133"/>
              <w:spacing w:after="0"/>
              <w:rPr>
                <w:sz w:val="20"/>
                <w:szCs w:val="20"/>
                <w:color w:val="auto"/>
              </w:rPr>
            </w:pPr>
            <w:r>
              <w:rPr>
                <w:rFonts w:ascii="Times New Roman" w:cs="Times New Roman" w:eastAsia="Times New Roman" w:hAnsi="Times New Roman"/>
                <w:sz w:val="10"/>
                <w:szCs w:val="10"/>
                <w:color w:val="0D0D0D"/>
              </w:rPr>
              <w:t>1 821 000</w:t>
            </w:r>
          </w:p>
        </w:tc>
        <w:tc>
          <w:tcPr>
            <w:tcW w:w="110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4 908 244</w:t>
            </w:r>
          </w:p>
        </w:tc>
        <w:tc>
          <w:tcPr>
            <w:tcW w:w="1340" w:type="dxa"/>
            <w:vAlign w:val="bottom"/>
          </w:tcPr>
          <w:p>
            <w:pPr>
              <w:jc w:val="right"/>
              <w:ind w:right="272"/>
              <w:spacing w:after="0"/>
              <w:rPr>
                <w:sz w:val="20"/>
                <w:szCs w:val="20"/>
                <w:color w:val="auto"/>
              </w:rPr>
            </w:pPr>
            <w:r>
              <w:rPr>
                <w:rFonts w:ascii="Times New Roman" w:cs="Times New Roman" w:eastAsia="Times New Roman" w:hAnsi="Times New Roman"/>
                <w:sz w:val="10"/>
                <w:szCs w:val="10"/>
                <w:color w:val="0D0D0D"/>
              </w:rPr>
              <w:t>70 411</w:t>
            </w:r>
          </w:p>
        </w:tc>
        <w:tc>
          <w:tcPr>
            <w:tcW w:w="9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22 202</w:t>
            </w:r>
          </w:p>
        </w:tc>
        <w:tc>
          <w:tcPr>
            <w:tcW w:w="1080" w:type="dxa"/>
            <w:vAlign w:val="bottom"/>
          </w:tcPr>
          <w:p>
            <w:pPr>
              <w:ind w:left="720"/>
              <w:spacing w:after="0"/>
              <w:rPr>
                <w:sz w:val="20"/>
                <w:szCs w:val="20"/>
                <w:color w:val="auto"/>
              </w:rPr>
            </w:pPr>
            <w:r>
              <w:rPr>
                <w:rFonts w:ascii="Times New Roman" w:cs="Times New Roman" w:eastAsia="Times New Roman" w:hAnsi="Times New Roman"/>
                <w:sz w:val="10"/>
                <w:szCs w:val="10"/>
                <w:color w:val="0D0D0D"/>
              </w:rPr>
              <w:t>113.13</w:t>
            </w:r>
          </w:p>
        </w:tc>
      </w:tr>
      <w:tr>
        <w:trPr>
          <w:trHeight w:val="162"/>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2022</w:t>
            </w:r>
          </w:p>
        </w:tc>
        <w:tc>
          <w:tcPr>
            <w:tcW w:w="1440" w:type="dxa"/>
            <w:vAlign w:val="bottom"/>
          </w:tcPr>
          <w:p>
            <w:pPr>
              <w:jc w:val="right"/>
              <w:ind w:right="133"/>
              <w:spacing w:after="0"/>
              <w:rPr>
                <w:sz w:val="20"/>
                <w:szCs w:val="20"/>
                <w:color w:val="auto"/>
              </w:rPr>
            </w:pPr>
            <w:r>
              <w:rPr>
                <w:rFonts w:ascii="Times New Roman" w:cs="Times New Roman" w:eastAsia="Times New Roman" w:hAnsi="Times New Roman"/>
                <w:sz w:val="10"/>
                <w:szCs w:val="10"/>
                <w:color w:val="0D0D0D"/>
              </w:rPr>
              <w:t>2 280 000</w:t>
            </w:r>
          </w:p>
        </w:tc>
        <w:tc>
          <w:tcPr>
            <w:tcW w:w="110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4 316 606</w:t>
            </w:r>
          </w:p>
        </w:tc>
        <w:tc>
          <w:tcPr>
            <w:tcW w:w="1340" w:type="dxa"/>
            <w:vAlign w:val="bottom"/>
          </w:tcPr>
          <w:p>
            <w:pPr>
              <w:jc w:val="right"/>
              <w:ind w:right="252"/>
              <w:spacing w:after="0"/>
              <w:rPr>
                <w:sz w:val="20"/>
                <w:szCs w:val="20"/>
                <w:color w:val="auto"/>
              </w:rPr>
            </w:pPr>
            <w:r>
              <w:rPr>
                <w:rFonts w:ascii="Times New Roman" w:cs="Times New Roman" w:eastAsia="Times New Roman" w:hAnsi="Times New Roman"/>
                <w:sz w:val="10"/>
                <w:szCs w:val="10"/>
                <w:color w:val="0D0D0D"/>
              </w:rPr>
              <w:t>74 100</w:t>
            </w:r>
          </w:p>
        </w:tc>
        <w:tc>
          <w:tcPr>
            <w:tcW w:w="9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24 911</w:t>
            </w:r>
          </w:p>
        </w:tc>
        <w:tc>
          <w:tcPr>
            <w:tcW w:w="1080" w:type="dxa"/>
            <w:vAlign w:val="bottom"/>
          </w:tcPr>
          <w:p>
            <w:pPr>
              <w:ind w:left="780"/>
              <w:spacing w:after="0"/>
              <w:rPr>
                <w:sz w:val="20"/>
                <w:szCs w:val="20"/>
                <w:color w:val="auto"/>
              </w:rPr>
            </w:pPr>
            <w:r>
              <w:rPr>
                <w:rFonts w:ascii="Times New Roman" w:cs="Times New Roman" w:eastAsia="Times New Roman" w:hAnsi="Times New Roman"/>
                <w:sz w:val="10"/>
                <w:szCs w:val="10"/>
                <w:color w:val="0D0D0D"/>
              </w:rPr>
              <w:t>88.94</w:t>
            </w:r>
          </w:p>
        </w:tc>
      </w:tr>
      <w:tr>
        <w:trPr>
          <w:trHeight w:val="167"/>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2023</w:t>
            </w:r>
          </w:p>
        </w:tc>
        <w:tc>
          <w:tcPr>
            <w:tcW w:w="1440" w:type="dxa"/>
            <w:vAlign w:val="bottom"/>
            <w:tcBorders>
              <w:bottom w:val="single" w:sz="8" w:color="005AFF"/>
            </w:tcBorders>
          </w:tcPr>
          <w:p>
            <w:pPr>
              <w:jc w:val="right"/>
              <w:ind w:right="133"/>
              <w:spacing w:after="0"/>
              <w:rPr>
                <w:sz w:val="20"/>
                <w:szCs w:val="20"/>
                <w:color w:val="auto"/>
              </w:rPr>
            </w:pPr>
            <w:r>
              <w:rPr>
                <w:rFonts w:ascii="Times New Roman" w:cs="Times New Roman" w:eastAsia="Times New Roman" w:hAnsi="Times New Roman"/>
                <w:sz w:val="10"/>
                <w:szCs w:val="10"/>
                <w:color w:val="0D0D0D"/>
              </w:rPr>
              <w:t>2 503 000</w:t>
            </w:r>
          </w:p>
        </w:tc>
        <w:tc>
          <w:tcPr>
            <w:tcW w:w="110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10"/>
                <w:szCs w:val="10"/>
                <w:color w:val="0D0D0D"/>
              </w:rPr>
              <w:t>3 738 560</w:t>
            </w:r>
          </w:p>
        </w:tc>
        <w:tc>
          <w:tcPr>
            <w:tcW w:w="1340" w:type="dxa"/>
            <w:vAlign w:val="bottom"/>
            <w:tcBorders>
              <w:bottom w:val="single" w:sz="8" w:color="005AFF"/>
            </w:tcBorders>
          </w:tcPr>
          <w:p>
            <w:pPr>
              <w:jc w:val="right"/>
              <w:ind w:right="252"/>
              <w:spacing w:after="0"/>
              <w:rPr>
                <w:sz w:val="20"/>
                <w:szCs w:val="20"/>
                <w:color w:val="auto"/>
              </w:rPr>
            </w:pPr>
            <w:r>
              <w:rPr>
                <w:rFonts w:ascii="Times New Roman" w:cs="Times New Roman" w:eastAsia="Times New Roman" w:hAnsi="Times New Roman"/>
                <w:sz w:val="10"/>
                <w:szCs w:val="10"/>
                <w:color w:val="0D0D0D"/>
              </w:rPr>
              <w:t>69 074</w:t>
            </w:r>
          </w:p>
        </w:tc>
        <w:tc>
          <w:tcPr>
            <w:tcW w:w="9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22 258</w:t>
            </w:r>
          </w:p>
        </w:tc>
        <w:tc>
          <w:tcPr>
            <w:tcW w:w="1080" w:type="dxa"/>
            <w:vAlign w:val="bottom"/>
            <w:tcBorders>
              <w:bottom w:val="single" w:sz="8" w:color="005AFF"/>
            </w:tcBorders>
          </w:tcPr>
          <w:p>
            <w:pPr>
              <w:ind w:left="780"/>
              <w:spacing w:after="0"/>
              <w:rPr>
                <w:sz w:val="20"/>
                <w:szCs w:val="20"/>
                <w:color w:val="auto"/>
              </w:rPr>
            </w:pPr>
            <w:r>
              <w:rPr>
                <w:rFonts w:ascii="Times New Roman" w:cs="Times New Roman" w:eastAsia="Times New Roman" w:hAnsi="Times New Roman"/>
                <w:sz w:val="10"/>
                <w:szCs w:val="10"/>
                <w:color w:val="0D0D0D"/>
              </w:rPr>
              <w:t>64.68</w:t>
            </w:r>
          </w:p>
        </w:tc>
      </w:tr>
    </w:tbl>
    <w:p>
      <w:pPr>
        <w:spacing w:after="0" w:line="31" w:lineRule="exact"/>
        <w:rPr>
          <w:sz w:val="20"/>
          <w:szCs w:val="20"/>
          <w:color w:val="auto"/>
        </w:rPr>
      </w:pPr>
    </w:p>
    <w:p>
      <w:pPr>
        <w:ind w:left="220" w:right="800" w:hanging="183"/>
        <w:spacing w:after="0" w:line="253" w:lineRule="auto"/>
        <w:tabs>
          <w:tab w:leader="none" w:pos="220" w:val="left"/>
        </w:tabs>
        <w:numPr>
          <w:ilvl w:val="0"/>
          <w:numId w:val="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Aggregate total remuneration paid to the members of the Board during the financial year as annual fee and meeting fee, as applicable, and as approved by general meetings of shareholders. The value depends on the number of members elected to the Board for each term as well as on the composition of the Board committees and travel required. During the term that began from the Annual General Meeting 2021, the Board had eight members only, compared to ten members during the following terms.</w:t>
      </w:r>
    </w:p>
    <w:p>
      <w:pPr>
        <w:ind w:left="220" w:hanging="183"/>
        <w:spacing w:after="0"/>
        <w:tabs>
          <w:tab w:leader="none" w:pos="220" w:val="left"/>
        </w:tabs>
        <w:numPr>
          <w:ilvl w:val="0"/>
          <w:numId w:val="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President and CEO actual remuneration represents the aggregate total of the two CEOs in 2020.</w:t>
      </w:r>
    </w:p>
    <w:p>
      <w:pPr>
        <w:spacing w:after="0" w:line="4" w:lineRule="exact"/>
        <w:rPr>
          <w:rFonts w:ascii="Times New Roman" w:cs="Times New Roman" w:eastAsia="Times New Roman" w:hAnsi="Times New Roman"/>
          <w:sz w:val="8"/>
          <w:szCs w:val="8"/>
          <w:color w:val="auto"/>
        </w:rPr>
      </w:pPr>
    </w:p>
    <w:p>
      <w:pPr>
        <w:ind w:left="220" w:hanging="183"/>
        <w:spacing w:after="0"/>
        <w:tabs>
          <w:tab w:leader="none" w:pos="220" w:val="left"/>
        </w:tabs>
        <w:numPr>
          <w:ilvl w:val="0"/>
          <w:numId w:val="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Average salaries and wages are based on average employee numbers and their total salaries and wages as reported in the Company’s financial statements.</w:t>
      </w:r>
    </w:p>
    <w:p>
      <w:pPr>
        <w:spacing w:after="0" w:line="9" w:lineRule="exact"/>
        <w:rPr>
          <w:rFonts w:ascii="Times New Roman" w:cs="Times New Roman" w:eastAsia="Times New Roman" w:hAnsi="Times New Roman"/>
          <w:sz w:val="8"/>
          <w:szCs w:val="8"/>
          <w:color w:val="auto"/>
        </w:rPr>
      </w:pPr>
    </w:p>
    <w:p>
      <w:pPr>
        <w:ind w:left="220" w:hanging="183"/>
        <w:spacing w:after="0"/>
        <w:tabs>
          <w:tab w:leader="none" w:pos="220" w:val="left"/>
        </w:tabs>
        <w:numPr>
          <w:ilvl w:val="0"/>
          <w:numId w:val="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Total shareholder return on last trading day of the previous year.</w:t>
      </w: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also present this data graphically:</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Comparative data (rebased year-end 2018 = 100)</w:t>
      </w:r>
    </w:p>
    <w:p>
      <w:pPr>
        <w:sectPr>
          <w:pgSz w:w="11900" w:h="16838" w:orient="portrait"/>
          <w:cols w:equalWidth="0" w:num="2">
            <w:col w:w="2980" w:space="420"/>
            <w:col w:w="6580"/>
          </w:cols>
          <w:pgMar w:left="960" w:top="409" w:right="959" w:bottom="1440" w:gutter="0" w:footer="0" w:header="0"/>
        </w:sectPr>
      </w:pPr>
    </w:p>
    <w:bookmarkStart w:id="67" w:name="page68"/>
    <w:bookmarkEnd w:id="67"/>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1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Remuneration of the Board of Directors</w:t>
      </w:r>
    </w:p>
    <w:p>
      <w:pPr>
        <w:spacing w:after="0" w:line="36" w:lineRule="exact"/>
        <w:rPr>
          <w:sz w:val="20"/>
          <w:szCs w:val="20"/>
          <w:color w:val="auto"/>
        </w:rPr>
      </w:pPr>
    </w:p>
    <w:p>
      <w:pPr>
        <w:jc w:val="both"/>
        <w:ind w:left="160" w:right="40"/>
        <w:spacing w:after="0" w:line="275" w:lineRule="auto"/>
        <w:rPr>
          <w:sz w:val="20"/>
          <w:szCs w:val="20"/>
          <w:color w:val="auto"/>
        </w:rPr>
      </w:pPr>
      <w:r>
        <w:rPr>
          <w:rFonts w:ascii="Times New Roman" w:cs="Times New Roman" w:eastAsia="Times New Roman" w:hAnsi="Times New Roman"/>
          <w:sz w:val="11"/>
          <w:szCs w:val="11"/>
          <w:color w:val="auto"/>
        </w:rPr>
        <w:t>The shareholders resolve annually on director remuneration based on a proposal made by the Board of Directors on the recommendation of the Board’s Corporate Governance and Nomination Committee.</w:t>
      </w:r>
    </w:p>
    <w:p>
      <w:pPr>
        <w:spacing w:after="0" w:line="57" w:lineRule="exact"/>
        <w:rPr>
          <w:sz w:val="20"/>
          <w:szCs w:val="20"/>
          <w:color w:val="auto"/>
        </w:rPr>
      </w:pPr>
    </w:p>
    <w:p>
      <w:pPr>
        <w:ind w:left="160"/>
        <w:spacing w:after="0" w:line="266" w:lineRule="auto"/>
        <w:rPr>
          <w:sz w:val="20"/>
          <w:szCs w:val="20"/>
          <w:color w:val="auto"/>
        </w:rPr>
      </w:pPr>
      <w:r>
        <w:rPr>
          <w:rFonts w:ascii="Times New Roman" w:cs="Times New Roman" w:eastAsia="Times New Roman" w:hAnsi="Times New Roman"/>
          <w:sz w:val="11"/>
          <w:szCs w:val="11"/>
          <w:color w:val="auto"/>
        </w:rPr>
        <w:t>The aggregate amount of remuneration paid to Board members in 2023 equaled EUR 2 503 000 of which EUR 2 370 000 consisted of annual fees and the rest of meeting fees. In accordance with the resolution by the Annual General Meeting 2023, approximately 40% of the annual fee from Board and Board Committee work was paid in Nokia shares purchased from the market on behalf of the Board members following the Annual General Meeting.</w:t>
      </w:r>
    </w:p>
    <w:p>
      <w:pPr>
        <w:spacing w:after="0" w:line="52" w:lineRule="exact"/>
        <w:rPr>
          <w:sz w:val="20"/>
          <w:szCs w:val="20"/>
          <w:color w:val="auto"/>
        </w:rPr>
      </w:pPr>
    </w:p>
    <w:p>
      <w:pPr>
        <w:ind w:left="160" w:right="80"/>
        <w:spacing w:after="0" w:line="275" w:lineRule="auto"/>
        <w:rPr>
          <w:sz w:val="20"/>
          <w:szCs w:val="20"/>
          <w:color w:val="auto"/>
        </w:rPr>
      </w:pPr>
      <w:r>
        <w:rPr>
          <w:rFonts w:ascii="Times New Roman" w:cs="Times New Roman" w:eastAsia="Times New Roman" w:hAnsi="Times New Roman"/>
          <w:sz w:val="11"/>
          <w:szCs w:val="11"/>
          <w:color w:val="auto"/>
        </w:rPr>
        <w:t>The directors shall retain until the end of their directorship such number of shares that corresponds to the number of shares they have received as Board remuneration during their first three years of service on the Board.</w:t>
      </w:r>
    </w:p>
    <w:p>
      <w:pPr>
        <w:spacing w:after="0" w:line="57" w:lineRule="exact"/>
        <w:rPr>
          <w:sz w:val="20"/>
          <w:szCs w:val="20"/>
          <w:color w:val="auto"/>
        </w:rPr>
      </w:pPr>
    </w:p>
    <w:p>
      <w:pPr>
        <w:jc w:val="both"/>
        <w:ind w:left="160" w:right="80"/>
        <w:spacing w:after="0" w:line="279" w:lineRule="auto"/>
        <w:rPr>
          <w:sz w:val="20"/>
          <w:szCs w:val="20"/>
          <w:color w:val="auto"/>
        </w:rPr>
      </w:pPr>
      <w:r>
        <w:rPr>
          <w:rFonts w:ascii="Times New Roman" w:cs="Times New Roman" w:eastAsia="Times New Roman" w:hAnsi="Times New Roman"/>
          <w:sz w:val="11"/>
          <w:szCs w:val="11"/>
          <w:color w:val="auto"/>
        </w:rPr>
        <w:t>The rest of the annual fee was paid in cash, most of which was used to cover taxes arising from the remuneration. All meeting fees were paid in cash.</w:t>
      </w:r>
    </w:p>
    <w:p>
      <w:pPr>
        <w:spacing w:after="0" w:line="54" w:lineRule="exact"/>
        <w:rPr>
          <w:sz w:val="20"/>
          <w:szCs w:val="20"/>
          <w:color w:val="auto"/>
        </w:rPr>
      </w:pPr>
    </w:p>
    <w:p>
      <w:pPr>
        <w:ind w:left="160"/>
        <w:spacing w:after="0" w:line="265" w:lineRule="auto"/>
        <w:rPr>
          <w:sz w:val="20"/>
          <w:szCs w:val="20"/>
          <w:color w:val="auto"/>
        </w:rPr>
      </w:pPr>
      <w:r>
        <w:rPr>
          <w:rFonts w:ascii="Times New Roman" w:cs="Times New Roman" w:eastAsia="Times New Roman" w:hAnsi="Times New Roman"/>
          <w:sz w:val="11"/>
          <w:szCs w:val="11"/>
          <w:color w:val="auto"/>
        </w:rPr>
        <w:t>It is the Company’s policy that the non-executive members of the Board do not participate in any of Nokia’s equity programs and do not receive performance shares, restricted shares, or any other variable remuneration for their duties as Board members. No such variable remuneration was paid since all persons acting as Board members during the financial year 2023 were non-executive.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60</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1" w:lineRule="exact"/>
        <w:rPr>
          <w:sz w:val="20"/>
          <w:szCs w:val="20"/>
          <w:color w:val="auto"/>
        </w:rPr>
      </w:pPr>
    </w:p>
    <w:p>
      <w:pPr>
        <w:ind w:left="40" w:right="860"/>
        <w:spacing w:after="0" w:line="309" w:lineRule="auto"/>
        <w:rPr>
          <w:sz w:val="20"/>
          <w:szCs w:val="20"/>
          <w:color w:val="auto"/>
        </w:rPr>
      </w:pPr>
      <w:r>
        <w:rPr>
          <w:rFonts w:ascii="Times New Roman" w:cs="Times New Roman" w:eastAsia="Times New Roman" w:hAnsi="Times New Roman"/>
          <w:sz w:val="11"/>
          <w:szCs w:val="11"/>
          <w:color w:val="auto"/>
        </w:rPr>
        <w:t>Board remuneration for the term that began at the Annual General Meeting held on 4 April 2023 and ends at the close of the Annual General Meeting in 2024 consisted of the following fees.</w:t>
      </w:r>
    </w:p>
    <w:p>
      <w:pPr>
        <w:spacing w:after="0" w:line="16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Annual fee</w:t>
            </w:r>
          </w:p>
        </w:tc>
        <w:tc>
          <w:tcPr>
            <w:tcW w:w="2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r>
      <w:tr>
        <w:trPr>
          <w:trHeight w:val="129"/>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Chair</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440 000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Vice Chair</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210 000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Member</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185 000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Chair of Audit Committee</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30 000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Member of Audit Committee</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15 000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Chair of Personnel Committee</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30 000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Member of Personnel Committee</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15 000</w:t>
            </w:r>
          </w:p>
        </w:tc>
      </w:tr>
      <w:tr>
        <w:trPr>
          <w:trHeight w:val="152"/>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Chair of Technology Committee</w:t>
            </w:r>
          </w:p>
        </w:tc>
        <w:tc>
          <w:tcPr>
            <w:tcW w:w="262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20 000</w:t>
            </w:r>
          </w:p>
        </w:tc>
      </w:tr>
      <w:tr>
        <w:trPr>
          <w:trHeight w:val="157"/>
        </w:trPr>
        <w:tc>
          <w:tcPr>
            <w:tcW w:w="3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Member of Technology Committee</w:t>
            </w:r>
          </w:p>
        </w:tc>
        <w:tc>
          <w:tcPr>
            <w:tcW w:w="262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10 000</w:t>
            </w:r>
          </w:p>
        </w:tc>
      </w:tr>
      <w:tr>
        <w:trPr>
          <w:trHeight w:val="129"/>
        </w:trPr>
        <w:tc>
          <w:tcPr>
            <w:tcW w:w="3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 xml:space="preserve">Meeting fee </w:t>
            </w:r>
            <w:r>
              <w:rPr>
                <w:rFonts w:ascii="Times New Roman" w:cs="Times New Roman" w:eastAsia="Times New Roman" w:hAnsi="Times New Roman"/>
                <w:sz w:val="5"/>
                <w:szCs w:val="5"/>
                <w:b w:val="1"/>
                <w:bCs w:val="1"/>
                <w:color w:val="005AFF"/>
              </w:rPr>
              <w:t>(1)</w:t>
            </w:r>
          </w:p>
        </w:tc>
        <w:tc>
          <w:tcPr>
            <w:tcW w:w="2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r>
      <w:tr>
        <w:trPr>
          <w:trHeight w:val="129"/>
        </w:trPr>
        <w:tc>
          <w:tcPr>
            <w:tcW w:w="3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Meeting requiring intercontinental travel</w:t>
            </w:r>
          </w:p>
        </w:tc>
        <w:tc>
          <w:tcPr>
            <w:tcW w:w="2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5 000</w:t>
            </w:r>
          </w:p>
        </w:tc>
      </w:tr>
      <w:tr>
        <w:trPr>
          <w:trHeight w:val="167"/>
        </w:trPr>
        <w:tc>
          <w:tcPr>
            <w:tcW w:w="3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Meeting requiring continental travel</w:t>
            </w:r>
          </w:p>
        </w:tc>
        <w:tc>
          <w:tcPr>
            <w:tcW w:w="26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2 000</w:t>
            </w:r>
          </w:p>
        </w:tc>
      </w:tr>
    </w:tbl>
    <w:p>
      <w:pPr>
        <w:spacing w:after="0" w:line="41" w:lineRule="exact"/>
        <w:rPr>
          <w:sz w:val="20"/>
          <w:szCs w:val="20"/>
          <w:color w:val="auto"/>
        </w:rPr>
      </w:pPr>
    </w:p>
    <w:p>
      <w:pPr>
        <w:ind w:left="200" w:hanging="199"/>
        <w:spacing w:after="0"/>
        <w:tabs>
          <w:tab w:leader="none" w:pos="200" w:val="left"/>
        </w:tabs>
        <w:numPr>
          <w:ilvl w:val="0"/>
          <w:numId w:val="4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Paid for a maximum of seven meetings per term.</w:t>
      </w:r>
    </w:p>
    <w:p>
      <w:pPr>
        <w:spacing w:after="0" w:line="137" w:lineRule="exact"/>
        <w:rPr>
          <w:sz w:val="20"/>
          <w:szCs w:val="20"/>
          <w:color w:val="auto"/>
        </w:rPr>
      </w:pPr>
    </w:p>
    <w:p>
      <w:pPr>
        <w:ind w:left="40" w:right="980"/>
        <w:spacing w:after="0" w:line="290" w:lineRule="auto"/>
        <w:rPr>
          <w:sz w:val="20"/>
          <w:szCs w:val="20"/>
          <w:color w:val="auto"/>
        </w:rPr>
      </w:pPr>
      <w:r>
        <w:rPr>
          <w:rFonts w:ascii="Times New Roman" w:cs="Times New Roman" w:eastAsia="Times New Roman" w:hAnsi="Times New Roman"/>
          <w:sz w:val="11"/>
          <w:szCs w:val="11"/>
          <w:color w:val="auto"/>
        </w:rPr>
        <w:t>The following table outlines the total annual remuneration paid in 2023 to the members of the Board for their services, as resolved by the shareholders at the Annual General Meeting.</w:t>
      </w:r>
    </w:p>
    <w:p>
      <w:pPr>
        <w:spacing w:after="0" w:line="70"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1740" w:type="dxa"/>
            <w:vAlign w:val="bottom"/>
          </w:tcPr>
          <w:p>
            <w:pPr>
              <w:spacing w:after="0"/>
              <w:rPr>
                <w:sz w:val="8"/>
                <w:szCs w:val="8"/>
                <w:color w:val="auto"/>
              </w:rPr>
            </w:pPr>
          </w:p>
        </w:tc>
        <w:tc>
          <w:tcPr>
            <w:tcW w:w="780" w:type="dxa"/>
            <w:vAlign w:val="bottom"/>
          </w:tcPr>
          <w:p>
            <w:pPr>
              <w:spacing w:after="0"/>
              <w:rPr>
                <w:sz w:val="8"/>
                <w:szCs w:val="8"/>
                <w:color w:val="auto"/>
              </w:rPr>
            </w:pPr>
          </w:p>
        </w:tc>
        <w:tc>
          <w:tcPr>
            <w:tcW w:w="660" w:type="dxa"/>
            <w:vAlign w:val="bottom"/>
          </w:tcPr>
          <w:p>
            <w:pPr>
              <w:spacing w:after="0"/>
              <w:rPr>
                <w:sz w:val="8"/>
                <w:szCs w:val="8"/>
                <w:color w:val="auto"/>
              </w:rPr>
            </w:pPr>
          </w:p>
        </w:tc>
        <w:tc>
          <w:tcPr>
            <w:tcW w:w="800" w:type="dxa"/>
            <w:vAlign w:val="bottom"/>
          </w:tcPr>
          <w:p>
            <w:pPr>
              <w:ind w:left="54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60% of annual fees</w:t>
            </w:r>
          </w:p>
        </w:tc>
        <w:tc>
          <w:tcPr>
            <w:tcW w:w="80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40% of annual</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Number of shares</w:t>
            </w:r>
          </w:p>
        </w:tc>
      </w:tr>
      <w:tr>
        <w:trPr>
          <w:trHeight w:val="91"/>
        </w:trPr>
        <w:tc>
          <w:tcPr>
            <w:tcW w:w="1740" w:type="dxa"/>
            <w:vAlign w:val="bottom"/>
          </w:tcPr>
          <w:p>
            <w:pPr>
              <w:spacing w:after="0"/>
              <w:rPr>
                <w:sz w:val="7"/>
                <w:szCs w:val="7"/>
                <w:color w:val="auto"/>
              </w:rPr>
            </w:pPr>
          </w:p>
        </w:tc>
        <w:tc>
          <w:tcPr>
            <w:tcW w:w="780" w:type="dxa"/>
            <w:vAlign w:val="bottom"/>
          </w:tcPr>
          <w:p>
            <w:pPr>
              <w:jc w:val="center"/>
              <w:spacing w:after="0"/>
              <w:rPr>
                <w:sz w:val="20"/>
                <w:szCs w:val="20"/>
                <w:color w:val="auto"/>
              </w:rPr>
            </w:pPr>
            <w:r>
              <w:rPr>
                <w:rFonts w:ascii="Times New Roman" w:cs="Times New Roman" w:eastAsia="Times New Roman" w:hAnsi="Times New Roman"/>
                <w:sz w:val="8"/>
                <w:szCs w:val="8"/>
                <w:b w:val="1"/>
                <w:bCs w:val="1"/>
                <w:color w:val="005AFF"/>
                <w:w w:val="99"/>
              </w:rPr>
              <w:t>Annual fees</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Meeting fees</w:t>
            </w:r>
          </w:p>
        </w:tc>
        <w:tc>
          <w:tcPr>
            <w:tcW w:w="80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remuneration paid</w:t>
            </w:r>
          </w:p>
        </w:tc>
        <w:tc>
          <w:tcPr>
            <w:tcW w:w="860" w:type="dxa"/>
            <w:vAlign w:val="bottom"/>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and all meeting fees</w:t>
            </w:r>
          </w:p>
        </w:tc>
        <w:tc>
          <w:tcPr>
            <w:tcW w:w="800" w:type="dxa"/>
            <w:vAlign w:val="bottom"/>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fees paid in shares</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(approximately 40%</w:t>
            </w:r>
          </w:p>
        </w:tc>
      </w:tr>
      <w:tr>
        <w:trPr>
          <w:trHeight w:val="114"/>
        </w:trPr>
        <w:tc>
          <w:tcPr>
            <w:tcW w:w="1740" w:type="dxa"/>
            <w:vAlign w:val="bottom"/>
            <w:tcBorders>
              <w:bottom w:val="single" w:sz="8" w:color="005AFF"/>
            </w:tcBorders>
          </w:tcPr>
          <w:p>
            <w:pPr>
              <w:spacing w:after="0"/>
              <w:rPr>
                <w:sz w:val="9"/>
                <w:szCs w:val="9"/>
                <w:color w:val="auto"/>
              </w:rPr>
            </w:pPr>
          </w:p>
        </w:tc>
        <w:tc>
          <w:tcPr>
            <w:tcW w:w="780" w:type="dxa"/>
            <w:vAlign w:val="bottom"/>
            <w:tcBorders>
              <w:bottom w:val="single" w:sz="8" w:color="005AFF"/>
            </w:tcBorders>
          </w:tcPr>
          <w:p>
            <w:pPr>
              <w:ind w:left="420"/>
              <w:spacing w:after="0"/>
              <w:rPr>
                <w:sz w:val="20"/>
                <w:szCs w:val="20"/>
                <w:color w:val="auto"/>
              </w:rPr>
            </w:pPr>
            <w:r>
              <w:rPr>
                <w:rFonts w:ascii="Times New Roman" w:cs="Times New Roman" w:eastAsia="Times New Roman" w:hAnsi="Times New Roman"/>
                <w:sz w:val="8"/>
                <w:szCs w:val="8"/>
                <w:b w:val="1"/>
                <w:bCs w:val="1"/>
                <w:color w:val="005AFF"/>
              </w:rPr>
              <w:t>(EUR)</w:t>
            </w:r>
          </w:p>
        </w:tc>
        <w:tc>
          <w:tcPr>
            <w:tcW w:w="6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(EUR)</w:t>
            </w:r>
            <w:r>
              <w:rPr>
                <w:rFonts w:ascii="Times New Roman" w:cs="Times New Roman" w:eastAsia="Times New Roman" w:hAnsi="Times New Roman"/>
                <w:sz w:val="5"/>
                <w:szCs w:val="5"/>
                <w:b w:val="1"/>
                <w:bCs w:val="1"/>
                <w:color w:val="005AFF"/>
              </w:rPr>
              <w:t>1)</w:t>
            </w:r>
          </w:p>
        </w:tc>
        <w:tc>
          <w:tcPr>
            <w:tcW w:w="80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8"/>
                <w:szCs w:val="8"/>
                <w:b w:val="1"/>
                <w:bCs w:val="1"/>
                <w:color w:val="005AFF"/>
              </w:rPr>
              <w:t>(EUR)</w:t>
            </w:r>
          </w:p>
        </w:tc>
        <w:tc>
          <w:tcPr>
            <w:tcW w:w="8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paid in cash (EUR)</w:t>
            </w:r>
          </w:p>
        </w:tc>
        <w:tc>
          <w:tcPr>
            <w:tcW w:w="8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c>
          <w:tcPr>
            <w:tcW w:w="8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of the annual fee)</w:t>
            </w:r>
          </w:p>
        </w:tc>
      </w:tr>
      <w:tr>
        <w:trPr>
          <w:trHeight w:val="14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 (Chair)</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465 000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10 000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475 000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289 000</w:t>
            </w:r>
          </w:p>
        </w:tc>
        <w:tc>
          <w:tcPr>
            <w:tcW w:w="80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186 000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47 427</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Søren Skou (Vice Chair)</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225 000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239 000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149 000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90 000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22 948</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Timo Ahopelto</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210 000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10 000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220 000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136 000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84 000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21 418</w:t>
            </w:r>
          </w:p>
        </w:tc>
      </w:tr>
      <w:tr>
        <w:trPr>
          <w:trHeight w:val="194"/>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Bruce Brown (until 4 April 2023) </w:t>
            </w:r>
            <w:r>
              <w:rPr>
                <w:rFonts w:ascii="Times New Roman" w:cs="Times New Roman" w:eastAsia="Times New Roman" w:hAnsi="Times New Roman"/>
                <w:sz w:val="13"/>
                <w:szCs w:val="13"/>
                <w:color w:val="0D0D0D"/>
                <w:vertAlign w:val="superscript"/>
              </w:rPr>
              <w:t>(2)</w:t>
            </w:r>
          </w:p>
        </w:tc>
        <w:tc>
          <w:tcPr>
            <w:tcW w:w="780" w:type="dxa"/>
            <w:vAlign w:val="bottom"/>
          </w:tcPr>
          <w:p>
            <w:pPr>
              <w:ind w:left="520"/>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5 000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5 000</w:t>
            </w:r>
          </w:p>
        </w:tc>
        <w:tc>
          <w:tcPr>
            <w:tcW w:w="8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8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Elizabeth Crain</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215 000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15 000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230 000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144 000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86 000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21 928</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230 000</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239 000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147 000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92 000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23 458</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200 000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17 000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217 000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137 000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80 000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20 399</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Jeanette Horan</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210 000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10 000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220 000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136 000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84 000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21 418</w:t>
            </w:r>
          </w:p>
        </w:tc>
      </w:tr>
      <w:tr>
        <w:trPr>
          <w:trHeight w:val="194"/>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Edward Kozel (until 4 April 2023) </w:t>
            </w:r>
            <w:r>
              <w:rPr>
                <w:rFonts w:ascii="Times New Roman" w:cs="Times New Roman" w:eastAsia="Times New Roman" w:hAnsi="Times New Roman"/>
                <w:sz w:val="13"/>
                <w:szCs w:val="13"/>
                <w:color w:val="0D0D0D"/>
                <w:vertAlign w:val="superscript"/>
              </w:rPr>
              <w:t>(2)</w:t>
            </w:r>
          </w:p>
        </w:tc>
        <w:tc>
          <w:tcPr>
            <w:tcW w:w="780" w:type="dxa"/>
            <w:vAlign w:val="bottom"/>
          </w:tcPr>
          <w:p>
            <w:pPr>
              <w:ind w:left="520"/>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5 000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5 000</w:t>
            </w:r>
          </w:p>
        </w:tc>
        <w:tc>
          <w:tcPr>
            <w:tcW w:w="8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8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195 000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209 000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131 000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78 000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19 889</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780" w:type="dxa"/>
            <w:vAlign w:val="bottom"/>
          </w:tcPr>
          <w:p>
            <w:pPr>
              <w:jc w:val="center"/>
              <w:spacing w:after="0"/>
              <w:rPr>
                <w:sz w:val="20"/>
                <w:szCs w:val="20"/>
                <w:color w:val="auto"/>
              </w:rPr>
            </w:pPr>
            <w:r>
              <w:rPr>
                <w:rFonts w:ascii="Times New Roman" w:cs="Times New Roman" w:eastAsia="Times New Roman" w:hAnsi="Times New Roman"/>
                <w:sz w:val="10"/>
                <w:szCs w:val="10"/>
                <w:color w:val="0D0D0D"/>
              </w:rPr>
              <w:t>215 000</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229 000</w:t>
            </w:r>
          </w:p>
        </w:tc>
        <w:tc>
          <w:tcPr>
            <w:tcW w:w="8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143 000</w:t>
            </w:r>
          </w:p>
        </w:tc>
        <w:tc>
          <w:tcPr>
            <w:tcW w:w="8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86 000</w:t>
            </w:r>
          </w:p>
        </w:tc>
        <w:tc>
          <w:tcPr>
            <w:tcW w:w="8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21 928</w:t>
            </w:r>
          </w:p>
        </w:tc>
      </w:tr>
      <w:tr>
        <w:trPr>
          <w:trHeight w:val="167"/>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Kai Öistämö</w:t>
            </w:r>
          </w:p>
        </w:tc>
        <w:tc>
          <w:tcPr>
            <w:tcW w:w="78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10"/>
                <w:szCs w:val="10"/>
                <w:color w:val="0D0D0D"/>
              </w:rPr>
              <w:t>205 000</w:t>
            </w:r>
          </w:p>
        </w:tc>
        <w:tc>
          <w:tcPr>
            <w:tcW w:w="6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10 000</w:t>
            </w:r>
          </w:p>
        </w:tc>
        <w:tc>
          <w:tcPr>
            <w:tcW w:w="8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215 000</w:t>
            </w:r>
          </w:p>
        </w:tc>
        <w:tc>
          <w:tcPr>
            <w:tcW w:w="8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133 000</w:t>
            </w:r>
          </w:p>
        </w:tc>
        <w:tc>
          <w:tcPr>
            <w:tcW w:w="8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82 000</w:t>
            </w:r>
          </w:p>
        </w:tc>
        <w:tc>
          <w:tcPr>
            <w:tcW w:w="8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20 908</w:t>
            </w:r>
          </w:p>
        </w:tc>
      </w:tr>
      <w:tr>
        <w:trPr>
          <w:trHeight w:val="142"/>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78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005AFF"/>
              </w:rPr>
              <w:t>2 370 000</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133 000</w:t>
            </w:r>
          </w:p>
        </w:tc>
        <w:tc>
          <w:tcPr>
            <w:tcW w:w="8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2 503 000</w:t>
            </w:r>
          </w:p>
        </w:tc>
        <w:tc>
          <w:tcPr>
            <w:tcW w:w="8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1 555 000</w:t>
            </w:r>
          </w:p>
        </w:tc>
        <w:tc>
          <w:tcPr>
            <w:tcW w:w="8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948 000</w:t>
            </w:r>
          </w:p>
        </w:tc>
        <w:tc>
          <w:tcPr>
            <w:tcW w:w="8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241 721</w:t>
            </w:r>
          </w:p>
        </w:tc>
      </w:tr>
    </w:tbl>
    <w:p>
      <w:pPr>
        <w:spacing w:after="0" w:line="31" w:lineRule="exact"/>
        <w:rPr>
          <w:sz w:val="20"/>
          <w:szCs w:val="20"/>
          <w:color w:val="auto"/>
        </w:rPr>
      </w:pPr>
    </w:p>
    <w:tbl>
      <w:tblPr>
        <w:tblLayout w:type="fixed"/>
        <w:tblInd w:w="40" w:type="dxa"/>
        <w:tblCellMar>
          <w:top w:w="0" w:type="dxa"/>
          <w:left w:w="0" w:type="dxa"/>
          <w:bottom w:w="0" w:type="dxa"/>
          <w:right w:w="0" w:type="dxa"/>
        </w:tblCellMar>
      </w:tblPr>
      <w:tr>
        <w:trPr>
          <w:trHeight w:val="104"/>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(1)</w:t>
            </w:r>
          </w:p>
        </w:tc>
        <w:tc>
          <w:tcPr>
            <w:tcW w:w="5420" w:type="dxa"/>
            <w:vAlign w:val="bottom"/>
            <w:gridSpan w:val="2"/>
          </w:tcPr>
          <w:p>
            <w:pPr>
              <w:ind w:left="40"/>
              <w:spacing w:after="0"/>
              <w:rPr>
                <w:sz w:val="20"/>
                <w:szCs w:val="20"/>
                <w:color w:val="auto"/>
              </w:rPr>
            </w:pPr>
            <w:r>
              <w:rPr>
                <w:rFonts w:ascii="Times New Roman" w:cs="Times New Roman" w:eastAsia="Times New Roman" w:hAnsi="Times New Roman"/>
                <w:sz w:val="8"/>
                <w:szCs w:val="8"/>
                <w:color w:val="auto"/>
              </w:rPr>
              <w:t>Meeting fees include all meeting fees paid for the term that ended at the Annual General Meeting held on 4 April 2023 and meeting fees accrued and paid in</w:t>
            </w:r>
          </w:p>
        </w:tc>
        <w:tc>
          <w:tcPr>
            <w:tcW w:w="720" w:type="dxa"/>
            <w:vAlign w:val="bottom"/>
          </w:tcPr>
          <w:p>
            <w:pPr>
              <w:ind w:left="300"/>
              <w:spacing w:after="0"/>
              <w:rPr>
                <w:sz w:val="20"/>
                <w:szCs w:val="20"/>
                <w:color w:val="auto"/>
              </w:rPr>
            </w:pPr>
            <w:r>
              <w:rPr>
                <w:rFonts w:ascii="Times New Roman" w:cs="Times New Roman" w:eastAsia="Times New Roman" w:hAnsi="Times New Roman"/>
                <w:sz w:val="8"/>
                <w:szCs w:val="8"/>
                <w:color w:val="auto"/>
              </w:rPr>
              <w:t>2023 for the</w:t>
            </w:r>
          </w:p>
        </w:tc>
      </w:tr>
      <w:tr>
        <w:trPr>
          <w:trHeight w:val="108"/>
        </w:trPr>
        <w:tc>
          <w:tcPr>
            <w:tcW w:w="140" w:type="dxa"/>
            <w:vAlign w:val="bottom"/>
          </w:tcPr>
          <w:p>
            <w:pPr>
              <w:spacing w:after="0"/>
              <w:rPr>
                <w:sz w:val="9"/>
                <w:szCs w:val="9"/>
                <w:color w:val="auto"/>
              </w:rPr>
            </w:pPr>
          </w:p>
        </w:tc>
        <w:tc>
          <w:tcPr>
            <w:tcW w:w="3460" w:type="dxa"/>
            <w:vAlign w:val="bottom"/>
          </w:tcPr>
          <w:p>
            <w:pPr>
              <w:ind w:left="40"/>
              <w:spacing w:after="0"/>
              <w:rPr>
                <w:sz w:val="20"/>
                <w:szCs w:val="20"/>
                <w:color w:val="auto"/>
              </w:rPr>
            </w:pPr>
            <w:r>
              <w:rPr>
                <w:rFonts w:ascii="Times New Roman" w:cs="Times New Roman" w:eastAsia="Times New Roman" w:hAnsi="Times New Roman"/>
                <w:sz w:val="8"/>
                <w:szCs w:val="8"/>
                <w:color w:val="auto"/>
              </w:rPr>
              <w:t>term that began at the same meeting.</w:t>
            </w:r>
          </w:p>
        </w:tc>
        <w:tc>
          <w:tcPr>
            <w:tcW w:w="1960" w:type="dxa"/>
            <w:vAlign w:val="bottom"/>
          </w:tcPr>
          <w:p>
            <w:pPr>
              <w:spacing w:after="0"/>
              <w:rPr>
                <w:sz w:val="9"/>
                <w:szCs w:val="9"/>
                <w:color w:val="auto"/>
              </w:rPr>
            </w:pPr>
          </w:p>
        </w:tc>
        <w:tc>
          <w:tcPr>
            <w:tcW w:w="720" w:type="dxa"/>
            <w:vAlign w:val="bottom"/>
          </w:tcPr>
          <w:p>
            <w:pPr>
              <w:spacing w:after="0"/>
              <w:rPr>
                <w:sz w:val="9"/>
                <w:szCs w:val="9"/>
                <w:color w:val="auto"/>
              </w:rPr>
            </w:pPr>
          </w:p>
        </w:tc>
      </w:tr>
      <w:tr>
        <w:trPr>
          <w:trHeight w:val="104"/>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(2)</w:t>
            </w:r>
          </w:p>
        </w:tc>
        <w:tc>
          <w:tcPr>
            <w:tcW w:w="3460" w:type="dxa"/>
            <w:vAlign w:val="bottom"/>
          </w:tcPr>
          <w:p>
            <w:pPr>
              <w:ind w:left="40"/>
              <w:spacing w:after="0"/>
              <w:rPr>
                <w:sz w:val="20"/>
                <w:szCs w:val="20"/>
                <w:color w:val="auto"/>
              </w:rPr>
            </w:pPr>
            <w:r>
              <w:rPr>
                <w:rFonts w:ascii="Times New Roman" w:cs="Times New Roman" w:eastAsia="Times New Roman" w:hAnsi="Times New Roman"/>
                <w:sz w:val="8"/>
                <w:szCs w:val="8"/>
                <w:color w:val="auto"/>
              </w:rPr>
              <w:t>Stepped down at the Annual General Meeting on 4 April 2023 and received only one meeting fee in</w:t>
            </w:r>
          </w:p>
        </w:tc>
        <w:tc>
          <w:tcPr>
            <w:tcW w:w="1960" w:type="dxa"/>
            <w:vAlign w:val="bottom"/>
          </w:tcPr>
          <w:p>
            <w:pPr>
              <w:jc w:val="right"/>
              <w:ind w:right="1540"/>
              <w:spacing w:after="0"/>
              <w:rPr>
                <w:sz w:val="20"/>
                <w:szCs w:val="20"/>
                <w:color w:val="auto"/>
              </w:rPr>
            </w:pPr>
            <w:r>
              <w:rPr>
                <w:rFonts w:ascii="Times New Roman" w:cs="Times New Roman" w:eastAsia="Times New Roman" w:hAnsi="Times New Roman"/>
                <w:sz w:val="8"/>
                <w:szCs w:val="8"/>
                <w:color w:val="auto"/>
              </w:rPr>
              <w:t>2023 .</w:t>
            </w:r>
          </w:p>
        </w:tc>
        <w:tc>
          <w:tcPr>
            <w:tcW w:w="720" w:type="dxa"/>
            <w:vAlign w:val="bottom"/>
          </w:tcPr>
          <w:p>
            <w:pPr>
              <w:spacing w:after="0"/>
              <w:rPr>
                <w:sz w:val="9"/>
                <w:szCs w:val="9"/>
                <w:color w:val="auto"/>
              </w:rPr>
            </w:pPr>
          </w:p>
        </w:tc>
      </w:tr>
    </w:tbl>
    <w:p>
      <w:pPr>
        <w:sectPr>
          <w:pgSz w:w="11900" w:h="16838" w:orient="portrait"/>
          <w:cols w:equalWidth="0" w:num="2">
            <w:col w:w="2920" w:space="480"/>
            <w:col w:w="6580"/>
          </w:cols>
          <w:pgMar w:left="960" w:top="409" w:right="959" w:bottom="1440" w:gutter="0" w:footer="0" w:header="0"/>
        </w:sectPr>
      </w:pPr>
    </w:p>
    <w:bookmarkStart w:id="68" w:name="page69"/>
    <w:bookmarkEnd w:id="68"/>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61</w:t>
            </w:r>
          </w:p>
        </w:tc>
        <w:tc>
          <w:tcPr>
            <w:tcW w:w="0" w:type="dxa"/>
            <w:vAlign w:val="bottom"/>
          </w:tcPr>
          <w:p>
            <w:pPr>
              <w:spacing w:after="0"/>
              <w:rPr>
                <w:sz w:val="1"/>
                <w:szCs w:val="1"/>
                <w:color w:val="auto"/>
              </w:rPr>
            </w:pPr>
          </w:p>
        </w:tc>
      </w:tr>
      <w:tr>
        <w:trPr>
          <w:trHeight w:val="130"/>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88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16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1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Remuneration of the President and CEO</w:t>
      </w:r>
    </w:p>
    <w:p>
      <w:pPr>
        <w:spacing w:after="0" w:line="36" w:lineRule="exact"/>
        <w:rPr>
          <w:sz w:val="20"/>
          <w:szCs w:val="20"/>
          <w:color w:val="auto"/>
        </w:rPr>
      </w:pPr>
    </w:p>
    <w:p>
      <w:pPr>
        <w:ind w:left="160" w:right="3940"/>
        <w:spacing w:after="0" w:line="279" w:lineRule="auto"/>
        <w:rPr>
          <w:sz w:val="20"/>
          <w:szCs w:val="20"/>
          <w:color w:val="auto"/>
        </w:rPr>
      </w:pPr>
      <w:r>
        <w:rPr>
          <w:rFonts w:ascii="Times New Roman" w:cs="Times New Roman" w:eastAsia="Times New Roman" w:hAnsi="Times New Roman"/>
          <w:sz w:val="11"/>
          <w:szCs w:val="11"/>
          <w:color w:val="auto"/>
        </w:rPr>
        <w:t>The following table shows the actual remuneration received by Pekka Lundmark in 2023 and 2022. The LTI figures relate to the vesting of the final tranche of the restricted share award granted to him on joining Nokia in respect of forfeited shares from his previous employer and the vesting of the 2020 LTI performance shares.</w:t>
      </w:r>
    </w:p>
    <w:p>
      <w:pPr>
        <w:spacing w:after="0" w:line="127" w:lineRule="exact"/>
        <w:rPr>
          <w:sz w:val="20"/>
          <w:szCs w:val="20"/>
          <w:color w:val="auto"/>
        </w:rPr>
      </w:pPr>
    </w:p>
    <w:tbl>
      <w:tblPr>
        <w:tblLayout w:type="fixed"/>
        <w:tblInd w:w="140" w:type="dxa"/>
        <w:tblCellMar>
          <w:top w:w="0" w:type="dxa"/>
          <w:left w:w="0" w:type="dxa"/>
          <w:bottom w:w="0" w:type="dxa"/>
          <w:right w:w="0" w:type="dxa"/>
        </w:tblCellMar>
      </w:tblPr>
      <w:tr>
        <w:trPr>
          <w:trHeight w:val="114"/>
        </w:trPr>
        <w:tc>
          <w:tcPr>
            <w:tcW w:w="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w:t>
            </w:r>
          </w:p>
        </w:tc>
        <w:tc>
          <w:tcPr>
            <w:tcW w:w="1300" w:type="dxa"/>
            <w:vAlign w:val="bottom"/>
            <w:tcBorders>
              <w:bottom w:val="single" w:sz="8" w:color="005AFF"/>
            </w:tcBorders>
          </w:tcPr>
          <w:p>
            <w:pPr>
              <w:spacing w:after="0"/>
              <w:rPr>
                <w:sz w:val="9"/>
                <w:szCs w:val="9"/>
                <w:color w:val="auto"/>
              </w:rPr>
            </w:pPr>
          </w:p>
        </w:tc>
        <w:tc>
          <w:tcPr>
            <w:tcW w:w="1900" w:type="dxa"/>
            <w:vAlign w:val="bottom"/>
            <w:tcBorders>
              <w:bottom w:val="single" w:sz="8" w:color="005AFF"/>
            </w:tcBorders>
          </w:tcPr>
          <w:p>
            <w:pPr>
              <w:jc w:val="right"/>
              <w:ind w:right="2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820" w:type="dxa"/>
            <w:vAlign w:val="bottom"/>
            <w:tcBorders>
              <w:bottom w:val="single" w:sz="8" w:color="005AFF"/>
            </w:tcBorders>
          </w:tcPr>
          <w:p>
            <w:pPr>
              <w:jc w:val="center"/>
              <w:ind w:left="32"/>
              <w:spacing w:after="0"/>
              <w:rPr>
                <w:sz w:val="20"/>
                <w:szCs w:val="20"/>
                <w:color w:val="auto"/>
              </w:rPr>
            </w:pPr>
            <w:r>
              <w:rPr>
                <w:rFonts w:ascii="Times New Roman" w:cs="Times New Roman" w:eastAsia="Times New Roman" w:hAnsi="Times New Roman"/>
                <w:sz w:val="8"/>
                <w:szCs w:val="8"/>
                <w:b w:val="1"/>
                <w:bCs w:val="1"/>
                <w:color w:val="005AFF"/>
              </w:rPr>
              <w:t>Pay mix</w:t>
            </w:r>
            <w:r>
              <w:rPr>
                <w:rFonts w:ascii="Times New Roman" w:cs="Times New Roman" w:eastAsia="Times New Roman" w:hAnsi="Times New Roman"/>
                <w:sz w:val="5"/>
                <w:szCs w:val="5"/>
                <w:b w:val="1"/>
                <w:bCs w:val="1"/>
                <w:color w:val="005AFF"/>
              </w:rPr>
              <w:t>(1)</w:t>
            </w:r>
          </w:p>
        </w:tc>
        <w:tc>
          <w:tcPr>
            <w:tcW w:w="940" w:type="dxa"/>
            <w:vAlign w:val="bottom"/>
            <w:tcBorders>
              <w:bottom w:val="single" w:sz="8" w:color="005AFF"/>
            </w:tcBorders>
          </w:tcPr>
          <w:p>
            <w:pPr>
              <w:jc w:val="right"/>
              <w:ind w:right="23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60" w:type="dxa"/>
            <w:vAlign w:val="bottom"/>
            <w:tcBorders>
              <w:bottom w:val="single" w:sz="8" w:color="005AFF"/>
            </w:tcBorders>
          </w:tcPr>
          <w:p>
            <w:pPr>
              <w:jc w:val="center"/>
              <w:ind w:left="192"/>
              <w:spacing w:after="0"/>
              <w:rPr>
                <w:sz w:val="20"/>
                <w:szCs w:val="20"/>
                <w:color w:val="auto"/>
              </w:rPr>
            </w:pPr>
            <w:r>
              <w:rPr>
                <w:rFonts w:ascii="Times New Roman" w:cs="Times New Roman" w:eastAsia="Times New Roman" w:hAnsi="Times New Roman"/>
                <w:sz w:val="8"/>
                <w:szCs w:val="8"/>
                <w:b w:val="1"/>
                <w:bCs w:val="1"/>
                <w:color w:val="005AFF"/>
              </w:rPr>
              <w:t>Pay mix</w:t>
            </w:r>
            <w:r>
              <w:rPr>
                <w:rFonts w:ascii="Times New Roman" w:cs="Times New Roman" w:eastAsia="Times New Roman" w:hAnsi="Times New Roman"/>
                <w:sz w:val="5"/>
                <w:szCs w:val="5"/>
                <w:b w:val="1"/>
                <w:bCs w:val="1"/>
                <w:color w:val="005AFF"/>
              </w:rPr>
              <w:t>(1)</w:t>
            </w:r>
          </w:p>
        </w:tc>
        <w:tc>
          <w:tcPr>
            <w:tcW w:w="0" w:type="dxa"/>
            <w:vAlign w:val="bottom"/>
          </w:tcPr>
          <w:p>
            <w:pPr>
              <w:spacing w:after="0"/>
              <w:rPr>
                <w:sz w:val="1"/>
                <w:szCs w:val="1"/>
                <w:color w:val="auto"/>
              </w:rPr>
            </w:pPr>
          </w:p>
        </w:tc>
      </w:tr>
      <w:tr>
        <w:trPr>
          <w:trHeight w:val="140"/>
        </w:trPr>
        <w:tc>
          <w:tcPr>
            <w:tcW w:w="94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Salary</w:t>
            </w:r>
          </w:p>
        </w:tc>
        <w:tc>
          <w:tcPr>
            <w:tcW w:w="1300" w:type="dxa"/>
            <w:vAlign w:val="bottom"/>
          </w:tcPr>
          <w:p>
            <w:pPr>
              <w:spacing w:after="0"/>
              <w:rPr>
                <w:sz w:val="12"/>
                <w:szCs w:val="12"/>
                <w:color w:val="auto"/>
              </w:rPr>
            </w:pPr>
          </w:p>
        </w:tc>
        <w:tc>
          <w:tcPr>
            <w:tcW w:w="1900" w:type="dxa"/>
            <w:vAlign w:val="bottom"/>
          </w:tcPr>
          <w:p>
            <w:pPr>
              <w:jc w:val="right"/>
              <w:ind w:right="271"/>
              <w:spacing w:after="0"/>
              <w:rPr>
                <w:sz w:val="20"/>
                <w:szCs w:val="20"/>
                <w:color w:val="auto"/>
              </w:rPr>
            </w:pPr>
            <w:r>
              <w:rPr>
                <w:rFonts w:ascii="Times New Roman" w:cs="Times New Roman" w:eastAsia="Times New Roman" w:hAnsi="Times New Roman"/>
                <w:sz w:val="10"/>
                <w:szCs w:val="10"/>
                <w:color w:val="0D0D0D"/>
              </w:rPr>
              <w:t>1 322 750</w:t>
            </w:r>
          </w:p>
        </w:tc>
        <w:tc>
          <w:tcPr>
            <w:tcW w:w="820" w:type="dxa"/>
            <w:vAlign w:val="bottom"/>
          </w:tcPr>
          <w:p>
            <w:pPr>
              <w:jc w:val="center"/>
              <w:ind w:left="32"/>
              <w:spacing w:after="0"/>
              <w:rPr>
                <w:sz w:val="20"/>
                <w:szCs w:val="20"/>
                <w:color w:val="auto"/>
              </w:rPr>
            </w:pPr>
            <w:r>
              <w:rPr>
                <w:rFonts w:ascii="Times New Roman" w:cs="Times New Roman" w:eastAsia="Times New Roman" w:hAnsi="Times New Roman"/>
                <w:sz w:val="10"/>
                <w:szCs w:val="10"/>
                <w:color w:val="0D0D0D"/>
                <w:w w:val="97"/>
              </w:rPr>
              <w:t>36%</w:t>
            </w:r>
          </w:p>
        </w:tc>
        <w:tc>
          <w:tcPr>
            <w:tcW w:w="940" w:type="dxa"/>
            <w:vAlign w:val="bottom"/>
          </w:tcPr>
          <w:p>
            <w:pPr>
              <w:jc w:val="right"/>
              <w:ind w:right="271"/>
              <w:spacing w:after="0"/>
              <w:rPr>
                <w:sz w:val="20"/>
                <w:szCs w:val="20"/>
                <w:color w:val="auto"/>
              </w:rPr>
            </w:pPr>
            <w:r>
              <w:rPr>
                <w:rFonts w:ascii="Times New Roman" w:cs="Times New Roman" w:eastAsia="Times New Roman" w:hAnsi="Times New Roman"/>
                <w:sz w:val="10"/>
                <w:szCs w:val="10"/>
                <w:color w:val="0D0D0D"/>
              </w:rPr>
              <w:t>1 300 000</w:t>
            </w:r>
          </w:p>
        </w:tc>
        <w:tc>
          <w:tcPr>
            <w:tcW w:w="660" w:type="dxa"/>
            <w:vAlign w:val="bottom"/>
          </w:tcPr>
          <w:p>
            <w:pPr>
              <w:jc w:val="center"/>
              <w:ind w:left="192"/>
              <w:spacing w:after="0"/>
              <w:rPr>
                <w:sz w:val="20"/>
                <w:szCs w:val="20"/>
                <w:color w:val="auto"/>
              </w:rPr>
            </w:pPr>
            <w:r>
              <w:rPr>
                <w:rFonts w:ascii="Times New Roman" w:cs="Times New Roman" w:eastAsia="Times New Roman" w:hAnsi="Times New Roman"/>
                <w:sz w:val="10"/>
                <w:szCs w:val="10"/>
                <w:color w:val="0D0D0D"/>
                <w:w w:val="97"/>
              </w:rPr>
              <w:t>31%</w:t>
            </w:r>
          </w:p>
        </w:tc>
        <w:tc>
          <w:tcPr>
            <w:tcW w:w="0" w:type="dxa"/>
            <w:vAlign w:val="bottom"/>
          </w:tcPr>
          <w:p>
            <w:pPr>
              <w:spacing w:after="0"/>
              <w:rPr>
                <w:sz w:val="1"/>
                <w:szCs w:val="1"/>
                <w:color w:val="auto"/>
              </w:rPr>
            </w:pPr>
          </w:p>
        </w:tc>
      </w:tr>
      <w:tr>
        <w:trPr>
          <w:trHeight w:val="111"/>
        </w:trPr>
        <w:tc>
          <w:tcPr>
            <w:tcW w:w="940" w:type="dxa"/>
            <w:vAlign w:val="bottom"/>
            <w:vMerge w:val="restart"/>
          </w:tcPr>
          <w:p>
            <w:pPr>
              <w:ind w:left="60"/>
              <w:spacing w:after="0"/>
              <w:rPr>
                <w:sz w:val="20"/>
                <w:szCs w:val="20"/>
                <w:color w:val="auto"/>
              </w:rPr>
            </w:pPr>
            <w:r>
              <w:rPr>
                <w:rFonts w:ascii="Times New Roman" w:cs="Times New Roman" w:eastAsia="Times New Roman" w:hAnsi="Times New Roman"/>
                <w:sz w:val="10"/>
                <w:szCs w:val="10"/>
                <w:color w:val="0D0D0D"/>
              </w:rPr>
              <w:t>Short-term incentive</w:t>
            </w:r>
          </w:p>
        </w:tc>
        <w:tc>
          <w:tcPr>
            <w:tcW w:w="1300" w:type="dxa"/>
            <w:vAlign w:val="bottom"/>
          </w:tcPr>
          <w:p>
            <w:pPr>
              <w:jc w:val="right"/>
              <w:ind w:right="1147"/>
              <w:spacing w:after="0"/>
              <w:rPr>
                <w:sz w:val="20"/>
                <w:szCs w:val="20"/>
                <w:color w:val="auto"/>
              </w:rPr>
            </w:pPr>
            <w:r>
              <w:rPr>
                <w:rFonts w:ascii="Times New Roman" w:cs="Times New Roman" w:eastAsia="Times New Roman" w:hAnsi="Times New Roman"/>
                <w:sz w:val="7"/>
                <w:szCs w:val="7"/>
                <w:color w:val="0D0D0D"/>
              </w:rPr>
              <w:t>(2)</w:t>
            </w:r>
          </w:p>
        </w:tc>
        <w:tc>
          <w:tcPr>
            <w:tcW w:w="1900" w:type="dxa"/>
            <w:vAlign w:val="bottom"/>
            <w:vMerge w:val="restart"/>
          </w:tcPr>
          <w:p>
            <w:pPr>
              <w:jc w:val="right"/>
              <w:ind w:right="271"/>
              <w:spacing w:after="0"/>
              <w:rPr>
                <w:sz w:val="20"/>
                <w:szCs w:val="20"/>
                <w:color w:val="auto"/>
              </w:rPr>
            </w:pPr>
            <w:r>
              <w:rPr>
                <w:rFonts w:ascii="Times New Roman" w:cs="Times New Roman" w:eastAsia="Times New Roman" w:hAnsi="Times New Roman"/>
                <w:sz w:val="10"/>
                <w:szCs w:val="10"/>
                <w:color w:val="0D0D0D"/>
              </w:rPr>
              <w:t>1 079 695</w:t>
            </w:r>
          </w:p>
        </w:tc>
        <w:tc>
          <w:tcPr>
            <w:tcW w:w="820" w:type="dxa"/>
            <w:vAlign w:val="bottom"/>
            <w:vMerge w:val="restart"/>
          </w:tcPr>
          <w:p>
            <w:pPr>
              <w:jc w:val="center"/>
              <w:ind w:left="32"/>
              <w:spacing w:after="0"/>
              <w:rPr>
                <w:sz w:val="20"/>
                <w:szCs w:val="20"/>
                <w:color w:val="auto"/>
              </w:rPr>
            </w:pPr>
            <w:r>
              <w:rPr>
                <w:rFonts w:ascii="Times New Roman" w:cs="Times New Roman" w:eastAsia="Times New Roman" w:hAnsi="Times New Roman"/>
                <w:sz w:val="10"/>
                <w:szCs w:val="10"/>
                <w:color w:val="0D0D0D"/>
                <w:w w:val="97"/>
              </w:rPr>
              <w:t>30%</w:t>
            </w:r>
          </w:p>
        </w:tc>
        <w:tc>
          <w:tcPr>
            <w:tcW w:w="940" w:type="dxa"/>
            <w:vAlign w:val="bottom"/>
            <w:vMerge w:val="restart"/>
          </w:tcPr>
          <w:p>
            <w:pPr>
              <w:jc w:val="right"/>
              <w:ind w:right="271"/>
              <w:spacing w:after="0"/>
              <w:rPr>
                <w:sz w:val="20"/>
                <w:szCs w:val="20"/>
                <w:color w:val="auto"/>
              </w:rPr>
            </w:pPr>
            <w:r>
              <w:rPr>
                <w:rFonts w:ascii="Times New Roman" w:cs="Times New Roman" w:eastAsia="Times New Roman" w:hAnsi="Times New Roman"/>
                <w:sz w:val="10"/>
                <w:szCs w:val="10"/>
                <w:color w:val="0D0D0D"/>
              </w:rPr>
              <w:t>2 342 438</w:t>
            </w:r>
          </w:p>
        </w:tc>
        <w:tc>
          <w:tcPr>
            <w:tcW w:w="660" w:type="dxa"/>
            <w:vAlign w:val="bottom"/>
            <w:vMerge w:val="restart"/>
          </w:tcPr>
          <w:p>
            <w:pPr>
              <w:jc w:val="center"/>
              <w:ind w:left="192"/>
              <w:spacing w:after="0"/>
              <w:rPr>
                <w:sz w:val="20"/>
                <w:szCs w:val="20"/>
                <w:color w:val="auto"/>
              </w:rPr>
            </w:pPr>
            <w:r>
              <w:rPr>
                <w:rFonts w:ascii="Times New Roman" w:cs="Times New Roman" w:eastAsia="Times New Roman" w:hAnsi="Times New Roman"/>
                <w:sz w:val="10"/>
                <w:szCs w:val="10"/>
                <w:color w:val="0D0D0D"/>
                <w:w w:val="97"/>
              </w:rPr>
              <w:t>56%</w:t>
            </w:r>
          </w:p>
        </w:tc>
        <w:tc>
          <w:tcPr>
            <w:tcW w:w="0" w:type="dxa"/>
            <w:vAlign w:val="bottom"/>
          </w:tcPr>
          <w:p>
            <w:pPr>
              <w:spacing w:after="0"/>
              <w:rPr>
                <w:sz w:val="1"/>
                <w:szCs w:val="1"/>
                <w:color w:val="auto"/>
              </w:rPr>
            </w:pPr>
          </w:p>
        </w:tc>
      </w:tr>
      <w:tr>
        <w:trPr>
          <w:trHeight w:val="50"/>
        </w:trPr>
        <w:tc>
          <w:tcPr>
            <w:tcW w:w="940" w:type="dxa"/>
            <w:vAlign w:val="bottom"/>
            <w:vMerge w:val="continue"/>
          </w:tcPr>
          <w:p>
            <w:pPr>
              <w:spacing w:after="0"/>
              <w:rPr>
                <w:sz w:val="4"/>
                <w:szCs w:val="4"/>
                <w:color w:val="auto"/>
              </w:rPr>
            </w:pPr>
          </w:p>
        </w:tc>
        <w:tc>
          <w:tcPr>
            <w:tcW w:w="1300" w:type="dxa"/>
            <w:vAlign w:val="bottom"/>
          </w:tcPr>
          <w:p>
            <w:pPr>
              <w:spacing w:after="0"/>
              <w:rPr>
                <w:sz w:val="4"/>
                <w:szCs w:val="4"/>
                <w:color w:val="auto"/>
              </w:rPr>
            </w:pPr>
          </w:p>
        </w:tc>
        <w:tc>
          <w:tcPr>
            <w:tcW w:w="1900" w:type="dxa"/>
            <w:vAlign w:val="bottom"/>
            <w:vMerge w:val="continue"/>
          </w:tcPr>
          <w:p>
            <w:pPr>
              <w:spacing w:after="0"/>
              <w:rPr>
                <w:sz w:val="4"/>
                <w:szCs w:val="4"/>
                <w:color w:val="auto"/>
              </w:rPr>
            </w:pPr>
          </w:p>
        </w:tc>
        <w:tc>
          <w:tcPr>
            <w:tcW w:w="820" w:type="dxa"/>
            <w:vAlign w:val="bottom"/>
            <w:vMerge w:val="continue"/>
          </w:tcPr>
          <w:p>
            <w:pPr>
              <w:spacing w:after="0"/>
              <w:rPr>
                <w:sz w:val="4"/>
                <w:szCs w:val="4"/>
                <w:color w:val="auto"/>
              </w:rPr>
            </w:pPr>
          </w:p>
        </w:tc>
        <w:tc>
          <w:tcPr>
            <w:tcW w:w="940" w:type="dxa"/>
            <w:vAlign w:val="bottom"/>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94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Long-term incentive</w:t>
            </w:r>
          </w:p>
        </w:tc>
        <w:tc>
          <w:tcPr>
            <w:tcW w:w="1300" w:type="dxa"/>
            <w:vAlign w:val="bottom"/>
          </w:tcPr>
          <w:p>
            <w:pPr>
              <w:spacing w:after="0"/>
              <w:rPr>
                <w:sz w:val="14"/>
                <w:szCs w:val="14"/>
                <w:color w:val="auto"/>
              </w:rPr>
            </w:pPr>
          </w:p>
        </w:tc>
        <w:tc>
          <w:tcPr>
            <w:tcW w:w="1900" w:type="dxa"/>
            <w:vAlign w:val="bottom"/>
          </w:tcPr>
          <w:p>
            <w:pPr>
              <w:jc w:val="right"/>
              <w:ind w:right="271"/>
              <w:spacing w:after="0"/>
              <w:rPr>
                <w:sz w:val="20"/>
                <w:szCs w:val="20"/>
                <w:color w:val="auto"/>
              </w:rPr>
            </w:pPr>
            <w:r>
              <w:rPr>
                <w:rFonts w:ascii="Times New Roman" w:cs="Times New Roman" w:eastAsia="Times New Roman" w:hAnsi="Times New Roman"/>
                <w:sz w:val="10"/>
                <w:szCs w:val="10"/>
                <w:color w:val="0D0D0D"/>
              </w:rPr>
              <w:t>1 240 359</w:t>
            </w:r>
          </w:p>
        </w:tc>
        <w:tc>
          <w:tcPr>
            <w:tcW w:w="820" w:type="dxa"/>
            <w:vAlign w:val="bottom"/>
          </w:tcPr>
          <w:p>
            <w:pPr>
              <w:jc w:val="center"/>
              <w:ind w:left="32"/>
              <w:spacing w:after="0"/>
              <w:rPr>
                <w:sz w:val="20"/>
                <w:szCs w:val="20"/>
                <w:color w:val="auto"/>
              </w:rPr>
            </w:pPr>
            <w:r>
              <w:rPr>
                <w:rFonts w:ascii="Times New Roman" w:cs="Times New Roman" w:eastAsia="Times New Roman" w:hAnsi="Times New Roman"/>
                <w:sz w:val="10"/>
                <w:szCs w:val="10"/>
                <w:color w:val="0D0D0D"/>
                <w:w w:val="97"/>
              </w:rPr>
              <w:t>34%</w:t>
            </w:r>
          </w:p>
        </w:tc>
        <w:tc>
          <w:tcPr>
            <w:tcW w:w="940" w:type="dxa"/>
            <w:vAlign w:val="bottom"/>
          </w:tcPr>
          <w:p>
            <w:pPr>
              <w:jc w:val="right"/>
              <w:ind w:right="271"/>
              <w:spacing w:after="0"/>
              <w:rPr>
                <w:sz w:val="20"/>
                <w:szCs w:val="20"/>
                <w:color w:val="auto"/>
              </w:rPr>
            </w:pPr>
            <w:r>
              <w:rPr>
                <w:rFonts w:ascii="Times New Roman" w:cs="Times New Roman" w:eastAsia="Times New Roman" w:hAnsi="Times New Roman"/>
                <w:sz w:val="10"/>
                <w:szCs w:val="10"/>
                <w:color w:val="0D0D0D"/>
              </w:rPr>
              <w:t>560 318</w:t>
            </w:r>
          </w:p>
        </w:tc>
        <w:tc>
          <w:tcPr>
            <w:tcW w:w="660" w:type="dxa"/>
            <w:vAlign w:val="bottom"/>
          </w:tcPr>
          <w:p>
            <w:pPr>
              <w:jc w:val="center"/>
              <w:ind w:left="192"/>
              <w:spacing w:after="0"/>
              <w:rPr>
                <w:sz w:val="20"/>
                <w:szCs w:val="20"/>
                <w:color w:val="auto"/>
              </w:rPr>
            </w:pPr>
            <w:r>
              <w:rPr>
                <w:rFonts w:ascii="Times New Roman" w:cs="Times New Roman" w:eastAsia="Times New Roman" w:hAnsi="Times New Roman"/>
                <w:sz w:val="10"/>
                <w:szCs w:val="10"/>
                <w:color w:val="0D0D0D"/>
                <w:w w:val="97"/>
              </w:rPr>
              <w:t>13%</w:t>
            </w:r>
          </w:p>
        </w:tc>
        <w:tc>
          <w:tcPr>
            <w:tcW w:w="0" w:type="dxa"/>
            <w:vAlign w:val="bottom"/>
          </w:tcPr>
          <w:p>
            <w:pPr>
              <w:spacing w:after="0"/>
              <w:rPr>
                <w:sz w:val="1"/>
                <w:szCs w:val="1"/>
                <w:color w:val="auto"/>
              </w:rPr>
            </w:pPr>
          </w:p>
        </w:tc>
      </w:tr>
      <w:tr>
        <w:trPr>
          <w:trHeight w:val="111"/>
        </w:trPr>
        <w:tc>
          <w:tcPr>
            <w:tcW w:w="940" w:type="dxa"/>
            <w:vAlign w:val="bottom"/>
            <w:vMerge w:val="restart"/>
          </w:tcPr>
          <w:p>
            <w:pPr>
              <w:ind w:left="60"/>
              <w:spacing w:after="0"/>
              <w:rPr>
                <w:sz w:val="20"/>
                <w:szCs w:val="20"/>
                <w:color w:val="auto"/>
              </w:rPr>
            </w:pPr>
            <w:r>
              <w:rPr>
                <w:rFonts w:ascii="Times New Roman" w:cs="Times New Roman" w:eastAsia="Times New Roman" w:hAnsi="Times New Roman"/>
                <w:sz w:val="10"/>
                <w:szCs w:val="10"/>
                <w:color w:val="0D0D0D"/>
              </w:rPr>
              <w:t>Other compensation</w:t>
            </w:r>
          </w:p>
        </w:tc>
        <w:tc>
          <w:tcPr>
            <w:tcW w:w="1300" w:type="dxa"/>
            <w:vAlign w:val="bottom"/>
          </w:tcPr>
          <w:p>
            <w:pPr>
              <w:jc w:val="right"/>
              <w:ind w:right="1147"/>
              <w:spacing w:after="0"/>
              <w:rPr>
                <w:sz w:val="20"/>
                <w:szCs w:val="20"/>
                <w:color w:val="auto"/>
              </w:rPr>
            </w:pPr>
            <w:r>
              <w:rPr>
                <w:rFonts w:ascii="Times New Roman" w:cs="Times New Roman" w:eastAsia="Times New Roman" w:hAnsi="Times New Roman"/>
                <w:sz w:val="7"/>
                <w:szCs w:val="7"/>
                <w:color w:val="0D0D0D"/>
              </w:rPr>
              <w:t>(3)</w:t>
            </w:r>
          </w:p>
        </w:tc>
        <w:tc>
          <w:tcPr>
            <w:tcW w:w="1900" w:type="dxa"/>
            <w:vAlign w:val="bottom"/>
            <w:vMerge w:val="restart"/>
          </w:tcPr>
          <w:p>
            <w:pPr>
              <w:jc w:val="right"/>
              <w:ind w:right="251"/>
              <w:spacing w:after="0"/>
              <w:rPr>
                <w:sz w:val="20"/>
                <w:szCs w:val="20"/>
                <w:color w:val="auto"/>
              </w:rPr>
            </w:pPr>
            <w:r>
              <w:rPr>
                <w:rFonts w:ascii="Times New Roman" w:cs="Times New Roman" w:eastAsia="Times New Roman" w:hAnsi="Times New Roman"/>
                <w:sz w:val="10"/>
                <w:szCs w:val="10"/>
                <w:color w:val="0D0D0D"/>
              </w:rPr>
              <w:t>95 756</w:t>
            </w:r>
          </w:p>
        </w:tc>
        <w:tc>
          <w:tcPr>
            <w:tcW w:w="820" w:type="dxa"/>
            <w:vAlign w:val="bottom"/>
          </w:tcPr>
          <w:p>
            <w:pPr>
              <w:spacing w:after="0"/>
              <w:rPr>
                <w:sz w:val="9"/>
                <w:szCs w:val="9"/>
                <w:color w:val="auto"/>
              </w:rPr>
            </w:pPr>
          </w:p>
        </w:tc>
        <w:tc>
          <w:tcPr>
            <w:tcW w:w="940" w:type="dxa"/>
            <w:vAlign w:val="bottom"/>
            <w:vMerge w:val="restart"/>
          </w:tcPr>
          <w:p>
            <w:pPr>
              <w:jc w:val="right"/>
              <w:ind w:right="271"/>
              <w:spacing w:after="0"/>
              <w:rPr>
                <w:sz w:val="20"/>
                <w:szCs w:val="20"/>
                <w:color w:val="auto"/>
              </w:rPr>
            </w:pPr>
            <w:r>
              <w:rPr>
                <w:rFonts w:ascii="Times New Roman" w:cs="Times New Roman" w:eastAsia="Times New Roman" w:hAnsi="Times New Roman"/>
                <w:sz w:val="10"/>
                <w:szCs w:val="10"/>
                <w:color w:val="0D0D0D"/>
              </w:rPr>
              <w:t>113 850</w:t>
            </w:r>
          </w:p>
        </w:tc>
        <w:tc>
          <w:tcPr>
            <w:tcW w:w="66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6"/>
        </w:trPr>
        <w:tc>
          <w:tcPr>
            <w:tcW w:w="940" w:type="dxa"/>
            <w:vAlign w:val="bottom"/>
            <w:tcBorders>
              <w:bottom w:val="single" w:sz="8" w:color="005AFF"/>
            </w:tcBorders>
            <w:vMerge w:val="continue"/>
          </w:tcPr>
          <w:p>
            <w:pPr>
              <w:spacing w:after="0"/>
              <w:rPr>
                <w:sz w:val="4"/>
                <w:szCs w:val="4"/>
                <w:color w:val="auto"/>
              </w:rPr>
            </w:pPr>
          </w:p>
        </w:tc>
        <w:tc>
          <w:tcPr>
            <w:tcW w:w="1300" w:type="dxa"/>
            <w:vAlign w:val="bottom"/>
            <w:tcBorders>
              <w:bottom w:val="single" w:sz="8" w:color="005AFF"/>
            </w:tcBorders>
          </w:tcPr>
          <w:p>
            <w:pPr>
              <w:spacing w:after="0"/>
              <w:rPr>
                <w:sz w:val="4"/>
                <w:szCs w:val="4"/>
                <w:color w:val="auto"/>
              </w:rPr>
            </w:pPr>
          </w:p>
        </w:tc>
        <w:tc>
          <w:tcPr>
            <w:tcW w:w="1900" w:type="dxa"/>
            <w:vAlign w:val="bottom"/>
            <w:tcBorders>
              <w:bottom w:val="single" w:sz="8" w:color="005AFF"/>
            </w:tcBorders>
            <w:vMerge w:val="continue"/>
          </w:tcPr>
          <w:p>
            <w:pPr>
              <w:spacing w:after="0"/>
              <w:rPr>
                <w:sz w:val="4"/>
                <w:szCs w:val="4"/>
                <w:color w:val="auto"/>
              </w:rPr>
            </w:pPr>
          </w:p>
        </w:tc>
        <w:tc>
          <w:tcPr>
            <w:tcW w:w="820" w:type="dxa"/>
            <w:vAlign w:val="bottom"/>
            <w:tcBorders>
              <w:bottom w:val="single" w:sz="8" w:color="005AFF"/>
            </w:tcBorders>
          </w:tcPr>
          <w:p>
            <w:pPr>
              <w:spacing w:after="0"/>
              <w:rPr>
                <w:sz w:val="4"/>
                <w:szCs w:val="4"/>
                <w:color w:val="auto"/>
              </w:rPr>
            </w:pPr>
          </w:p>
        </w:tc>
        <w:tc>
          <w:tcPr>
            <w:tcW w:w="940" w:type="dxa"/>
            <w:vAlign w:val="bottom"/>
            <w:tcBorders>
              <w:bottom w:val="single" w:sz="8" w:color="005AFF"/>
            </w:tcBorders>
            <w:vMerge w:val="continue"/>
          </w:tcPr>
          <w:p>
            <w:pPr>
              <w:spacing w:after="0"/>
              <w:rPr>
                <w:sz w:val="4"/>
                <w:szCs w:val="4"/>
                <w:color w:val="auto"/>
              </w:rPr>
            </w:pPr>
          </w:p>
        </w:tc>
        <w:tc>
          <w:tcPr>
            <w:tcW w:w="660" w:type="dxa"/>
            <w:vAlign w:val="bottom"/>
            <w:tcBorders>
              <w:bottom w:val="single" w:sz="8" w:color="005AFF"/>
            </w:tcBorders>
          </w:tcPr>
          <w:p>
            <w:pPr>
              <w:spacing w:after="0"/>
              <w:rPr>
                <w:sz w:val="4"/>
                <w:szCs w:val="4"/>
                <w:color w:val="auto"/>
              </w:rPr>
            </w:pPr>
          </w:p>
        </w:tc>
        <w:tc>
          <w:tcPr>
            <w:tcW w:w="0" w:type="dxa"/>
            <w:vAlign w:val="bottom"/>
          </w:tcPr>
          <w:p>
            <w:pPr>
              <w:spacing w:after="0"/>
              <w:rPr>
                <w:sz w:val="1"/>
                <w:szCs w:val="1"/>
                <w:color w:val="auto"/>
              </w:rPr>
            </w:pPr>
          </w:p>
        </w:tc>
      </w:tr>
      <w:tr>
        <w:trPr>
          <w:trHeight w:val="152"/>
        </w:trPr>
        <w:tc>
          <w:tcPr>
            <w:tcW w:w="9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00" w:type="dxa"/>
            <w:vAlign w:val="bottom"/>
            <w:tcBorders>
              <w:bottom w:val="single" w:sz="8" w:color="005AFF"/>
            </w:tcBorders>
          </w:tcPr>
          <w:p>
            <w:pPr>
              <w:spacing w:after="0"/>
              <w:rPr>
                <w:sz w:val="13"/>
                <w:szCs w:val="13"/>
                <w:color w:val="auto"/>
              </w:rPr>
            </w:pPr>
          </w:p>
        </w:tc>
        <w:tc>
          <w:tcPr>
            <w:tcW w:w="1900" w:type="dxa"/>
            <w:vAlign w:val="bottom"/>
            <w:tcBorders>
              <w:bottom w:val="single" w:sz="8" w:color="005AFF"/>
            </w:tcBorders>
          </w:tcPr>
          <w:p>
            <w:pPr>
              <w:jc w:val="right"/>
              <w:ind w:right="271"/>
              <w:spacing w:after="0"/>
              <w:rPr>
                <w:sz w:val="20"/>
                <w:szCs w:val="20"/>
                <w:color w:val="auto"/>
              </w:rPr>
            </w:pPr>
            <w:r>
              <w:rPr>
                <w:rFonts w:ascii="Times New Roman" w:cs="Times New Roman" w:eastAsia="Times New Roman" w:hAnsi="Times New Roman"/>
                <w:sz w:val="10"/>
                <w:szCs w:val="10"/>
                <w:b w:val="1"/>
                <w:bCs w:val="1"/>
                <w:color w:val="005AFF"/>
              </w:rPr>
              <w:t>3 738 560</w:t>
            </w:r>
          </w:p>
        </w:tc>
        <w:tc>
          <w:tcPr>
            <w:tcW w:w="820" w:type="dxa"/>
            <w:vAlign w:val="bottom"/>
            <w:tcBorders>
              <w:bottom w:val="single" w:sz="8" w:color="005AFF"/>
            </w:tcBorders>
          </w:tcPr>
          <w:p>
            <w:pPr>
              <w:spacing w:after="0"/>
              <w:rPr>
                <w:sz w:val="13"/>
                <w:szCs w:val="13"/>
                <w:color w:val="auto"/>
              </w:rPr>
            </w:pPr>
          </w:p>
        </w:tc>
        <w:tc>
          <w:tcPr>
            <w:tcW w:w="940" w:type="dxa"/>
            <w:vAlign w:val="bottom"/>
            <w:tcBorders>
              <w:bottom w:val="single" w:sz="8" w:color="005AFF"/>
            </w:tcBorders>
          </w:tcPr>
          <w:p>
            <w:pPr>
              <w:jc w:val="right"/>
              <w:ind w:right="271"/>
              <w:spacing w:after="0"/>
              <w:rPr>
                <w:sz w:val="20"/>
                <w:szCs w:val="20"/>
                <w:color w:val="auto"/>
              </w:rPr>
            </w:pPr>
            <w:r>
              <w:rPr>
                <w:rFonts w:ascii="Times New Roman" w:cs="Times New Roman" w:eastAsia="Times New Roman" w:hAnsi="Times New Roman"/>
                <w:sz w:val="10"/>
                <w:szCs w:val="10"/>
                <w:b w:val="1"/>
                <w:bCs w:val="1"/>
                <w:color w:val="005AFF"/>
              </w:rPr>
              <w:t>4 316 606</w:t>
            </w:r>
          </w:p>
        </w:tc>
        <w:tc>
          <w:tcPr>
            <w:tcW w:w="66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bl>
    <w:p>
      <w:pPr>
        <w:spacing w:after="0" w:line="61" w:lineRule="exact"/>
        <w:rPr>
          <w:sz w:val="20"/>
          <w:szCs w:val="20"/>
          <w:color w:val="auto"/>
        </w:rPr>
      </w:pPr>
    </w:p>
    <w:p>
      <w:pPr>
        <w:ind w:left="340" w:hanging="186"/>
        <w:spacing w:after="0"/>
        <w:tabs>
          <w:tab w:leader="none" w:pos="340" w:val="left"/>
        </w:tabs>
        <w:numPr>
          <w:ilvl w:val="0"/>
          <w:numId w:val="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Pay mix reflects the proportions of base salary, STI and LTI of total remuneration, excluding other remuneration.</w:t>
      </w:r>
    </w:p>
    <w:p>
      <w:pPr>
        <w:spacing w:after="0" w:line="7" w:lineRule="exact"/>
        <w:rPr>
          <w:rFonts w:ascii="Times New Roman" w:cs="Times New Roman" w:eastAsia="Times New Roman" w:hAnsi="Times New Roman"/>
          <w:sz w:val="8"/>
          <w:szCs w:val="8"/>
          <w:color w:val="auto"/>
        </w:rPr>
      </w:pPr>
    </w:p>
    <w:p>
      <w:pPr>
        <w:ind w:left="340" w:hanging="186"/>
        <w:spacing w:after="0"/>
        <w:tabs>
          <w:tab w:leader="none" w:pos="340" w:val="left"/>
        </w:tabs>
        <w:numPr>
          <w:ilvl w:val="0"/>
          <w:numId w:val="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STI represents the amounts earned in respect of financial year 2023, but that are paid in April 2024.</w:t>
      </w:r>
    </w:p>
    <w:p>
      <w:pPr>
        <w:spacing w:after="0" w:line="4" w:lineRule="exact"/>
        <w:rPr>
          <w:rFonts w:ascii="Times New Roman" w:cs="Times New Roman" w:eastAsia="Times New Roman" w:hAnsi="Times New Roman"/>
          <w:sz w:val="8"/>
          <w:szCs w:val="8"/>
          <w:color w:val="auto"/>
        </w:rPr>
      </w:pPr>
    </w:p>
    <w:p>
      <w:pPr>
        <w:ind w:left="340" w:hanging="186"/>
        <w:spacing w:after="0"/>
        <w:tabs>
          <w:tab w:leader="none" w:pos="340" w:val="left"/>
        </w:tabs>
        <w:numPr>
          <w:ilvl w:val="0"/>
          <w:numId w:val="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Other remuneration includes benefits such as telephone, car, driver, tax compliance support, and medical insurance.</w:t>
      </w:r>
    </w:p>
    <w:p>
      <w:pPr>
        <w:spacing w:after="0" w:line="94" w:lineRule="exact"/>
        <w:rPr>
          <w:sz w:val="20"/>
          <w:szCs w:val="20"/>
          <w:color w:val="auto"/>
        </w:rPr>
      </w:pPr>
    </w:p>
    <w:p>
      <w:pPr>
        <w:ind w:left="160" w:right="4100"/>
        <w:spacing w:after="0" w:line="275" w:lineRule="auto"/>
        <w:rPr>
          <w:sz w:val="20"/>
          <w:szCs w:val="20"/>
          <w:color w:val="auto"/>
        </w:rPr>
      </w:pPr>
      <w:r>
        <w:rPr>
          <w:rFonts w:ascii="Times New Roman" w:cs="Times New Roman" w:eastAsia="Times New Roman" w:hAnsi="Times New Roman"/>
          <w:sz w:val="11"/>
          <w:szCs w:val="11"/>
          <w:color w:val="auto"/>
        </w:rPr>
        <w:t>Pursuant to Finnish legislation, Nokia is required to make contributions to the Finnish TyEL pension arrangements in respect of the President and CEO. Such payments can be characterized as defined contribution payments. In 2023, payments to the Finnish state pension system equalled EUR 422 274 for Pekka Lundmark in respect of his service as President and CEO (EUR 475 384 for Pekka Lundmark in 2022). No supplementary pension arrangements were offered.</w:t>
      </w:r>
    </w:p>
    <w:p>
      <w:pPr>
        <w:spacing w:after="0" w:line="27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2023 Short-term Incentive of the President and CEO</w:t>
      </w:r>
    </w:p>
    <w:p>
      <w:pPr>
        <w:spacing w:after="0" w:line="32" w:lineRule="exact"/>
        <w:rPr>
          <w:sz w:val="20"/>
          <w:szCs w:val="20"/>
          <w:color w:val="auto"/>
        </w:rPr>
      </w:pPr>
    </w:p>
    <w:p>
      <w:pPr>
        <w:ind w:left="160" w:right="4040"/>
        <w:spacing w:after="0" w:line="269" w:lineRule="auto"/>
        <w:rPr>
          <w:sz w:val="20"/>
          <w:szCs w:val="20"/>
          <w:color w:val="auto"/>
        </w:rPr>
      </w:pPr>
      <w:r>
        <w:rPr>
          <w:rFonts w:ascii="Times New Roman" w:cs="Times New Roman" w:eastAsia="Times New Roman" w:hAnsi="Times New Roman"/>
          <w:sz w:val="11"/>
          <w:szCs w:val="11"/>
          <w:color w:val="auto"/>
        </w:rPr>
        <w:t>Targets for the STI are set annually at or before the start of the year, balancing the need to deliver value with the need to motivate and drive the performance of the Executive Team. Targets are determined for a set of strategic metrics that align with driving sustainable value for shareholders and are set in the context of market expectations and analyst consensus forecasts. For 2023, Pekka Lundmark had a target STI opportunity of 125% of annual base salary. His 2023 STI framework was based on a scorecard of financial, strategic and ESG objectives. Achievement against the 2023 targets was as follows:</w:t>
      </w:r>
    </w:p>
    <w:p>
      <w:pPr>
        <w:spacing w:after="0" w:line="71" w:lineRule="exact"/>
        <w:rPr>
          <w:sz w:val="20"/>
          <w:szCs w:val="20"/>
          <w:color w:val="auto"/>
        </w:rPr>
      </w:pPr>
    </w:p>
    <w:tbl>
      <w:tblPr>
        <w:tblLayout w:type="fixed"/>
        <w:tblInd w:w="140" w:type="dxa"/>
        <w:tblCellMar>
          <w:top w:w="0" w:type="dxa"/>
          <w:left w:w="0" w:type="dxa"/>
          <w:bottom w:w="0" w:type="dxa"/>
          <w:right w:w="0" w:type="dxa"/>
        </w:tblCellMar>
      </w:tblPr>
      <w:tr>
        <w:trPr>
          <w:trHeight w:val="92"/>
        </w:trPr>
        <w:tc>
          <w:tcPr>
            <w:tcW w:w="1740" w:type="dxa"/>
            <w:vAlign w:val="bottom"/>
          </w:tcPr>
          <w:p>
            <w:pPr>
              <w:spacing w:after="0"/>
              <w:rPr>
                <w:sz w:val="7"/>
                <w:szCs w:val="7"/>
                <w:color w:val="auto"/>
              </w:rPr>
            </w:pPr>
          </w:p>
        </w:tc>
        <w:tc>
          <w:tcPr>
            <w:tcW w:w="460" w:type="dxa"/>
            <w:vAlign w:val="bottom"/>
          </w:tcPr>
          <w:p>
            <w:pPr>
              <w:spacing w:after="0"/>
              <w:rPr>
                <w:sz w:val="7"/>
                <w:szCs w:val="7"/>
                <w:color w:val="auto"/>
              </w:rPr>
            </w:pPr>
          </w:p>
        </w:tc>
        <w:tc>
          <w:tcPr>
            <w:tcW w:w="3540" w:type="dxa"/>
            <w:vAlign w:val="bottom"/>
          </w:tcPr>
          <w:p>
            <w:pPr>
              <w:spacing w:after="0"/>
              <w:rPr>
                <w:sz w:val="7"/>
                <w:szCs w:val="7"/>
                <w:color w:val="auto"/>
              </w:rPr>
            </w:pPr>
          </w:p>
        </w:tc>
        <w:tc>
          <w:tcPr>
            <w:tcW w:w="80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STI outcome</w:t>
            </w:r>
          </w:p>
        </w:tc>
      </w:tr>
      <w:tr>
        <w:trPr>
          <w:trHeight w:val="114"/>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Metric</w:t>
            </w:r>
          </w:p>
        </w:tc>
        <w:tc>
          <w:tcPr>
            <w:tcW w:w="4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Weight</w:t>
            </w:r>
          </w:p>
        </w:tc>
        <w:tc>
          <w:tcPr>
            <w:tcW w:w="3540" w:type="dxa"/>
            <w:vAlign w:val="bottom"/>
            <w:tcBorders>
              <w:bottom w:val="single" w:sz="8" w:color="005AFF"/>
            </w:tcBorders>
          </w:tcPr>
          <w:p>
            <w:pPr>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8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 of target)</w:t>
            </w:r>
          </w:p>
        </w:tc>
      </w:tr>
      <w:tr>
        <w:trPr>
          <w:trHeight w:val="150"/>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 xml:space="preserve">Economic Profit </w:t>
            </w:r>
            <w:r>
              <w:rPr>
                <w:rFonts w:ascii="Times New Roman" w:cs="Times New Roman" w:eastAsia="Times New Roman" w:hAnsi="Times New Roman"/>
                <w:sz w:val="13"/>
                <w:szCs w:val="13"/>
                <w:color w:val="0D0D0D"/>
                <w:vertAlign w:val="superscript"/>
              </w:rPr>
              <w:t>(1)</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70%</w:t>
            </w:r>
          </w:p>
        </w:tc>
        <w:tc>
          <w:tcPr>
            <w:tcW w:w="35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0"/>
                <w:szCs w:val="10"/>
                <w:color w:val="0D0D0D"/>
              </w:rPr>
              <w:t>EUR 1 851 million</w:t>
            </w:r>
          </w:p>
        </w:tc>
        <w:tc>
          <w:tcPr>
            <w:tcW w:w="8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37%</w:t>
            </w:r>
          </w:p>
        </w:tc>
      </w:tr>
      <w:tr>
        <w:trPr>
          <w:trHeight w:val="137"/>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Diversity</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w:t>
            </w:r>
          </w:p>
        </w:tc>
        <w:tc>
          <w:tcPr>
            <w:tcW w:w="35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0"/>
                <w:szCs w:val="10"/>
                <w:color w:val="0D0D0D"/>
              </w:rPr>
              <w:t>Female percentage of global external hires of 28%</w:t>
            </w:r>
          </w:p>
        </w:tc>
        <w:tc>
          <w:tcPr>
            <w:tcW w:w="8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90%</w:t>
            </w:r>
          </w:p>
        </w:tc>
      </w:tr>
      <w:tr>
        <w:trPr>
          <w:trHeight w:val="147"/>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Carbon emission reduction Scope 1&amp;2</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c>
          <w:tcPr>
            <w:tcW w:w="3540" w:type="dxa"/>
            <w:vAlign w:val="bottom"/>
            <w:tcBorders>
              <w:bottom w:val="single" w:sz="8" w:color="005AFF"/>
            </w:tcBorders>
          </w:tcPr>
          <w:p>
            <w:pPr>
              <w:ind w:left="80"/>
              <w:spacing w:after="0" w:line="147" w:lineRule="exact"/>
              <w:rPr>
                <w:sz w:val="20"/>
                <w:szCs w:val="20"/>
                <w:color w:val="auto"/>
              </w:rPr>
            </w:pPr>
            <w:r>
              <w:rPr>
                <w:rFonts w:ascii="Times New Roman" w:cs="Times New Roman" w:eastAsia="Times New Roman" w:hAnsi="Times New Roman"/>
                <w:sz w:val="10"/>
                <w:szCs w:val="10"/>
                <w:color w:val="0D0D0D"/>
              </w:rPr>
              <w:t xml:space="preserve">221 652 tCO </w:t>
            </w:r>
            <w:r>
              <w:rPr>
                <w:rFonts w:ascii="Times New Roman" w:cs="Times New Roman" w:eastAsia="Times New Roman" w:hAnsi="Times New Roman"/>
                <w:sz w:val="13"/>
                <w:szCs w:val="13"/>
                <w:color w:val="0D0D0D"/>
                <w:vertAlign w:val="subscript"/>
              </w:rPr>
              <w:t>2</w:t>
            </w:r>
            <w:r>
              <w:rPr>
                <w:rFonts w:ascii="Times New Roman" w:cs="Times New Roman" w:eastAsia="Times New Roman" w:hAnsi="Times New Roman"/>
                <w:sz w:val="10"/>
                <w:szCs w:val="10"/>
                <w:color w:val="0D0D0D"/>
              </w:rPr>
              <w:t>e</w:t>
            </w:r>
          </w:p>
        </w:tc>
        <w:tc>
          <w:tcPr>
            <w:tcW w:w="80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225%</w:t>
            </w:r>
          </w:p>
        </w:tc>
      </w:tr>
      <w:tr>
        <w:trPr>
          <w:trHeight w:val="123"/>
        </w:trPr>
        <w:tc>
          <w:tcPr>
            <w:tcW w:w="1740" w:type="dxa"/>
            <w:vAlign w:val="bottom"/>
          </w:tcPr>
          <w:p>
            <w:pPr>
              <w:spacing w:after="0"/>
              <w:rPr>
                <w:sz w:val="10"/>
                <w:szCs w:val="10"/>
                <w:color w:val="auto"/>
              </w:rPr>
            </w:pPr>
          </w:p>
        </w:tc>
        <w:tc>
          <w:tcPr>
            <w:tcW w:w="460" w:type="dxa"/>
            <w:vAlign w:val="bottom"/>
          </w:tcPr>
          <w:p>
            <w:pPr>
              <w:spacing w:after="0"/>
              <w:rPr>
                <w:sz w:val="10"/>
                <w:szCs w:val="10"/>
                <w:color w:val="auto"/>
              </w:rPr>
            </w:pPr>
          </w:p>
        </w:tc>
        <w:tc>
          <w:tcPr>
            <w:tcW w:w="3540" w:type="dxa"/>
            <w:vAlign w:val="bottom"/>
          </w:tcPr>
          <w:p>
            <w:pPr>
              <w:ind w:left="80"/>
              <w:spacing w:after="0"/>
              <w:rPr>
                <w:sz w:val="20"/>
                <w:szCs w:val="20"/>
                <w:color w:val="auto"/>
              </w:rPr>
            </w:pPr>
            <w:r>
              <w:rPr>
                <w:rFonts w:ascii="Times New Roman" w:cs="Times New Roman" w:eastAsia="Times New Roman" w:hAnsi="Times New Roman"/>
                <w:sz w:val="9"/>
                <w:szCs w:val="9"/>
                <w:color w:val="005AFF"/>
              </w:rPr>
              <w:t xml:space="preserve">■  </w:t>
            </w:r>
            <w:r>
              <w:rPr>
                <w:rFonts w:ascii="Times New Roman" w:cs="Times New Roman" w:eastAsia="Times New Roman" w:hAnsi="Times New Roman"/>
                <w:sz w:val="10"/>
                <w:szCs w:val="10"/>
                <w:color w:val="0D0D0D"/>
              </w:rPr>
              <w:t>Finalize Nokia’s Net Zero Roadmap and transition plan</w:t>
            </w:r>
          </w:p>
        </w:tc>
        <w:tc>
          <w:tcPr>
            <w:tcW w:w="800" w:type="dxa"/>
            <w:vAlign w:val="bottom"/>
          </w:tcPr>
          <w:p>
            <w:pPr>
              <w:spacing w:after="0"/>
              <w:rPr>
                <w:sz w:val="10"/>
                <w:szCs w:val="10"/>
                <w:color w:val="auto"/>
              </w:rPr>
            </w:pPr>
          </w:p>
        </w:tc>
      </w:tr>
      <w:tr>
        <w:trPr>
          <w:trHeight w:val="121"/>
        </w:trPr>
        <w:tc>
          <w:tcPr>
            <w:tcW w:w="1740" w:type="dxa"/>
            <w:vAlign w:val="bottom"/>
          </w:tcPr>
          <w:p>
            <w:pPr>
              <w:spacing w:after="0"/>
              <w:rPr>
                <w:sz w:val="10"/>
                <w:szCs w:val="10"/>
                <w:color w:val="auto"/>
              </w:rPr>
            </w:pPr>
          </w:p>
        </w:tc>
        <w:tc>
          <w:tcPr>
            <w:tcW w:w="460" w:type="dxa"/>
            <w:vAlign w:val="bottom"/>
          </w:tcPr>
          <w:p>
            <w:pPr>
              <w:spacing w:after="0"/>
              <w:rPr>
                <w:sz w:val="10"/>
                <w:szCs w:val="10"/>
                <w:color w:val="auto"/>
              </w:rPr>
            </w:pPr>
          </w:p>
        </w:tc>
        <w:tc>
          <w:tcPr>
            <w:tcW w:w="3540" w:type="dxa"/>
            <w:vAlign w:val="bottom"/>
          </w:tcPr>
          <w:p>
            <w:pPr>
              <w:ind w:left="80"/>
              <w:spacing w:after="0"/>
              <w:rPr>
                <w:sz w:val="20"/>
                <w:szCs w:val="20"/>
                <w:color w:val="auto"/>
              </w:rPr>
            </w:pPr>
            <w:r>
              <w:rPr>
                <w:rFonts w:ascii="Times New Roman" w:cs="Times New Roman" w:eastAsia="Times New Roman" w:hAnsi="Times New Roman"/>
                <w:sz w:val="9"/>
                <w:szCs w:val="9"/>
                <w:color w:val="005AFF"/>
              </w:rPr>
              <w:t xml:space="preserve">■  </w:t>
            </w:r>
            <w:r>
              <w:rPr>
                <w:rFonts w:ascii="Times New Roman" w:cs="Times New Roman" w:eastAsia="Times New Roman" w:hAnsi="Times New Roman"/>
                <w:sz w:val="10"/>
                <w:szCs w:val="10"/>
                <w:color w:val="0D0D0D"/>
              </w:rPr>
              <w:t>Achieve each business group’s committed roadmap milestones towards</w:t>
            </w:r>
          </w:p>
        </w:tc>
        <w:tc>
          <w:tcPr>
            <w:tcW w:w="800" w:type="dxa"/>
            <w:vAlign w:val="bottom"/>
          </w:tcPr>
          <w:p>
            <w:pPr>
              <w:spacing w:after="0"/>
              <w:rPr>
                <w:sz w:val="10"/>
                <w:szCs w:val="10"/>
                <w:color w:val="auto"/>
              </w:rPr>
            </w:pPr>
          </w:p>
        </w:tc>
      </w:tr>
      <w:tr>
        <w:trPr>
          <w:trHeight w:val="135"/>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Carbon emission reduction Scope 3</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c>
          <w:tcPr>
            <w:tcW w:w="3540" w:type="dxa"/>
            <w:vAlign w:val="bottom"/>
            <w:tcBorders>
              <w:bottom w:val="single" w:sz="8" w:color="005AFF"/>
            </w:tcBorders>
          </w:tcPr>
          <w:p>
            <w:pPr>
              <w:ind w:left="240"/>
              <w:spacing w:after="0"/>
              <w:rPr>
                <w:sz w:val="20"/>
                <w:szCs w:val="20"/>
                <w:color w:val="auto"/>
              </w:rPr>
            </w:pPr>
            <w:r>
              <w:rPr>
                <w:rFonts w:ascii="Times New Roman" w:cs="Times New Roman" w:eastAsia="Times New Roman" w:hAnsi="Times New Roman"/>
                <w:sz w:val="10"/>
                <w:szCs w:val="10"/>
                <w:color w:val="0D0D0D"/>
              </w:rPr>
              <w:t>higher energy-efficient products and services</w:t>
            </w:r>
          </w:p>
        </w:tc>
        <w:tc>
          <w:tcPr>
            <w:tcW w:w="80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83.03%</w:t>
            </w:r>
          </w:p>
        </w:tc>
      </w:tr>
      <w:tr>
        <w:trPr>
          <w:trHeight w:val="128"/>
        </w:trPr>
        <w:tc>
          <w:tcPr>
            <w:tcW w:w="174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3540" w:type="dxa"/>
            <w:vAlign w:val="bottom"/>
          </w:tcPr>
          <w:p>
            <w:pPr>
              <w:ind w:left="80"/>
              <w:spacing w:after="0"/>
              <w:rPr>
                <w:sz w:val="20"/>
                <w:szCs w:val="20"/>
                <w:color w:val="auto"/>
              </w:rPr>
            </w:pPr>
            <w:r>
              <w:rPr>
                <w:rFonts w:ascii="Times New Roman" w:cs="Times New Roman" w:eastAsia="Times New Roman" w:hAnsi="Times New Roman"/>
                <w:sz w:val="9"/>
                <w:szCs w:val="9"/>
                <w:color w:val="005AFF"/>
              </w:rPr>
              <w:t xml:space="preserve">■  </w:t>
            </w:r>
            <w:r>
              <w:rPr>
                <w:rFonts w:ascii="Times New Roman" w:cs="Times New Roman" w:eastAsia="Times New Roman" w:hAnsi="Times New Roman"/>
                <w:sz w:val="10"/>
                <w:szCs w:val="10"/>
                <w:color w:val="0D0D0D"/>
              </w:rPr>
              <w:t>Define the 2030 technology and business vision</w:t>
            </w:r>
          </w:p>
        </w:tc>
        <w:tc>
          <w:tcPr>
            <w:tcW w:w="800" w:type="dxa"/>
            <w:vAlign w:val="bottom"/>
          </w:tcPr>
          <w:p>
            <w:pPr>
              <w:spacing w:after="0"/>
              <w:rPr>
                <w:sz w:val="11"/>
                <w:szCs w:val="11"/>
                <w:color w:val="auto"/>
              </w:rPr>
            </w:pPr>
          </w:p>
        </w:tc>
      </w:tr>
      <w:tr>
        <w:trPr>
          <w:trHeight w:val="135"/>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Personal strategic objectives</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w:t>
            </w:r>
          </w:p>
        </w:tc>
        <w:tc>
          <w:tcPr>
            <w:tcW w:w="35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9"/>
                <w:szCs w:val="9"/>
                <w:color w:val="005AFF"/>
              </w:rPr>
              <w:t xml:space="preserve">■  </w:t>
            </w:r>
            <w:r>
              <w:rPr>
                <w:rFonts w:ascii="Times New Roman" w:cs="Times New Roman" w:eastAsia="Times New Roman" w:hAnsi="Times New Roman"/>
                <w:sz w:val="10"/>
                <w:szCs w:val="10"/>
                <w:color w:val="0D0D0D"/>
              </w:rPr>
              <w:t>Develop alternative value creation strategies beyond the 3-year long-range plan</w:t>
            </w:r>
          </w:p>
        </w:tc>
        <w:tc>
          <w:tcPr>
            <w:tcW w:w="80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150%</w:t>
            </w:r>
          </w:p>
        </w:tc>
      </w:tr>
      <w:tr>
        <w:trPr>
          <w:trHeight w:val="142"/>
        </w:trPr>
        <w:tc>
          <w:tcPr>
            <w:tcW w:w="17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Total STI outcome</w:t>
            </w:r>
          </w:p>
        </w:tc>
        <w:tc>
          <w:tcPr>
            <w:tcW w:w="4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100%</w:t>
            </w:r>
          </w:p>
        </w:tc>
        <w:tc>
          <w:tcPr>
            <w:tcW w:w="354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65.30%</w:t>
            </w:r>
          </w:p>
        </w:tc>
      </w:tr>
    </w:tbl>
    <w:p>
      <w:pPr>
        <w:spacing w:after="0" w:line="41" w:lineRule="exact"/>
        <w:rPr>
          <w:sz w:val="20"/>
          <w:szCs w:val="20"/>
          <w:color w:val="auto"/>
        </w:rPr>
      </w:pPr>
    </w:p>
    <w:p>
      <w:pPr>
        <w:ind w:left="340" w:hanging="186"/>
        <w:spacing w:after="0"/>
        <w:tabs>
          <w:tab w:leader="none" w:pos="340" w:val="left"/>
        </w:tabs>
        <w:numPr>
          <w:ilvl w:val="0"/>
          <w:numId w:val="4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Non-IFRS measure. For the definition and reconciliation of non-IFRS measures to the most directly comparable IFRS measures, refer to the “Alternative performance</w:t>
      </w:r>
    </w:p>
    <w:p>
      <w:pPr>
        <w:spacing w:after="0" w:line="7" w:lineRule="exact"/>
        <w:rPr>
          <w:sz w:val="20"/>
          <w:szCs w:val="20"/>
          <w:color w:val="auto"/>
        </w:rPr>
      </w:pPr>
    </w:p>
    <w:p>
      <w:pPr>
        <w:ind w:left="340" w:right="4120"/>
        <w:spacing w:after="0" w:line="274" w:lineRule="auto"/>
        <w:rPr>
          <w:sz w:val="20"/>
          <w:szCs w:val="20"/>
          <w:color w:val="auto"/>
        </w:rPr>
      </w:pPr>
      <w:r>
        <w:rPr>
          <w:rFonts w:ascii="Times New Roman" w:cs="Times New Roman" w:eastAsia="Times New Roman" w:hAnsi="Times New Roman"/>
          <w:sz w:val="8"/>
          <w:szCs w:val="8"/>
          <w:color w:val="auto"/>
        </w:rPr>
        <w:t>measures” section. Nokia Economic Profit was dete rmined based on the comparable operating profit less the cost of normalized core net working capital, which was measured excluding the impact from the sale of receivables.</w:t>
      </w:r>
    </w:p>
    <w:p>
      <w:pPr>
        <w:spacing w:after="0" w:line="72"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Accordingly, the total 2023 STI payout for Pekka Lundmark as the President and CEO was EUR 1 079 695.</w:t>
      </w:r>
    </w:p>
    <w:p>
      <w:pPr>
        <w:spacing w:after="0" w:line="3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69" w:name="page70"/>
    <w:bookmarkEnd w:id="69"/>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62</w:t>
            </w:r>
          </w:p>
        </w:tc>
        <w:tc>
          <w:tcPr>
            <w:tcW w:w="0" w:type="dxa"/>
            <w:vAlign w:val="bottom"/>
          </w:tcPr>
          <w:p>
            <w:pPr>
              <w:spacing w:after="0"/>
              <w:rPr>
                <w:sz w:val="1"/>
                <w:szCs w:val="1"/>
                <w:color w:val="auto"/>
              </w:rPr>
            </w:pPr>
          </w:p>
        </w:tc>
      </w:tr>
      <w:tr>
        <w:trPr>
          <w:trHeight w:val="130"/>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88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16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2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Long-term Incentive awards granted to the President and CEO during 2023</w:t>
      </w:r>
    </w:p>
    <w:p>
      <w:pPr>
        <w:spacing w:after="0" w:line="32"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In 2023, Pekka Lundmark was granted the following LTI (performance share) awards.</w:t>
      </w:r>
    </w:p>
    <w:p>
      <w:pPr>
        <w:spacing w:after="0" w:line="96" w:lineRule="exact"/>
        <w:rPr>
          <w:sz w:val="20"/>
          <w:szCs w:val="20"/>
          <w:color w:val="auto"/>
        </w:rPr>
      </w:pPr>
    </w:p>
    <w:p>
      <w:pPr>
        <w:ind w:left="160" w:right="4040"/>
        <w:spacing w:after="0" w:line="265" w:lineRule="auto"/>
        <w:rPr>
          <w:sz w:val="20"/>
          <w:szCs w:val="20"/>
          <w:color w:val="auto"/>
        </w:rPr>
      </w:pPr>
      <w:r>
        <w:rPr>
          <w:rFonts w:ascii="Times New Roman" w:cs="Times New Roman" w:eastAsia="Times New Roman" w:hAnsi="Times New Roman"/>
          <w:sz w:val="11"/>
          <w:szCs w:val="11"/>
          <w:color w:val="auto"/>
        </w:rPr>
        <w:t>Targets for our LTI performance shares are set in a similar context to the STI. The performance share targets are set at the start of the performance period and locked in for the life of the plan. The performance condition for the 2023 performance shares is</w:t>
      </w:r>
    </w:p>
    <w:tbl>
      <w:tblPr>
        <w:tblLayout w:type="fixed"/>
        <w:tblInd w:w="140" w:type="dxa"/>
        <w:tblCellMar>
          <w:top w:w="0" w:type="dxa"/>
          <w:left w:w="0" w:type="dxa"/>
          <w:bottom w:w="0" w:type="dxa"/>
          <w:right w:w="0" w:type="dxa"/>
        </w:tblCellMar>
      </w:tblPr>
      <w:tr>
        <w:trPr>
          <w:trHeight w:val="125"/>
        </w:trPr>
        <w:tc>
          <w:tcPr>
            <w:tcW w:w="4260" w:type="dxa"/>
            <w:vAlign w:val="bottom"/>
            <w:gridSpan w:val="2"/>
          </w:tcPr>
          <w:p>
            <w:pPr>
              <w:ind w:left="20"/>
              <w:spacing w:after="0" w:line="125" w:lineRule="exact"/>
              <w:rPr>
                <w:sz w:val="20"/>
                <w:szCs w:val="20"/>
                <w:color w:val="auto"/>
              </w:rPr>
            </w:pPr>
            <w:r>
              <w:rPr>
                <w:rFonts w:ascii="Times New Roman" w:cs="Times New Roman" w:eastAsia="Times New Roman" w:hAnsi="Times New Roman"/>
                <w:sz w:val="11"/>
                <w:szCs w:val="11"/>
                <w:color w:val="auto"/>
              </w:rPr>
              <w:t>based on two-thirds absolute TSR and one-third relative TSR against our global peer group</w:t>
            </w:r>
          </w:p>
        </w:tc>
        <w:tc>
          <w:tcPr>
            <w:tcW w:w="2320" w:type="dxa"/>
            <w:vAlign w:val="bottom"/>
            <w:gridSpan w:val="3"/>
          </w:tcPr>
          <w:p>
            <w:pPr>
              <w:ind w:left="380"/>
              <w:spacing w:after="0" w:line="125" w:lineRule="exact"/>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over the three-year performance</w:t>
            </w:r>
          </w:p>
        </w:tc>
      </w:tr>
      <w:tr>
        <w:trPr>
          <w:trHeight w:val="142"/>
        </w:trPr>
        <w:tc>
          <w:tcPr>
            <w:tcW w:w="5900" w:type="dxa"/>
            <w:vAlign w:val="bottom"/>
            <w:gridSpan w:val="4"/>
          </w:tcPr>
          <w:p>
            <w:pPr>
              <w:ind w:left="20"/>
              <w:spacing w:after="0"/>
              <w:rPr>
                <w:sz w:val="20"/>
                <w:szCs w:val="20"/>
                <w:color w:val="auto"/>
              </w:rPr>
            </w:pPr>
            <w:r>
              <w:rPr>
                <w:rFonts w:ascii="Times New Roman" w:cs="Times New Roman" w:eastAsia="Times New Roman" w:hAnsi="Times New Roman"/>
                <w:sz w:val="11"/>
                <w:szCs w:val="11"/>
                <w:color w:val="auto"/>
              </w:rPr>
              <w:t>period from 2023 to 2026. The targets for both metrics and the performance and vesting outcomes will be disclosed in the</w:t>
            </w:r>
          </w:p>
        </w:tc>
        <w:tc>
          <w:tcPr>
            <w:tcW w:w="680" w:type="dxa"/>
            <w:vAlign w:val="bottom"/>
          </w:tcPr>
          <w:p>
            <w:pPr>
              <w:spacing w:after="0"/>
              <w:rPr>
                <w:sz w:val="12"/>
                <w:szCs w:val="12"/>
                <w:color w:val="auto"/>
              </w:rPr>
            </w:pPr>
          </w:p>
        </w:tc>
      </w:tr>
      <w:tr>
        <w:trPr>
          <w:trHeight w:val="148"/>
        </w:trPr>
        <w:tc>
          <w:tcPr>
            <w:tcW w:w="268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2026 Remuneration Report.</w:t>
            </w:r>
          </w:p>
        </w:tc>
        <w:tc>
          <w:tcPr>
            <w:tcW w:w="1580" w:type="dxa"/>
            <w:vAlign w:val="bottom"/>
          </w:tcPr>
          <w:p>
            <w:pPr>
              <w:spacing w:after="0"/>
              <w:rPr>
                <w:sz w:val="12"/>
                <w:szCs w:val="12"/>
                <w:color w:val="auto"/>
              </w:rPr>
            </w:pPr>
          </w:p>
        </w:tc>
        <w:tc>
          <w:tcPr>
            <w:tcW w:w="700" w:type="dxa"/>
            <w:vAlign w:val="bottom"/>
          </w:tcPr>
          <w:p>
            <w:pPr>
              <w:spacing w:after="0"/>
              <w:rPr>
                <w:sz w:val="12"/>
                <w:szCs w:val="12"/>
                <w:color w:val="auto"/>
              </w:rPr>
            </w:pPr>
          </w:p>
        </w:tc>
        <w:tc>
          <w:tcPr>
            <w:tcW w:w="940" w:type="dxa"/>
            <w:vAlign w:val="bottom"/>
          </w:tcPr>
          <w:p>
            <w:pPr>
              <w:spacing w:after="0"/>
              <w:rPr>
                <w:sz w:val="12"/>
                <w:szCs w:val="12"/>
                <w:color w:val="auto"/>
              </w:rPr>
            </w:pPr>
          </w:p>
        </w:tc>
        <w:tc>
          <w:tcPr>
            <w:tcW w:w="680" w:type="dxa"/>
            <w:vAlign w:val="bottom"/>
          </w:tcPr>
          <w:p>
            <w:pPr>
              <w:spacing w:after="0"/>
              <w:rPr>
                <w:sz w:val="12"/>
                <w:szCs w:val="12"/>
                <w:color w:val="auto"/>
              </w:rPr>
            </w:pPr>
          </w:p>
        </w:tc>
      </w:tr>
      <w:tr>
        <w:trPr>
          <w:trHeight w:val="213"/>
        </w:trPr>
        <w:tc>
          <w:tcPr>
            <w:tcW w:w="2680" w:type="dxa"/>
            <w:vAlign w:val="bottom"/>
          </w:tcPr>
          <w:p>
            <w:pPr>
              <w:spacing w:after="0"/>
              <w:rPr>
                <w:sz w:val="18"/>
                <w:szCs w:val="18"/>
                <w:color w:val="auto"/>
              </w:rPr>
            </w:pPr>
          </w:p>
        </w:tc>
        <w:tc>
          <w:tcPr>
            <w:tcW w:w="2280" w:type="dxa"/>
            <w:vAlign w:val="bottom"/>
            <w:gridSpan w:val="2"/>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Grant date face value</w:t>
            </w:r>
          </w:p>
        </w:tc>
        <w:tc>
          <w:tcPr>
            <w:tcW w:w="940" w:type="dxa"/>
            <w:vAlign w:val="bottom"/>
          </w:tcPr>
          <w:p>
            <w:pPr>
              <w:spacing w:after="0"/>
              <w:rPr>
                <w:sz w:val="18"/>
                <w:szCs w:val="18"/>
                <w:color w:val="auto"/>
              </w:rPr>
            </w:pPr>
          </w:p>
        </w:tc>
        <w:tc>
          <w:tcPr>
            <w:tcW w:w="680" w:type="dxa"/>
            <w:vAlign w:val="bottom"/>
          </w:tcPr>
          <w:p>
            <w:pPr>
              <w:spacing w:after="0"/>
              <w:rPr>
                <w:sz w:val="18"/>
                <w:szCs w:val="18"/>
                <w:color w:val="auto"/>
              </w:rPr>
            </w:pPr>
          </w:p>
        </w:tc>
      </w:tr>
      <w:tr>
        <w:trPr>
          <w:trHeight w:val="128"/>
        </w:trPr>
        <w:tc>
          <w:tcPr>
            <w:tcW w:w="2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 xml:space="preserve">Performance share awards granted during the year   </w:t>
            </w:r>
            <w:r>
              <w:rPr>
                <w:rFonts w:ascii="Times New Roman" w:cs="Times New Roman" w:eastAsia="Times New Roman" w:hAnsi="Times New Roman"/>
                <w:sz w:val="10"/>
                <w:szCs w:val="10"/>
                <w:b w:val="1"/>
                <w:bCs w:val="1"/>
                <w:color w:val="005AFF"/>
                <w:vertAlign w:val="superscript"/>
              </w:rPr>
              <w:t>(2)</w:t>
            </w:r>
          </w:p>
        </w:tc>
        <w:tc>
          <w:tcPr>
            <w:tcW w:w="1580" w:type="dxa"/>
            <w:vAlign w:val="bottom"/>
            <w:tcBorders>
              <w:bottom w:val="single" w:sz="8" w:color="005AFF"/>
            </w:tcBorders>
          </w:tcPr>
          <w:p>
            <w:pPr>
              <w:jc w:val="right"/>
              <w:ind w:right="376"/>
              <w:spacing w:after="0"/>
              <w:rPr>
                <w:sz w:val="20"/>
                <w:szCs w:val="20"/>
                <w:color w:val="auto"/>
              </w:rPr>
            </w:pPr>
            <w:r>
              <w:rPr>
                <w:rFonts w:ascii="Times New Roman" w:cs="Times New Roman" w:eastAsia="Times New Roman" w:hAnsi="Times New Roman"/>
                <w:sz w:val="8"/>
                <w:szCs w:val="8"/>
                <w:b w:val="1"/>
                <w:bCs w:val="1"/>
                <w:color w:val="005AFF"/>
              </w:rPr>
              <w:t>Units granted</w:t>
            </w:r>
          </w:p>
        </w:tc>
        <w:tc>
          <w:tcPr>
            <w:tcW w:w="70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(EUR)</w:t>
            </w:r>
            <w:r>
              <w:rPr>
                <w:rFonts w:ascii="Times New Roman" w:cs="Times New Roman" w:eastAsia="Times New Roman" w:hAnsi="Times New Roman"/>
                <w:sz w:val="10"/>
                <w:szCs w:val="10"/>
                <w:b w:val="1"/>
                <w:bCs w:val="1"/>
                <w:color w:val="005AFF"/>
                <w:vertAlign w:val="superscript"/>
              </w:rPr>
              <w:t>3)</w:t>
            </w:r>
          </w:p>
        </w:tc>
        <w:tc>
          <w:tcPr>
            <w:tcW w:w="94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Grant date</w:t>
            </w:r>
          </w:p>
        </w:tc>
        <w:tc>
          <w:tcPr>
            <w:tcW w:w="680" w:type="dxa"/>
            <w:vAlign w:val="bottom"/>
            <w:tcBorders>
              <w:bottom w:val="single" w:sz="8" w:color="005AFF"/>
            </w:tcBorders>
          </w:tcPr>
          <w:p>
            <w:pPr>
              <w:ind w:left="360"/>
              <w:spacing w:after="0"/>
              <w:rPr>
                <w:sz w:val="20"/>
                <w:szCs w:val="20"/>
                <w:color w:val="auto"/>
              </w:rPr>
            </w:pPr>
            <w:r>
              <w:rPr>
                <w:rFonts w:ascii="Times New Roman" w:cs="Times New Roman" w:eastAsia="Times New Roman" w:hAnsi="Times New Roman"/>
                <w:sz w:val="8"/>
                <w:szCs w:val="8"/>
                <w:b w:val="1"/>
                <w:bCs w:val="1"/>
                <w:color w:val="005AFF"/>
              </w:rPr>
              <w:t>Vesting</w:t>
            </w:r>
          </w:p>
        </w:tc>
      </w:tr>
      <w:tr>
        <w:trPr>
          <w:trHeight w:val="137"/>
        </w:trPr>
        <w:tc>
          <w:tcPr>
            <w:tcW w:w="26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2023 LTI performance shares</w:t>
            </w:r>
          </w:p>
        </w:tc>
        <w:tc>
          <w:tcPr>
            <w:tcW w:w="1580" w:type="dxa"/>
            <w:vAlign w:val="bottom"/>
            <w:tcBorders>
              <w:bottom w:val="single" w:sz="8" w:color="005AFF"/>
            </w:tcBorders>
          </w:tcPr>
          <w:p>
            <w:pPr>
              <w:jc w:val="right"/>
              <w:ind w:right="356"/>
              <w:spacing w:after="0"/>
              <w:rPr>
                <w:sz w:val="20"/>
                <w:szCs w:val="20"/>
                <w:color w:val="auto"/>
              </w:rPr>
            </w:pPr>
            <w:r>
              <w:rPr>
                <w:rFonts w:ascii="Times New Roman" w:cs="Times New Roman" w:eastAsia="Times New Roman" w:hAnsi="Times New Roman"/>
                <w:sz w:val="10"/>
                <w:szCs w:val="10"/>
                <w:color w:val="0D0D0D"/>
              </w:rPr>
              <w:t>635 700</w:t>
            </w:r>
          </w:p>
        </w:tc>
        <w:tc>
          <w:tcPr>
            <w:tcW w:w="70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color w:val="0D0D0D"/>
              </w:rPr>
              <w:t>2 434 731</w:t>
            </w:r>
          </w:p>
        </w:tc>
        <w:tc>
          <w:tcPr>
            <w:tcW w:w="940" w:type="dxa"/>
            <w:vAlign w:val="bottom"/>
            <w:tcBorders>
              <w:bottom w:val="single" w:sz="8" w:color="005AFF"/>
            </w:tcBorders>
          </w:tcPr>
          <w:p>
            <w:pPr>
              <w:ind w:left="180"/>
              <w:spacing w:after="0"/>
              <w:rPr>
                <w:sz w:val="20"/>
                <w:szCs w:val="20"/>
                <w:color w:val="auto"/>
              </w:rPr>
            </w:pPr>
            <w:r>
              <w:rPr>
                <w:rFonts w:ascii="Times New Roman" w:cs="Times New Roman" w:eastAsia="Times New Roman" w:hAnsi="Times New Roman"/>
                <w:sz w:val="10"/>
                <w:szCs w:val="10"/>
                <w:color w:val="0D0D0D"/>
              </w:rPr>
              <w:t>6 July 2023</w:t>
            </w:r>
          </w:p>
        </w:tc>
        <w:tc>
          <w:tcPr>
            <w:tcW w:w="680" w:type="dxa"/>
            <w:vAlign w:val="bottom"/>
            <w:tcBorders>
              <w:bottom w:val="single" w:sz="8" w:color="005AFF"/>
            </w:tcBorders>
          </w:tcPr>
          <w:p>
            <w:pPr>
              <w:ind w:left="240"/>
              <w:spacing w:after="0"/>
              <w:rPr>
                <w:sz w:val="20"/>
                <w:szCs w:val="20"/>
                <w:color w:val="auto"/>
              </w:rPr>
            </w:pPr>
            <w:r>
              <w:rPr>
                <w:rFonts w:ascii="Times New Roman" w:cs="Times New Roman" w:eastAsia="Times New Roman" w:hAnsi="Times New Roman"/>
                <w:sz w:val="10"/>
                <w:szCs w:val="10"/>
                <w:color w:val="0D0D0D"/>
              </w:rPr>
              <w:t>Q3 2026</w:t>
            </w:r>
          </w:p>
        </w:tc>
      </w:tr>
    </w:tbl>
    <w:p>
      <w:pPr>
        <w:spacing w:after="0" w:line="31" w:lineRule="exact"/>
        <w:rPr>
          <w:sz w:val="20"/>
          <w:szCs w:val="20"/>
          <w:color w:val="auto"/>
        </w:rPr>
      </w:pPr>
    </w:p>
    <w:p>
      <w:pPr>
        <w:ind w:left="280" w:hanging="126"/>
        <w:spacing w:after="0"/>
        <w:tabs>
          <w:tab w:leader="none" w:pos="280" w:val="left"/>
        </w:tabs>
        <w:numPr>
          <w:ilvl w:val="0"/>
          <w:numId w:val="4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Global peer group consisted of 27 companies (see details under the “Global peer group” section).</w:t>
      </w:r>
    </w:p>
    <w:p>
      <w:pPr>
        <w:spacing w:after="0" w:line="12" w:lineRule="exact"/>
        <w:rPr>
          <w:rFonts w:ascii="Times New Roman" w:cs="Times New Roman" w:eastAsia="Times New Roman" w:hAnsi="Times New Roman"/>
          <w:sz w:val="8"/>
          <w:szCs w:val="8"/>
          <w:color w:val="auto"/>
        </w:rPr>
      </w:pPr>
    </w:p>
    <w:p>
      <w:pPr>
        <w:ind w:left="280" w:hanging="126"/>
        <w:spacing w:after="0"/>
        <w:tabs>
          <w:tab w:leader="none" w:pos="280" w:val="left"/>
        </w:tabs>
        <w:numPr>
          <w:ilvl w:val="0"/>
          <w:numId w:val="4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maximum vesting is 200% if stretch performance targets are met. Vesting is also subject to continued employment.</w:t>
      </w:r>
    </w:p>
    <w:p>
      <w:pPr>
        <w:spacing w:after="0" w:line="9" w:lineRule="exact"/>
        <w:rPr>
          <w:rFonts w:ascii="Times New Roman" w:cs="Times New Roman" w:eastAsia="Times New Roman" w:hAnsi="Times New Roman"/>
          <w:sz w:val="8"/>
          <w:szCs w:val="8"/>
          <w:color w:val="auto"/>
        </w:rPr>
      </w:pPr>
    </w:p>
    <w:p>
      <w:pPr>
        <w:ind w:left="280" w:hanging="126"/>
        <w:spacing w:after="0"/>
        <w:tabs>
          <w:tab w:leader="none" w:pos="280" w:val="left"/>
        </w:tabs>
        <w:numPr>
          <w:ilvl w:val="0"/>
          <w:numId w:val="4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Grant date face value was calculated using the closing price of €3.83 on the date of grant.</w:t>
      </w:r>
    </w:p>
    <w:p>
      <w:pPr>
        <w:spacing w:after="0" w:line="18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Long-term Incentive awards and other equity awards vested for the President and CEO during 2023</w:t>
      </w:r>
    </w:p>
    <w:p>
      <w:pPr>
        <w:spacing w:after="0" w:line="32" w:lineRule="exact"/>
        <w:rPr>
          <w:sz w:val="20"/>
          <w:szCs w:val="20"/>
          <w:color w:val="auto"/>
        </w:rPr>
      </w:pPr>
    </w:p>
    <w:p>
      <w:pPr>
        <w:ind w:left="160" w:right="4280"/>
        <w:spacing w:after="0" w:line="309" w:lineRule="auto"/>
        <w:rPr>
          <w:sz w:val="20"/>
          <w:szCs w:val="20"/>
          <w:color w:val="auto"/>
        </w:rPr>
      </w:pPr>
      <w:r>
        <w:rPr>
          <w:rFonts w:ascii="Times New Roman" w:cs="Times New Roman" w:eastAsia="Times New Roman" w:hAnsi="Times New Roman"/>
          <w:sz w:val="11"/>
          <w:szCs w:val="11"/>
          <w:color w:val="auto"/>
        </w:rPr>
        <w:t>The final tranche of Pekka Lundmark’s 2020 restricted share award, made to him on joining Nokia to compensate for the forfeited awards from his previous employer, vested on 1 October 2023 as set out in the table below.</w:t>
      </w:r>
    </w:p>
    <w:p>
      <w:pPr>
        <w:spacing w:after="0" w:line="80" w:lineRule="exact"/>
        <w:rPr>
          <w:sz w:val="20"/>
          <w:szCs w:val="20"/>
          <w:color w:val="auto"/>
        </w:rPr>
      </w:pPr>
    </w:p>
    <w:tbl>
      <w:tblPr>
        <w:tblLayout w:type="fixed"/>
        <w:tblInd w:w="140" w:type="dxa"/>
        <w:tblCellMar>
          <w:top w:w="0" w:type="dxa"/>
          <w:left w:w="0" w:type="dxa"/>
          <w:bottom w:w="0" w:type="dxa"/>
          <w:right w:w="0" w:type="dxa"/>
        </w:tblCellMar>
      </w:tblPr>
      <w:tr>
        <w:trPr>
          <w:trHeight w:val="100"/>
        </w:trPr>
        <w:tc>
          <w:tcPr>
            <w:tcW w:w="2540" w:type="dxa"/>
            <w:vAlign w:val="bottom"/>
          </w:tcPr>
          <w:p>
            <w:pPr>
              <w:spacing w:after="0"/>
              <w:rPr>
                <w:sz w:val="8"/>
                <w:szCs w:val="8"/>
                <w:color w:val="auto"/>
              </w:rPr>
            </w:pPr>
          </w:p>
        </w:tc>
        <w:tc>
          <w:tcPr>
            <w:tcW w:w="1280" w:type="dxa"/>
            <w:vAlign w:val="bottom"/>
          </w:tcPr>
          <w:p>
            <w:pPr>
              <w:spacing w:after="0"/>
              <w:rPr>
                <w:sz w:val="8"/>
                <w:szCs w:val="8"/>
                <w:color w:val="auto"/>
              </w:rPr>
            </w:pPr>
          </w:p>
        </w:tc>
        <w:tc>
          <w:tcPr>
            <w:tcW w:w="660" w:type="dxa"/>
            <w:vAlign w:val="bottom"/>
          </w:tcPr>
          <w:p>
            <w:pPr>
              <w:spacing w:after="0"/>
              <w:rPr>
                <w:sz w:val="8"/>
                <w:szCs w:val="8"/>
                <w:color w:val="auto"/>
              </w:rPr>
            </w:pPr>
          </w:p>
        </w:tc>
        <w:tc>
          <w:tcPr>
            <w:tcW w:w="740" w:type="dxa"/>
            <w:vAlign w:val="bottom"/>
          </w:tcPr>
          <w:p>
            <w:pPr>
              <w:spacing w:after="0"/>
              <w:rPr>
                <w:sz w:val="8"/>
                <w:szCs w:val="8"/>
                <w:color w:val="auto"/>
              </w:rPr>
            </w:pPr>
          </w:p>
        </w:tc>
        <w:tc>
          <w:tcPr>
            <w:tcW w:w="660" w:type="dxa"/>
            <w:vAlign w:val="bottom"/>
          </w:tcPr>
          <w:p>
            <w:pPr>
              <w:spacing w:after="0"/>
              <w:rPr>
                <w:sz w:val="8"/>
                <w:szCs w:val="8"/>
                <w:color w:val="auto"/>
              </w:rPr>
            </w:pPr>
          </w:p>
        </w:tc>
        <w:tc>
          <w:tcPr>
            <w:tcW w:w="700" w:type="dxa"/>
            <w:vAlign w:val="bottom"/>
          </w:tcPr>
          <w:p>
            <w:pPr>
              <w:jc w:val="right"/>
              <w:ind w:right="36"/>
              <w:spacing w:after="0"/>
              <w:rPr>
                <w:sz w:val="20"/>
                <w:szCs w:val="20"/>
                <w:color w:val="auto"/>
              </w:rPr>
            </w:pPr>
            <w:r>
              <w:rPr>
                <w:rFonts w:ascii="Times New Roman" w:cs="Times New Roman" w:eastAsia="Times New Roman" w:hAnsi="Times New Roman"/>
                <w:sz w:val="8"/>
                <w:szCs w:val="8"/>
                <w:b w:val="1"/>
                <w:bCs w:val="1"/>
                <w:color w:val="005AFF"/>
              </w:rPr>
              <w:t>Value of vested</w:t>
            </w:r>
          </w:p>
        </w:tc>
      </w:tr>
      <w:tr>
        <w:trPr>
          <w:trHeight w:val="114"/>
        </w:trPr>
        <w:tc>
          <w:tcPr>
            <w:tcW w:w="2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Restricted share awards vested during the year</w:t>
            </w:r>
          </w:p>
        </w:tc>
        <w:tc>
          <w:tcPr>
            <w:tcW w:w="1280" w:type="dxa"/>
            <w:vAlign w:val="bottom"/>
            <w:tcBorders>
              <w:bottom w:val="single" w:sz="8" w:color="005AFF"/>
            </w:tcBorders>
          </w:tcPr>
          <w:p>
            <w:pPr>
              <w:jc w:val="right"/>
              <w:ind w:right="214"/>
              <w:spacing w:after="0"/>
              <w:rPr>
                <w:sz w:val="20"/>
                <w:szCs w:val="20"/>
                <w:color w:val="auto"/>
              </w:rPr>
            </w:pPr>
            <w:r>
              <w:rPr>
                <w:rFonts w:ascii="Times New Roman" w:cs="Times New Roman" w:eastAsia="Times New Roman" w:hAnsi="Times New Roman"/>
                <w:sz w:val="8"/>
                <w:szCs w:val="8"/>
                <w:b w:val="1"/>
                <w:bCs w:val="1"/>
                <w:color w:val="005AFF"/>
              </w:rPr>
              <w:t>Units granted</w:t>
            </w:r>
          </w:p>
        </w:tc>
        <w:tc>
          <w:tcPr>
            <w:tcW w:w="660" w:type="dxa"/>
            <w:vAlign w:val="bottom"/>
            <w:tcBorders>
              <w:bottom w:val="single" w:sz="8" w:color="005AFF"/>
            </w:tcBorders>
          </w:tcPr>
          <w:p>
            <w:pPr>
              <w:ind w:left="260"/>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740" w:type="dxa"/>
            <w:vAlign w:val="bottom"/>
            <w:tcBorders>
              <w:bottom w:val="single" w:sz="8" w:color="005AFF"/>
            </w:tcBorders>
          </w:tcPr>
          <w:p>
            <w:pPr>
              <w:ind w:left="120"/>
              <w:spacing w:after="0"/>
              <w:rPr>
                <w:sz w:val="20"/>
                <w:szCs w:val="20"/>
                <w:color w:val="auto"/>
              </w:rPr>
            </w:pPr>
            <w:r>
              <w:rPr>
                <w:rFonts w:ascii="Times New Roman" w:cs="Times New Roman" w:eastAsia="Times New Roman" w:hAnsi="Times New Roman"/>
                <w:sz w:val="8"/>
                <w:szCs w:val="8"/>
                <w:b w:val="1"/>
                <w:bCs w:val="1"/>
                <w:color w:val="005AFF"/>
              </w:rPr>
              <w:t>Achievement</w:t>
            </w:r>
          </w:p>
        </w:tc>
        <w:tc>
          <w:tcPr>
            <w:tcW w:w="66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Units vested</w:t>
            </w:r>
          </w:p>
        </w:tc>
        <w:tc>
          <w:tcPr>
            <w:tcW w:w="700" w:type="dxa"/>
            <w:vAlign w:val="bottom"/>
            <w:tcBorders>
              <w:bottom w:val="single" w:sz="8" w:color="005AFF"/>
            </w:tcBorders>
          </w:tcPr>
          <w:p>
            <w:pPr>
              <w:jc w:val="right"/>
              <w:spacing w:after="0" w:line="114" w:lineRule="exact"/>
              <w:rPr>
                <w:sz w:val="20"/>
                <w:szCs w:val="20"/>
                <w:color w:val="auto"/>
              </w:rPr>
            </w:pPr>
            <w:r>
              <w:rPr>
                <w:rFonts w:ascii="Times New Roman" w:cs="Times New Roman" w:eastAsia="Times New Roman" w:hAnsi="Times New Roman"/>
                <w:sz w:val="8"/>
                <w:szCs w:val="8"/>
                <w:b w:val="1"/>
                <w:bCs w:val="1"/>
                <w:color w:val="005AFF"/>
              </w:rPr>
              <w:t>award</w:t>
            </w:r>
            <w:r>
              <w:rPr>
                <w:rFonts w:ascii="Times New Roman" w:cs="Times New Roman" w:eastAsia="Times New Roman" w:hAnsi="Times New Roman"/>
                <w:sz w:val="10"/>
                <w:szCs w:val="10"/>
                <w:b w:val="1"/>
                <w:bCs w:val="1"/>
                <w:color w:val="005AFF"/>
                <w:vertAlign w:val="superscript"/>
              </w:rPr>
              <w:t>(1)</w:t>
            </w:r>
            <w:r>
              <w:rPr>
                <w:rFonts w:ascii="Times New Roman" w:cs="Times New Roman" w:eastAsia="Times New Roman" w:hAnsi="Times New Roman"/>
                <w:sz w:val="8"/>
                <w:szCs w:val="8"/>
                <w:b w:val="1"/>
                <w:bCs w:val="1"/>
                <w:color w:val="005AFF"/>
              </w:rPr>
              <w:t xml:space="preserve"> (EUR)</w:t>
            </w:r>
          </w:p>
        </w:tc>
      </w:tr>
      <w:tr>
        <w:trPr>
          <w:trHeight w:val="137"/>
        </w:trPr>
        <w:tc>
          <w:tcPr>
            <w:tcW w:w="25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2020 Restricted Share award final tranche (3/3)</w:t>
            </w:r>
          </w:p>
        </w:tc>
        <w:tc>
          <w:tcPr>
            <w:tcW w:w="1280" w:type="dxa"/>
            <w:vAlign w:val="bottom"/>
            <w:tcBorders>
              <w:bottom w:val="single" w:sz="8" w:color="005AFF"/>
            </w:tcBorders>
          </w:tcPr>
          <w:p>
            <w:pPr>
              <w:jc w:val="right"/>
              <w:ind w:right="234"/>
              <w:spacing w:after="0"/>
              <w:rPr>
                <w:sz w:val="20"/>
                <w:szCs w:val="20"/>
                <w:color w:val="auto"/>
              </w:rPr>
            </w:pPr>
            <w:r>
              <w:rPr>
                <w:rFonts w:ascii="Times New Roman" w:cs="Times New Roman" w:eastAsia="Times New Roman" w:hAnsi="Times New Roman"/>
                <w:sz w:val="10"/>
                <w:szCs w:val="10"/>
                <w:color w:val="0D0D0D"/>
              </w:rPr>
              <w:t>117 467</w:t>
            </w:r>
          </w:p>
        </w:tc>
        <w:tc>
          <w:tcPr>
            <w:tcW w:w="660" w:type="dxa"/>
            <w:vAlign w:val="bottom"/>
            <w:tcBorders>
              <w:bottom w:val="single" w:sz="8" w:color="005AFF"/>
            </w:tcBorders>
          </w:tcPr>
          <w:p>
            <w:pPr>
              <w:ind w:left="380"/>
              <w:spacing w:after="0"/>
              <w:rPr>
                <w:sz w:val="20"/>
                <w:szCs w:val="20"/>
                <w:color w:val="auto"/>
              </w:rPr>
            </w:pPr>
            <w:r>
              <w:rPr>
                <w:rFonts w:ascii="Times New Roman" w:cs="Times New Roman" w:eastAsia="Times New Roman" w:hAnsi="Times New Roman"/>
                <w:sz w:val="10"/>
                <w:szCs w:val="10"/>
                <w:color w:val="0D0D0D"/>
              </w:rPr>
              <w:t>N/A</w:t>
            </w:r>
          </w:p>
        </w:tc>
        <w:tc>
          <w:tcPr>
            <w:tcW w:w="740" w:type="dxa"/>
            <w:vAlign w:val="bottom"/>
            <w:tcBorders>
              <w:bottom w:val="single" w:sz="8" w:color="005AFF"/>
            </w:tcBorders>
          </w:tcPr>
          <w:p>
            <w:pPr>
              <w:ind w:left="460"/>
              <w:spacing w:after="0"/>
              <w:rPr>
                <w:sz w:val="20"/>
                <w:szCs w:val="20"/>
                <w:color w:val="auto"/>
              </w:rPr>
            </w:pPr>
            <w:r>
              <w:rPr>
                <w:rFonts w:ascii="Times New Roman" w:cs="Times New Roman" w:eastAsia="Times New Roman" w:hAnsi="Times New Roman"/>
                <w:sz w:val="10"/>
                <w:szCs w:val="10"/>
                <w:color w:val="0D0D0D"/>
              </w:rPr>
              <w:t>N/A</w:t>
            </w:r>
          </w:p>
        </w:tc>
        <w:tc>
          <w:tcPr>
            <w:tcW w:w="66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10"/>
                <w:szCs w:val="10"/>
                <w:color w:val="0D0D0D"/>
              </w:rPr>
              <w:t>117 467</w:t>
            </w:r>
          </w:p>
        </w:tc>
        <w:tc>
          <w:tcPr>
            <w:tcW w:w="700" w:type="dxa"/>
            <w:vAlign w:val="bottom"/>
            <w:tcBorders>
              <w:bottom w:val="single" w:sz="8" w:color="005AFF"/>
            </w:tcBorders>
          </w:tcPr>
          <w:p>
            <w:pPr>
              <w:jc w:val="right"/>
              <w:ind w:right="36"/>
              <w:spacing w:after="0"/>
              <w:rPr>
                <w:sz w:val="20"/>
                <w:szCs w:val="20"/>
                <w:color w:val="auto"/>
              </w:rPr>
            </w:pPr>
            <w:r>
              <w:rPr>
                <w:rFonts w:ascii="Times New Roman" w:cs="Times New Roman" w:eastAsia="Times New Roman" w:hAnsi="Times New Roman"/>
                <w:sz w:val="10"/>
                <w:szCs w:val="10"/>
                <w:color w:val="0D0D0D"/>
              </w:rPr>
              <w:t>380 590</w:t>
            </w:r>
          </w:p>
        </w:tc>
      </w:tr>
    </w:tbl>
    <w:p>
      <w:pPr>
        <w:spacing w:after="0" w:line="41"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8"/>
          <w:szCs w:val="8"/>
          <w:color w:val="auto"/>
        </w:rPr>
        <w:t>(1) The vesting value was calculated using the closing share price of €3.24 on 21 November 2023, the day before the share delivery date.</w:t>
      </w:r>
    </w:p>
    <w:p>
      <w:pPr>
        <w:spacing w:after="0" w:line="96" w:lineRule="exact"/>
        <w:rPr>
          <w:sz w:val="20"/>
          <w:szCs w:val="20"/>
          <w:color w:val="auto"/>
        </w:rPr>
      </w:pPr>
    </w:p>
    <w:p>
      <w:pPr>
        <w:ind w:left="160" w:right="3920"/>
        <w:spacing w:after="0" w:line="289" w:lineRule="auto"/>
        <w:rPr>
          <w:sz w:val="20"/>
          <w:szCs w:val="20"/>
          <w:color w:val="auto"/>
        </w:rPr>
      </w:pPr>
      <w:r>
        <w:rPr>
          <w:rFonts w:ascii="Times New Roman" w:cs="Times New Roman" w:eastAsia="Times New Roman" w:hAnsi="Times New Roman"/>
          <w:sz w:val="11"/>
          <w:szCs w:val="11"/>
          <w:color w:val="auto"/>
        </w:rPr>
        <w:t>The 2020 LTI performance share award granted to Pekka Lundmark in November 2020 had a three-year performance period and was subject to dividend adjusted share price targets over the performance period. This award vested on 1 November 2023 as set out in the table below.</w:t>
      </w:r>
    </w:p>
    <w:p>
      <w:pPr>
        <w:spacing w:after="0" w:line="81" w:lineRule="exact"/>
        <w:rPr>
          <w:sz w:val="20"/>
          <w:szCs w:val="20"/>
          <w:color w:val="auto"/>
        </w:rPr>
      </w:pPr>
    </w:p>
    <w:tbl>
      <w:tblPr>
        <w:tblLayout w:type="fixed"/>
        <w:tblInd w:w="140" w:type="dxa"/>
        <w:tblCellMar>
          <w:top w:w="0" w:type="dxa"/>
          <w:left w:w="0" w:type="dxa"/>
          <w:bottom w:w="0" w:type="dxa"/>
          <w:right w:w="0" w:type="dxa"/>
        </w:tblCellMar>
      </w:tblPr>
      <w:tr>
        <w:trPr>
          <w:trHeight w:val="101"/>
        </w:trPr>
        <w:tc>
          <w:tcPr>
            <w:tcW w:w="2020" w:type="dxa"/>
            <w:vAlign w:val="bottom"/>
          </w:tcPr>
          <w:p>
            <w:pPr>
              <w:spacing w:after="0"/>
              <w:rPr>
                <w:sz w:val="8"/>
                <w:szCs w:val="8"/>
                <w:color w:val="auto"/>
              </w:rPr>
            </w:pPr>
          </w:p>
        </w:tc>
        <w:tc>
          <w:tcPr>
            <w:tcW w:w="960" w:type="dxa"/>
            <w:vAlign w:val="bottom"/>
          </w:tcPr>
          <w:p>
            <w:pPr>
              <w:spacing w:after="0"/>
              <w:rPr>
                <w:sz w:val="8"/>
                <w:szCs w:val="8"/>
                <w:color w:val="auto"/>
              </w:rPr>
            </w:pPr>
          </w:p>
        </w:tc>
        <w:tc>
          <w:tcPr>
            <w:tcW w:w="760" w:type="dxa"/>
            <w:vAlign w:val="bottom"/>
          </w:tcPr>
          <w:p>
            <w:pPr>
              <w:spacing w:after="0"/>
              <w:rPr>
                <w:sz w:val="8"/>
                <w:szCs w:val="8"/>
                <w:color w:val="auto"/>
              </w:rPr>
            </w:pPr>
          </w:p>
        </w:tc>
        <w:tc>
          <w:tcPr>
            <w:tcW w:w="680" w:type="dxa"/>
            <w:vAlign w:val="bottom"/>
          </w:tcPr>
          <w:p>
            <w:pPr>
              <w:ind w:left="180"/>
              <w:spacing w:after="0"/>
              <w:rPr>
                <w:sz w:val="20"/>
                <w:szCs w:val="20"/>
                <w:color w:val="auto"/>
              </w:rPr>
            </w:pPr>
            <w:r>
              <w:rPr>
                <w:rFonts w:ascii="Times New Roman" w:cs="Times New Roman" w:eastAsia="Times New Roman" w:hAnsi="Times New Roman"/>
                <w:sz w:val="8"/>
                <w:szCs w:val="8"/>
                <w:b w:val="1"/>
                <w:bCs w:val="1"/>
                <w:color w:val="005AFF"/>
              </w:rPr>
              <w:t>Share price</w:t>
            </w:r>
          </w:p>
        </w:tc>
        <w:tc>
          <w:tcPr>
            <w:tcW w:w="820" w:type="dxa"/>
            <w:vAlign w:val="bottom"/>
          </w:tcPr>
          <w:p>
            <w:pPr>
              <w:spacing w:after="0"/>
              <w:rPr>
                <w:sz w:val="8"/>
                <w:szCs w:val="8"/>
                <w:color w:val="auto"/>
              </w:rPr>
            </w:pPr>
          </w:p>
        </w:tc>
        <w:tc>
          <w:tcPr>
            <w:tcW w:w="640" w:type="dxa"/>
            <w:vAlign w:val="bottom"/>
          </w:tcPr>
          <w:p>
            <w:pPr>
              <w:spacing w:after="0"/>
              <w:rPr>
                <w:sz w:val="8"/>
                <w:szCs w:val="8"/>
                <w:color w:val="auto"/>
              </w:rPr>
            </w:pPr>
          </w:p>
        </w:tc>
        <w:tc>
          <w:tcPr>
            <w:tcW w:w="720" w:type="dxa"/>
            <w:vAlign w:val="bottom"/>
          </w:tcPr>
          <w:p>
            <w:pPr>
              <w:spacing w:after="0"/>
              <w:rPr>
                <w:sz w:val="8"/>
                <w:szCs w:val="8"/>
                <w:color w:val="auto"/>
              </w:rPr>
            </w:pPr>
          </w:p>
        </w:tc>
      </w:tr>
      <w:tr>
        <w:trPr>
          <w:trHeight w:val="91"/>
        </w:trPr>
        <w:tc>
          <w:tcPr>
            <w:tcW w:w="2020" w:type="dxa"/>
            <w:vAlign w:val="bottom"/>
          </w:tcPr>
          <w:p>
            <w:pPr>
              <w:spacing w:after="0"/>
              <w:rPr>
                <w:sz w:val="7"/>
                <w:szCs w:val="7"/>
                <w:color w:val="auto"/>
              </w:rPr>
            </w:pPr>
          </w:p>
        </w:tc>
        <w:tc>
          <w:tcPr>
            <w:tcW w:w="960" w:type="dxa"/>
            <w:vAlign w:val="bottom"/>
          </w:tcPr>
          <w:p>
            <w:pPr>
              <w:spacing w:after="0"/>
              <w:rPr>
                <w:sz w:val="7"/>
                <w:szCs w:val="7"/>
                <w:color w:val="auto"/>
              </w:rPr>
            </w:pPr>
          </w:p>
        </w:tc>
        <w:tc>
          <w:tcPr>
            <w:tcW w:w="760" w:type="dxa"/>
            <w:vAlign w:val="bottom"/>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Target share</w:t>
            </w:r>
          </w:p>
        </w:tc>
        <w:tc>
          <w:tcPr>
            <w:tcW w:w="6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achievement</w:t>
            </w:r>
          </w:p>
        </w:tc>
        <w:tc>
          <w:tcPr>
            <w:tcW w:w="820" w:type="dxa"/>
            <w:vAlign w:val="bottom"/>
          </w:tcPr>
          <w:p>
            <w:pPr>
              <w:jc w:val="right"/>
              <w:ind w:right="176"/>
              <w:spacing w:after="0"/>
              <w:rPr>
                <w:sz w:val="20"/>
                <w:szCs w:val="20"/>
                <w:color w:val="auto"/>
              </w:rPr>
            </w:pPr>
            <w:r>
              <w:rPr>
                <w:rFonts w:ascii="Times New Roman" w:cs="Times New Roman" w:eastAsia="Times New Roman" w:hAnsi="Times New Roman"/>
                <w:sz w:val="8"/>
                <w:szCs w:val="8"/>
                <w:b w:val="1"/>
                <w:bCs w:val="1"/>
                <w:color w:val="005AFF"/>
              </w:rPr>
              <w:t>Vesting outcome</w:t>
            </w:r>
          </w:p>
        </w:tc>
        <w:tc>
          <w:tcPr>
            <w:tcW w:w="640" w:type="dxa"/>
            <w:vAlign w:val="bottom"/>
          </w:tcPr>
          <w:p>
            <w:pPr>
              <w:spacing w:after="0"/>
              <w:rPr>
                <w:sz w:val="7"/>
                <w:szCs w:val="7"/>
                <w:color w:val="auto"/>
              </w:rPr>
            </w:pPr>
          </w:p>
        </w:tc>
        <w:tc>
          <w:tcPr>
            <w:tcW w:w="720" w:type="dxa"/>
            <w:vAlign w:val="bottom"/>
          </w:tcPr>
          <w:p>
            <w:pPr>
              <w:jc w:val="right"/>
              <w:ind w:right="56"/>
              <w:spacing w:after="0"/>
              <w:rPr>
                <w:sz w:val="20"/>
                <w:szCs w:val="20"/>
                <w:color w:val="auto"/>
              </w:rPr>
            </w:pPr>
            <w:r>
              <w:rPr>
                <w:rFonts w:ascii="Times New Roman" w:cs="Times New Roman" w:eastAsia="Times New Roman" w:hAnsi="Times New Roman"/>
                <w:sz w:val="8"/>
                <w:szCs w:val="8"/>
                <w:b w:val="1"/>
                <w:bCs w:val="1"/>
                <w:color w:val="005AFF"/>
              </w:rPr>
              <w:t>Value of vested</w:t>
            </w:r>
          </w:p>
        </w:tc>
      </w:tr>
      <w:tr>
        <w:trPr>
          <w:trHeight w:val="114"/>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LTI performance shares vested during the year</w:t>
            </w:r>
          </w:p>
        </w:tc>
        <w:tc>
          <w:tcPr>
            <w:tcW w:w="960" w:type="dxa"/>
            <w:vAlign w:val="bottom"/>
            <w:tcBorders>
              <w:bottom w:val="single" w:sz="8" w:color="005AFF"/>
            </w:tcBorders>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Units granted</w:t>
            </w:r>
          </w:p>
        </w:tc>
        <w:tc>
          <w:tcPr>
            <w:tcW w:w="760" w:type="dxa"/>
            <w:vAlign w:val="bottom"/>
            <w:tcBorders>
              <w:bottom w:val="single" w:sz="8" w:color="005AFF"/>
            </w:tcBorders>
          </w:tcPr>
          <w:p>
            <w:pPr>
              <w:jc w:val="right"/>
              <w:ind w:right="76"/>
              <w:spacing w:after="0"/>
              <w:rPr>
                <w:sz w:val="20"/>
                <w:szCs w:val="20"/>
                <w:color w:val="auto"/>
              </w:rPr>
            </w:pPr>
            <w:r>
              <w:rPr>
                <w:rFonts w:ascii="Times New Roman" w:cs="Times New Roman" w:eastAsia="Times New Roman" w:hAnsi="Times New Roman"/>
                <w:sz w:val="8"/>
                <w:szCs w:val="8"/>
                <w:b w:val="1"/>
                <w:bCs w:val="1"/>
                <w:color w:val="005AFF"/>
              </w:rPr>
              <w:t>price (EUR)</w:t>
            </w:r>
          </w:p>
        </w:tc>
        <w:tc>
          <w:tcPr>
            <w:tcW w:w="680" w:type="dxa"/>
            <w:vAlign w:val="bottom"/>
            <w:tcBorders>
              <w:bottom w:val="single" w:sz="8" w:color="005AFF"/>
            </w:tcBorders>
          </w:tcPr>
          <w:p>
            <w:pPr>
              <w:ind w:left="400"/>
              <w:spacing w:after="0"/>
              <w:rPr>
                <w:sz w:val="20"/>
                <w:szCs w:val="20"/>
                <w:color w:val="auto"/>
              </w:rPr>
            </w:pPr>
            <w:r>
              <w:rPr>
                <w:rFonts w:ascii="Times New Roman" w:cs="Times New Roman" w:eastAsia="Times New Roman" w:hAnsi="Times New Roman"/>
                <w:sz w:val="8"/>
                <w:szCs w:val="8"/>
                <w:b w:val="1"/>
                <w:bCs w:val="1"/>
                <w:color w:val="005AFF"/>
              </w:rPr>
              <w:t>(EUR)</w:t>
            </w:r>
          </w:p>
        </w:tc>
        <w:tc>
          <w:tcPr>
            <w:tcW w:w="820" w:type="dxa"/>
            <w:vAlign w:val="bottom"/>
            <w:tcBorders>
              <w:bottom w:val="single" w:sz="8" w:color="005AFF"/>
            </w:tcBorders>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 of target)</w:t>
            </w:r>
          </w:p>
        </w:tc>
        <w:tc>
          <w:tcPr>
            <w:tcW w:w="640" w:type="dxa"/>
            <w:vAlign w:val="bottom"/>
            <w:tcBorders>
              <w:bottom w:val="single" w:sz="8" w:color="005AFF"/>
            </w:tcBorders>
          </w:tcPr>
          <w:p>
            <w:pPr>
              <w:jc w:val="right"/>
              <w:ind w:right="54"/>
              <w:spacing w:after="0"/>
              <w:rPr>
                <w:sz w:val="20"/>
                <w:szCs w:val="20"/>
                <w:color w:val="auto"/>
              </w:rPr>
            </w:pPr>
            <w:r>
              <w:rPr>
                <w:rFonts w:ascii="Times New Roman" w:cs="Times New Roman" w:eastAsia="Times New Roman" w:hAnsi="Times New Roman"/>
                <w:sz w:val="8"/>
                <w:szCs w:val="8"/>
                <w:b w:val="1"/>
                <w:bCs w:val="1"/>
                <w:color w:val="005AFF"/>
              </w:rPr>
              <w:t>Units vested</w:t>
            </w: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award</w:t>
            </w:r>
            <w:r>
              <w:rPr>
                <w:rFonts w:ascii="Times New Roman" w:cs="Times New Roman" w:eastAsia="Times New Roman" w:hAnsi="Times New Roman"/>
                <w:sz w:val="5"/>
                <w:szCs w:val="5"/>
                <w:b w:val="1"/>
                <w:bCs w:val="1"/>
                <w:color w:val="005AFF"/>
              </w:rPr>
              <w:t>(1)</w:t>
            </w:r>
            <w:r>
              <w:rPr>
                <w:rFonts w:ascii="Times New Roman" w:cs="Times New Roman" w:eastAsia="Times New Roman" w:hAnsi="Times New Roman"/>
                <w:sz w:val="8"/>
                <w:szCs w:val="8"/>
                <w:b w:val="1"/>
                <w:bCs w:val="1"/>
                <w:color w:val="005AFF"/>
              </w:rPr>
              <w:t xml:space="preserve"> (EUR)</w:t>
            </w:r>
          </w:p>
        </w:tc>
      </w:tr>
      <w:tr>
        <w:trPr>
          <w:trHeight w:val="145"/>
        </w:trPr>
        <w:tc>
          <w:tcPr>
            <w:tcW w:w="202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2020 LTI performance shares</w:t>
            </w:r>
          </w:p>
        </w:tc>
        <w:tc>
          <w:tcPr>
            <w:tcW w:w="960" w:type="dxa"/>
            <w:vAlign w:val="bottom"/>
            <w:tcBorders>
              <w:bottom w:val="single" w:sz="8" w:color="005AFF"/>
            </w:tcBorders>
          </w:tcPr>
          <w:p>
            <w:pPr>
              <w:jc w:val="right"/>
              <w:ind w:right="114"/>
              <w:spacing w:after="0"/>
              <w:rPr>
                <w:sz w:val="20"/>
                <w:szCs w:val="20"/>
                <w:color w:val="auto"/>
              </w:rPr>
            </w:pPr>
            <w:r>
              <w:rPr>
                <w:rFonts w:ascii="Times New Roman" w:cs="Times New Roman" w:eastAsia="Times New Roman" w:hAnsi="Times New Roman"/>
                <w:sz w:val="10"/>
                <w:szCs w:val="10"/>
                <w:color w:val="0D0D0D"/>
              </w:rPr>
              <w:t>671 800</w:t>
            </w:r>
          </w:p>
        </w:tc>
        <w:tc>
          <w:tcPr>
            <w:tcW w:w="760" w:type="dxa"/>
            <w:vAlign w:val="bottom"/>
            <w:tcBorders>
              <w:bottom w:val="single" w:sz="8" w:color="005AFF"/>
            </w:tcBorders>
          </w:tcPr>
          <w:p>
            <w:pPr>
              <w:jc w:val="right"/>
              <w:ind w:right="116"/>
              <w:spacing w:after="0"/>
              <w:rPr>
                <w:sz w:val="20"/>
                <w:szCs w:val="20"/>
                <w:color w:val="auto"/>
              </w:rPr>
            </w:pPr>
            <w:r>
              <w:rPr>
                <w:rFonts w:ascii="Times New Roman" w:cs="Times New Roman" w:eastAsia="Times New Roman" w:hAnsi="Times New Roman"/>
                <w:sz w:val="10"/>
                <w:szCs w:val="10"/>
                <w:color w:val="0D0D0D"/>
              </w:rPr>
              <w:t>3.67</w:t>
            </w:r>
          </w:p>
        </w:tc>
        <w:tc>
          <w:tcPr>
            <w:tcW w:w="680" w:type="dxa"/>
            <w:vAlign w:val="bottom"/>
            <w:tcBorders>
              <w:bottom w:val="single" w:sz="8" w:color="005AFF"/>
            </w:tcBorders>
          </w:tcPr>
          <w:p>
            <w:pPr>
              <w:ind w:left="400"/>
              <w:spacing w:after="0"/>
              <w:rPr>
                <w:sz w:val="20"/>
                <w:szCs w:val="20"/>
                <w:color w:val="auto"/>
              </w:rPr>
            </w:pPr>
            <w:r>
              <w:rPr>
                <w:rFonts w:ascii="Times New Roman" w:cs="Times New Roman" w:eastAsia="Times New Roman" w:hAnsi="Times New Roman"/>
                <w:sz w:val="10"/>
                <w:szCs w:val="10"/>
                <w:color w:val="0D0D0D"/>
              </w:rPr>
              <w:t>3.21</w:t>
            </w:r>
          </w:p>
        </w:tc>
        <w:tc>
          <w:tcPr>
            <w:tcW w:w="820" w:type="dxa"/>
            <w:vAlign w:val="bottom"/>
            <w:tcBorders>
              <w:bottom w:val="single" w:sz="8" w:color="005AFF"/>
            </w:tcBorders>
          </w:tcPr>
          <w:p>
            <w:pPr>
              <w:jc w:val="right"/>
              <w:ind w:right="96"/>
              <w:spacing w:after="0"/>
              <w:rPr>
                <w:sz w:val="20"/>
                <w:szCs w:val="20"/>
                <w:color w:val="auto"/>
              </w:rPr>
            </w:pPr>
            <w:r>
              <w:rPr>
                <w:rFonts w:ascii="Times New Roman" w:cs="Times New Roman" w:eastAsia="Times New Roman" w:hAnsi="Times New Roman"/>
                <w:sz w:val="10"/>
                <w:szCs w:val="10"/>
                <w:color w:val="0D0D0D"/>
              </w:rPr>
              <w:t>39.5 %</w:t>
            </w:r>
          </w:p>
        </w:tc>
        <w:tc>
          <w:tcPr>
            <w:tcW w:w="64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10"/>
                <w:szCs w:val="10"/>
                <w:color w:val="0D0D0D"/>
              </w:rPr>
              <w:t>265 361</w:t>
            </w:r>
          </w:p>
        </w:tc>
        <w:tc>
          <w:tcPr>
            <w:tcW w:w="720" w:type="dxa"/>
            <w:vAlign w:val="bottom"/>
            <w:tcBorders>
              <w:bottom w:val="single" w:sz="8" w:color="005AFF"/>
            </w:tcBorders>
          </w:tcPr>
          <w:p>
            <w:pPr>
              <w:jc w:val="right"/>
              <w:ind w:right="56"/>
              <w:spacing w:after="0"/>
              <w:rPr>
                <w:sz w:val="20"/>
                <w:szCs w:val="20"/>
                <w:color w:val="auto"/>
              </w:rPr>
            </w:pPr>
            <w:r>
              <w:rPr>
                <w:rFonts w:ascii="Times New Roman" w:cs="Times New Roman" w:eastAsia="Times New Roman" w:hAnsi="Times New Roman"/>
                <w:sz w:val="10"/>
                <w:szCs w:val="10"/>
                <w:color w:val="0D0D0D"/>
              </w:rPr>
              <w:t>859 770</w:t>
            </w:r>
          </w:p>
        </w:tc>
      </w:tr>
    </w:tbl>
    <w:p>
      <w:pPr>
        <w:spacing w:after="0" w:line="41"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8"/>
          <w:szCs w:val="8"/>
          <w:color w:val="auto"/>
        </w:rPr>
        <w:t>(1) The vesting value was calculated using the closing share price of €3.24 on 21 November 2023, the day before the share delivery date.</w:t>
      </w:r>
    </w:p>
    <w:p>
      <w:pPr>
        <w:spacing w:after="0" w:line="96"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Pekka Lundmark also received an eLTI grant in 2020, under which he invested €2.6 million in Nokia shares and received two-for-</w:t>
      </w:r>
    </w:p>
    <w:p>
      <w:pPr>
        <w:spacing w:after="0" w:line="20" w:lineRule="exact"/>
        <w:rPr>
          <w:sz w:val="20"/>
          <w:szCs w:val="20"/>
          <w:color w:val="auto"/>
        </w:rPr>
      </w:pPr>
    </w:p>
    <w:tbl>
      <w:tblPr>
        <w:tblLayout w:type="fixed"/>
        <w:tblInd w:w="140" w:type="dxa"/>
        <w:tblCellMar>
          <w:top w:w="0" w:type="dxa"/>
          <w:left w:w="0" w:type="dxa"/>
          <w:bottom w:w="0" w:type="dxa"/>
          <w:right w:w="0" w:type="dxa"/>
        </w:tblCellMar>
      </w:tblPr>
      <w:tr>
        <w:trPr>
          <w:trHeight w:val="126"/>
        </w:trPr>
        <w:tc>
          <w:tcPr>
            <w:tcW w:w="5960" w:type="dxa"/>
            <w:vAlign w:val="bottom"/>
            <w:gridSpan w:val="5"/>
          </w:tcPr>
          <w:p>
            <w:pPr>
              <w:ind w:left="20"/>
              <w:spacing w:after="0"/>
              <w:rPr>
                <w:sz w:val="20"/>
                <w:szCs w:val="20"/>
                <w:color w:val="auto"/>
              </w:rPr>
            </w:pPr>
            <w:r>
              <w:rPr>
                <w:rFonts w:ascii="Times New Roman" w:cs="Times New Roman" w:eastAsia="Times New Roman" w:hAnsi="Times New Roman"/>
                <w:sz w:val="11"/>
                <w:szCs w:val="11"/>
                <w:color w:val="auto"/>
              </w:rPr>
              <w:t>one matching shares in return. The matching shares were subject to dividend adjusted share price targets over a three-year</w:t>
            </w:r>
          </w:p>
        </w:tc>
        <w:tc>
          <w:tcPr>
            <w:tcW w:w="620" w:type="dxa"/>
            <w:vAlign w:val="bottom"/>
          </w:tcPr>
          <w:p>
            <w:pPr>
              <w:spacing w:after="0"/>
              <w:rPr>
                <w:sz w:val="11"/>
                <w:szCs w:val="11"/>
                <w:color w:val="auto"/>
              </w:rPr>
            </w:pPr>
          </w:p>
        </w:tc>
        <w:tc>
          <w:tcPr>
            <w:tcW w:w="20" w:type="dxa"/>
            <w:vAlign w:val="bottom"/>
          </w:tcPr>
          <w:p>
            <w:pPr>
              <w:spacing w:after="0"/>
              <w:rPr>
                <w:sz w:val="11"/>
                <w:szCs w:val="11"/>
                <w:color w:val="auto"/>
              </w:rPr>
            </w:pPr>
          </w:p>
        </w:tc>
      </w:tr>
      <w:tr>
        <w:trPr>
          <w:trHeight w:val="148"/>
        </w:trPr>
        <w:tc>
          <w:tcPr>
            <w:tcW w:w="5960" w:type="dxa"/>
            <w:vAlign w:val="bottom"/>
            <w:gridSpan w:val="5"/>
          </w:tcPr>
          <w:p>
            <w:pPr>
              <w:ind w:left="20"/>
              <w:spacing w:after="0"/>
              <w:rPr>
                <w:sz w:val="20"/>
                <w:szCs w:val="20"/>
                <w:color w:val="auto"/>
              </w:rPr>
            </w:pPr>
            <w:r>
              <w:rPr>
                <w:rFonts w:ascii="Times New Roman" w:cs="Times New Roman" w:eastAsia="Times New Roman" w:hAnsi="Times New Roman"/>
                <w:sz w:val="11"/>
                <w:szCs w:val="11"/>
                <w:color w:val="auto"/>
              </w:rPr>
              <w:t>performance period. However, as the threshold share price was not achieved, the matching shares lapsed in full on 1 August 202</w:t>
            </w:r>
          </w:p>
        </w:tc>
        <w:tc>
          <w:tcPr>
            <w:tcW w:w="64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3.</w:t>
            </w:r>
          </w:p>
        </w:tc>
      </w:tr>
      <w:tr>
        <w:trPr>
          <w:trHeight w:val="208"/>
        </w:trPr>
        <w:tc>
          <w:tcPr>
            <w:tcW w:w="2580" w:type="dxa"/>
            <w:vAlign w:val="bottom"/>
          </w:tcPr>
          <w:p>
            <w:pPr>
              <w:spacing w:after="0"/>
              <w:rPr>
                <w:sz w:val="18"/>
                <w:szCs w:val="18"/>
                <w:color w:val="auto"/>
              </w:rPr>
            </w:pPr>
          </w:p>
        </w:tc>
        <w:tc>
          <w:tcPr>
            <w:tcW w:w="1140" w:type="dxa"/>
            <w:vAlign w:val="bottom"/>
          </w:tcPr>
          <w:p>
            <w:pPr>
              <w:spacing w:after="0"/>
              <w:rPr>
                <w:sz w:val="18"/>
                <w:szCs w:val="18"/>
                <w:color w:val="auto"/>
              </w:rPr>
            </w:pPr>
          </w:p>
        </w:tc>
        <w:tc>
          <w:tcPr>
            <w:tcW w:w="760" w:type="dxa"/>
            <w:vAlign w:val="bottom"/>
          </w:tcPr>
          <w:p>
            <w:pPr>
              <w:spacing w:after="0"/>
              <w:rPr>
                <w:sz w:val="18"/>
                <w:szCs w:val="18"/>
                <w:color w:val="auto"/>
              </w:rPr>
            </w:pPr>
          </w:p>
        </w:tc>
        <w:tc>
          <w:tcPr>
            <w:tcW w:w="660" w:type="dxa"/>
            <w:vAlign w:val="bottom"/>
          </w:tcPr>
          <w:p>
            <w:pPr>
              <w:ind w:left="180"/>
              <w:spacing w:after="0"/>
              <w:rPr>
                <w:sz w:val="20"/>
                <w:szCs w:val="20"/>
                <w:color w:val="auto"/>
              </w:rPr>
            </w:pPr>
            <w:r>
              <w:rPr>
                <w:rFonts w:ascii="Times New Roman" w:cs="Times New Roman" w:eastAsia="Times New Roman" w:hAnsi="Times New Roman"/>
                <w:sz w:val="8"/>
                <w:szCs w:val="8"/>
                <w:b w:val="1"/>
                <w:bCs w:val="1"/>
                <w:color w:val="005AFF"/>
              </w:rPr>
              <w:t>Share price</w:t>
            </w:r>
          </w:p>
        </w:tc>
        <w:tc>
          <w:tcPr>
            <w:tcW w:w="820" w:type="dxa"/>
            <w:vAlign w:val="bottom"/>
          </w:tcPr>
          <w:p>
            <w:pPr>
              <w:spacing w:after="0"/>
              <w:rPr>
                <w:sz w:val="18"/>
                <w:szCs w:val="18"/>
                <w:color w:val="auto"/>
              </w:rPr>
            </w:pPr>
          </w:p>
        </w:tc>
        <w:tc>
          <w:tcPr>
            <w:tcW w:w="620" w:type="dxa"/>
            <w:vAlign w:val="bottom"/>
          </w:tcPr>
          <w:p>
            <w:pPr>
              <w:spacing w:after="0"/>
              <w:rPr>
                <w:sz w:val="18"/>
                <w:szCs w:val="18"/>
                <w:color w:val="auto"/>
              </w:rPr>
            </w:pPr>
          </w:p>
        </w:tc>
        <w:tc>
          <w:tcPr>
            <w:tcW w:w="20" w:type="dxa"/>
            <w:vAlign w:val="bottom"/>
          </w:tcPr>
          <w:p>
            <w:pPr>
              <w:spacing w:after="0"/>
              <w:rPr>
                <w:sz w:val="18"/>
                <w:szCs w:val="18"/>
                <w:color w:val="auto"/>
              </w:rPr>
            </w:pPr>
          </w:p>
        </w:tc>
      </w:tr>
      <w:tr>
        <w:trPr>
          <w:trHeight w:val="101"/>
        </w:trPr>
        <w:tc>
          <w:tcPr>
            <w:tcW w:w="2580" w:type="dxa"/>
            <w:vAlign w:val="bottom"/>
          </w:tcPr>
          <w:p>
            <w:pPr>
              <w:spacing w:after="0"/>
              <w:rPr>
                <w:sz w:val="8"/>
                <w:szCs w:val="8"/>
                <w:color w:val="auto"/>
              </w:rPr>
            </w:pPr>
          </w:p>
        </w:tc>
        <w:tc>
          <w:tcPr>
            <w:tcW w:w="1140" w:type="dxa"/>
            <w:vAlign w:val="bottom"/>
          </w:tcPr>
          <w:p>
            <w:pPr>
              <w:spacing w:after="0"/>
              <w:rPr>
                <w:sz w:val="8"/>
                <w:szCs w:val="8"/>
                <w:color w:val="auto"/>
              </w:rPr>
            </w:pPr>
          </w:p>
        </w:tc>
        <w:tc>
          <w:tcPr>
            <w:tcW w:w="760" w:type="dxa"/>
            <w:vAlign w:val="bottom"/>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Target share</w:t>
            </w:r>
          </w:p>
        </w:tc>
        <w:tc>
          <w:tcPr>
            <w:tcW w:w="660" w:type="dxa"/>
            <w:vAlign w:val="bottom"/>
          </w:tcPr>
          <w:p>
            <w:pPr>
              <w:ind w:left="120"/>
              <w:spacing w:after="0"/>
              <w:rPr>
                <w:sz w:val="20"/>
                <w:szCs w:val="20"/>
                <w:color w:val="auto"/>
              </w:rPr>
            </w:pPr>
            <w:r>
              <w:rPr>
                <w:rFonts w:ascii="Times New Roman" w:cs="Times New Roman" w:eastAsia="Times New Roman" w:hAnsi="Times New Roman"/>
                <w:sz w:val="8"/>
                <w:szCs w:val="8"/>
                <w:b w:val="1"/>
                <w:bCs w:val="1"/>
                <w:color w:val="005AFF"/>
              </w:rPr>
              <w:t>achievement</w:t>
            </w:r>
          </w:p>
        </w:tc>
        <w:tc>
          <w:tcPr>
            <w:tcW w:w="820" w:type="dxa"/>
            <w:vAlign w:val="bottom"/>
          </w:tcPr>
          <w:p>
            <w:pPr>
              <w:jc w:val="right"/>
              <w:ind w:right="156"/>
              <w:spacing w:after="0"/>
              <w:rPr>
                <w:sz w:val="20"/>
                <w:szCs w:val="20"/>
                <w:color w:val="auto"/>
              </w:rPr>
            </w:pPr>
            <w:r>
              <w:rPr>
                <w:rFonts w:ascii="Times New Roman" w:cs="Times New Roman" w:eastAsia="Times New Roman" w:hAnsi="Times New Roman"/>
                <w:sz w:val="8"/>
                <w:szCs w:val="8"/>
                <w:b w:val="1"/>
                <w:bCs w:val="1"/>
                <w:color w:val="005AFF"/>
              </w:rPr>
              <w:t>Vesting outcome</w:t>
            </w:r>
          </w:p>
        </w:tc>
        <w:tc>
          <w:tcPr>
            <w:tcW w:w="620" w:type="dxa"/>
            <w:vAlign w:val="bottom"/>
          </w:tcPr>
          <w:p>
            <w:pPr>
              <w:spacing w:after="0"/>
              <w:rPr>
                <w:sz w:val="8"/>
                <w:szCs w:val="8"/>
                <w:color w:val="auto"/>
              </w:rPr>
            </w:pPr>
          </w:p>
        </w:tc>
        <w:tc>
          <w:tcPr>
            <w:tcW w:w="20" w:type="dxa"/>
            <w:vAlign w:val="bottom"/>
          </w:tcPr>
          <w:p>
            <w:pPr>
              <w:spacing w:after="0"/>
              <w:rPr>
                <w:sz w:val="8"/>
                <w:szCs w:val="8"/>
                <w:color w:val="auto"/>
              </w:rPr>
            </w:pPr>
          </w:p>
        </w:tc>
      </w:tr>
      <w:tr>
        <w:trPr>
          <w:trHeight w:val="114"/>
        </w:trPr>
        <w:tc>
          <w:tcPr>
            <w:tcW w:w="258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eLTI matching performance shares vested during the year</w:t>
            </w:r>
          </w:p>
        </w:tc>
        <w:tc>
          <w:tcPr>
            <w:tcW w:w="1140" w:type="dxa"/>
            <w:vAlign w:val="bottom"/>
          </w:tcPr>
          <w:p>
            <w:pPr>
              <w:jc w:val="center"/>
              <w:ind w:left="314"/>
              <w:spacing w:after="0"/>
              <w:rPr>
                <w:sz w:val="20"/>
                <w:szCs w:val="20"/>
                <w:color w:val="auto"/>
              </w:rPr>
            </w:pPr>
            <w:r>
              <w:rPr>
                <w:rFonts w:ascii="Times New Roman" w:cs="Times New Roman" w:eastAsia="Times New Roman" w:hAnsi="Times New Roman"/>
                <w:sz w:val="8"/>
                <w:szCs w:val="8"/>
                <w:b w:val="1"/>
                <w:bCs w:val="1"/>
                <w:color w:val="005AFF"/>
                <w:w w:val="98"/>
              </w:rPr>
              <w:t>Units granted</w:t>
            </w:r>
          </w:p>
        </w:tc>
        <w:tc>
          <w:tcPr>
            <w:tcW w:w="760" w:type="dxa"/>
            <w:vAlign w:val="bottom"/>
          </w:tcPr>
          <w:p>
            <w:pPr>
              <w:jc w:val="right"/>
              <w:ind w:right="76"/>
              <w:spacing w:after="0"/>
              <w:rPr>
                <w:sz w:val="20"/>
                <w:szCs w:val="20"/>
                <w:color w:val="auto"/>
              </w:rPr>
            </w:pPr>
            <w:r>
              <w:rPr>
                <w:rFonts w:ascii="Times New Roman" w:cs="Times New Roman" w:eastAsia="Times New Roman" w:hAnsi="Times New Roman"/>
                <w:sz w:val="8"/>
                <w:szCs w:val="8"/>
                <w:b w:val="1"/>
                <w:bCs w:val="1"/>
                <w:color w:val="005AFF"/>
              </w:rPr>
              <w:t>price (EUR)</w:t>
            </w:r>
          </w:p>
        </w:tc>
        <w:tc>
          <w:tcPr>
            <w:tcW w:w="660" w:type="dxa"/>
            <w:vAlign w:val="bottom"/>
          </w:tcPr>
          <w:p>
            <w:pPr>
              <w:ind w:left="400"/>
              <w:spacing w:after="0"/>
              <w:rPr>
                <w:sz w:val="20"/>
                <w:szCs w:val="20"/>
                <w:color w:val="auto"/>
              </w:rPr>
            </w:pPr>
            <w:r>
              <w:rPr>
                <w:rFonts w:ascii="Times New Roman" w:cs="Times New Roman" w:eastAsia="Times New Roman" w:hAnsi="Times New Roman"/>
                <w:sz w:val="8"/>
                <w:szCs w:val="8"/>
                <w:b w:val="1"/>
                <w:bCs w:val="1"/>
                <w:color w:val="005AFF"/>
              </w:rPr>
              <w:t>(EUR)</w:t>
            </w:r>
          </w:p>
        </w:tc>
        <w:tc>
          <w:tcPr>
            <w:tcW w:w="820" w:type="dxa"/>
            <w:vAlign w:val="bottom"/>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 of target)</w:t>
            </w:r>
          </w:p>
        </w:tc>
        <w:tc>
          <w:tcPr>
            <w:tcW w:w="640" w:type="dxa"/>
            <w:vAlign w:val="bottom"/>
            <w:gridSpan w:val="2"/>
          </w:tcPr>
          <w:p>
            <w:pPr>
              <w:jc w:val="right"/>
              <w:ind w:right="100"/>
              <w:spacing w:after="0"/>
              <w:rPr>
                <w:sz w:val="20"/>
                <w:szCs w:val="20"/>
                <w:color w:val="auto"/>
              </w:rPr>
            </w:pPr>
            <w:r>
              <w:rPr>
                <w:rFonts w:ascii="Times New Roman" w:cs="Times New Roman" w:eastAsia="Times New Roman" w:hAnsi="Times New Roman"/>
                <w:sz w:val="8"/>
                <w:szCs w:val="8"/>
                <w:b w:val="1"/>
                <w:bCs w:val="1"/>
                <w:color w:val="005AFF"/>
              </w:rPr>
              <w:t>Units vested</w:t>
            </w:r>
          </w:p>
        </w:tc>
      </w:tr>
      <w:tr>
        <w:trPr>
          <w:trHeight w:val="145"/>
        </w:trPr>
        <w:tc>
          <w:tcPr>
            <w:tcW w:w="2580" w:type="dxa"/>
            <w:vAlign w:val="bottom"/>
            <w:tcBorders>
              <w:top w:val="single" w:sz="8" w:color="005AFF"/>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2020 eLTI matching performance shares</w:t>
            </w:r>
          </w:p>
        </w:tc>
        <w:tc>
          <w:tcPr>
            <w:tcW w:w="1140" w:type="dxa"/>
            <w:vAlign w:val="bottom"/>
            <w:tcBorders>
              <w:top w:val="single" w:sz="8" w:color="005AFF"/>
              <w:bottom w:val="single" w:sz="8" w:color="005AFF"/>
            </w:tcBorders>
          </w:tcPr>
          <w:p>
            <w:pPr>
              <w:jc w:val="right"/>
              <w:ind w:right="134"/>
              <w:spacing w:after="0"/>
              <w:rPr>
                <w:sz w:val="20"/>
                <w:szCs w:val="20"/>
                <w:color w:val="auto"/>
              </w:rPr>
            </w:pPr>
            <w:r>
              <w:rPr>
                <w:rFonts w:ascii="Times New Roman" w:cs="Times New Roman" w:eastAsia="Times New Roman" w:hAnsi="Times New Roman"/>
                <w:sz w:val="10"/>
                <w:szCs w:val="10"/>
                <w:color w:val="0D0D0D"/>
              </w:rPr>
              <w:t>1 390 894</w:t>
            </w:r>
          </w:p>
        </w:tc>
        <w:tc>
          <w:tcPr>
            <w:tcW w:w="760" w:type="dxa"/>
            <w:vAlign w:val="bottom"/>
            <w:tcBorders>
              <w:top w:val="single" w:sz="8" w:color="005AFF"/>
              <w:bottom w:val="single" w:sz="8" w:color="005AFF"/>
            </w:tcBorders>
          </w:tcPr>
          <w:p>
            <w:pPr>
              <w:jc w:val="right"/>
              <w:ind w:right="136"/>
              <w:spacing w:after="0"/>
              <w:rPr>
                <w:sz w:val="20"/>
                <w:szCs w:val="20"/>
                <w:color w:val="auto"/>
              </w:rPr>
            </w:pPr>
            <w:r>
              <w:rPr>
                <w:rFonts w:ascii="Times New Roman" w:cs="Times New Roman" w:eastAsia="Times New Roman" w:hAnsi="Times New Roman"/>
                <w:sz w:val="10"/>
                <w:szCs w:val="10"/>
                <w:color w:val="0D0D0D"/>
              </w:rPr>
              <w:t>5.35</w:t>
            </w:r>
          </w:p>
        </w:tc>
        <w:tc>
          <w:tcPr>
            <w:tcW w:w="660" w:type="dxa"/>
            <w:vAlign w:val="bottom"/>
            <w:tcBorders>
              <w:top w:val="single" w:sz="8" w:color="005AFF"/>
              <w:bottom w:val="single" w:sz="8" w:color="005AFF"/>
            </w:tcBorders>
          </w:tcPr>
          <w:p>
            <w:pPr>
              <w:ind w:left="380"/>
              <w:spacing w:after="0"/>
              <w:rPr>
                <w:sz w:val="20"/>
                <w:szCs w:val="20"/>
                <w:color w:val="auto"/>
              </w:rPr>
            </w:pPr>
            <w:r>
              <w:rPr>
                <w:rFonts w:ascii="Times New Roman" w:cs="Times New Roman" w:eastAsia="Times New Roman" w:hAnsi="Times New Roman"/>
                <w:sz w:val="10"/>
                <w:szCs w:val="10"/>
                <w:color w:val="0D0D0D"/>
              </w:rPr>
              <w:t>3.72</w:t>
            </w:r>
          </w:p>
        </w:tc>
        <w:tc>
          <w:tcPr>
            <w:tcW w:w="820" w:type="dxa"/>
            <w:vAlign w:val="bottom"/>
            <w:tcBorders>
              <w:top w:val="single" w:sz="8" w:color="005AFF"/>
              <w:bottom w:val="single" w:sz="8" w:color="005AFF"/>
            </w:tcBorders>
          </w:tcPr>
          <w:p>
            <w:pPr>
              <w:jc w:val="right"/>
              <w:ind w:right="136"/>
              <w:spacing w:after="0"/>
              <w:rPr>
                <w:sz w:val="20"/>
                <w:szCs w:val="20"/>
                <w:color w:val="auto"/>
              </w:rPr>
            </w:pPr>
            <w:r>
              <w:rPr>
                <w:rFonts w:ascii="Times New Roman" w:cs="Times New Roman" w:eastAsia="Times New Roman" w:hAnsi="Times New Roman"/>
                <w:sz w:val="10"/>
                <w:szCs w:val="10"/>
                <w:color w:val="0D0D0D"/>
              </w:rPr>
              <w:t>0.00</w:t>
            </w:r>
          </w:p>
        </w:tc>
        <w:tc>
          <w:tcPr>
            <w:tcW w:w="620" w:type="dxa"/>
            <w:vAlign w:val="bottom"/>
            <w:tcBorders>
              <w:top w:val="single" w:sz="8" w:color="005AFF"/>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0</w:t>
            </w:r>
          </w:p>
        </w:tc>
        <w:tc>
          <w:tcPr>
            <w:tcW w:w="20" w:type="dxa"/>
            <w:vAlign w:val="bottom"/>
          </w:tcPr>
          <w:p>
            <w:pPr>
              <w:spacing w:after="0"/>
              <w:rPr>
                <w:sz w:val="12"/>
                <w:szCs w:val="12"/>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70" w:name="page71"/>
    <w:bookmarkEnd w:id="70"/>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63</w:t>
            </w:r>
          </w:p>
        </w:tc>
        <w:tc>
          <w:tcPr>
            <w:tcW w:w="0" w:type="dxa"/>
            <w:vAlign w:val="bottom"/>
          </w:tcPr>
          <w:p>
            <w:pPr>
              <w:spacing w:after="0"/>
              <w:rPr>
                <w:sz w:val="1"/>
                <w:szCs w:val="1"/>
                <w:color w:val="auto"/>
              </w:rPr>
            </w:pPr>
          </w:p>
        </w:tc>
      </w:tr>
      <w:tr>
        <w:trPr>
          <w:trHeight w:val="130"/>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6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88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168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200" w:lineRule="exact"/>
        <w:rPr>
          <w:sz w:val="20"/>
          <w:szCs w:val="20"/>
          <w:color w:val="auto"/>
        </w:rPr>
      </w:pPr>
    </w:p>
    <w:p>
      <w:pPr>
        <w:spacing w:after="0" w:line="22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The President and CEO’s share ownership and unvested share awards</w:t>
      </w:r>
    </w:p>
    <w:p>
      <w:pPr>
        <w:spacing w:after="0" w:line="32" w:lineRule="exact"/>
        <w:rPr>
          <w:sz w:val="20"/>
          <w:szCs w:val="20"/>
          <w:color w:val="auto"/>
        </w:rPr>
      </w:pPr>
    </w:p>
    <w:p>
      <w:pPr>
        <w:jc w:val="both"/>
        <w:ind w:left="160" w:right="3940"/>
        <w:spacing w:after="0" w:line="279" w:lineRule="auto"/>
        <w:rPr>
          <w:sz w:val="20"/>
          <w:szCs w:val="20"/>
          <w:color w:val="auto"/>
        </w:rPr>
      </w:pPr>
      <w:r>
        <w:rPr>
          <w:rFonts w:ascii="Times New Roman" w:cs="Times New Roman" w:eastAsia="Times New Roman" w:hAnsi="Times New Roman"/>
          <w:sz w:val="11"/>
          <w:szCs w:val="11"/>
          <w:color w:val="auto"/>
        </w:rPr>
        <w:t>Our share ownership policy requires that the President and CEO holds a minimum of three times his or her annual base salary in Nokia shares in order to ensure alignment with shareholder interests over the long term. Pekka Lundmark significantly exceeds this requirement with a holding of 346%, well within the five-year allotted period.</w:t>
      </w:r>
    </w:p>
    <w:p>
      <w:pPr>
        <w:spacing w:after="0" w:line="117" w:lineRule="exact"/>
        <w:rPr>
          <w:sz w:val="20"/>
          <w:szCs w:val="20"/>
          <w:color w:val="auto"/>
        </w:rPr>
      </w:pPr>
    </w:p>
    <w:tbl>
      <w:tblPr>
        <w:tblLayout w:type="fixed"/>
        <w:tblInd w:w="140" w:type="dxa"/>
        <w:tblCellMar>
          <w:top w:w="0" w:type="dxa"/>
          <w:left w:w="0" w:type="dxa"/>
          <w:bottom w:w="0" w:type="dxa"/>
          <w:right w:w="0" w:type="dxa"/>
        </w:tblCellMar>
      </w:tblPr>
      <w:tr>
        <w:trPr>
          <w:trHeight w:val="114"/>
        </w:trPr>
        <w:tc>
          <w:tcPr>
            <w:tcW w:w="2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Pekka Lundmark</w:t>
            </w:r>
          </w:p>
        </w:tc>
        <w:tc>
          <w:tcPr>
            <w:tcW w:w="1480" w:type="dxa"/>
            <w:vAlign w:val="bottom"/>
            <w:tcBorders>
              <w:bottom w:val="single" w:sz="8" w:color="005AFF"/>
            </w:tcBorders>
          </w:tcPr>
          <w:p>
            <w:pPr>
              <w:spacing w:after="0"/>
              <w:rPr>
                <w:sz w:val="9"/>
                <w:szCs w:val="9"/>
                <w:color w:val="auto"/>
              </w:rPr>
            </w:pPr>
          </w:p>
        </w:tc>
        <w:tc>
          <w:tcPr>
            <w:tcW w:w="194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Units</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Value </w:t>
            </w:r>
            <w:r>
              <w:rPr>
                <w:rFonts w:ascii="Times New Roman" w:cs="Times New Roman" w:eastAsia="Times New Roman" w:hAnsi="Times New Roman"/>
                <w:sz w:val="5"/>
                <w:szCs w:val="5"/>
                <w:b w:val="1"/>
                <w:bCs w:val="1"/>
                <w:color w:val="005AFF"/>
              </w:rPr>
              <w:t>(1)</w:t>
            </w:r>
            <w:r>
              <w:rPr>
                <w:rFonts w:ascii="Times New Roman" w:cs="Times New Roman" w:eastAsia="Times New Roman" w:hAnsi="Times New Roman"/>
                <w:sz w:val="8"/>
                <w:szCs w:val="8"/>
                <w:b w:val="1"/>
                <w:bCs w:val="1"/>
                <w:color w:val="005AFF"/>
              </w:rPr>
              <w:t xml:space="preserve"> (EUR)</w:t>
            </w:r>
          </w:p>
        </w:tc>
        <w:tc>
          <w:tcPr>
            <w:tcW w:w="0" w:type="dxa"/>
            <w:vAlign w:val="bottom"/>
          </w:tcPr>
          <w:p>
            <w:pPr>
              <w:spacing w:after="0"/>
              <w:rPr>
                <w:sz w:val="1"/>
                <w:szCs w:val="1"/>
                <w:color w:val="auto"/>
              </w:rPr>
            </w:pPr>
          </w:p>
        </w:tc>
      </w:tr>
      <w:tr>
        <w:trPr>
          <w:trHeight w:val="140"/>
        </w:trPr>
        <w:tc>
          <w:tcPr>
            <w:tcW w:w="23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Beneficially owned shares at 31 December 2023</w:t>
            </w:r>
          </w:p>
        </w:tc>
        <w:tc>
          <w:tcPr>
            <w:tcW w:w="1480" w:type="dxa"/>
            <w:vAlign w:val="bottom"/>
          </w:tcPr>
          <w:p>
            <w:pPr>
              <w:spacing w:after="0"/>
              <w:rPr>
                <w:sz w:val="12"/>
                <w:szCs w:val="12"/>
                <w:color w:val="auto"/>
              </w:rPr>
            </w:pPr>
          </w:p>
        </w:tc>
        <w:tc>
          <w:tcPr>
            <w:tcW w:w="1940" w:type="dxa"/>
            <w:vAlign w:val="bottom"/>
          </w:tcPr>
          <w:p>
            <w:pPr>
              <w:jc w:val="right"/>
              <w:ind w:right="192"/>
              <w:spacing w:after="0"/>
              <w:rPr>
                <w:sz w:val="20"/>
                <w:szCs w:val="20"/>
                <w:color w:val="auto"/>
              </w:rPr>
            </w:pPr>
            <w:r>
              <w:rPr>
                <w:rFonts w:ascii="Times New Roman" w:cs="Times New Roman" w:eastAsia="Times New Roman" w:hAnsi="Times New Roman"/>
                <w:sz w:val="10"/>
                <w:szCs w:val="10"/>
                <w:color w:val="0D0D0D"/>
              </w:rPr>
              <w:t>1 473 060</w:t>
            </w:r>
          </w:p>
        </w:tc>
        <w:tc>
          <w:tcPr>
            <w:tcW w:w="74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4 495 779</w:t>
            </w:r>
          </w:p>
        </w:tc>
        <w:tc>
          <w:tcPr>
            <w:tcW w:w="0" w:type="dxa"/>
            <w:vAlign w:val="bottom"/>
          </w:tcPr>
          <w:p>
            <w:pPr>
              <w:spacing w:after="0"/>
              <w:rPr>
                <w:sz w:val="1"/>
                <w:szCs w:val="1"/>
                <w:color w:val="auto"/>
              </w:rPr>
            </w:pPr>
          </w:p>
        </w:tc>
      </w:tr>
      <w:tr>
        <w:trPr>
          <w:trHeight w:val="111"/>
        </w:trPr>
        <w:tc>
          <w:tcPr>
            <w:tcW w:w="2380" w:type="dxa"/>
            <w:vAlign w:val="bottom"/>
            <w:vMerge w:val="restart"/>
          </w:tcPr>
          <w:p>
            <w:pPr>
              <w:ind w:left="60"/>
              <w:spacing w:after="0"/>
              <w:rPr>
                <w:sz w:val="20"/>
                <w:szCs w:val="20"/>
                <w:color w:val="auto"/>
              </w:rPr>
            </w:pPr>
            <w:r>
              <w:rPr>
                <w:rFonts w:ascii="Times New Roman" w:cs="Times New Roman" w:eastAsia="Times New Roman" w:hAnsi="Times New Roman"/>
                <w:sz w:val="10"/>
                <w:szCs w:val="10"/>
                <w:color w:val="0D0D0D"/>
              </w:rPr>
              <w:t>Unvested shares under outstanding Nokia equity plans</w:t>
            </w:r>
          </w:p>
        </w:tc>
        <w:tc>
          <w:tcPr>
            <w:tcW w:w="1480" w:type="dxa"/>
            <w:vAlign w:val="bottom"/>
          </w:tcPr>
          <w:p>
            <w:pPr>
              <w:jc w:val="right"/>
              <w:ind w:right="1247"/>
              <w:spacing w:after="0"/>
              <w:rPr>
                <w:sz w:val="20"/>
                <w:szCs w:val="20"/>
                <w:color w:val="auto"/>
              </w:rPr>
            </w:pPr>
            <w:r>
              <w:rPr>
                <w:rFonts w:ascii="Times New Roman" w:cs="Times New Roman" w:eastAsia="Times New Roman" w:hAnsi="Times New Roman"/>
                <w:sz w:val="7"/>
                <w:szCs w:val="7"/>
                <w:color w:val="0D0D0D"/>
              </w:rPr>
              <w:t>(2)</w:t>
            </w:r>
          </w:p>
        </w:tc>
        <w:tc>
          <w:tcPr>
            <w:tcW w:w="1940" w:type="dxa"/>
            <w:vAlign w:val="bottom"/>
            <w:vMerge w:val="restart"/>
          </w:tcPr>
          <w:p>
            <w:pPr>
              <w:jc w:val="right"/>
              <w:ind w:right="192"/>
              <w:spacing w:after="0"/>
              <w:rPr>
                <w:sz w:val="20"/>
                <w:szCs w:val="20"/>
                <w:color w:val="auto"/>
              </w:rPr>
            </w:pPr>
            <w:r>
              <w:rPr>
                <w:rFonts w:ascii="Times New Roman" w:cs="Times New Roman" w:eastAsia="Times New Roman" w:hAnsi="Times New Roman"/>
                <w:sz w:val="10"/>
                <w:szCs w:val="10"/>
                <w:color w:val="0D0D0D"/>
              </w:rPr>
              <w:t>2 910 980</w:t>
            </w:r>
          </w:p>
        </w:tc>
        <w:tc>
          <w:tcPr>
            <w:tcW w:w="740" w:type="dxa"/>
            <w:vAlign w:val="bottom"/>
            <w:vMerge w:val="restart"/>
          </w:tcPr>
          <w:p>
            <w:pPr>
              <w:jc w:val="right"/>
              <w:ind w:right="52"/>
              <w:spacing w:after="0"/>
              <w:rPr>
                <w:sz w:val="20"/>
                <w:szCs w:val="20"/>
                <w:color w:val="auto"/>
              </w:rPr>
            </w:pPr>
            <w:r>
              <w:rPr>
                <w:rFonts w:ascii="Times New Roman" w:cs="Times New Roman" w:eastAsia="Times New Roman" w:hAnsi="Times New Roman"/>
                <w:sz w:val="10"/>
                <w:szCs w:val="10"/>
                <w:color w:val="0D0D0D"/>
              </w:rPr>
              <w:t>8 884 310</w:t>
            </w:r>
          </w:p>
        </w:tc>
        <w:tc>
          <w:tcPr>
            <w:tcW w:w="0" w:type="dxa"/>
            <w:vAlign w:val="bottom"/>
          </w:tcPr>
          <w:p>
            <w:pPr>
              <w:spacing w:after="0"/>
              <w:rPr>
                <w:sz w:val="1"/>
                <w:szCs w:val="1"/>
                <w:color w:val="auto"/>
              </w:rPr>
            </w:pPr>
          </w:p>
        </w:tc>
      </w:tr>
      <w:tr>
        <w:trPr>
          <w:trHeight w:val="56"/>
        </w:trPr>
        <w:tc>
          <w:tcPr>
            <w:tcW w:w="2380" w:type="dxa"/>
            <w:vAlign w:val="bottom"/>
            <w:tcBorders>
              <w:bottom w:val="single" w:sz="8" w:color="005AFF"/>
            </w:tcBorders>
            <w:vMerge w:val="continue"/>
          </w:tcPr>
          <w:p>
            <w:pPr>
              <w:spacing w:after="0"/>
              <w:rPr>
                <w:sz w:val="4"/>
                <w:szCs w:val="4"/>
                <w:color w:val="auto"/>
              </w:rPr>
            </w:pPr>
          </w:p>
        </w:tc>
        <w:tc>
          <w:tcPr>
            <w:tcW w:w="1480" w:type="dxa"/>
            <w:vAlign w:val="bottom"/>
            <w:tcBorders>
              <w:bottom w:val="single" w:sz="8" w:color="005AFF"/>
            </w:tcBorders>
          </w:tcPr>
          <w:p>
            <w:pPr>
              <w:spacing w:after="0"/>
              <w:rPr>
                <w:sz w:val="4"/>
                <w:szCs w:val="4"/>
                <w:color w:val="auto"/>
              </w:rPr>
            </w:pPr>
          </w:p>
        </w:tc>
        <w:tc>
          <w:tcPr>
            <w:tcW w:w="1940" w:type="dxa"/>
            <w:vAlign w:val="bottom"/>
            <w:tcBorders>
              <w:bottom w:val="single" w:sz="8" w:color="005AFF"/>
            </w:tcBorders>
            <w:vMerge w:val="continue"/>
          </w:tcPr>
          <w:p>
            <w:pPr>
              <w:spacing w:after="0"/>
              <w:rPr>
                <w:sz w:val="4"/>
                <w:szCs w:val="4"/>
                <w:color w:val="auto"/>
              </w:rPr>
            </w:pPr>
          </w:p>
        </w:tc>
        <w:tc>
          <w:tcPr>
            <w:tcW w:w="74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42"/>
        </w:trPr>
        <w:tc>
          <w:tcPr>
            <w:tcW w:w="23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480" w:type="dxa"/>
            <w:vAlign w:val="bottom"/>
            <w:tcBorders>
              <w:bottom w:val="single" w:sz="8" w:color="005AFF"/>
            </w:tcBorders>
          </w:tcPr>
          <w:p>
            <w:pPr>
              <w:spacing w:after="0"/>
              <w:rPr>
                <w:sz w:val="12"/>
                <w:szCs w:val="12"/>
                <w:color w:val="auto"/>
              </w:rPr>
            </w:pPr>
          </w:p>
        </w:tc>
        <w:tc>
          <w:tcPr>
            <w:tcW w:w="1940" w:type="dxa"/>
            <w:vAlign w:val="bottom"/>
            <w:tcBorders>
              <w:bottom w:val="single" w:sz="8" w:color="005AFF"/>
            </w:tcBorders>
          </w:tcPr>
          <w:p>
            <w:pPr>
              <w:jc w:val="right"/>
              <w:ind w:right="192"/>
              <w:spacing w:after="0"/>
              <w:rPr>
                <w:sz w:val="20"/>
                <w:szCs w:val="20"/>
                <w:color w:val="auto"/>
              </w:rPr>
            </w:pPr>
            <w:r>
              <w:rPr>
                <w:rFonts w:ascii="Times New Roman" w:cs="Times New Roman" w:eastAsia="Times New Roman" w:hAnsi="Times New Roman"/>
                <w:sz w:val="10"/>
                <w:szCs w:val="10"/>
                <w:b w:val="1"/>
                <w:bCs w:val="1"/>
                <w:color w:val="005AFF"/>
              </w:rPr>
              <w:t>4 384 040</w:t>
            </w:r>
          </w:p>
        </w:tc>
        <w:tc>
          <w:tcPr>
            <w:tcW w:w="74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10"/>
                <w:szCs w:val="10"/>
                <w:b w:val="1"/>
                <w:bCs w:val="1"/>
                <w:color w:val="005AFF"/>
              </w:rPr>
              <w:t>13 380 089</w:t>
            </w:r>
          </w:p>
        </w:tc>
        <w:tc>
          <w:tcPr>
            <w:tcW w:w="0" w:type="dxa"/>
            <w:vAlign w:val="bottom"/>
          </w:tcPr>
          <w:p>
            <w:pPr>
              <w:spacing w:after="0"/>
              <w:rPr>
                <w:sz w:val="1"/>
                <w:szCs w:val="1"/>
                <w:color w:val="auto"/>
              </w:rPr>
            </w:pPr>
          </w:p>
        </w:tc>
      </w:tr>
    </w:tbl>
    <w:p>
      <w:pPr>
        <w:spacing w:after="0" w:line="61" w:lineRule="exact"/>
        <w:rPr>
          <w:sz w:val="20"/>
          <w:szCs w:val="20"/>
          <w:color w:val="auto"/>
        </w:rPr>
      </w:pPr>
    </w:p>
    <w:p>
      <w:pPr>
        <w:ind w:left="280" w:hanging="126"/>
        <w:spacing w:after="0"/>
        <w:tabs>
          <w:tab w:leader="none" w:pos="280" w:val="left"/>
        </w:tabs>
        <w:numPr>
          <w:ilvl w:val="0"/>
          <w:numId w:val="4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values are based on the closing price of a Nokia share of EUR 3.052 on Nasdaq Helsinki on 29 December 2023.</w:t>
      </w:r>
    </w:p>
    <w:p>
      <w:pPr>
        <w:spacing w:after="0" w:line="7" w:lineRule="exact"/>
        <w:rPr>
          <w:rFonts w:ascii="Times New Roman" w:cs="Times New Roman" w:eastAsia="Times New Roman" w:hAnsi="Times New Roman"/>
          <w:sz w:val="8"/>
          <w:szCs w:val="8"/>
          <w:color w:val="auto"/>
        </w:rPr>
      </w:pPr>
    </w:p>
    <w:p>
      <w:pPr>
        <w:ind w:left="280" w:hanging="126"/>
        <w:spacing w:after="0"/>
        <w:tabs>
          <w:tab w:leader="none" w:pos="280" w:val="left"/>
        </w:tabs>
        <w:numPr>
          <w:ilvl w:val="0"/>
          <w:numId w:val="4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number of units represents the number of unvested awards as of 31 December 2023.</w:t>
      </w:r>
    </w:p>
    <w:p>
      <w:pPr>
        <w:spacing w:after="0" w:line="19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The President and CEO’s termination provisions 2023</w:t>
      </w:r>
    </w:p>
    <w:p>
      <w:pPr>
        <w:spacing w:after="0" w:line="74" w:lineRule="exact"/>
        <w:rPr>
          <w:sz w:val="20"/>
          <w:szCs w:val="20"/>
          <w:color w:val="auto"/>
        </w:rPr>
      </w:pPr>
    </w:p>
    <w:tbl>
      <w:tblPr>
        <w:tblLayout w:type="fixed"/>
        <w:tblInd w:w="140" w:type="dxa"/>
        <w:tblCellMar>
          <w:top w:w="0" w:type="dxa"/>
          <w:left w:w="0" w:type="dxa"/>
          <w:bottom w:w="0" w:type="dxa"/>
          <w:right w:w="0" w:type="dxa"/>
        </w:tblCellMar>
      </w:tblPr>
      <w:tr>
        <w:trPr>
          <w:trHeight w:val="106"/>
        </w:trPr>
        <w:tc>
          <w:tcPr>
            <w:tcW w:w="72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Termination by</w:t>
            </w:r>
          </w:p>
        </w:tc>
        <w:tc>
          <w:tcPr>
            <w:tcW w:w="9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Reason</w:t>
            </w:r>
          </w:p>
        </w:tc>
        <w:tc>
          <w:tcPr>
            <w:tcW w:w="900" w:type="dxa"/>
            <w:vAlign w:val="bottom"/>
          </w:tcPr>
          <w:p>
            <w:pPr>
              <w:ind w:left="100"/>
              <w:spacing w:after="0"/>
              <w:rPr>
                <w:sz w:val="20"/>
                <w:szCs w:val="20"/>
                <w:color w:val="auto"/>
              </w:rPr>
            </w:pPr>
            <w:r>
              <w:rPr>
                <w:rFonts w:ascii="Times New Roman" w:cs="Times New Roman" w:eastAsia="Times New Roman" w:hAnsi="Times New Roman"/>
                <w:sz w:val="8"/>
                <w:szCs w:val="8"/>
                <w:b w:val="1"/>
                <w:bCs w:val="1"/>
                <w:color w:val="005AFF"/>
              </w:rPr>
              <w:t>Notice</w:t>
            </w:r>
          </w:p>
        </w:tc>
        <w:tc>
          <w:tcPr>
            <w:tcW w:w="394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Compensation</w:t>
            </w:r>
          </w:p>
        </w:tc>
      </w:tr>
      <w:tr>
        <w:trPr>
          <w:trHeight w:val="27"/>
        </w:trPr>
        <w:tc>
          <w:tcPr>
            <w:tcW w:w="720" w:type="dxa"/>
            <w:vAlign w:val="bottom"/>
            <w:tcBorders>
              <w:bottom w:val="single" w:sz="8" w:color="005AFF"/>
            </w:tcBorders>
          </w:tcPr>
          <w:p>
            <w:pPr>
              <w:spacing w:after="0"/>
              <w:rPr>
                <w:sz w:val="2"/>
                <w:szCs w:val="2"/>
                <w:color w:val="auto"/>
              </w:rPr>
            </w:pPr>
          </w:p>
        </w:tc>
        <w:tc>
          <w:tcPr>
            <w:tcW w:w="980" w:type="dxa"/>
            <w:vAlign w:val="bottom"/>
            <w:tcBorders>
              <w:bottom w:val="single" w:sz="8" w:color="005AFF"/>
            </w:tcBorders>
          </w:tcPr>
          <w:p>
            <w:pPr>
              <w:spacing w:after="0"/>
              <w:rPr>
                <w:sz w:val="2"/>
                <w:szCs w:val="2"/>
                <w:color w:val="auto"/>
              </w:rPr>
            </w:pPr>
          </w:p>
        </w:tc>
        <w:tc>
          <w:tcPr>
            <w:tcW w:w="900" w:type="dxa"/>
            <w:vAlign w:val="bottom"/>
            <w:tcBorders>
              <w:bottom w:val="single" w:sz="8" w:color="005AFF"/>
            </w:tcBorders>
          </w:tcPr>
          <w:p>
            <w:pPr>
              <w:spacing w:after="0"/>
              <w:rPr>
                <w:sz w:val="2"/>
                <w:szCs w:val="2"/>
                <w:color w:val="auto"/>
              </w:rPr>
            </w:pPr>
          </w:p>
        </w:tc>
        <w:tc>
          <w:tcPr>
            <w:tcW w:w="3940" w:type="dxa"/>
            <w:vAlign w:val="bottom"/>
            <w:tcBorders>
              <w:bottom w:val="single" w:sz="8" w:color="005AFF"/>
            </w:tcBorders>
          </w:tcPr>
          <w:p>
            <w:pPr>
              <w:spacing w:after="0"/>
              <w:rPr>
                <w:sz w:val="2"/>
                <w:szCs w:val="2"/>
                <w:color w:val="auto"/>
              </w:rPr>
            </w:pPr>
          </w:p>
        </w:tc>
      </w:tr>
      <w:tr>
        <w:trPr>
          <w:trHeight w:val="112"/>
        </w:trPr>
        <w:tc>
          <w:tcPr>
            <w:tcW w:w="720" w:type="dxa"/>
            <w:vAlign w:val="bottom"/>
          </w:tcPr>
          <w:p>
            <w:pPr>
              <w:ind w:left="60"/>
              <w:spacing w:after="0" w:line="113" w:lineRule="exact"/>
              <w:rPr>
                <w:sz w:val="20"/>
                <w:szCs w:val="20"/>
                <w:color w:val="auto"/>
              </w:rPr>
            </w:pPr>
            <w:r>
              <w:rPr>
                <w:rFonts w:ascii="Times New Roman" w:cs="Times New Roman" w:eastAsia="Times New Roman" w:hAnsi="Times New Roman"/>
                <w:sz w:val="10"/>
                <w:szCs w:val="10"/>
                <w:color w:val="0D0D0D"/>
              </w:rPr>
              <w:t>Nokia</w:t>
            </w:r>
          </w:p>
        </w:tc>
        <w:tc>
          <w:tcPr>
            <w:tcW w:w="98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Cause</w:t>
            </w:r>
          </w:p>
        </w:tc>
        <w:tc>
          <w:tcPr>
            <w:tcW w:w="900" w:type="dxa"/>
            <w:vAlign w:val="bottom"/>
          </w:tcPr>
          <w:p>
            <w:pPr>
              <w:ind w:left="100"/>
              <w:spacing w:after="0" w:line="113" w:lineRule="exact"/>
              <w:rPr>
                <w:sz w:val="20"/>
                <w:szCs w:val="20"/>
                <w:color w:val="auto"/>
              </w:rPr>
            </w:pPr>
            <w:r>
              <w:rPr>
                <w:rFonts w:ascii="Times New Roman" w:cs="Times New Roman" w:eastAsia="Times New Roman" w:hAnsi="Times New Roman"/>
                <w:sz w:val="10"/>
                <w:szCs w:val="10"/>
                <w:color w:val="0D0D0D"/>
              </w:rPr>
              <w:t>None</w:t>
            </w:r>
          </w:p>
        </w:tc>
        <w:tc>
          <w:tcPr>
            <w:tcW w:w="394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The President and CEO is entitled to no additional remuneration and all unvested</w:t>
            </w:r>
          </w:p>
        </w:tc>
      </w:tr>
      <w:tr>
        <w:trPr>
          <w:trHeight w:val="130"/>
        </w:trPr>
        <w:tc>
          <w:tcPr>
            <w:tcW w:w="720" w:type="dxa"/>
            <w:vAlign w:val="bottom"/>
          </w:tcPr>
          <w:p>
            <w:pPr>
              <w:spacing w:after="0"/>
              <w:rPr>
                <w:sz w:val="11"/>
                <w:szCs w:val="11"/>
                <w:color w:val="auto"/>
              </w:rPr>
            </w:pPr>
          </w:p>
        </w:tc>
        <w:tc>
          <w:tcPr>
            <w:tcW w:w="980" w:type="dxa"/>
            <w:vAlign w:val="bottom"/>
          </w:tcPr>
          <w:p>
            <w:pPr>
              <w:spacing w:after="0"/>
              <w:rPr>
                <w:sz w:val="11"/>
                <w:szCs w:val="11"/>
                <w:color w:val="auto"/>
              </w:rPr>
            </w:pPr>
          </w:p>
        </w:tc>
        <w:tc>
          <w:tcPr>
            <w:tcW w:w="900" w:type="dxa"/>
            <w:vAlign w:val="bottom"/>
          </w:tcPr>
          <w:p>
            <w:pPr>
              <w:spacing w:after="0"/>
              <w:rPr>
                <w:sz w:val="11"/>
                <w:szCs w:val="11"/>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equity awards would be forfeited after termination.</w:t>
            </w:r>
          </w:p>
        </w:tc>
      </w:tr>
      <w:tr>
        <w:trPr>
          <w:trHeight w:val="21"/>
        </w:trPr>
        <w:tc>
          <w:tcPr>
            <w:tcW w:w="720" w:type="dxa"/>
            <w:vAlign w:val="bottom"/>
            <w:tcBorders>
              <w:bottom w:val="single" w:sz="8" w:color="005AFF"/>
            </w:tcBorders>
          </w:tcPr>
          <w:p>
            <w:pPr>
              <w:spacing w:after="0" w:line="20" w:lineRule="exact"/>
              <w:rPr>
                <w:sz w:val="1"/>
                <w:szCs w:val="1"/>
                <w:color w:val="auto"/>
              </w:rPr>
            </w:pPr>
          </w:p>
        </w:tc>
        <w:tc>
          <w:tcPr>
            <w:tcW w:w="980" w:type="dxa"/>
            <w:vAlign w:val="bottom"/>
            <w:tcBorders>
              <w:bottom w:val="single" w:sz="8" w:color="005AFF"/>
            </w:tcBorders>
          </w:tcPr>
          <w:p>
            <w:pPr>
              <w:spacing w:after="0" w:line="20" w:lineRule="exact"/>
              <w:rPr>
                <w:sz w:val="1"/>
                <w:szCs w:val="1"/>
                <w:color w:val="auto"/>
              </w:rPr>
            </w:pPr>
          </w:p>
        </w:tc>
        <w:tc>
          <w:tcPr>
            <w:tcW w:w="900" w:type="dxa"/>
            <w:vAlign w:val="bottom"/>
            <w:tcBorders>
              <w:bottom w:val="single" w:sz="8" w:color="005AFF"/>
            </w:tcBorders>
          </w:tcPr>
          <w:p>
            <w:pPr>
              <w:spacing w:after="0" w:line="20" w:lineRule="exact"/>
              <w:rPr>
                <w:sz w:val="1"/>
                <w:szCs w:val="1"/>
                <w:color w:val="auto"/>
              </w:rPr>
            </w:pPr>
          </w:p>
        </w:tc>
        <w:tc>
          <w:tcPr>
            <w:tcW w:w="3940" w:type="dxa"/>
            <w:vAlign w:val="bottom"/>
            <w:tcBorders>
              <w:bottom w:val="single" w:sz="8" w:color="005AFF"/>
            </w:tcBorders>
          </w:tcPr>
          <w:p>
            <w:pPr>
              <w:spacing w:after="0" w:line="20" w:lineRule="exact"/>
              <w:rPr>
                <w:sz w:val="1"/>
                <w:szCs w:val="1"/>
                <w:color w:val="auto"/>
              </w:rPr>
            </w:pPr>
          </w:p>
        </w:tc>
      </w:tr>
      <w:tr>
        <w:trPr>
          <w:trHeight w:val="112"/>
        </w:trPr>
        <w:tc>
          <w:tcPr>
            <w:tcW w:w="720" w:type="dxa"/>
            <w:vAlign w:val="bottom"/>
          </w:tcPr>
          <w:p>
            <w:pPr>
              <w:ind w:left="60"/>
              <w:spacing w:after="0" w:line="113" w:lineRule="exact"/>
              <w:rPr>
                <w:sz w:val="20"/>
                <w:szCs w:val="20"/>
                <w:color w:val="auto"/>
              </w:rPr>
            </w:pPr>
            <w:r>
              <w:rPr>
                <w:rFonts w:ascii="Times New Roman" w:cs="Times New Roman" w:eastAsia="Times New Roman" w:hAnsi="Times New Roman"/>
                <w:sz w:val="10"/>
                <w:szCs w:val="10"/>
                <w:color w:val="0D0D0D"/>
              </w:rPr>
              <w:t>Nokia</w:t>
            </w:r>
          </w:p>
        </w:tc>
        <w:tc>
          <w:tcPr>
            <w:tcW w:w="98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Reasons other</w:t>
            </w:r>
          </w:p>
        </w:tc>
        <w:tc>
          <w:tcPr>
            <w:tcW w:w="900" w:type="dxa"/>
            <w:vAlign w:val="bottom"/>
          </w:tcPr>
          <w:p>
            <w:pPr>
              <w:ind w:left="100"/>
              <w:spacing w:after="0" w:line="113" w:lineRule="exact"/>
              <w:rPr>
                <w:sz w:val="20"/>
                <w:szCs w:val="20"/>
                <w:color w:val="auto"/>
              </w:rPr>
            </w:pPr>
            <w:r>
              <w:rPr>
                <w:rFonts w:ascii="Times New Roman" w:cs="Times New Roman" w:eastAsia="Times New Roman" w:hAnsi="Times New Roman"/>
                <w:sz w:val="10"/>
                <w:szCs w:val="10"/>
                <w:color w:val="0D0D0D"/>
              </w:rPr>
              <w:t>Up to 12 months</w:t>
            </w:r>
          </w:p>
        </w:tc>
        <w:tc>
          <w:tcPr>
            <w:tcW w:w="394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The President and CEO is entitled to a severance payment equaling up to</w:t>
            </w:r>
          </w:p>
        </w:tc>
      </w:tr>
      <w:tr>
        <w:trPr>
          <w:trHeight w:val="121"/>
        </w:trPr>
        <w:tc>
          <w:tcPr>
            <w:tcW w:w="720" w:type="dxa"/>
            <w:vAlign w:val="bottom"/>
          </w:tcPr>
          <w:p>
            <w:pPr>
              <w:spacing w:after="0"/>
              <w:rPr>
                <w:sz w:val="10"/>
                <w:szCs w:val="10"/>
                <w:color w:val="auto"/>
              </w:rPr>
            </w:pPr>
          </w:p>
        </w:tc>
        <w:tc>
          <w:tcPr>
            <w:tcW w:w="98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than cause</w:t>
            </w: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12 months’ remuneration (including annual base salary, benefits, and target short-</w:t>
            </w:r>
          </w:p>
        </w:tc>
      </w:tr>
      <w:tr>
        <w:trPr>
          <w:trHeight w:val="130"/>
        </w:trPr>
        <w:tc>
          <w:tcPr>
            <w:tcW w:w="720" w:type="dxa"/>
            <w:vAlign w:val="bottom"/>
          </w:tcPr>
          <w:p>
            <w:pPr>
              <w:spacing w:after="0"/>
              <w:rPr>
                <w:sz w:val="11"/>
                <w:szCs w:val="11"/>
                <w:color w:val="auto"/>
              </w:rPr>
            </w:pPr>
          </w:p>
        </w:tc>
        <w:tc>
          <w:tcPr>
            <w:tcW w:w="980" w:type="dxa"/>
            <w:vAlign w:val="bottom"/>
          </w:tcPr>
          <w:p>
            <w:pPr>
              <w:spacing w:after="0"/>
              <w:rPr>
                <w:sz w:val="11"/>
                <w:szCs w:val="11"/>
                <w:color w:val="auto"/>
              </w:rPr>
            </w:pPr>
          </w:p>
        </w:tc>
        <w:tc>
          <w:tcPr>
            <w:tcW w:w="900" w:type="dxa"/>
            <w:vAlign w:val="bottom"/>
          </w:tcPr>
          <w:p>
            <w:pPr>
              <w:spacing w:after="0"/>
              <w:rPr>
                <w:sz w:val="11"/>
                <w:szCs w:val="11"/>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term incentive) and unvested equity awards would be forfeited after termination.</w:t>
            </w:r>
          </w:p>
        </w:tc>
      </w:tr>
      <w:tr>
        <w:trPr>
          <w:trHeight w:val="21"/>
        </w:trPr>
        <w:tc>
          <w:tcPr>
            <w:tcW w:w="720" w:type="dxa"/>
            <w:vAlign w:val="bottom"/>
            <w:tcBorders>
              <w:bottom w:val="single" w:sz="8" w:color="005AFF"/>
            </w:tcBorders>
          </w:tcPr>
          <w:p>
            <w:pPr>
              <w:spacing w:after="0" w:line="20" w:lineRule="exact"/>
              <w:rPr>
                <w:sz w:val="1"/>
                <w:szCs w:val="1"/>
                <w:color w:val="auto"/>
              </w:rPr>
            </w:pPr>
          </w:p>
        </w:tc>
        <w:tc>
          <w:tcPr>
            <w:tcW w:w="980" w:type="dxa"/>
            <w:vAlign w:val="bottom"/>
            <w:tcBorders>
              <w:bottom w:val="single" w:sz="8" w:color="005AFF"/>
            </w:tcBorders>
          </w:tcPr>
          <w:p>
            <w:pPr>
              <w:spacing w:after="0" w:line="20" w:lineRule="exact"/>
              <w:rPr>
                <w:sz w:val="1"/>
                <w:szCs w:val="1"/>
                <w:color w:val="auto"/>
              </w:rPr>
            </w:pPr>
          </w:p>
        </w:tc>
        <w:tc>
          <w:tcPr>
            <w:tcW w:w="900" w:type="dxa"/>
            <w:vAlign w:val="bottom"/>
            <w:tcBorders>
              <w:bottom w:val="single" w:sz="8" w:color="005AFF"/>
            </w:tcBorders>
          </w:tcPr>
          <w:p>
            <w:pPr>
              <w:spacing w:after="0" w:line="20" w:lineRule="exact"/>
              <w:rPr>
                <w:sz w:val="1"/>
                <w:szCs w:val="1"/>
                <w:color w:val="auto"/>
              </w:rPr>
            </w:pPr>
          </w:p>
        </w:tc>
        <w:tc>
          <w:tcPr>
            <w:tcW w:w="3940" w:type="dxa"/>
            <w:vAlign w:val="bottom"/>
            <w:tcBorders>
              <w:bottom w:val="single" w:sz="8" w:color="005AFF"/>
            </w:tcBorders>
          </w:tcPr>
          <w:p>
            <w:pPr>
              <w:spacing w:after="0" w:line="20" w:lineRule="exact"/>
              <w:rPr>
                <w:sz w:val="1"/>
                <w:szCs w:val="1"/>
                <w:color w:val="auto"/>
              </w:rPr>
            </w:pPr>
          </w:p>
        </w:tc>
      </w:tr>
      <w:tr>
        <w:trPr>
          <w:trHeight w:val="112"/>
        </w:trPr>
        <w:tc>
          <w:tcPr>
            <w:tcW w:w="720" w:type="dxa"/>
            <w:vAlign w:val="bottom"/>
          </w:tcPr>
          <w:p>
            <w:pPr>
              <w:ind w:left="60"/>
              <w:spacing w:after="0" w:line="113" w:lineRule="exact"/>
              <w:rPr>
                <w:sz w:val="20"/>
                <w:szCs w:val="20"/>
                <w:color w:val="auto"/>
              </w:rPr>
            </w:pPr>
            <w:r>
              <w:rPr>
                <w:rFonts w:ascii="Times New Roman" w:cs="Times New Roman" w:eastAsia="Times New Roman" w:hAnsi="Times New Roman"/>
                <w:sz w:val="10"/>
                <w:szCs w:val="10"/>
                <w:color w:val="0D0D0D"/>
              </w:rPr>
              <w:t>President</w:t>
            </w:r>
          </w:p>
        </w:tc>
        <w:tc>
          <w:tcPr>
            <w:tcW w:w="98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Any reason</w:t>
            </w:r>
          </w:p>
        </w:tc>
        <w:tc>
          <w:tcPr>
            <w:tcW w:w="900" w:type="dxa"/>
            <w:vAlign w:val="bottom"/>
          </w:tcPr>
          <w:p>
            <w:pPr>
              <w:ind w:left="100"/>
              <w:spacing w:after="0" w:line="113" w:lineRule="exact"/>
              <w:rPr>
                <w:sz w:val="20"/>
                <w:szCs w:val="20"/>
                <w:color w:val="auto"/>
              </w:rPr>
            </w:pPr>
            <w:r>
              <w:rPr>
                <w:rFonts w:ascii="Times New Roman" w:cs="Times New Roman" w:eastAsia="Times New Roman" w:hAnsi="Times New Roman"/>
                <w:sz w:val="10"/>
                <w:szCs w:val="10"/>
                <w:color w:val="0D0D0D"/>
              </w:rPr>
              <w:t>12 months</w:t>
            </w:r>
          </w:p>
        </w:tc>
        <w:tc>
          <w:tcPr>
            <w:tcW w:w="394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The President and CEO may terminate his service agreement at any time with</w:t>
            </w:r>
          </w:p>
        </w:tc>
      </w:tr>
      <w:tr>
        <w:trPr>
          <w:trHeight w:val="121"/>
        </w:trPr>
        <w:tc>
          <w:tcPr>
            <w:tcW w:w="72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and CEO</w:t>
            </w:r>
          </w:p>
        </w:tc>
        <w:tc>
          <w:tcPr>
            <w:tcW w:w="98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12 months’ notice. The President and CEO would either continue to receive salary</w:t>
            </w:r>
          </w:p>
        </w:tc>
      </w:tr>
      <w:tr>
        <w:trPr>
          <w:trHeight w:val="121"/>
        </w:trPr>
        <w:tc>
          <w:tcPr>
            <w:tcW w:w="720" w:type="dxa"/>
            <w:vAlign w:val="bottom"/>
          </w:tcPr>
          <w:p>
            <w:pPr>
              <w:spacing w:after="0"/>
              <w:rPr>
                <w:sz w:val="10"/>
                <w:szCs w:val="10"/>
                <w:color w:val="auto"/>
              </w:rPr>
            </w:pPr>
          </w:p>
        </w:tc>
        <w:tc>
          <w:tcPr>
            <w:tcW w:w="98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and benefits during the notice period or, at Nokia’s discretion, a lump sum of</w:t>
            </w:r>
          </w:p>
        </w:tc>
      </w:tr>
      <w:tr>
        <w:trPr>
          <w:trHeight w:val="121"/>
        </w:trPr>
        <w:tc>
          <w:tcPr>
            <w:tcW w:w="720" w:type="dxa"/>
            <w:vAlign w:val="bottom"/>
          </w:tcPr>
          <w:p>
            <w:pPr>
              <w:spacing w:after="0"/>
              <w:rPr>
                <w:sz w:val="10"/>
                <w:szCs w:val="10"/>
                <w:color w:val="auto"/>
              </w:rPr>
            </w:pPr>
          </w:p>
        </w:tc>
        <w:tc>
          <w:tcPr>
            <w:tcW w:w="98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equivalent value. Additionally, the President and CEO would be entitled to any</w:t>
            </w:r>
          </w:p>
        </w:tc>
      </w:tr>
      <w:tr>
        <w:trPr>
          <w:trHeight w:val="121"/>
        </w:trPr>
        <w:tc>
          <w:tcPr>
            <w:tcW w:w="720" w:type="dxa"/>
            <w:vAlign w:val="bottom"/>
          </w:tcPr>
          <w:p>
            <w:pPr>
              <w:spacing w:after="0"/>
              <w:rPr>
                <w:sz w:val="10"/>
                <w:szCs w:val="10"/>
                <w:color w:val="auto"/>
              </w:rPr>
            </w:pPr>
          </w:p>
        </w:tc>
        <w:tc>
          <w:tcPr>
            <w:tcW w:w="98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short- or long-term incentives that would normally vest during the notice period.</w:t>
            </w:r>
          </w:p>
        </w:tc>
      </w:tr>
      <w:tr>
        <w:trPr>
          <w:trHeight w:val="130"/>
        </w:trPr>
        <w:tc>
          <w:tcPr>
            <w:tcW w:w="720" w:type="dxa"/>
            <w:vAlign w:val="bottom"/>
          </w:tcPr>
          <w:p>
            <w:pPr>
              <w:spacing w:after="0"/>
              <w:rPr>
                <w:sz w:val="11"/>
                <w:szCs w:val="11"/>
                <w:color w:val="auto"/>
              </w:rPr>
            </w:pPr>
          </w:p>
        </w:tc>
        <w:tc>
          <w:tcPr>
            <w:tcW w:w="980" w:type="dxa"/>
            <w:vAlign w:val="bottom"/>
          </w:tcPr>
          <w:p>
            <w:pPr>
              <w:spacing w:after="0"/>
              <w:rPr>
                <w:sz w:val="11"/>
                <w:szCs w:val="11"/>
                <w:color w:val="auto"/>
              </w:rPr>
            </w:pPr>
          </w:p>
        </w:tc>
        <w:tc>
          <w:tcPr>
            <w:tcW w:w="900" w:type="dxa"/>
            <w:vAlign w:val="bottom"/>
          </w:tcPr>
          <w:p>
            <w:pPr>
              <w:spacing w:after="0"/>
              <w:rPr>
                <w:sz w:val="11"/>
                <w:szCs w:val="11"/>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Any unvested equity awards would be forfeited after termination.</w:t>
            </w:r>
          </w:p>
        </w:tc>
      </w:tr>
      <w:tr>
        <w:trPr>
          <w:trHeight w:val="21"/>
        </w:trPr>
        <w:tc>
          <w:tcPr>
            <w:tcW w:w="720" w:type="dxa"/>
            <w:vAlign w:val="bottom"/>
            <w:tcBorders>
              <w:bottom w:val="single" w:sz="8" w:color="005AFF"/>
            </w:tcBorders>
          </w:tcPr>
          <w:p>
            <w:pPr>
              <w:spacing w:after="0" w:line="20" w:lineRule="exact"/>
              <w:rPr>
                <w:sz w:val="1"/>
                <w:szCs w:val="1"/>
                <w:color w:val="auto"/>
              </w:rPr>
            </w:pPr>
          </w:p>
        </w:tc>
        <w:tc>
          <w:tcPr>
            <w:tcW w:w="980" w:type="dxa"/>
            <w:vAlign w:val="bottom"/>
            <w:tcBorders>
              <w:bottom w:val="single" w:sz="8" w:color="005AFF"/>
            </w:tcBorders>
          </w:tcPr>
          <w:p>
            <w:pPr>
              <w:spacing w:after="0" w:line="20" w:lineRule="exact"/>
              <w:rPr>
                <w:sz w:val="1"/>
                <w:szCs w:val="1"/>
                <w:color w:val="auto"/>
              </w:rPr>
            </w:pPr>
          </w:p>
        </w:tc>
        <w:tc>
          <w:tcPr>
            <w:tcW w:w="900" w:type="dxa"/>
            <w:vAlign w:val="bottom"/>
            <w:tcBorders>
              <w:bottom w:val="single" w:sz="8" w:color="005AFF"/>
            </w:tcBorders>
          </w:tcPr>
          <w:p>
            <w:pPr>
              <w:spacing w:after="0" w:line="20" w:lineRule="exact"/>
              <w:rPr>
                <w:sz w:val="1"/>
                <w:szCs w:val="1"/>
                <w:color w:val="auto"/>
              </w:rPr>
            </w:pPr>
          </w:p>
        </w:tc>
        <w:tc>
          <w:tcPr>
            <w:tcW w:w="3940" w:type="dxa"/>
            <w:vAlign w:val="bottom"/>
            <w:tcBorders>
              <w:bottom w:val="single" w:sz="8" w:color="005AFF"/>
            </w:tcBorders>
          </w:tcPr>
          <w:p>
            <w:pPr>
              <w:spacing w:after="0" w:line="20" w:lineRule="exact"/>
              <w:rPr>
                <w:sz w:val="1"/>
                <w:szCs w:val="1"/>
                <w:color w:val="auto"/>
              </w:rPr>
            </w:pPr>
          </w:p>
        </w:tc>
      </w:tr>
      <w:tr>
        <w:trPr>
          <w:trHeight w:val="112"/>
        </w:trPr>
        <w:tc>
          <w:tcPr>
            <w:tcW w:w="720" w:type="dxa"/>
            <w:vAlign w:val="bottom"/>
          </w:tcPr>
          <w:p>
            <w:pPr>
              <w:ind w:left="60"/>
              <w:spacing w:after="0" w:line="113" w:lineRule="exact"/>
              <w:rPr>
                <w:sz w:val="20"/>
                <w:szCs w:val="20"/>
                <w:color w:val="auto"/>
              </w:rPr>
            </w:pPr>
            <w:r>
              <w:rPr>
                <w:rFonts w:ascii="Times New Roman" w:cs="Times New Roman" w:eastAsia="Times New Roman" w:hAnsi="Times New Roman"/>
                <w:sz w:val="10"/>
                <w:szCs w:val="10"/>
                <w:color w:val="0D0D0D"/>
              </w:rPr>
              <w:t>President</w:t>
            </w:r>
          </w:p>
        </w:tc>
        <w:tc>
          <w:tcPr>
            <w:tcW w:w="98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Nokia’s material</w:t>
            </w:r>
          </w:p>
        </w:tc>
        <w:tc>
          <w:tcPr>
            <w:tcW w:w="900" w:type="dxa"/>
            <w:vAlign w:val="bottom"/>
          </w:tcPr>
          <w:p>
            <w:pPr>
              <w:ind w:left="100"/>
              <w:spacing w:after="0" w:line="113" w:lineRule="exact"/>
              <w:rPr>
                <w:sz w:val="20"/>
                <w:szCs w:val="20"/>
                <w:color w:val="auto"/>
              </w:rPr>
            </w:pPr>
            <w:r>
              <w:rPr>
                <w:rFonts w:ascii="Times New Roman" w:cs="Times New Roman" w:eastAsia="Times New Roman" w:hAnsi="Times New Roman"/>
                <w:sz w:val="10"/>
                <w:szCs w:val="10"/>
                <w:color w:val="0D0D0D"/>
              </w:rPr>
              <w:t>Up to 12 months</w:t>
            </w:r>
          </w:p>
        </w:tc>
        <w:tc>
          <w:tcPr>
            <w:tcW w:w="3940" w:type="dxa"/>
            <w:vAlign w:val="bottom"/>
          </w:tcPr>
          <w:p>
            <w:pPr>
              <w:ind w:left="140"/>
              <w:spacing w:after="0" w:line="113" w:lineRule="exact"/>
              <w:rPr>
                <w:sz w:val="20"/>
                <w:szCs w:val="20"/>
                <w:color w:val="auto"/>
              </w:rPr>
            </w:pPr>
            <w:r>
              <w:rPr>
                <w:rFonts w:ascii="Times New Roman" w:cs="Times New Roman" w:eastAsia="Times New Roman" w:hAnsi="Times New Roman"/>
                <w:sz w:val="10"/>
                <w:szCs w:val="10"/>
                <w:color w:val="0D0D0D"/>
              </w:rPr>
              <w:t>In the event that the President and CEO terminates his service agreement based</w:t>
            </w:r>
          </w:p>
        </w:tc>
      </w:tr>
      <w:tr>
        <w:trPr>
          <w:trHeight w:val="121"/>
        </w:trPr>
        <w:tc>
          <w:tcPr>
            <w:tcW w:w="72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and CEO</w:t>
            </w:r>
          </w:p>
        </w:tc>
        <w:tc>
          <w:tcPr>
            <w:tcW w:w="98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breach of the</w:t>
            </w: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on a final arbitration award demonstrating Nokia’s material breach of the service</w:t>
            </w:r>
          </w:p>
        </w:tc>
      </w:tr>
      <w:tr>
        <w:trPr>
          <w:trHeight w:val="121"/>
        </w:trPr>
        <w:tc>
          <w:tcPr>
            <w:tcW w:w="720" w:type="dxa"/>
            <w:vAlign w:val="bottom"/>
          </w:tcPr>
          <w:p>
            <w:pPr>
              <w:spacing w:after="0"/>
              <w:rPr>
                <w:sz w:val="10"/>
                <w:szCs w:val="10"/>
                <w:color w:val="auto"/>
              </w:rPr>
            </w:pPr>
          </w:p>
        </w:tc>
        <w:tc>
          <w:tcPr>
            <w:tcW w:w="98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service agreement</w:t>
            </w: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agreement, he is entitled to a severance payment equaling up to 12 months’</w:t>
            </w:r>
          </w:p>
        </w:tc>
      </w:tr>
      <w:tr>
        <w:trPr>
          <w:trHeight w:val="121"/>
        </w:trPr>
        <w:tc>
          <w:tcPr>
            <w:tcW w:w="720" w:type="dxa"/>
            <w:vAlign w:val="bottom"/>
          </w:tcPr>
          <w:p>
            <w:pPr>
              <w:spacing w:after="0"/>
              <w:rPr>
                <w:sz w:val="10"/>
                <w:szCs w:val="10"/>
                <w:color w:val="auto"/>
              </w:rPr>
            </w:pPr>
          </w:p>
        </w:tc>
        <w:tc>
          <w:tcPr>
            <w:tcW w:w="980" w:type="dxa"/>
            <w:vAlign w:val="bottom"/>
          </w:tcPr>
          <w:p>
            <w:pPr>
              <w:spacing w:after="0"/>
              <w:rPr>
                <w:sz w:val="10"/>
                <w:szCs w:val="10"/>
                <w:color w:val="auto"/>
              </w:rPr>
            </w:pPr>
          </w:p>
        </w:tc>
        <w:tc>
          <w:tcPr>
            <w:tcW w:w="900" w:type="dxa"/>
            <w:vAlign w:val="bottom"/>
          </w:tcPr>
          <w:p>
            <w:pPr>
              <w:spacing w:after="0"/>
              <w:rPr>
                <w:sz w:val="10"/>
                <w:szCs w:val="10"/>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remuneration (including annual base salary, benefits and target incentive). Any</w:t>
            </w:r>
          </w:p>
        </w:tc>
      </w:tr>
      <w:tr>
        <w:trPr>
          <w:trHeight w:val="130"/>
        </w:trPr>
        <w:tc>
          <w:tcPr>
            <w:tcW w:w="720" w:type="dxa"/>
            <w:vAlign w:val="bottom"/>
          </w:tcPr>
          <w:p>
            <w:pPr>
              <w:spacing w:after="0"/>
              <w:rPr>
                <w:sz w:val="11"/>
                <w:szCs w:val="11"/>
                <w:color w:val="auto"/>
              </w:rPr>
            </w:pPr>
          </w:p>
        </w:tc>
        <w:tc>
          <w:tcPr>
            <w:tcW w:w="980" w:type="dxa"/>
            <w:vAlign w:val="bottom"/>
          </w:tcPr>
          <w:p>
            <w:pPr>
              <w:spacing w:after="0"/>
              <w:rPr>
                <w:sz w:val="11"/>
                <w:szCs w:val="11"/>
                <w:color w:val="auto"/>
              </w:rPr>
            </w:pPr>
          </w:p>
        </w:tc>
        <w:tc>
          <w:tcPr>
            <w:tcW w:w="900" w:type="dxa"/>
            <w:vAlign w:val="bottom"/>
          </w:tcPr>
          <w:p>
            <w:pPr>
              <w:spacing w:after="0"/>
              <w:rPr>
                <w:sz w:val="11"/>
                <w:szCs w:val="11"/>
                <w:color w:val="auto"/>
              </w:rPr>
            </w:pPr>
          </w:p>
        </w:tc>
        <w:tc>
          <w:tcPr>
            <w:tcW w:w="3940" w:type="dxa"/>
            <w:vAlign w:val="bottom"/>
          </w:tcPr>
          <w:p>
            <w:pPr>
              <w:ind w:left="140"/>
              <w:spacing w:after="0"/>
              <w:rPr>
                <w:sz w:val="20"/>
                <w:szCs w:val="20"/>
                <w:color w:val="auto"/>
              </w:rPr>
            </w:pPr>
            <w:r>
              <w:rPr>
                <w:rFonts w:ascii="Times New Roman" w:cs="Times New Roman" w:eastAsia="Times New Roman" w:hAnsi="Times New Roman"/>
                <w:sz w:val="10"/>
                <w:szCs w:val="10"/>
                <w:color w:val="0D0D0D"/>
              </w:rPr>
              <w:t>unvested equity awards would be forfeited after termination.</w:t>
            </w:r>
          </w:p>
        </w:tc>
      </w:tr>
      <w:tr>
        <w:trPr>
          <w:trHeight w:val="21"/>
        </w:trPr>
        <w:tc>
          <w:tcPr>
            <w:tcW w:w="720" w:type="dxa"/>
            <w:vAlign w:val="bottom"/>
            <w:tcBorders>
              <w:bottom w:val="single" w:sz="8" w:color="005AFF"/>
            </w:tcBorders>
          </w:tcPr>
          <w:p>
            <w:pPr>
              <w:spacing w:after="0" w:line="20" w:lineRule="exact"/>
              <w:rPr>
                <w:sz w:val="1"/>
                <w:szCs w:val="1"/>
                <w:color w:val="auto"/>
              </w:rPr>
            </w:pPr>
          </w:p>
        </w:tc>
        <w:tc>
          <w:tcPr>
            <w:tcW w:w="980" w:type="dxa"/>
            <w:vAlign w:val="bottom"/>
            <w:tcBorders>
              <w:bottom w:val="single" w:sz="8" w:color="005AFF"/>
            </w:tcBorders>
          </w:tcPr>
          <w:p>
            <w:pPr>
              <w:spacing w:after="0" w:line="20" w:lineRule="exact"/>
              <w:rPr>
                <w:sz w:val="1"/>
                <w:szCs w:val="1"/>
                <w:color w:val="auto"/>
              </w:rPr>
            </w:pPr>
          </w:p>
        </w:tc>
        <w:tc>
          <w:tcPr>
            <w:tcW w:w="900" w:type="dxa"/>
            <w:vAlign w:val="bottom"/>
            <w:tcBorders>
              <w:bottom w:val="single" w:sz="8" w:color="005AFF"/>
            </w:tcBorders>
          </w:tcPr>
          <w:p>
            <w:pPr>
              <w:spacing w:after="0" w:line="20" w:lineRule="exact"/>
              <w:rPr>
                <w:sz w:val="1"/>
                <w:szCs w:val="1"/>
                <w:color w:val="auto"/>
              </w:rPr>
            </w:pPr>
          </w:p>
        </w:tc>
        <w:tc>
          <w:tcPr>
            <w:tcW w:w="3940" w:type="dxa"/>
            <w:vAlign w:val="bottom"/>
            <w:tcBorders>
              <w:bottom w:val="single" w:sz="8" w:color="005AFF"/>
            </w:tcBorders>
          </w:tcPr>
          <w:p>
            <w:pPr>
              <w:spacing w:after="0" w:line="20" w:lineRule="exact"/>
              <w:rPr>
                <w:sz w:val="1"/>
                <w:szCs w:val="1"/>
                <w:color w:val="auto"/>
              </w:rPr>
            </w:pPr>
          </w:p>
        </w:tc>
      </w:tr>
    </w:tbl>
    <w:p>
      <w:pPr>
        <w:spacing w:after="0" w:line="119" w:lineRule="exact"/>
        <w:rPr>
          <w:sz w:val="20"/>
          <w:szCs w:val="20"/>
          <w:color w:val="auto"/>
        </w:rPr>
      </w:pPr>
    </w:p>
    <w:p>
      <w:pPr>
        <w:ind w:left="160" w:right="4100"/>
        <w:spacing w:after="0" w:line="290" w:lineRule="auto"/>
        <w:rPr>
          <w:sz w:val="20"/>
          <w:szCs w:val="20"/>
          <w:color w:val="auto"/>
        </w:rPr>
      </w:pPr>
      <w:r>
        <w:rPr>
          <w:rFonts w:ascii="Times New Roman" w:cs="Times New Roman" w:eastAsia="Times New Roman" w:hAnsi="Times New Roman"/>
          <w:sz w:val="11"/>
          <w:szCs w:val="11"/>
          <w:color w:val="auto"/>
        </w:rPr>
        <w:t>The President and CEO is subject to a 12-month non-competition and non-solicit obligation that applies after the termination of the service agreement or the date when he is released from his obligations and responsibilities, whichever occurs earlier.</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71" w:name="page72"/>
    <w:bookmarkEnd w:id="71"/>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Remuneration Policy</w:t>
      </w:r>
    </w:p>
    <w:p>
      <w:pPr>
        <w:spacing w:after="0" w:line="46"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Nokia Corporation’s Remuneration Policy, which applies to the governing bodies of the Company, i.e. the Board of Directors and the President and CEO, was approved by shareholders at the Annual General Meeting 2020 receiving 86.37% of votes in favor. During 2023, the Board’s Personnel Committee carried out a review of the Remuneration Policy and concluded the Policy remains suitable for Nokia’s business strategy. Therefore, only minor changes are proposed to the Policy alongside some presentational changes to further align our arrangements with market practice and to provide greater transparency on our disclosure. This section sets out the updated Policy, which will be submitted to the Annual General Meeting 2024 to be adopted through an advisory vote.</w:t>
      </w:r>
    </w:p>
    <w:p>
      <w:pPr>
        <w:spacing w:after="0" w:line="52" w:lineRule="exact"/>
        <w:rPr>
          <w:sz w:val="20"/>
          <w:szCs w:val="20"/>
          <w:color w:val="auto"/>
        </w:rPr>
      </w:pPr>
    </w:p>
    <w:p>
      <w:pPr>
        <w:ind w:right="180"/>
        <w:spacing w:after="0" w:line="280" w:lineRule="auto"/>
        <w:rPr>
          <w:sz w:val="20"/>
          <w:szCs w:val="20"/>
          <w:color w:val="auto"/>
        </w:rPr>
      </w:pPr>
      <w:r>
        <w:rPr>
          <w:rFonts w:ascii="Times New Roman" w:cs="Times New Roman" w:eastAsia="Times New Roman" w:hAnsi="Times New Roman"/>
          <w:sz w:val="11"/>
          <w:szCs w:val="11"/>
          <w:color w:val="auto"/>
        </w:rPr>
        <w:t>The updated Policy would apply to remuneration in respect of the four-year period from 2024 to 2027, unless presented to the General Meeting at an earlier date with proposed changes.</w:t>
      </w:r>
    </w:p>
    <w:p>
      <w:pPr>
        <w:spacing w:after="0" w:line="245"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3"/>
          <w:szCs w:val="13"/>
          <w:color w:val="auto"/>
        </w:rPr>
        <w:t>The updated Remuneration Policy for the Board of Directors</w:t>
      </w:r>
    </w:p>
    <w:p>
      <w:pPr>
        <w:spacing w:after="0" w:line="1"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In accordance with the Remuneration Policy, the Board’s Corporate Governance and Nomination Committee periodically reviews the remuneration for the Chair and members of the Board against companies of similar size and complexity.</w:t>
      </w:r>
    </w:p>
    <w:p>
      <w:pPr>
        <w:spacing w:after="0" w:line="2" w:lineRule="exact"/>
        <w:rPr>
          <w:sz w:val="20"/>
          <w:szCs w:val="20"/>
          <w:color w:val="auto"/>
        </w:rPr>
      </w:pPr>
    </w:p>
    <w:p>
      <w:pPr>
        <w:ind w:right="140"/>
        <w:spacing w:after="0" w:line="261" w:lineRule="auto"/>
        <w:rPr>
          <w:sz w:val="20"/>
          <w:szCs w:val="20"/>
          <w:color w:val="auto"/>
        </w:rPr>
      </w:pPr>
      <w:r>
        <w:rPr>
          <w:rFonts w:ascii="Times New Roman" w:cs="Times New Roman" w:eastAsia="Times New Roman" w:hAnsi="Times New Roman"/>
          <w:sz w:val="11"/>
          <w:szCs w:val="11"/>
          <w:color w:val="auto"/>
        </w:rPr>
        <w:t>The objective of the Corporate Governance and Nomination Committee is to enable Nokia to compete for top-of-class Board competence to maximize value creation for its shareholders. The Committee’s aim is that the Company has an efficient Board composed of international professionals representing a diverse and relevant mix of skills, experience, background and other personal qualities in line with the diversity principles established by the Board. Competitive Board remuneration contributes to the achievement of</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this target.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640"/>
        <w:spacing w:after="0" w:line="309" w:lineRule="auto"/>
        <w:rPr>
          <w:sz w:val="20"/>
          <w:szCs w:val="20"/>
          <w:color w:val="auto"/>
        </w:rPr>
      </w:pPr>
      <w:r>
        <w:rPr>
          <w:rFonts w:ascii="Times New Roman" w:cs="Times New Roman" w:eastAsia="Times New Roman" w:hAnsi="Times New Roman"/>
          <w:sz w:val="11"/>
          <w:szCs w:val="11"/>
          <w:color w:val="auto"/>
        </w:rPr>
        <w:t>The main structure of the Board remuneration as outlined in the Remuneration Policy is set out in the table below.</w:t>
      </w:r>
    </w:p>
    <w:p>
      <w:pPr>
        <w:spacing w:after="0" w:line="41" w:lineRule="exact"/>
        <w:rPr>
          <w:sz w:val="20"/>
          <w:szCs w:val="20"/>
          <w:color w:val="auto"/>
        </w:rPr>
      </w:pPr>
    </w:p>
    <w:tbl>
      <w:tblPr>
        <w:tblLayout w:type="fixed"/>
        <w:tblInd w:w="0" w:type="dxa"/>
        <w:tblCellMar>
          <w:top w:w="0" w:type="dxa"/>
          <w:left w:w="0" w:type="dxa"/>
          <w:bottom w:w="0" w:type="dxa"/>
          <w:right w:w="0" w:type="dxa"/>
        </w:tblCellMar>
      </w:tblPr>
      <w:tr>
        <w:trPr>
          <w:trHeight w:val="158"/>
        </w:trPr>
        <w:tc>
          <w:tcPr>
            <w:tcW w:w="700" w:type="dxa"/>
            <w:vAlign w:val="bottom"/>
            <w:tcBorders>
              <w:top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auto"/>
              </w:rPr>
              <w:t>Fees</w:t>
            </w:r>
          </w:p>
        </w:tc>
        <w:tc>
          <w:tcPr>
            <w:tcW w:w="2580" w:type="dxa"/>
            <w:vAlign w:val="bottom"/>
            <w:tcBorders>
              <w:top w:val="single" w:sz="8" w:color="005AFF"/>
            </w:tcBorders>
          </w:tcPr>
          <w:p>
            <w:pPr>
              <w:ind w:left="140"/>
              <w:spacing w:after="0"/>
              <w:rPr>
                <w:sz w:val="20"/>
                <w:szCs w:val="20"/>
                <w:color w:val="auto"/>
              </w:rPr>
            </w:pPr>
            <w:r>
              <w:rPr>
                <w:rFonts w:ascii="Times New Roman" w:cs="Times New Roman" w:eastAsia="Times New Roman" w:hAnsi="Times New Roman"/>
                <w:sz w:val="11"/>
                <w:szCs w:val="11"/>
                <w:color w:val="auto"/>
              </w:rPr>
              <w:t>Fees consist of annual fees and meeting fees.</w:t>
            </w:r>
          </w:p>
        </w:tc>
      </w:tr>
      <w:tr>
        <w:trPr>
          <w:trHeight w:val="203"/>
        </w:trPr>
        <w:tc>
          <w:tcPr>
            <w:tcW w:w="700" w:type="dxa"/>
            <w:vAlign w:val="bottom"/>
          </w:tcPr>
          <w:p>
            <w:pPr>
              <w:spacing w:after="0"/>
              <w:rPr>
                <w:sz w:val="17"/>
                <w:szCs w:val="17"/>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Approximately 40% of the annual fee is paid in</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Nokia shares purchased from the market on</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behalf of the Board members or alternatively</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delivered as treasury shares held by the</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Company. The balance is paid in cash, most of</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which is typically used to cover taxes arising</w:t>
            </w:r>
          </w:p>
        </w:tc>
      </w:tr>
      <w:tr>
        <w:trPr>
          <w:trHeight w:val="148"/>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from the paid remuneration.</w:t>
            </w:r>
          </w:p>
        </w:tc>
      </w:tr>
      <w:tr>
        <w:trPr>
          <w:trHeight w:val="222"/>
        </w:trPr>
        <w:tc>
          <w:tcPr>
            <w:tcW w:w="700" w:type="dxa"/>
            <w:vAlign w:val="bottom"/>
          </w:tcPr>
          <w:p>
            <w:pPr>
              <w:spacing w:after="0"/>
              <w:rPr>
                <w:sz w:val="19"/>
                <w:szCs w:val="19"/>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Meeting fees are paid in cash.</w:t>
            </w:r>
          </w:p>
        </w:tc>
      </w:tr>
      <w:tr>
        <w:trPr>
          <w:trHeight w:val="27"/>
        </w:trPr>
        <w:tc>
          <w:tcPr>
            <w:tcW w:w="700" w:type="dxa"/>
            <w:vAlign w:val="bottom"/>
            <w:tcBorders>
              <w:bottom w:val="single" w:sz="8" w:color="005AFF"/>
            </w:tcBorders>
          </w:tcPr>
          <w:p>
            <w:pPr>
              <w:spacing w:after="0"/>
              <w:rPr>
                <w:sz w:val="2"/>
                <w:szCs w:val="2"/>
                <w:color w:val="auto"/>
              </w:rPr>
            </w:pPr>
          </w:p>
        </w:tc>
        <w:tc>
          <w:tcPr>
            <w:tcW w:w="2580" w:type="dxa"/>
            <w:vAlign w:val="bottom"/>
            <w:tcBorders>
              <w:bottom w:val="single" w:sz="8" w:color="005AFF"/>
            </w:tcBorders>
          </w:tcPr>
          <w:p>
            <w:pPr>
              <w:spacing w:after="0"/>
              <w:rPr>
                <w:sz w:val="2"/>
                <w:szCs w:val="2"/>
                <w:color w:val="auto"/>
              </w:rPr>
            </w:pPr>
          </w:p>
        </w:tc>
      </w:tr>
      <w:tr>
        <w:trPr>
          <w:trHeight w:val="129"/>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Incentives</w:t>
            </w: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Non-executive directors are not eligible to</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participate in any Nokia incentive plans and do</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not receive performance shares, restricted</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shares or any other equity-based or other</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form of variable compensation for their duties</w:t>
            </w:r>
          </w:p>
        </w:tc>
      </w:tr>
      <w:tr>
        <w:trPr>
          <w:trHeight w:val="156"/>
        </w:trPr>
        <w:tc>
          <w:tcPr>
            <w:tcW w:w="700" w:type="dxa"/>
            <w:vAlign w:val="bottom"/>
            <w:tcBorders>
              <w:bottom w:val="single" w:sz="8" w:color="005AFF"/>
            </w:tcBorders>
          </w:tcPr>
          <w:p>
            <w:pPr>
              <w:spacing w:after="0"/>
              <w:rPr>
                <w:sz w:val="13"/>
                <w:szCs w:val="13"/>
                <w:color w:val="auto"/>
              </w:rPr>
            </w:pPr>
          </w:p>
        </w:tc>
        <w:tc>
          <w:tcPr>
            <w:tcW w:w="258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11"/>
                <w:szCs w:val="11"/>
                <w:color w:val="auto"/>
              </w:rPr>
              <w:t>as members of the Board.</w:t>
            </w:r>
          </w:p>
        </w:tc>
      </w:tr>
      <w:tr>
        <w:trPr>
          <w:trHeight w:val="137"/>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Pensions</w:t>
            </w: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Non-executive directors do not participate in</w:t>
            </w:r>
          </w:p>
        </w:tc>
      </w:tr>
      <w:tr>
        <w:trPr>
          <w:trHeight w:val="156"/>
        </w:trPr>
        <w:tc>
          <w:tcPr>
            <w:tcW w:w="700" w:type="dxa"/>
            <w:vAlign w:val="bottom"/>
            <w:tcBorders>
              <w:bottom w:val="single" w:sz="8" w:color="005AFF"/>
            </w:tcBorders>
          </w:tcPr>
          <w:p>
            <w:pPr>
              <w:spacing w:after="0"/>
              <w:rPr>
                <w:sz w:val="13"/>
                <w:szCs w:val="13"/>
                <w:color w:val="auto"/>
              </w:rPr>
            </w:pPr>
          </w:p>
        </w:tc>
        <w:tc>
          <w:tcPr>
            <w:tcW w:w="258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11"/>
                <w:szCs w:val="11"/>
                <w:color w:val="auto"/>
              </w:rPr>
              <w:t>any Nokia pension plans.</w:t>
            </w:r>
          </w:p>
        </w:tc>
      </w:tr>
      <w:tr>
        <w:trPr>
          <w:trHeight w:val="119"/>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Share</w:t>
            </w:r>
          </w:p>
        </w:tc>
        <w:tc>
          <w:tcPr>
            <w:tcW w:w="2580" w:type="dxa"/>
            <w:vAlign w:val="bottom"/>
          </w:tcPr>
          <w:p>
            <w:pPr>
              <w:ind w:left="140"/>
              <w:spacing w:after="0" w:line="119" w:lineRule="exact"/>
              <w:rPr>
                <w:sz w:val="20"/>
                <w:szCs w:val="20"/>
                <w:color w:val="auto"/>
              </w:rPr>
            </w:pPr>
            <w:r>
              <w:rPr>
                <w:rFonts w:ascii="Times New Roman" w:cs="Times New Roman" w:eastAsia="Times New Roman" w:hAnsi="Times New Roman"/>
                <w:sz w:val="11"/>
                <w:szCs w:val="11"/>
                <w:color w:val="auto"/>
              </w:rPr>
              <w:t>Members of the Board shall normally retain</w:t>
            </w:r>
          </w:p>
        </w:tc>
      </w:tr>
      <w:tr>
        <w:trPr>
          <w:trHeight w:val="132"/>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ownership</w:t>
            </w: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until the end of their directorship such</w:t>
            </w:r>
          </w:p>
        </w:tc>
      </w:tr>
      <w:tr>
        <w:trPr>
          <w:trHeight w:val="159"/>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requirement</w:t>
            </w: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number of shares that corresponds to the</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number of shares they have received as Board</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remuneration during their first three years of</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service on the Board (the net amount received</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after deducting those shares needed to offset</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any costs relating to the acquisition of the</w:t>
            </w:r>
          </w:p>
        </w:tc>
      </w:tr>
      <w:tr>
        <w:trPr>
          <w:trHeight w:val="148"/>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shares, including taxes).</w:t>
            </w:r>
          </w:p>
        </w:tc>
      </w:tr>
      <w:tr>
        <w:trPr>
          <w:trHeight w:val="27"/>
        </w:trPr>
        <w:tc>
          <w:tcPr>
            <w:tcW w:w="700" w:type="dxa"/>
            <w:vAlign w:val="bottom"/>
            <w:tcBorders>
              <w:bottom w:val="single" w:sz="8" w:color="005AFF"/>
            </w:tcBorders>
          </w:tcPr>
          <w:p>
            <w:pPr>
              <w:spacing w:after="0"/>
              <w:rPr>
                <w:sz w:val="2"/>
                <w:szCs w:val="2"/>
                <w:color w:val="auto"/>
              </w:rPr>
            </w:pPr>
          </w:p>
        </w:tc>
        <w:tc>
          <w:tcPr>
            <w:tcW w:w="2580" w:type="dxa"/>
            <w:vAlign w:val="bottom"/>
            <w:tcBorders>
              <w:bottom w:val="single" w:sz="8" w:color="005AFF"/>
            </w:tcBorders>
          </w:tcPr>
          <w:p>
            <w:pPr>
              <w:spacing w:after="0"/>
              <w:rPr>
                <w:sz w:val="2"/>
                <w:szCs w:val="2"/>
                <w:color w:val="auto"/>
              </w:rPr>
            </w:pPr>
          </w:p>
        </w:tc>
      </w:tr>
      <w:tr>
        <w:trPr>
          <w:trHeight w:val="129"/>
        </w:trPr>
        <w:tc>
          <w:tcPr>
            <w:tcW w:w="7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Other</w:t>
            </w: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Directors are compensated for travel and</w:t>
            </w:r>
          </w:p>
        </w:tc>
      </w:tr>
      <w:tr>
        <w:trPr>
          <w:trHeight w:val="131"/>
        </w:trPr>
        <w:tc>
          <w:tcPr>
            <w:tcW w:w="700" w:type="dxa"/>
            <w:vAlign w:val="bottom"/>
          </w:tcPr>
          <w:p>
            <w:pPr>
              <w:spacing w:after="0"/>
              <w:rPr>
                <w:sz w:val="11"/>
                <w:szCs w:val="11"/>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accommodation expenses as well as other</w:t>
            </w:r>
          </w:p>
        </w:tc>
      </w:tr>
      <w:tr>
        <w:trPr>
          <w:trHeight w:val="142"/>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costs directly related to Board and Committee</w:t>
            </w:r>
          </w:p>
        </w:tc>
      </w:tr>
      <w:tr>
        <w:trPr>
          <w:trHeight w:val="148"/>
        </w:trPr>
        <w:tc>
          <w:tcPr>
            <w:tcW w:w="700" w:type="dxa"/>
            <w:vAlign w:val="bottom"/>
          </w:tcPr>
          <w:p>
            <w:pPr>
              <w:spacing w:after="0"/>
              <w:rPr>
                <w:sz w:val="12"/>
                <w:szCs w:val="12"/>
                <w:color w:val="auto"/>
              </w:rPr>
            </w:pPr>
          </w:p>
        </w:tc>
        <w:tc>
          <w:tcPr>
            <w:tcW w:w="25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work. These are paid in cash.</w:t>
            </w:r>
          </w:p>
        </w:tc>
      </w:tr>
      <w:tr>
        <w:trPr>
          <w:trHeight w:val="27"/>
        </w:trPr>
        <w:tc>
          <w:tcPr>
            <w:tcW w:w="700" w:type="dxa"/>
            <w:vAlign w:val="bottom"/>
            <w:tcBorders>
              <w:bottom w:val="single" w:sz="8" w:color="005AFF"/>
            </w:tcBorders>
          </w:tcPr>
          <w:p>
            <w:pPr>
              <w:spacing w:after="0"/>
              <w:rPr>
                <w:sz w:val="2"/>
                <w:szCs w:val="2"/>
                <w:color w:val="auto"/>
              </w:rPr>
            </w:pPr>
          </w:p>
        </w:tc>
        <w:tc>
          <w:tcPr>
            <w:tcW w:w="2580" w:type="dxa"/>
            <w:vAlign w:val="bottom"/>
            <w:tcBorders>
              <w:bottom w:val="single" w:sz="8" w:color="005AFF"/>
            </w:tcBorders>
          </w:tcPr>
          <w:p>
            <w:pPr>
              <w:spacing w:after="0"/>
              <w:rPr>
                <w:sz w:val="2"/>
                <w:szCs w:val="2"/>
                <w:color w:val="auto"/>
              </w:rPr>
            </w:pPr>
          </w:p>
        </w:tc>
      </w:tr>
    </w:tbl>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64</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Proposals of the Board of Directors to the Annual General</w:t>
      </w:r>
    </w:p>
    <w:p>
      <w:pPr>
        <w:spacing w:after="0" w:line="22" w:lineRule="exact"/>
        <w:rPr>
          <w:sz w:val="20"/>
          <w:szCs w:val="20"/>
          <w:color w:val="auto"/>
        </w:rPr>
      </w:pPr>
    </w:p>
    <w:p>
      <w:pPr>
        <w:ind w:right="380"/>
        <w:spacing w:after="0" w:line="262" w:lineRule="auto"/>
        <w:rPr>
          <w:sz w:val="20"/>
          <w:szCs w:val="20"/>
          <w:color w:val="auto"/>
        </w:rPr>
      </w:pPr>
      <w:r>
        <w:rPr>
          <w:rFonts w:ascii="Times New Roman" w:cs="Times New Roman" w:eastAsia="Times New Roman" w:hAnsi="Times New Roman"/>
          <w:sz w:val="11"/>
          <w:szCs w:val="11"/>
          <w:color w:val="auto"/>
        </w:rPr>
        <w:t xml:space="preserve">Meeting 2024 were published on 25 January 2024. </w:t>
      </w:r>
      <w:r>
        <w:rPr>
          <w:rFonts w:ascii="Times New Roman" w:cs="Times New Roman" w:eastAsia="Times New Roman" w:hAnsi="Times New Roman"/>
          <w:sz w:val="11"/>
          <w:szCs w:val="11"/>
          <w:color w:val="auto"/>
          <w:highlight w:val="white"/>
        </w:rPr>
        <w:t>The</w:t>
      </w: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11"/>
          <w:szCs w:val="11"/>
          <w:color w:val="auto"/>
          <w:highlight w:val="white"/>
        </w:rPr>
        <w:t>Corporate Governance and Nomination Committee has resolved to recommend to the Board that the annual fees</w:t>
      </w:r>
    </w:p>
    <w:p>
      <w:pPr>
        <w:ind w:right="320"/>
        <w:spacing w:after="0" w:line="271" w:lineRule="auto"/>
        <w:rPr>
          <w:sz w:val="20"/>
          <w:szCs w:val="20"/>
          <w:color w:val="auto"/>
        </w:rPr>
      </w:pPr>
      <w:r>
        <w:rPr>
          <w:rFonts w:ascii="Times New Roman" w:cs="Times New Roman" w:eastAsia="Times New Roman" w:hAnsi="Times New Roman"/>
          <w:sz w:val="11"/>
          <w:szCs w:val="11"/>
          <w:color w:val="auto"/>
          <w:highlight w:val="white"/>
        </w:rPr>
        <w:t xml:space="preserve">of Board members </w:t>
      </w:r>
      <w:r>
        <w:rPr>
          <w:rFonts w:ascii="Times New Roman" w:cs="Times New Roman" w:eastAsia="Times New Roman" w:hAnsi="Times New Roman"/>
          <w:sz w:val="11"/>
          <w:szCs w:val="11"/>
          <w:color w:val="auto"/>
        </w:rPr>
        <w:t>would remain at an unchanged level.</w:t>
      </w:r>
      <w:r>
        <w:rPr>
          <w:rFonts w:ascii="Times New Roman" w:cs="Times New Roman" w:eastAsia="Times New Roman" w:hAnsi="Times New Roman"/>
          <w:sz w:val="11"/>
          <w:szCs w:val="11"/>
          <w:color w:val="auto"/>
          <w:highlight w:val="white"/>
        </w:rPr>
        <w:t xml:space="preserve"> </w:t>
      </w:r>
      <w:r>
        <w:rPr>
          <w:rFonts w:ascii="Times New Roman" w:cs="Times New Roman" w:eastAsia="Times New Roman" w:hAnsi="Times New Roman"/>
          <w:sz w:val="11"/>
          <w:szCs w:val="11"/>
          <w:color w:val="auto"/>
        </w:rPr>
        <w:t>Consequently, the Board proposes to the Annual General Meeting 2024 that the annual fees payable for a term ending at the close of the next Annual General Meeting be as follows:</w:t>
      </w:r>
    </w:p>
    <w:p>
      <w:pPr>
        <w:spacing w:after="0" w:line="49" w:lineRule="exact"/>
        <w:rPr>
          <w:sz w:val="20"/>
          <w:szCs w:val="20"/>
          <w:color w:val="auto"/>
        </w:rPr>
      </w:pPr>
    </w:p>
    <w:p>
      <w:pPr>
        <w:ind w:left="180" w:hanging="169"/>
        <w:spacing w:after="0"/>
        <w:tabs>
          <w:tab w:leader="none" w:pos="180" w:val="left"/>
        </w:tabs>
        <w:numPr>
          <w:ilvl w:val="0"/>
          <w:numId w:val="4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440 000 for the Chair of the Board;</w:t>
      </w:r>
    </w:p>
    <w:p>
      <w:pPr>
        <w:spacing w:after="0" w:line="21"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4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210 000 for the Vice Chair of the Board;</w:t>
      </w:r>
    </w:p>
    <w:p>
      <w:pPr>
        <w:spacing w:after="0" w:line="10"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4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185 000 for each member of the Board;</w:t>
      </w:r>
    </w:p>
    <w:p>
      <w:pPr>
        <w:spacing w:after="0" w:line="9" w:lineRule="exact"/>
        <w:rPr>
          <w:rFonts w:ascii="Times New Roman" w:cs="Times New Roman" w:eastAsia="Times New Roman" w:hAnsi="Times New Roman"/>
          <w:sz w:val="11"/>
          <w:szCs w:val="11"/>
          <w:color w:val="005AFF"/>
        </w:rPr>
      </w:pPr>
    </w:p>
    <w:p>
      <w:pPr>
        <w:ind w:left="180" w:right="220" w:hanging="169"/>
        <w:spacing w:after="0" w:line="262" w:lineRule="auto"/>
        <w:tabs>
          <w:tab w:leader="none" w:pos="180" w:val="left"/>
        </w:tabs>
        <w:numPr>
          <w:ilvl w:val="0"/>
          <w:numId w:val="4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30 000 each for the Chairs of the Audit Committee and the Personnel Committee and EUR 20 000 for the Chair of the Technology Committee as an additional annual fee;</w:t>
      </w:r>
    </w:p>
    <w:p>
      <w:pPr>
        <w:jc w:val="both"/>
        <w:ind w:left="180" w:right="300" w:hanging="169"/>
        <w:spacing w:after="0" w:line="273" w:lineRule="auto"/>
        <w:tabs>
          <w:tab w:leader="none" w:pos="180" w:val="left"/>
        </w:tabs>
        <w:numPr>
          <w:ilvl w:val="0"/>
          <w:numId w:val="4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15 000 for each member of the Audit Committee and Personnel Committee and EUR 10 000 for each member of the Technology Committee as an additional annual fee.</w:t>
      </w:r>
    </w:p>
    <w:p>
      <w:pPr>
        <w:spacing w:after="0" w:line="57"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The Board has resolved to establish a Strategy Committee to support the management in terms of strategy work and to act as a preparatory body for the Board. Consequently, on the recommendation of the Corporate Governance and Nomination Committee, the Board also proposes that:</w:t>
      </w:r>
    </w:p>
    <w:p>
      <w:pPr>
        <w:spacing w:after="0" w:line="60" w:lineRule="exact"/>
        <w:rPr>
          <w:sz w:val="20"/>
          <w:szCs w:val="20"/>
          <w:color w:val="auto"/>
        </w:rPr>
      </w:pPr>
    </w:p>
    <w:p>
      <w:pPr>
        <w:ind w:left="180" w:right="280" w:hanging="169"/>
        <w:spacing w:after="0" w:line="270" w:lineRule="auto"/>
        <w:tabs>
          <w:tab w:leader="none" w:pos="180" w:val="left"/>
        </w:tabs>
        <w:numPr>
          <w:ilvl w:val="0"/>
          <w:numId w:val="4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20 000 be paid for the Chair of the Strategy Committee and EUR 10 000 be paid for each member of the Strategy Committee as an additional annual fee for the Committee’s first term commencing from the Annual General Meeting and ending at the close of the next Annual General Meeting.</w:t>
      </w:r>
    </w:p>
    <w:p>
      <w:pPr>
        <w:spacing w:after="0" w:line="189" w:lineRule="exact"/>
        <w:rPr>
          <w:sz w:val="20"/>
          <w:szCs w:val="20"/>
          <w:color w:val="auto"/>
        </w:rPr>
      </w:pPr>
    </w:p>
    <w:p>
      <w:pPr>
        <w:jc w:val="both"/>
        <w:ind w:right="360"/>
        <w:spacing w:after="0" w:line="269" w:lineRule="auto"/>
        <w:rPr>
          <w:sz w:val="20"/>
          <w:szCs w:val="20"/>
          <w:color w:val="auto"/>
        </w:rPr>
      </w:pPr>
      <w:r>
        <w:rPr>
          <w:rFonts w:ascii="Times New Roman" w:cs="Times New Roman" w:eastAsia="Times New Roman" w:hAnsi="Times New Roman"/>
          <w:sz w:val="11"/>
          <w:szCs w:val="11"/>
          <w:color w:val="auto"/>
        </w:rPr>
        <w:t>In addition, the Board of Directors proposes that the meeting fees for Board and Committee meetings remain at the current level. The meeting fees are based on potential travel required between the Board member’s home location and the location of a meeting and are paid for a maximum of seven meetings per term as follows:</w:t>
      </w:r>
    </w:p>
    <w:p>
      <w:pPr>
        <w:spacing w:after="0" w:line="60" w:lineRule="exact"/>
        <w:rPr>
          <w:sz w:val="20"/>
          <w:szCs w:val="20"/>
          <w:color w:val="auto"/>
        </w:rPr>
      </w:pPr>
    </w:p>
    <w:p>
      <w:pPr>
        <w:ind w:left="180" w:hanging="169"/>
        <w:spacing w:after="0"/>
        <w:tabs>
          <w:tab w:leader="none" w:pos="180" w:val="left"/>
        </w:tabs>
        <w:numPr>
          <w:ilvl w:val="0"/>
          <w:numId w:val="4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5 000 per meeting requiring intercontinental travel;</w:t>
      </w:r>
    </w:p>
    <w:p>
      <w:pPr>
        <w:spacing w:after="0" w:line="16"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4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EUR 2 000 per meeting requiring continental travel.</w:t>
      </w:r>
    </w:p>
    <w:p>
      <w:pPr>
        <w:spacing w:after="0" w:line="84"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Only one meeting fee is paid if the travel covered by the fee includes several meetings of the Board and its Committees. The Board also proposes that members of the Board shall be compensated for travel and accommodation expenses as well as other costs directly related to Board and Board Committee work.</w:t>
      </w:r>
    </w:p>
    <w:p>
      <w:pPr>
        <w:sectPr>
          <w:pgSz w:w="11900" w:h="16838" w:orient="portrait"/>
          <w:cols w:equalWidth="0" w:num="3">
            <w:col w:w="2920" w:space="480"/>
            <w:col w:w="3280" w:space="120"/>
            <w:col w:w="3180"/>
          </w:cols>
          <w:pgMar w:left="960" w:top="409" w:right="959" w:bottom="1440" w:gutter="0" w:footer="0" w:header="0"/>
        </w:sectPr>
      </w:pPr>
    </w:p>
    <w:bookmarkStart w:id="72" w:name="page73"/>
    <w:bookmarkEnd w:id="72"/>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000" w:type="dxa"/>
            <w:vAlign w:val="bottom"/>
          </w:tcPr>
          <w:p>
            <w:pPr>
              <w:ind w:left="80"/>
              <w:spacing w:after="0"/>
              <w:rPr>
                <w:sz w:val="20"/>
                <w:szCs w:val="20"/>
                <w:color w:val="auto"/>
              </w:rPr>
            </w:pPr>
            <w:r>
              <w:rPr>
                <w:rFonts w:ascii="Times New Roman" w:cs="Times New Roman" w:eastAsia="Times New Roman" w:hAnsi="Times New Roman"/>
                <w:sz w:val="9"/>
                <w:szCs w:val="9"/>
                <w:color w:val="auto"/>
              </w:rPr>
              <w:t>Operating and financial</w:t>
            </w:r>
          </w:p>
        </w:tc>
        <w:tc>
          <w:tcPr>
            <w:tcW w:w="1580" w:type="dxa"/>
            <w:vAlign w:val="bottom"/>
          </w:tcPr>
          <w:p>
            <w:pPr>
              <w:ind w:left="540"/>
              <w:spacing w:after="0"/>
              <w:rPr>
                <w:sz w:val="20"/>
                <w:szCs w:val="20"/>
                <w:color w:val="auto"/>
              </w:rPr>
            </w:pPr>
            <w:r>
              <w:rPr>
                <w:rFonts w:ascii="Times New Roman" w:cs="Times New Roman" w:eastAsia="Times New Roman" w:hAnsi="Times New Roman"/>
                <w:sz w:val="9"/>
                <w:szCs w:val="9"/>
                <w:color w:val="auto"/>
              </w:rPr>
              <w:t>General facts</w:t>
            </w:r>
          </w:p>
        </w:tc>
        <w:tc>
          <w:tcPr>
            <w:tcW w:w="900" w:type="dxa"/>
            <w:vAlign w:val="bottom"/>
          </w:tcPr>
          <w:p>
            <w:pPr>
              <w:ind w:left="40"/>
              <w:spacing w:after="0"/>
              <w:rPr>
                <w:sz w:val="20"/>
                <w:szCs w:val="20"/>
                <w:color w:val="auto"/>
              </w:rPr>
            </w:pPr>
            <w:r>
              <w:rPr>
                <w:rFonts w:ascii="Times New Roman" w:cs="Times New Roman" w:eastAsia="Times New Roman" w:hAnsi="Times New Roman"/>
                <w:sz w:val="9"/>
                <w:szCs w:val="9"/>
                <w:color w:val="auto"/>
              </w:rPr>
              <w:t>Financial</w:t>
            </w:r>
          </w:p>
        </w:tc>
        <w:tc>
          <w:tcPr>
            <w:tcW w:w="880" w:type="dxa"/>
            <w:vAlign w:val="bottom"/>
          </w:tcPr>
          <w:p>
            <w:pPr>
              <w:ind w:left="160"/>
              <w:spacing w:after="0"/>
              <w:rPr>
                <w:sz w:val="20"/>
                <w:szCs w:val="20"/>
                <w:color w:val="auto"/>
              </w:rPr>
            </w:pPr>
            <w:r>
              <w:rPr>
                <w:rFonts w:ascii="Times New Roman" w:cs="Times New Roman" w:eastAsia="Times New Roman" w:hAnsi="Times New Roman"/>
                <w:sz w:val="9"/>
                <w:szCs w:val="9"/>
                <w:color w:val="auto"/>
              </w:rPr>
              <w:t>Other</w:t>
            </w:r>
          </w:p>
        </w:tc>
        <w:tc>
          <w:tcPr>
            <w:tcW w:w="3760" w:type="dxa"/>
            <w:vAlign w:val="bottom"/>
            <w:gridSpan w:val="2"/>
            <w:vMerge w:val="restart"/>
          </w:tcPr>
          <w:p>
            <w:pPr>
              <w:ind w:left="3640"/>
              <w:spacing w:after="0"/>
              <w:rPr>
                <w:sz w:val="20"/>
                <w:szCs w:val="20"/>
                <w:color w:val="auto"/>
              </w:rPr>
            </w:pPr>
            <w:r>
              <w:rPr>
                <w:rFonts w:ascii="Times New Roman" w:cs="Times New Roman" w:eastAsia="Times New Roman" w:hAnsi="Times New Roman"/>
                <w:sz w:val="12"/>
                <w:szCs w:val="12"/>
                <w:color w:val="auto"/>
                <w:w w:val="82"/>
              </w:rPr>
              <w:t>65</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000" w:type="dxa"/>
            <w:vAlign w:val="bottom"/>
          </w:tcPr>
          <w:p>
            <w:pPr>
              <w:ind w:left="80"/>
              <w:spacing w:after="0"/>
              <w:rPr>
                <w:sz w:val="20"/>
                <w:szCs w:val="20"/>
                <w:color w:val="auto"/>
              </w:rPr>
            </w:pPr>
            <w:r>
              <w:rPr>
                <w:rFonts w:ascii="Times New Roman" w:cs="Times New Roman" w:eastAsia="Times New Roman" w:hAnsi="Times New Roman"/>
                <w:sz w:val="9"/>
                <w:szCs w:val="9"/>
                <w:color w:val="auto"/>
              </w:rPr>
              <w:t>review and prospects</w:t>
            </w:r>
          </w:p>
        </w:tc>
        <w:tc>
          <w:tcPr>
            <w:tcW w:w="1580" w:type="dxa"/>
            <w:vAlign w:val="bottom"/>
          </w:tcPr>
          <w:p>
            <w:pPr>
              <w:ind w:left="540"/>
              <w:spacing w:after="0"/>
              <w:rPr>
                <w:sz w:val="20"/>
                <w:szCs w:val="20"/>
                <w:color w:val="auto"/>
              </w:rPr>
            </w:pPr>
            <w:r>
              <w:rPr>
                <w:rFonts w:ascii="Times New Roman" w:cs="Times New Roman" w:eastAsia="Times New Roman" w:hAnsi="Times New Roman"/>
                <w:sz w:val="9"/>
                <w:szCs w:val="9"/>
                <w:color w:val="auto"/>
              </w:rPr>
              <w:t>on Nokia</w:t>
            </w:r>
          </w:p>
        </w:tc>
        <w:tc>
          <w:tcPr>
            <w:tcW w:w="900" w:type="dxa"/>
            <w:vAlign w:val="bottom"/>
          </w:tcPr>
          <w:p>
            <w:pPr>
              <w:ind w:left="40"/>
              <w:spacing w:after="0"/>
              <w:rPr>
                <w:sz w:val="20"/>
                <w:szCs w:val="20"/>
                <w:color w:val="auto"/>
              </w:rPr>
            </w:pPr>
            <w:r>
              <w:rPr>
                <w:rFonts w:ascii="Times New Roman" w:cs="Times New Roman" w:eastAsia="Times New Roman" w:hAnsi="Times New Roman"/>
                <w:sz w:val="9"/>
                <w:szCs w:val="9"/>
                <w:color w:val="auto"/>
              </w:rPr>
              <w:t>statements</w:t>
            </w:r>
          </w:p>
        </w:tc>
        <w:tc>
          <w:tcPr>
            <w:tcW w:w="880" w:type="dxa"/>
            <w:vAlign w:val="bottom"/>
          </w:tcPr>
          <w:p>
            <w:pPr>
              <w:ind w:left="160"/>
              <w:spacing w:after="0"/>
              <w:rPr>
                <w:sz w:val="20"/>
                <w:szCs w:val="20"/>
                <w:color w:val="auto"/>
              </w:rPr>
            </w:pPr>
            <w:r>
              <w:rPr>
                <w:rFonts w:ascii="Times New Roman" w:cs="Times New Roman" w:eastAsia="Times New Roman" w:hAnsi="Times New Roman"/>
                <w:sz w:val="9"/>
                <w:szCs w:val="9"/>
                <w:color w:val="auto"/>
              </w:rPr>
              <w:t>information</w:t>
            </w:r>
          </w:p>
        </w:tc>
        <w:tc>
          <w:tcPr>
            <w:tcW w:w="376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20" w:type="dxa"/>
            <w:vAlign w:val="bottom"/>
          </w:tcPr>
          <w:p>
            <w:pPr>
              <w:spacing w:after="0"/>
              <w:rPr>
                <w:sz w:val="3"/>
                <w:szCs w:val="3"/>
                <w:color w:val="auto"/>
              </w:rPr>
            </w:pPr>
          </w:p>
        </w:tc>
        <w:tc>
          <w:tcPr>
            <w:tcW w:w="1000" w:type="dxa"/>
            <w:vAlign w:val="bottom"/>
          </w:tcPr>
          <w:p>
            <w:pPr>
              <w:spacing w:after="0"/>
              <w:rPr>
                <w:sz w:val="3"/>
                <w:szCs w:val="3"/>
                <w:color w:val="auto"/>
              </w:rPr>
            </w:pPr>
          </w:p>
        </w:tc>
        <w:tc>
          <w:tcPr>
            <w:tcW w:w="1580" w:type="dxa"/>
            <w:vAlign w:val="bottom"/>
          </w:tcPr>
          <w:p>
            <w:pPr>
              <w:spacing w:after="0"/>
              <w:rPr>
                <w:sz w:val="3"/>
                <w:szCs w:val="3"/>
                <w:color w:val="auto"/>
              </w:rPr>
            </w:pPr>
          </w:p>
        </w:tc>
        <w:tc>
          <w:tcPr>
            <w:tcW w:w="900" w:type="dxa"/>
            <w:vAlign w:val="bottom"/>
          </w:tcPr>
          <w:p>
            <w:pPr>
              <w:spacing w:after="0"/>
              <w:rPr>
                <w:sz w:val="3"/>
                <w:szCs w:val="3"/>
                <w:color w:val="auto"/>
              </w:rPr>
            </w:pPr>
          </w:p>
        </w:tc>
        <w:tc>
          <w:tcPr>
            <w:tcW w:w="880" w:type="dxa"/>
            <w:vAlign w:val="bottom"/>
          </w:tcPr>
          <w:p>
            <w:pPr>
              <w:spacing w:after="0"/>
              <w:rPr>
                <w:sz w:val="3"/>
                <w:szCs w:val="3"/>
                <w:color w:val="auto"/>
              </w:rPr>
            </w:pPr>
          </w:p>
        </w:tc>
        <w:tc>
          <w:tcPr>
            <w:tcW w:w="3560" w:type="dxa"/>
            <w:vAlign w:val="bottom"/>
          </w:tcPr>
          <w:p>
            <w:pPr>
              <w:spacing w:after="0"/>
              <w:rPr>
                <w:sz w:val="3"/>
                <w:szCs w:val="3"/>
                <w:color w:val="auto"/>
              </w:rPr>
            </w:pPr>
          </w:p>
        </w:tc>
        <w:tc>
          <w:tcPr>
            <w:tcW w:w="20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86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Remuneration continued</w:t>
            </w:r>
          </w:p>
        </w:tc>
        <w:tc>
          <w:tcPr>
            <w:tcW w:w="1000" w:type="dxa"/>
            <w:vAlign w:val="bottom"/>
          </w:tcPr>
          <w:p>
            <w:pPr>
              <w:spacing w:after="0"/>
              <w:rPr>
                <w:sz w:val="24"/>
                <w:szCs w:val="24"/>
                <w:color w:val="auto"/>
              </w:rPr>
            </w:pPr>
          </w:p>
        </w:tc>
        <w:tc>
          <w:tcPr>
            <w:tcW w:w="1580" w:type="dxa"/>
            <w:vAlign w:val="bottom"/>
          </w:tcPr>
          <w:p>
            <w:pPr>
              <w:spacing w:after="0"/>
              <w:rPr>
                <w:sz w:val="24"/>
                <w:szCs w:val="24"/>
                <w:color w:val="auto"/>
              </w:rPr>
            </w:pPr>
          </w:p>
        </w:tc>
        <w:tc>
          <w:tcPr>
            <w:tcW w:w="900" w:type="dxa"/>
            <w:vAlign w:val="bottom"/>
          </w:tcPr>
          <w:p>
            <w:pPr>
              <w:spacing w:after="0"/>
              <w:rPr>
                <w:sz w:val="24"/>
                <w:szCs w:val="24"/>
                <w:color w:val="auto"/>
              </w:rPr>
            </w:pPr>
          </w:p>
        </w:tc>
        <w:tc>
          <w:tcPr>
            <w:tcW w:w="880" w:type="dxa"/>
            <w:vAlign w:val="bottom"/>
          </w:tcPr>
          <w:p>
            <w:pPr>
              <w:spacing w:after="0"/>
              <w:rPr>
                <w:sz w:val="24"/>
                <w:szCs w:val="24"/>
                <w:color w:val="auto"/>
              </w:rPr>
            </w:pPr>
          </w:p>
        </w:tc>
        <w:tc>
          <w:tcPr>
            <w:tcW w:w="356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4440" w:type="dxa"/>
            <w:vAlign w:val="bottom"/>
            <w:gridSpan w:val="5"/>
          </w:tcPr>
          <w:p>
            <w:pPr>
              <w:spacing w:after="0"/>
              <w:rPr>
                <w:sz w:val="20"/>
                <w:szCs w:val="20"/>
                <w:color w:val="auto"/>
              </w:rPr>
            </w:pPr>
            <w:r>
              <w:rPr>
                <w:rFonts w:ascii="Times New Roman" w:cs="Times New Roman" w:eastAsia="Times New Roman" w:hAnsi="Times New Roman"/>
                <w:sz w:val="13"/>
                <w:szCs w:val="13"/>
                <w:color w:val="auto"/>
              </w:rPr>
              <w:t>The updated Remuneration Policy for the President and CEO</w:t>
            </w:r>
          </w:p>
        </w:tc>
        <w:tc>
          <w:tcPr>
            <w:tcW w:w="900" w:type="dxa"/>
            <w:vAlign w:val="bottom"/>
          </w:tcPr>
          <w:p>
            <w:pPr>
              <w:spacing w:after="0"/>
              <w:rPr>
                <w:sz w:val="24"/>
                <w:szCs w:val="24"/>
                <w:color w:val="auto"/>
              </w:rPr>
            </w:pPr>
          </w:p>
        </w:tc>
        <w:tc>
          <w:tcPr>
            <w:tcW w:w="880" w:type="dxa"/>
            <w:vAlign w:val="bottom"/>
          </w:tcPr>
          <w:p>
            <w:pPr>
              <w:spacing w:after="0"/>
              <w:rPr>
                <w:sz w:val="24"/>
                <w:szCs w:val="24"/>
                <w:color w:val="auto"/>
              </w:rPr>
            </w:pPr>
          </w:p>
        </w:tc>
        <w:tc>
          <w:tcPr>
            <w:tcW w:w="356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61"/>
        </w:trPr>
        <w:tc>
          <w:tcPr>
            <w:tcW w:w="900" w:type="dxa"/>
            <w:vAlign w:val="bottom"/>
          </w:tcPr>
          <w:p>
            <w:pPr>
              <w:spacing w:after="0"/>
              <w:rPr>
                <w:sz w:val="5"/>
                <w:szCs w:val="5"/>
                <w:color w:val="auto"/>
              </w:rPr>
            </w:pPr>
          </w:p>
        </w:tc>
        <w:tc>
          <w:tcPr>
            <w:tcW w:w="540" w:type="dxa"/>
            <w:vAlign w:val="bottom"/>
          </w:tcPr>
          <w:p>
            <w:pPr>
              <w:spacing w:after="0"/>
              <w:rPr>
                <w:sz w:val="5"/>
                <w:szCs w:val="5"/>
                <w:color w:val="auto"/>
              </w:rPr>
            </w:pPr>
          </w:p>
        </w:tc>
        <w:tc>
          <w:tcPr>
            <w:tcW w:w="1420" w:type="dxa"/>
            <w:vAlign w:val="bottom"/>
            <w:gridSpan w:val="2"/>
          </w:tcPr>
          <w:p>
            <w:pPr>
              <w:spacing w:after="0"/>
              <w:rPr>
                <w:sz w:val="5"/>
                <w:szCs w:val="5"/>
                <w:color w:val="auto"/>
              </w:rPr>
            </w:pPr>
          </w:p>
        </w:tc>
        <w:tc>
          <w:tcPr>
            <w:tcW w:w="1580" w:type="dxa"/>
            <w:vAlign w:val="bottom"/>
          </w:tcPr>
          <w:p>
            <w:pPr>
              <w:spacing w:after="0"/>
              <w:rPr>
                <w:sz w:val="5"/>
                <w:szCs w:val="5"/>
                <w:color w:val="auto"/>
              </w:rPr>
            </w:pPr>
          </w:p>
        </w:tc>
        <w:tc>
          <w:tcPr>
            <w:tcW w:w="900" w:type="dxa"/>
            <w:vAlign w:val="bottom"/>
          </w:tcPr>
          <w:p>
            <w:pPr>
              <w:spacing w:after="0"/>
              <w:rPr>
                <w:sz w:val="5"/>
                <w:szCs w:val="5"/>
                <w:color w:val="auto"/>
              </w:rPr>
            </w:pPr>
          </w:p>
        </w:tc>
        <w:tc>
          <w:tcPr>
            <w:tcW w:w="880" w:type="dxa"/>
            <w:vAlign w:val="bottom"/>
          </w:tcPr>
          <w:p>
            <w:pPr>
              <w:spacing w:after="0"/>
              <w:rPr>
                <w:sz w:val="5"/>
                <w:szCs w:val="5"/>
                <w:color w:val="auto"/>
              </w:rPr>
            </w:pPr>
          </w:p>
        </w:tc>
        <w:tc>
          <w:tcPr>
            <w:tcW w:w="3760" w:type="dxa"/>
            <w:vAlign w:val="bottom"/>
            <w:gridSpan w:val="2"/>
          </w:tcPr>
          <w:p>
            <w:pPr>
              <w:spacing w:after="0"/>
              <w:rPr>
                <w:sz w:val="5"/>
                <w:szCs w:val="5"/>
                <w:color w:val="auto"/>
              </w:rPr>
            </w:pPr>
          </w:p>
        </w:tc>
        <w:tc>
          <w:tcPr>
            <w:tcW w:w="0" w:type="dxa"/>
            <w:vAlign w:val="bottom"/>
          </w:tcPr>
          <w:p>
            <w:pPr>
              <w:spacing w:after="0"/>
              <w:rPr>
                <w:sz w:val="1"/>
                <w:szCs w:val="1"/>
                <w:color w:val="auto"/>
              </w:rPr>
            </w:pPr>
          </w:p>
        </w:tc>
      </w:tr>
      <w:tr>
        <w:trPr>
          <w:trHeight w:val="132"/>
        </w:trPr>
        <w:tc>
          <w:tcPr>
            <w:tcW w:w="900" w:type="dxa"/>
            <w:vAlign w:val="bottom"/>
            <w:tcBorders>
              <w:bottom w:val="single" w:sz="8" w:color="005AFF"/>
            </w:tcBorders>
            <w:shd w:val="clear" w:color="auto" w:fill="005AFF"/>
          </w:tcPr>
          <w:p>
            <w:pPr>
              <w:ind w:left="40"/>
              <w:spacing w:after="0"/>
              <w:rPr>
                <w:sz w:val="20"/>
                <w:szCs w:val="20"/>
                <w:color w:val="auto"/>
              </w:rPr>
            </w:pPr>
            <w:r>
              <w:rPr>
                <w:rFonts w:ascii="Times New Roman" w:cs="Times New Roman" w:eastAsia="Times New Roman" w:hAnsi="Times New Roman"/>
                <w:sz w:val="8"/>
                <w:szCs w:val="8"/>
                <w:b w:val="1"/>
                <w:bCs w:val="1"/>
                <w:color w:val="FFFFFF"/>
              </w:rPr>
              <w:t>Remuneration element</w:t>
            </w:r>
          </w:p>
        </w:tc>
        <w:tc>
          <w:tcPr>
            <w:tcW w:w="1960" w:type="dxa"/>
            <w:vAlign w:val="bottom"/>
            <w:tcBorders>
              <w:bottom w:val="single" w:sz="8" w:color="005AFF"/>
            </w:tcBorders>
            <w:gridSpan w:val="3"/>
            <w:shd w:val="clear" w:color="auto" w:fill="005AFF"/>
          </w:tcPr>
          <w:p>
            <w:pPr>
              <w:ind w:left="380"/>
              <w:spacing w:after="0"/>
              <w:rPr>
                <w:sz w:val="20"/>
                <w:szCs w:val="20"/>
                <w:color w:val="auto"/>
              </w:rPr>
            </w:pPr>
            <w:r>
              <w:rPr>
                <w:rFonts w:ascii="Times New Roman" w:cs="Times New Roman" w:eastAsia="Times New Roman" w:hAnsi="Times New Roman"/>
                <w:sz w:val="8"/>
                <w:szCs w:val="8"/>
                <w:b w:val="1"/>
                <w:bCs w:val="1"/>
                <w:color w:val="FFFFFF"/>
              </w:rPr>
              <w:t>Purpose and link to strategy</w:t>
            </w:r>
          </w:p>
        </w:tc>
        <w:tc>
          <w:tcPr>
            <w:tcW w:w="1580" w:type="dxa"/>
            <w:vAlign w:val="bottom"/>
            <w:tcBorders>
              <w:bottom w:val="single" w:sz="8" w:color="005AFF"/>
            </w:tcBorders>
            <w:shd w:val="clear" w:color="auto" w:fill="005AFF"/>
          </w:tcPr>
          <w:p>
            <w:pPr>
              <w:ind w:left="20"/>
              <w:spacing w:after="0"/>
              <w:rPr>
                <w:sz w:val="20"/>
                <w:szCs w:val="20"/>
                <w:color w:val="auto"/>
              </w:rPr>
            </w:pPr>
            <w:r>
              <w:rPr>
                <w:rFonts w:ascii="Times New Roman" w:cs="Times New Roman" w:eastAsia="Times New Roman" w:hAnsi="Times New Roman"/>
                <w:sz w:val="8"/>
                <w:szCs w:val="8"/>
                <w:b w:val="1"/>
                <w:bCs w:val="1"/>
                <w:color w:val="FFFFFF"/>
              </w:rPr>
              <w:t>Operation including maximum opportunity</w:t>
            </w:r>
          </w:p>
        </w:tc>
        <w:tc>
          <w:tcPr>
            <w:tcW w:w="900" w:type="dxa"/>
            <w:vAlign w:val="bottom"/>
            <w:tcBorders>
              <w:bottom w:val="single" w:sz="8" w:color="005AFF"/>
            </w:tcBorders>
            <w:shd w:val="clear" w:color="auto" w:fill="005AFF"/>
          </w:tcPr>
          <w:p>
            <w:pPr>
              <w:spacing w:after="0"/>
              <w:rPr>
                <w:sz w:val="11"/>
                <w:szCs w:val="11"/>
                <w:color w:val="auto"/>
              </w:rPr>
            </w:pPr>
          </w:p>
        </w:tc>
        <w:tc>
          <w:tcPr>
            <w:tcW w:w="880" w:type="dxa"/>
            <w:vAlign w:val="bottom"/>
            <w:tcBorders>
              <w:bottom w:val="single" w:sz="8" w:color="005AFF"/>
            </w:tcBorders>
            <w:shd w:val="clear" w:color="auto" w:fill="005AFF"/>
          </w:tcPr>
          <w:p>
            <w:pPr>
              <w:spacing w:after="0"/>
              <w:rPr>
                <w:sz w:val="11"/>
                <w:szCs w:val="11"/>
                <w:color w:val="auto"/>
              </w:rPr>
            </w:pPr>
          </w:p>
        </w:tc>
        <w:tc>
          <w:tcPr>
            <w:tcW w:w="3560" w:type="dxa"/>
            <w:vAlign w:val="bottom"/>
            <w:tcBorders>
              <w:bottom w:val="single" w:sz="8" w:color="005AFF"/>
            </w:tcBorders>
            <w:shd w:val="clear" w:color="auto" w:fill="005AFF"/>
          </w:tcPr>
          <w:p>
            <w:pPr>
              <w:ind w:left="220"/>
              <w:spacing w:after="0"/>
              <w:rPr>
                <w:sz w:val="20"/>
                <w:szCs w:val="20"/>
                <w:color w:val="auto"/>
              </w:rPr>
            </w:pPr>
            <w:r>
              <w:rPr>
                <w:rFonts w:ascii="Times New Roman" w:cs="Times New Roman" w:eastAsia="Times New Roman" w:hAnsi="Times New Roman"/>
                <w:sz w:val="8"/>
                <w:szCs w:val="8"/>
                <w:b w:val="1"/>
                <w:bCs w:val="1"/>
                <w:color w:val="FFFFFF"/>
              </w:rPr>
              <w:t>Performance conditions</w:t>
            </w:r>
          </w:p>
        </w:tc>
        <w:tc>
          <w:tcPr>
            <w:tcW w:w="2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28"/>
        </w:trPr>
        <w:tc>
          <w:tcPr>
            <w:tcW w:w="9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Base salary</w:t>
            </w: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To attract and retain individuals with</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Base salary is normally reviewed annually taking into consideration a variety of</w:t>
            </w:r>
          </w:p>
        </w:tc>
        <w:tc>
          <w:tcPr>
            <w:tcW w:w="376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221E1F"/>
              </w:rPr>
              <w:t>Whilst there are no performance targets attached to the payment of base</w:t>
            </w: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the requisite level of knowledge,</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factors, including but not limited to, performance of the Company and the</w:t>
            </w:r>
          </w:p>
        </w:tc>
        <w:tc>
          <w:tcPr>
            <w:tcW w:w="376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221E1F"/>
              </w:rPr>
              <w:t>salary, performance is considered as context in the annual salary review.</w:t>
            </w: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skills and experience to lead our</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individual, remuneration of our external peer group, changes in individual</w:t>
            </w:r>
          </w:p>
        </w:tc>
        <w:tc>
          <w:tcPr>
            <w:tcW w:w="356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960" w:type="dxa"/>
            <w:vAlign w:val="bottom"/>
            <w:gridSpan w:val="2"/>
          </w:tcPr>
          <w:p>
            <w:pPr>
              <w:ind w:left="380"/>
              <w:spacing w:after="0"/>
              <w:rPr>
                <w:sz w:val="20"/>
                <w:szCs w:val="20"/>
                <w:color w:val="auto"/>
              </w:rPr>
            </w:pPr>
            <w:r>
              <w:rPr>
                <w:rFonts w:ascii="Times New Roman" w:cs="Times New Roman" w:eastAsia="Times New Roman" w:hAnsi="Times New Roman"/>
                <w:sz w:val="9"/>
                <w:szCs w:val="9"/>
                <w:color w:val="221E1F"/>
              </w:rPr>
              <w:t>businesses</w:t>
            </w:r>
          </w:p>
        </w:tc>
        <w:tc>
          <w:tcPr>
            <w:tcW w:w="1000" w:type="dxa"/>
            <w:vAlign w:val="bottom"/>
          </w:tcPr>
          <w:p>
            <w:pPr>
              <w:spacing w:after="0"/>
              <w:rPr>
                <w:sz w:val="10"/>
                <w:szCs w:val="10"/>
                <w:color w:val="auto"/>
              </w:rPr>
            </w:pPr>
          </w:p>
        </w:tc>
        <w:tc>
          <w:tcPr>
            <w:tcW w:w="24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221E1F"/>
              </w:rPr>
              <w:t>responsibilities and employee salary increases.</w:t>
            </w:r>
          </w:p>
        </w:tc>
        <w:tc>
          <w:tcPr>
            <w:tcW w:w="880" w:type="dxa"/>
            <w:vAlign w:val="bottom"/>
          </w:tcPr>
          <w:p>
            <w:pPr>
              <w:spacing w:after="0"/>
              <w:rPr>
                <w:sz w:val="10"/>
                <w:szCs w:val="10"/>
                <w:color w:val="auto"/>
              </w:rPr>
            </w:pPr>
          </w:p>
        </w:tc>
        <w:tc>
          <w:tcPr>
            <w:tcW w:w="356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83"/>
        </w:trPr>
        <w:tc>
          <w:tcPr>
            <w:tcW w:w="900" w:type="dxa"/>
            <w:vAlign w:val="bottom"/>
            <w:tcBorders>
              <w:bottom w:val="single" w:sz="8" w:color="005AFF"/>
            </w:tcBorders>
          </w:tcPr>
          <w:p>
            <w:pPr>
              <w:spacing w:after="0"/>
              <w:rPr>
                <w:sz w:val="7"/>
                <w:szCs w:val="7"/>
                <w:color w:val="auto"/>
              </w:rPr>
            </w:pPr>
          </w:p>
        </w:tc>
        <w:tc>
          <w:tcPr>
            <w:tcW w:w="540" w:type="dxa"/>
            <w:vAlign w:val="bottom"/>
            <w:tcBorders>
              <w:bottom w:val="single" w:sz="8" w:color="005AFF"/>
            </w:tcBorders>
          </w:tcPr>
          <w:p>
            <w:pPr>
              <w:spacing w:after="0"/>
              <w:rPr>
                <w:sz w:val="7"/>
                <w:szCs w:val="7"/>
                <w:color w:val="auto"/>
              </w:rPr>
            </w:pPr>
          </w:p>
        </w:tc>
        <w:tc>
          <w:tcPr>
            <w:tcW w:w="1420" w:type="dxa"/>
            <w:vAlign w:val="bottom"/>
            <w:tcBorders>
              <w:bottom w:val="single" w:sz="8" w:color="005AFF"/>
            </w:tcBorders>
            <w:gridSpan w:val="2"/>
          </w:tcPr>
          <w:p>
            <w:pPr>
              <w:spacing w:after="0"/>
              <w:rPr>
                <w:sz w:val="7"/>
                <w:szCs w:val="7"/>
                <w:color w:val="auto"/>
              </w:rPr>
            </w:pPr>
          </w:p>
        </w:tc>
        <w:tc>
          <w:tcPr>
            <w:tcW w:w="3360" w:type="dxa"/>
            <w:vAlign w:val="bottom"/>
            <w:tcBorders>
              <w:bottom w:val="single" w:sz="8" w:color="005AFF"/>
            </w:tcBorders>
            <w:gridSpan w:val="3"/>
          </w:tcPr>
          <w:p>
            <w:pPr>
              <w:spacing w:after="0"/>
              <w:rPr>
                <w:sz w:val="7"/>
                <w:szCs w:val="7"/>
                <w:color w:val="auto"/>
              </w:rPr>
            </w:pPr>
          </w:p>
        </w:tc>
        <w:tc>
          <w:tcPr>
            <w:tcW w:w="3560" w:type="dxa"/>
            <w:vAlign w:val="bottom"/>
            <w:tcBorders>
              <w:bottom w:val="single" w:sz="8" w:color="005AFF"/>
            </w:tcBorders>
          </w:tcPr>
          <w:p>
            <w:pPr>
              <w:spacing w:after="0"/>
              <w:rPr>
                <w:sz w:val="7"/>
                <w:szCs w:val="7"/>
                <w:color w:val="auto"/>
              </w:rPr>
            </w:pPr>
          </w:p>
        </w:tc>
        <w:tc>
          <w:tcPr>
            <w:tcW w:w="2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08"/>
        </w:trPr>
        <w:tc>
          <w:tcPr>
            <w:tcW w:w="900" w:type="dxa"/>
            <w:vAlign w:val="bottom"/>
          </w:tcPr>
          <w:p>
            <w:pPr>
              <w:ind w:left="40"/>
              <w:spacing w:after="0" w:line="109" w:lineRule="exact"/>
              <w:rPr>
                <w:sz w:val="20"/>
                <w:szCs w:val="20"/>
                <w:color w:val="auto"/>
              </w:rPr>
            </w:pPr>
            <w:r>
              <w:rPr>
                <w:rFonts w:ascii="Times New Roman" w:cs="Times New Roman" w:eastAsia="Times New Roman" w:hAnsi="Times New Roman"/>
                <w:sz w:val="10"/>
                <w:szCs w:val="10"/>
                <w:b w:val="1"/>
                <w:bCs w:val="1"/>
                <w:color w:val="auto"/>
              </w:rPr>
              <w:t>Pension</w:t>
            </w: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To provide retirement benefit</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Pension arrangements reflect the relevant market practice and may evolve year on</w:t>
            </w:r>
          </w:p>
        </w:tc>
        <w:tc>
          <w:tcPr>
            <w:tcW w:w="376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221E1F"/>
              </w:rPr>
              <w:t>N/A</w:t>
            </w: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aligned with local country practice</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year. The President and CEO may participate in the applicable pension programs</w:t>
            </w:r>
          </w:p>
        </w:tc>
        <w:tc>
          <w:tcPr>
            <w:tcW w:w="356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54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000" w:type="dxa"/>
            <w:vAlign w:val="bottom"/>
          </w:tcPr>
          <w:p>
            <w:pPr>
              <w:spacing w:after="0"/>
              <w:rPr>
                <w:sz w:val="10"/>
                <w:szCs w:val="10"/>
                <w:color w:val="auto"/>
              </w:rPr>
            </w:pPr>
          </w:p>
        </w:tc>
        <w:tc>
          <w:tcPr>
            <w:tcW w:w="24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221E1F"/>
              </w:rPr>
              <w:t>available to other executives in the country of employment.</w:t>
            </w:r>
          </w:p>
        </w:tc>
        <w:tc>
          <w:tcPr>
            <w:tcW w:w="880" w:type="dxa"/>
            <w:vAlign w:val="bottom"/>
          </w:tcPr>
          <w:p>
            <w:pPr>
              <w:spacing w:after="0"/>
              <w:rPr>
                <w:sz w:val="10"/>
                <w:szCs w:val="10"/>
                <w:color w:val="auto"/>
              </w:rPr>
            </w:pPr>
          </w:p>
        </w:tc>
        <w:tc>
          <w:tcPr>
            <w:tcW w:w="356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1"/>
        </w:trPr>
        <w:tc>
          <w:tcPr>
            <w:tcW w:w="90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000" w:type="dxa"/>
            <w:vAlign w:val="bottom"/>
          </w:tcPr>
          <w:p>
            <w:pPr>
              <w:spacing w:after="0"/>
              <w:rPr>
                <w:sz w:val="14"/>
                <w:szCs w:val="14"/>
                <w:color w:val="auto"/>
              </w:rPr>
            </w:pPr>
          </w:p>
        </w:tc>
        <w:tc>
          <w:tcPr>
            <w:tcW w:w="3360" w:type="dxa"/>
            <w:vAlign w:val="bottom"/>
            <w:gridSpan w:val="3"/>
          </w:tcPr>
          <w:p>
            <w:pPr>
              <w:ind w:left="60"/>
              <w:spacing w:after="0"/>
              <w:rPr>
                <w:sz w:val="20"/>
                <w:szCs w:val="20"/>
                <w:color w:val="auto"/>
              </w:rPr>
            </w:pPr>
            <w:r>
              <w:rPr>
                <w:rFonts w:ascii="Times New Roman" w:cs="Times New Roman" w:eastAsia="Times New Roman" w:hAnsi="Times New Roman"/>
                <w:sz w:val="9"/>
                <w:szCs w:val="9"/>
                <w:color w:val="221E1F"/>
              </w:rPr>
              <w:t>The current President and CEO participates in the Finnish statutory Employee’s</w:t>
            </w:r>
          </w:p>
        </w:tc>
        <w:tc>
          <w:tcPr>
            <w:tcW w:w="3560" w:type="dxa"/>
            <w:vAlign w:val="bottom"/>
          </w:tcPr>
          <w:p>
            <w:pPr>
              <w:spacing w:after="0"/>
              <w:rPr>
                <w:sz w:val="14"/>
                <w:szCs w:val="14"/>
                <w:color w:val="auto"/>
              </w:rPr>
            </w:pPr>
          </w:p>
        </w:tc>
        <w:tc>
          <w:tcPr>
            <w:tcW w:w="20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54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000" w:type="dxa"/>
            <w:vAlign w:val="bottom"/>
          </w:tcPr>
          <w:p>
            <w:pPr>
              <w:spacing w:after="0"/>
              <w:rPr>
                <w:sz w:val="10"/>
                <w:szCs w:val="10"/>
                <w:color w:val="auto"/>
              </w:rPr>
            </w:pPr>
          </w:p>
        </w:tc>
        <w:tc>
          <w:tcPr>
            <w:tcW w:w="24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221E1F"/>
              </w:rPr>
              <w:t>Pension Act (TyEL); there is no supplementary pension plan.</w:t>
            </w:r>
          </w:p>
        </w:tc>
        <w:tc>
          <w:tcPr>
            <w:tcW w:w="880" w:type="dxa"/>
            <w:vAlign w:val="bottom"/>
          </w:tcPr>
          <w:p>
            <w:pPr>
              <w:spacing w:after="0"/>
              <w:rPr>
                <w:sz w:val="10"/>
                <w:szCs w:val="10"/>
                <w:color w:val="auto"/>
              </w:rPr>
            </w:pPr>
          </w:p>
        </w:tc>
        <w:tc>
          <w:tcPr>
            <w:tcW w:w="356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2"/>
        </w:trPr>
        <w:tc>
          <w:tcPr>
            <w:tcW w:w="90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000" w:type="dxa"/>
            <w:vAlign w:val="bottom"/>
          </w:tcPr>
          <w:p>
            <w:pPr>
              <w:spacing w:after="0"/>
              <w:rPr>
                <w:sz w:val="14"/>
                <w:szCs w:val="14"/>
                <w:color w:val="auto"/>
              </w:rPr>
            </w:pPr>
          </w:p>
        </w:tc>
        <w:tc>
          <w:tcPr>
            <w:tcW w:w="248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221E1F"/>
              </w:rPr>
              <w:t>The retirement age is the statutory retirement age in Finland.</w:t>
            </w:r>
          </w:p>
        </w:tc>
        <w:tc>
          <w:tcPr>
            <w:tcW w:w="880" w:type="dxa"/>
            <w:vAlign w:val="bottom"/>
          </w:tcPr>
          <w:p>
            <w:pPr>
              <w:spacing w:after="0"/>
              <w:rPr>
                <w:sz w:val="14"/>
                <w:szCs w:val="14"/>
                <w:color w:val="auto"/>
              </w:rPr>
            </w:pPr>
          </w:p>
        </w:tc>
        <w:tc>
          <w:tcPr>
            <w:tcW w:w="3560" w:type="dxa"/>
            <w:vAlign w:val="bottom"/>
          </w:tcPr>
          <w:p>
            <w:pPr>
              <w:spacing w:after="0"/>
              <w:rPr>
                <w:sz w:val="14"/>
                <w:szCs w:val="14"/>
                <w:color w:val="auto"/>
              </w:rPr>
            </w:pPr>
          </w:p>
        </w:tc>
        <w:tc>
          <w:tcPr>
            <w:tcW w:w="20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83"/>
        </w:trPr>
        <w:tc>
          <w:tcPr>
            <w:tcW w:w="900" w:type="dxa"/>
            <w:vAlign w:val="bottom"/>
            <w:tcBorders>
              <w:bottom w:val="single" w:sz="8" w:color="005AFF"/>
            </w:tcBorders>
          </w:tcPr>
          <w:p>
            <w:pPr>
              <w:spacing w:after="0"/>
              <w:rPr>
                <w:sz w:val="7"/>
                <w:szCs w:val="7"/>
                <w:color w:val="auto"/>
              </w:rPr>
            </w:pPr>
          </w:p>
        </w:tc>
        <w:tc>
          <w:tcPr>
            <w:tcW w:w="540" w:type="dxa"/>
            <w:vAlign w:val="bottom"/>
            <w:tcBorders>
              <w:bottom w:val="single" w:sz="8" w:color="005AFF"/>
            </w:tcBorders>
          </w:tcPr>
          <w:p>
            <w:pPr>
              <w:spacing w:after="0"/>
              <w:rPr>
                <w:sz w:val="7"/>
                <w:szCs w:val="7"/>
                <w:color w:val="auto"/>
              </w:rPr>
            </w:pPr>
          </w:p>
        </w:tc>
        <w:tc>
          <w:tcPr>
            <w:tcW w:w="1420" w:type="dxa"/>
            <w:vAlign w:val="bottom"/>
            <w:tcBorders>
              <w:bottom w:val="single" w:sz="8" w:color="005AFF"/>
            </w:tcBorders>
            <w:gridSpan w:val="2"/>
          </w:tcPr>
          <w:p>
            <w:pPr>
              <w:spacing w:after="0"/>
              <w:rPr>
                <w:sz w:val="7"/>
                <w:szCs w:val="7"/>
                <w:color w:val="auto"/>
              </w:rPr>
            </w:pPr>
          </w:p>
        </w:tc>
        <w:tc>
          <w:tcPr>
            <w:tcW w:w="3360" w:type="dxa"/>
            <w:vAlign w:val="bottom"/>
            <w:tcBorders>
              <w:bottom w:val="single" w:sz="8" w:color="005AFF"/>
            </w:tcBorders>
            <w:gridSpan w:val="3"/>
          </w:tcPr>
          <w:p>
            <w:pPr>
              <w:spacing w:after="0"/>
              <w:rPr>
                <w:sz w:val="7"/>
                <w:szCs w:val="7"/>
                <w:color w:val="auto"/>
              </w:rPr>
            </w:pPr>
          </w:p>
        </w:tc>
        <w:tc>
          <w:tcPr>
            <w:tcW w:w="3560" w:type="dxa"/>
            <w:vAlign w:val="bottom"/>
            <w:tcBorders>
              <w:bottom w:val="single" w:sz="8" w:color="005AFF"/>
            </w:tcBorders>
          </w:tcPr>
          <w:p>
            <w:pPr>
              <w:spacing w:after="0"/>
              <w:rPr>
                <w:sz w:val="7"/>
                <w:szCs w:val="7"/>
                <w:color w:val="auto"/>
              </w:rPr>
            </w:pPr>
          </w:p>
        </w:tc>
        <w:tc>
          <w:tcPr>
            <w:tcW w:w="2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08"/>
        </w:trPr>
        <w:tc>
          <w:tcPr>
            <w:tcW w:w="900" w:type="dxa"/>
            <w:vAlign w:val="bottom"/>
          </w:tcPr>
          <w:p>
            <w:pPr>
              <w:ind w:left="40"/>
              <w:spacing w:after="0" w:line="109" w:lineRule="exact"/>
              <w:rPr>
                <w:sz w:val="20"/>
                <w:szCs w:val="20"/>
                <w:color w:val="auto"/>
              </w:rPr>
            </w:pPr>
            <w:r>
              <w:rPr>
                <w:rFonts w:ascii="Times New Roman" w:cs="Times New Roman" w:eastAsia="Times New Roman" w:hAnsi="Times New Roman"/>
                <w:sz w:val="10"/>
                <w:szCs w:val="10"/>
                <w:b w:val="1"/>
                <w:bCs w:val="1"/>
                <w:color w:val="auto"/>
              </w:rPr>
              <w:t>Benefits</w:t>
            </w: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To provide a competitive level of</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Benefits will be provided in line with local market practice in the country of</w:t>
            </w:r>
          </w:p>
        </w:tc>
        <w:tc>
          <w:tcPr>
            <w:tcW w:w="376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221E1F"/>
              </w:rPr>
              <w:t>N/A</w:t>
            </w: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1960" w:type="dxa"/>
            <w:vAlign w:val="bottom"/>
            <w:gridSpan w:val="3"/>
          </w:tcPr>
          <w:p>
            <w:pPr>
              <w:ind w:left="380"/>
              <w:spacing w:after="0"/>
              <w:rPr>
                <w:sz w:val="20"/>
                <w:szCs w:val="20"/>
                <w:color w:val="auto"/>
              </w:rPr>
            </w:pPr>
            <w:r>
              <w:rPr>
                <w:rFonts w:ascii="Times New Roman" w:cs="Times New Roman" w:eastAsia="Times New Roman" w:hAnsi="Times New Roman"/>
                <w:sz w:val="9"/>
                <w:szCs w:val="9"/>
                <w:color w:val="221E1F"/>
              </w:rPr>
              <w:t>benefits and to support recruitment</w:t>
            </w: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employment and may evolve year on year. Benefits may include, for example, a</w:t>
            </w:r>
          </w:p>
        </w:tc>
        <w:tc>
          <w:tcPr>
            <w:tcW w:w="356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960" w:type="dxa"/>
            <w:vAlign w:val="bottom"/>
            <w:gridSpan w:val="2"/>
          </w:tcPr>
          <w:p>
            <w:pPr>
              <w:ind w:left="380"/>
              <w:spacing w:after="0"/>
              <w:rPr>
                <w:sz w:val="20"/>
                <w:szCs w:val="20"/>
                <w:color w:val="auto"/>
              </w:rPr>
            </w:pPr>
            <w:r>
              <w:rPr>
                <w:rFonts w:ascii="Times New Roman" w:cs="Times New Roman" w:eastAsia="Times New Roman" w:hAnsi="Times New Roman"/>
                <w:sz w:val="9"/>
                <w:szCs w:val="9"/>
                <w:color w:val="221E1F"/>
              </w:rPr>
              <w:t>and retention</w:t>
            </w:r>
          </w:p>
        </w:tc>
        <w:tc>
          <w:tcPr>
            <w:tcW w:w="1000" w:type="dxa"/>
            <w:vAlign w:val="bottom"/>
          </w:tcPr>
          <w:p>
            <w:pPr>
              <w:spacing w:after="0"/>
              <w:rPr>
                <w:sz w:val="9"/>
                <w:szCs w:val="9"/>
                <w:color w:val="auto"/>
              </w:rPr>
            </w:pP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company car (or cash equivalent), risk benefits (for example life and disability</w:t>
            </w:r>
          </w:p>
        </w:tc>
        <w:tc>
          <w:tcPr>
            <w:tcW w:w="356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1"/>
        </w:trPr>
        <w:tc>
          <w:tcPr>
            <w:tcW w:w="900" w:type="dxa"/>
            <w:vAlign w:val="bottom"/>
          </w:tcPr>
          <w:p>
            <w:pPr>
              <w:spacing w:after="0"/>
              <w:rPr>
                <w:sz w:val="10"/>
                <w:szCs w:val="10"/>
                <w:color w:val="auto"/>
              </w:rPr>
            </w:pPr>
          </w:p>
        </w:tc>
        <w:tc>
          <w:tcPr>
            <w:tcW w:w="54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000" w:type="dxa"/>
            <w:vAlign w:val="bottom"/>
          </w:tcPr>
          <w:p>
            <w:pPr>
              <w:spacing w:after="0"/>
              <w:rPr>
                <w:sz w:val="10"/>
                <w:szCs w:val="10"/>
                <w:color w:val="auto"/>
              </w:rPr>
            </w:pPr>
          </w:p>
        </w:tc>
        <w:tc>
          <w:tcPr>
            <w:tcW w:w="33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insurance) and employer contributions to insurance plans (for example medical</w:t>
            </w:r>
          </w:p>
        </w:tc>
        <w:tc>
          <w:tcPr>
            <w:tcW w:w="356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54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000" w:type="dxa"/>
            <w:vAlign w:val="bottom"/>
          </w:tcPr>
          <w:p>
            <w:pPr>
              <w:spacing w:after="0"/>
              <w:rPr>
                <w:sz w:val="10"/>
                <w:szCs w:val="10"/>
                <w:color w:val="auto"/>
              </w:rPr>
            </w:pPr>
          </w:p>
        </w:tc>
        <w:tc>
          <w:tcPr>
            <w:tcW w:w="1580" w:type="dxa"/>
            <w:vAlign w:val="bottom"/>
          </w:tcPr>
          <w:p>
            <w:pPr>
              <w:ind w:left="20"/>
              <w:spacing w:after="0"/>
              <w:rPr>
                <w:sz w:val="20"/>
                <w:szCs w:val="20"/>
                <w:color w:val="auto"/>
              </w:rPr>
            </w:pPr>
            <w:r>
              <w:rPr>
                <w:rFonts w:ascii="Times New Roman" w:cs="Times New Roman" w:eastAsia="Times New Roman" w:hAnsi="Times New Roman"/>
                <w:sz w:val="9"/>
                <w:szCs w:val="9"/>
                <w:color w:val="221E1F"/>
              </w:rPr>
              <w:t>insurance).</w:t>
            </w:r>
          </w:p>
        </w:tc>
        <w:tc>
          <w:tcPr>
            <w:tcW w:w="900" w:type="dxa"/>
            <w:vAlign w:val="bottom"/>
          </w:tcPr>
          <w:p>
            <w:pPr>
              <w:spacing w:after="0"/>
              <w:rPr>
                <w:sz w:val="10"/>
                <w:szCs w:val="10"/>
                <w:color w:val="auto"/>
              </w:rPr>
            </w:pPr>
          </w:p>
        </w:tc>
        <w:tc>
          <w:tcPr>
            <w:tcW w:w="880" w:type="dxa"/>
            <w:vAlign w:val="bottom"/>
          </w:tcPr>
          <w:p>
            <w:pPr>
              <w:spacing w:after="0"/>
              <w:rPr>
                <w:sz w:val="10"/>
                <w:szCs w:val="10"/>
                <w:color w:val="auto"/>
              </w:rPr>
            </w:pPr>
          </w:p>
        </w:tc>
        <w:tc>
          <w:tcPr>
            <w:tcW w:w="356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bl>
    <w:p>
      <w:pPr>
        <w:spacing w:after="0" w:line="4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880"/>
        <w:spacing w:after="0"/>
        <w:rPr>
          <w:sz w:val="20"/>
          <w:szCs w:val="20"/>
          <w:color w:val="auto"/>
        </w:rPr>
      </w:pPr>
      <w:r>
        <w:rPr>
          <w:rFonts w:ascii="Times New Roman" w:cs="Times New Roman" w:eastAsia="Times New Roman" w:hAnsi="Times New Roman"/>
          <w:sz w:val="9"/>
          <w:szCs w:val="9"/>
          <w:color w:val="221E1F"/>
        </w:rPr>
        <w:t>Additional benefits and allowances may be offered in certain circumstances such</w:t>
      </w:r>
    </w:p>
    <w:p>
      <w:pPr>
        <w:spacing w:after="0" w:line="18" w:lineRule="exact"/>
        <w:rPr>
          <w:sz w:val="20"/>
          <w:szCs w:val="20"/>
          <w:color w:val="auto"/>
        </w:rPr>
      </w:pPr>
    </w:p>
    <w:p>
      <w:pPr>
        <w:ind w:left="2880"/>
        <w:spacing w:after="0"/>
        <w:rPr>
          <w:sz w:val="20"/>
          <w:szCs w:val="20"/>
          <w:color w:val="auto"/>
        </w:rPr>
      </w:pPr>
      <w:r>
        <w:rPr>
          <w:rFonts w:ascii="Times New Roman" w:cs="Times New Roman" w:eastAsia="Times New Roman" w:hAnsi="Times New Roman"/>
          <w:sz w:val="9"/>
          <w:szCs w:val="9"/>
          <w:color w:val="221E1F"/>
        </w:rPr>
        <w:t>as relocation support, expatriate allowances, and temporary living and</w:t>
      </w:r>
    </w:p>
    <w:p>
      <w:pPr>
        <w:spacing w:after="0" w:line="8" w:lineRule="exact"/>
        <w:rPr>
          <w:sz w:val="20"/>
          <w:szCs w:val="20"/>
          <w:color w:val="auto"/>
        </w:rPr>
      </w:pPr>
    </w:p>
    <w:p>
      <w:pPr>
        <w:ind w:left="2880"/>
        <w:spacing w:after="0"/>
        <w:rPr>
          <w:sz w:val="20"/>
          <w:szCs w:val="20"/>
          <w:color w:val="auto"/>
        </w:rPr>
      </w:pPr>
      <w:r>
        <w:rPr>
          <w:rFonts w:ascii="Times New Roman" w:cs="Times New Roman" w:eastAsia="Times New Roman" w:hAnsi="Times New Roman"/>
          <w:sz w:val="9"/>
          <w:szCs w:val="9"/>
          <w:color w:val="221E1F"/>
        </w:rPr>
        <w:t>transportation expenses aligned with Nokia’s mobility policy.</w:t>
      </w:r>
    </w:p>
    <w:p>
      <w:pPr>
        <w:sectPr>
          <w:pgSz w:w="11900" w:h="16838" w:orient="portrait"/>
          <w:cols w:equalWidth="0" w:num="1">
            <w:col w:w="9980"/>
          </w:cols>
          <w:pgMar w:left="960" w:top="409" w:right="959" w:bottom="1440" w:gutter="0" w:footer="0" w:header="0"/>
        </w:sectPr>
      </w:pPr>
    </w:p>
    <w:p>
      <w:pPr>
        <w:spacing w:after="0" w:line="95" w:lineRule="exact"/>
        <w:rPr>
          <w:sz w:val="20"/>
          <w:szCs w:val="20"/>
          <w:color w:val="auto"/>
        </w:rPr>
      </w:pPr>
    </w:p>
    <w:tbl>
      <w:tblPr>
        <w:tblLayout w:type="fixed"/>
        <w:tblInd w:w="40" w:type="dxa"/>
        <w:tblCellMar>
          <w:top w:w="0" w:type="dxa"/>
          <w:left w:w="0" w:type="dxa"/>
          <w:bottom w:w="0" w:type="dxa"/>
          <w:right w:w="0" w:type="dxa"/>
        </w:tblCellMar>
      </w:tblPr>
      <w:tr>
        <w:trPr>
          <w:trHeight w:val="115"/>
        </w:trPr>
        <w:tc>
          <w:tcPr>
            <w:tcW w:w="1060" w:type="dxa"/>
            <w:vAlign w:val="bottom"/>
          </w:tcPr>
          <w:p>
            <w:pPr>
              <w:spacing w:after="0"/>
              <w:rPr>
                <w:sz w:val="20"/>
                <w:szCs w:val="20"/>
                <w:color w:val="auto"/>
              </w:rPr>
            </w:pPr>
            <w:r>
              <w:rPr>
                <w:rFonts w:ascii="Times New Roman" w:cs="Times New Roman" w:eastAsia="Times New Roman" w:hAnsi="Times New Roman"/>
                <w:sz w:val="10"/>
                <w:szCs w:val="10"/>
                <w:b w:val="1"/>
                <w:bCs w:val="1"/>
                <w:color w:val="auto"/>
              </w:rPr>
              <w:t>Short-term incentive</w:t>
            </w: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To incentivize and reward</w:t>
            </w:r>
          </w:p>
        </w:tc>
      </w:tr>
      <w:tr>
        <w:trPr>
          <w:trHeight w:val="114"/>
        </w:trPr>
        <w:tc>
          <w:tcPr>
            <w:tcW w:w="1060" w:type="dxa"/>
            <w:vAlign w:val="bottom"/>
          </w:tcPr>
          <w:p>
            <w:pPr>
              <w:spacing w:after="0"/>
              <w:rPr>
                <w:sz w:val="20"/>
                <w:szCs w:val="20"/>
                <w:color w:val="auto"/>
              </w:rPr>
            </w:pPr>
            <w:r>
              <w:rPr>
                <w:rFonts w:ascii="Times New Roman" w:cs="Times New Roman" w:eastAsia="Times New Roman" w:hAnsi="Times New Roman"/>
                <w:sz w:val="10"/>
                <w:szCs w:val="10"/>
                <w:b w:val="1"/>
                <w:bCs w:val="1"/>
                <w:color w:val="auto"/>
              </w:rPr>
              <w:t>(STI)</w:t>
            </w: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performance against delivery</w:t>
            </w:r>
          </w:p>
        </w:tc>
      </w:tr>
      <w:tr>
        <w:trPr>
          <w:trHeight w:val="122"/>
        </w:trPr>
        <w:tc>
          <w:tcPr>
            <w:tcW w:w="1060" w:type="dxa"/>
            <w:vAlign w:val="bottom"/>
          </w:tcPr>
          <w:p>
            <w:pPr>
              <w:spacing w:after="0"/>
              <w:rPr>
                <w:sz w:val="10"/>
                <w:szCs w:val="10"/>
                <w:color w:val="auto"/>
              </w:rPr>
            </w:pPr>
          </w:p>
        </w:tc>
        <w:tc>
          <w:tcPr>
            <w:tcW w:w="12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of the annual business plan</w:t>
            </w:r>
          </w:p>
        </w:tc>
      </w:tr>
    </w:tbl>
    <w:p>
      <w:pPr>
        <w:spacing w:after="0" w:line="20" w:lineRule="exact"/>
        <w:rPr>
          <w:sz w:val="20"/>
          <w:szCs w:val="20"/>
          <w:color w:val="auto"/>
        </w:rPr>
      </w:pPr>
      <w:r>
        <w:rPr>
          <w:sz w:val="20"/>
          <w:szCs w:val="20"/>
          <w:color w:val="auto"/>
        </w:rPr>
        <w:br w:type="column"/>
      </w:r>
    </w:p>
    <w:p>
      <w:pPr>
        <w:spacing w:after="0" w:line="79" w:lineRule="exact"/>
        <w:rPr>
          <w:sz w:val="20"/>
          <w:szCs w:val="20"/>
          <w:color w:val="auto"/>
        </w:rPr>
      </w:pPr>
    </w:p>
    <w:p>
      <w:pPr>
        <w:spacing w:after="0" w:line="301" w:lineRule="auto"/>
        <w:rPr>
          <w:sz w:val="20"/>
          <w:szCs w:val="20"/>
          <w:color w:val="auto"/>
        </w:rPr>
      </w:pPr>
      <w:r>
        <w:rPr>
          <w:rFonts w:ascii="Times New Roman" w:cs="Times New Roman" w:eastAsia="Times New Roman" w:hAnsi="Times New Roman"/>
          <w:sz w:val="9"/>
          <w:szCs w:val="9"/>
          <w:color w:val="221E1F"/>
        </w:rPr>
        <w:t>STI is based on performance against one-year financial and non-financial targets and normally paid in cash.</w:t>
      </w:r>
    </w:p>
    <w:p>
      <w:pPr>
        <w:spacing w:after="0" w:line="13"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Minimum payout is 0% of base salary.</w:t>
      </w:r>
    </w:p>
    <w:p>
      <w:pPr>
        <w:spacing w:after="0" w:line="20" w:lineRule="exact"/>
        <w:rPr>
          <w:sz w:val="20"/>
          <w:szCs w:val="20"/>
          <w:color w:val="auto"/>
        </w:rPr>
      </w:pPr>
      <w:r>
        <w:rPr>
          <w:sz w:val="20"/>
          <w:szCs w:val="20"/>
          <w:color w:val="auto"/>
        </w:rPr>
        <w:br w:type="column"/>
      </w:r>
    </w:p>
    <w:p>
      <w:pPr>
        <w:spacing w:after="0" w:line="79" w:lineRule="exact"/>
        <w:rPr>
          <w:sz w:val="20"/>
          <w:szCs w:val="20"/>
          <w:color w:val="auto"/>
        </w:rPr>
      </w:pPr>
    </w:p>
    <w:p>
      <w:pPr>
        <w:ind w:right="680"/>
        <w:spacing w:after="0" w:line="263" w:lineRule="auto"/>
        <w:rPr>
          <w:sz w:val="20"/>
          <w:szCs w:val="20"/>
          <w:color w:val="auto"/>
        </w:rPr>
      </w:pPr>
      <w:r>
        <w:rPr>
          <w:rFonts w:ascii="Times New Roman" w:cs="Times New Roman" w:eastAsia="Times New Roman" w:hAnsi="Times New Roman"/>
          <w:sz w:val="9"/>
          <w:szCs w:val="9"/>
          <w:color w:val="221E1F"/>
        </w:rPr>
        <w:t>Performance measures, weightings and targets for the selected measures are set at the start of the year annually by the Board of Directors to ensure they continue to support Nokia’s short-term business strategy. These measures can vary from year to year to reflect business priorities and may include a</w:t>
      </w:r>
    </w:p>
    <w:p>
      <w:pPr>
        <w:spacing w:after="0" w:line="1" w:lineRule="exact"/>
        <w:rPr>
          <w:sz w:val="20"/>
          <w:szCs w:val="20"/>
          <w:color w:val="auto"/>
        </w:rPr>
      </w:pPr>
    </w:p>
    <w:p>
      <w:pPr>
        <w:sectPr>
          <w:pgSz w:w="11900" w:h="16838" w:orient="portrait"/>
          <w:cols w:equalWidth="0" w:num="3">
            <w:col w:w="2380" w:space="500"/>
            <w:col w:w="3060" w:space="500"/>
            <w:col w:w="3540"/>
          </w:cols>
          <w:pgMar w:left="960" w:top="409" w:right="959" w:bottom="1440" w:gutter="0" w:footer="0" w:header="0"/>
          <w:type w:val="continuous"/>
        </w:sectPr>
      </w:pPr>
    </w:p>
    <w:tbl>
      <w:tblPr>
        <w:tblLayout w:type="fixed"/>
        <w:tblInd w:w="0" w:type="dxa"/>
        <w:tblCellMar>
          <w:top w:w="0" w:type="dxa"/>
          <w:left w:w="0" w:type="dxa"/>
          <w:bottom w:w="0" w:type="dxa"/>
          <w:right w:w="0" w:type="dxa"/>
        </w:tblCellMar>
      </w:tblPr>
      <w:tr>
        <w:trPr>
          <w:trHeight w:val="122"/>
        </w:trPr>
        <w:tc>
          <w:tcPr>
            <w:tcW w:w="1100" w:type="dxa"/>
            <w:vAlign w:val="bottom"/>
          </w:tcPr>
          <w:p>
            <w:pPr>
              <w:spacing w:after="0"/>
              <w:rPr>
                <w:sz w:val="10"/>
                <w:szCs w:val="10"/>
                <w:color w:val="auto"/>
              </w:rPr>
            </w:pPr>
          </w:p>
        </w:tc>
        <w:tc>
          <w:tcPr>
            <w:tcW w:w="1680" w:type="dxa"/>
            <w:vAlign w:val="bottom"/>
          </w:tcPr>
          <w:p>
            <w:pPr>
              <w:spacing w:after="0"/>
              <w:rPr>
                <w:sz w:val="10"/>
                <w:szCs w:val="10"/>
                <w:color w:val="auto"/>
              </w:rPr>
            </w:pPr>
          </w:p>
        </w:tc>
        <w:tc>
          <w:tcPr>
            <w:tcW w:w="3380" w:type="dxa"/>
            <w:vAlign w:val="bottom"/>
          </w:tcPr>
          <w:p>
            <w:pPr>
              <w:ind w:left="100"/>
              <w:spacing w:after="0"/>
              <w:rPr>
                <w:sz w:val="20"/>
                <w:szCs w:val="20"/>
                <w:color w:val="auto"/>
              </w:rPr>
            </w:pPr>
            <w:r>
              <w:rPr>
                <w:rFonts w:ascii="Times New Roman" w:cs="Times New Roman" w:eastAsia="Times New Roman" w:hAnsi="Times New Roman"/>
                <w:sz w:val="9"/>
                <w:szCs w:val="9"/>
                <w:color w:val="221E1F"/>
              </w:rPr>
              <w:t>Target opportunity is 125% of base salary.</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balance of financial, key operational and non-financial measures.</w:t>
            </w:r>
          </w:p>
        </w:tc>
        <w:tc>
          <w:tcPr>
            <w:tcW w:w="0" w:type="dxa"/>
            <w:vAlign w:val="bottom"/>
          </w:tcPr>
          <w:p>
            <w:pPr>
              <w:spacing w:after="0"/>
              <w:rPr>
                <w:sz w:val="1"/>
                <w:szCs w:val="1"/>
                <w:color w:val="auto"/>
              </w:rPr>
            </w:pPr>
          </w:p>
        </w:tc>
      </w:tr>
      <w:tr>
        <w:trPr>
          <w:trHeight w:val="151"/>
        </w:trPr>
        <w:tc>
          <w:tcPr>
            <w:tcW w:w="1100" w:type="dxa"/>
            <w:vAlign w:val="bottom"/>
          </w:tcPr>
          <w:p>
            <w:pPr>
              <w:spacing w:after="0"/>
              <w:rPr>
                <w:sz w:val="13"/>
                <w:szCs w:val="13"/>
                <w:color w:val="auto"/>
              </w:rPr>
            </w:pPr>
          </w:p>
        </w:tc>
        <w:tc>
          <w:tcPr>
            <w:tcW w:w="1680" w:type="dxa"/>
            <w:vAlign w:val="bottom"/>
          </w:tcPr>
          <w:p>
            <w:pPr>
              <w:spacing w:after="0"/>
              <w:rPr>
                <w:sz w:val="13"/>
                <w:szCs w:val="13"/>
                <w:color w:val="auto"/>
              </w:rPr>
            </w:pPr>
          </w:p>
        </w:tc>
        <w:tc>
          <w:tcPr>
            <w:tcW w:w="3380" w:type="dxa"/>
            <w:vAlign w:val="bottom"/>
          </w:tcPr>
          <w:p>
            <w:pPr>
              <w:ind w:left="100"/>
              <w:spacing w:after="0"/>
              <w:rPr>
                <w:sz w:val="20"/>
                <w:szCs w:val="20"/>
                <w:color w:val="auto"/>
              </w:rPr>
            </w:pPr>
            <w:r>
              <w:rPr>
                <w:rFonts w:ascii="Times New Roman" w:cs="Times New Roman" w:eastAsia="Times New Roman" w:hAnsi="Times New Roman"/>
                <w:sz w:val="9"/>
                <w:szCs w:val="9"/>
                <w:color w:val="221E1F"/>
              </w:rPr>
              <w:t>Maximum opportunity is 281.25% of base salary.</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Although the performance measures and weighting may differ year on year</w:t>
            </w:r>
          </w:p>
        </w:tc>
        <w:tc>
          <w:tcPr>
            <w:tcW w:w="0" w:type="dxa"/>
            <w:vAlign w:val="bottom"/>
          </w:tcPr>
          <w:p>
            <w:pPr>
              <w:spacing w:after="0"/>
              <w:rPr>
                <w:sz w:val="1"/>
                <w:szCs w:val="1"/>
                <w:color w:val="auto"/>
              </w:rPr>
            </w:pPr>
          </w:p>
        </w:tc>
      </w:tr>
      <w:tr>
        <w:trPr>
          <w:trHeight w:val="111"/>
        </w:trPr>
        <w:tc>
          <w:tcPr>
            <w:tcW w:w="1100" w:type="dxa"/>
            <w:vAlign w:val="bottom"/>
          </w:tcPr>
          <w:p>
            <w:pPr>
              <w:spacing w:after="0"/>
              <w:rPr>
                <w:sz w:val="9"/>
                <w:szCs w:val="9"/>
                <w:color w:val="auto"/>
              </w:rPr>
            </w:pPr>
          </w:p>
        </w:tc>
        <w:tc>
          <w:tcPr>
            <w:tcW w:w="1680" w:type="dxa"/>
            <w:vAlign w:val="bottom"/>
          </w:tcPr>
          <w:p>
            <w:pPr>
              <w:spacing w:after="0"/>
              <w:rPr>
                <w:sz w:val="9"/>
                <w:szCs w:val="9"/>
                <w:color w:val="auto"/>
              </w:rPr>
            </w:pPr>
          </w:p>
        </w:tc>
        <w:tc>
          <w:tcPr>
            <w:tcW w:w="338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221E1F"/>
              </w:rPr>
              <w:t>The Company Clawback Policies apply.</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reflecting the business priorities, in any given year, a minimum of 60% of</w:t>
            </w:r>
          </w:p>
        </w:tc>
        <w:tc>
          <w:tcPr>
            <w:tcW w:w="0" w:type="dxa"/>
            <w:vAlign w:val="bottom"/>
          </w:tcPr>
          <w:p>
            <w:pPr>
              <w:spacing w:after="0"/>
              <w:rPr>
                <w:sz w:val="1"/>
                <w:szCs w:val="1"/>
                <w:color w:val="auto"/>
              </w:rPr>
            </w:pPr>
          </w:p>
        </w:tc>
      </w:tr>
      <w:tr>
        <w:trPr>
          <w:trHeight w:val="61"/>
        </w:trPr>
        <w:tc>
          <w:tcPr>
            <w:tcW w:w="1100" w:type="dxa"/>
            <w:vAlign w:val="bottom"/>
          </w:tcPr>
          <w:p>
            <w:pPr>
              <w:spacing w:after="0"/>
              <w:rPr>
                <w:sz w:val="5"/>
                <w:szCs w:val="5"/>
                <w:color w:val="auto"/>
              </w:rPr>
            </w:pPr>
          </w:p>
        </w:tc>
        <w:tc>
          <w:tcPr>
            <w:tcW w:w="1680" w:type="dxa"/>
            <w:vAlign w:val="bottom"/>
          </w:tcPr>
          <w:p>
            <w:pPr>
              <w:spacing w:after="0"/>
              <w:rPr>
                <w:sz w:val="5"/>
                <w:szCs w:val="5"/>
                <w:color w:val="auto"/>
              </w:rPr>
            </w:pPr>
          </w:p>
        </w:tc>
        <w:tc>
          <w:tcPr>
            <w:tcW w:w="3380" w:type="dxa"/>
            <w:vAlign w:val="bottom"/>
            <w:vMerge w:val="continue"/>
          </w:tcPr>
          <w:p>
            <w:pPr>
              <w:spacing w:after="0"/>
              <w:rPr>
                <w:sz w:val="5"/>
                <w:szCs w:val="5"/>
                <w:color w:val="auto"/>
              </w:rPr>
            </w:pPr>
          </w:p>
        </w:tc>
        <w:tc>
          <w:tcPr>
            <w:tcW w:w="3620" w:type="dxa"/>
            <w:vAlign w:val="bottom"/>
            <w:vMerge w:val="restart"/>
          </w:tcPr>
          <w:p>
            <w:pPr>
              <w:ind w:left="280"/>
              <w:spacing w:after="0"/>
              <w:rPr>
                <w:sz w:val="20"/>
                <w:szCs w:val="20"/>
                <w:color w:val="auto"/>
              </w:rPr>
            </w:pPr>
            <w:r>
              <w:rPr>
                <w:rFonts w:ascii="Times New Roman" w:cs="Times New Roman" w:eastAsia="Times New Roman" w:hAnsi="Times New Roman"/>
                <w:sz w:val="9"/>
                <w:szCs w:val="9"/>
                <w:color w:val="221E1F"/>
              </w:rPr>
              <w:t>measures will be based on financial criteria.</w:t>
            </w:r>
          </w:p>
        </w:tc>
        <w:tc>
          <w:tcPr>
            <w:tcW w:w="0" w:type="dxa"/>
            <w:vAlign w:val="bottom"/>
          </w:tcPr>
          <w:p>
            <w:pPr>
              <w:spacing w:after="0"/>
              <w:rPr>
                <w:sz w:val="1"/>
                <w:szCs w:val="1"/>
                <w:color w:val="auto"/>
              </w:rPr>
            </w:pPr>
          </w:p>
        </w:tc>
      </w:tr>
      <w:tr>
        <w:trPr>
          <w:trHeight w:val="61"/>
        </w:trPr>
        <w:tc>
          <w:tcPr>
            <w:tcW w:w="1100" w:type="dxa"/>
            <w:vAlign w:val="bottom"/>
          </w:tcPr>
          <w:p>
            <w:pPr>
              <w:spacing w:after="0"/>
              <w:rPr>
                <w:sz w:val="5"/>
                <w:szCs w:val="5"/>
                <w:color w:val="auto"/>
              </w:rPr>
            </w:pPr>
          </w:p>
        </w:tc>
        <w:tc>
          <w:tcPr>
            <w:tcW w:w="1680" w:type="dxa"/>
            <w:vAlign w:val="bottom"/>
          </w:tcPr>
          <w:p>
            <w:pPr>
              <w:spacing w:after="0"/>
              <w:rPr>
                <w:sz w:val="5"/>
                <w:szCs w:val="5"/>
                <w:color w:val="auto"/>
              </w:rPr>
            </w:pPr>
          </w:p>
        </w:tc>
        <w:tc>
          <w:tcPr>
            <w:tcW w:w="3380" w:type="dxa"/>
            <w:vAlign w:val="bottom"/>
          </w:tcPr>
          <w:p>
            <w:pPr>
              <w:spacing w:after="0"/>
              <w:rPr>
                <w:sz w:val="5"/>
                <w:szCs w:val="5"/>
                <w:color w:val="auto"/>
              </w:rPr>
            </w:pPr>
          </w:p>
        </w:tc>
        <w:tc>
          <w:tcPr>
            <w:tcW w:w="362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161"/>
        </w:trPr>
        <w:tc>
          <w:tcPr>
            <w:tcW w:w="1100" w:type="dxa"/>
            <w:vAlign w:val="bottom"/>
          </w:tcPr>
          <w:p>
            <w:pPr>
              <w:spacing w:after="0"/>
              <w:rPr>
                <w:sz w:val="14"/>
                <w:szCs w:val="14"/>
                <w:color w:val="auto"/>
              </w:rPr>
            </w:pPr>
          </w:p>
        </w:tc>
        <w:tc>
          <w:tcPr>
            <w:tcW w:w="1680" w:type="dxa"/>
            <w:vAlign w:val="bottom"/>
          </w:tcPr>
          <w:p>
            <w:pPr>
              <w:spacing w:after="0"/>
              <w:rPr>
                <w:sz w:val="14"/>
                <w:szCs w:val="14"/>
                <w:color w:val="auto"/>
              </w:rPr>
            </w:pPr>
          </w:p>
        </w:tc>
        <w:tc>
          <w:tcPr>
            <w:tcW w:w="3380" w:type="dxa"/>
            <w:vAlign w:val="bottom"/>
          </w:tcPr>
          <w:p>
            <w:pPr>
              <w:spacing w:after="0"/>
              <w:rPr>
                <w:sz w:val="14"/>
                <w:szCs w:val="14"/>
                <w:color w:val="auto"/>
              </w:rPr>
            </w:pP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Performance metrics and weightings are disclosed retrospectively in the</w:t>
            </w:r>
          </w:p>
        </w:tc>
        <w:tc>
          <w:tcPr>
            <w:tcW w:w="0" w:type="dxa"/>
            <w:vAlign w:val="bottom"/>
          </w:tcPr>
          <w:p>
            <w:pPr>
              <w:spacing w:after="0"/>
              <w:rPr>
                <w:sz w:val="1"/>
                <w:szCs w:val="1"/>
                <w:color w:val="auto"/>
              </w:rPr>
            </w:pPr>
          </w:p>
        </w:tc>
      </w:tr>
      <w:tr>
        <w:trPr>
          <w:trHeight w:val="122"/>
        </w:trPr>
        <w:tc>
          <w:tcPr>
            <w:tcW w:w="1100" w:type="dxa"/>
            <w:vAlign w:val="bottom"/>
          </w:tcPr>
          <w:p>
            <w:pPr>
              <w:spacing w:after="0"/>
              <w:rPr>
                <w:sz w:val="10"/>
                <w:szCs w:val="10"/>
                <w:color w:val="auto"/>
              </w:rPr>
            </w:pPr>
          </w:p>
        </w:tc>
        <w:tc>
          <w:tcPr>
            <w:tcW w:w="1680" w:type="dxa"/>
            <w:vAlign w:val="bottom"/>
          </w:tcPr>
          <w:p>
            <w:pPr>
              <w:spacing w:after="0"/>
              <w:rPr>
                <w:sz w:val="10"/>
                <w:szCs w:val="10"/>
                <w:color w:val="auto"/>
              </w:rPr>
            </w:pPr>
          </w:p>
        </w:tc>
        <w:tc>
          <w:tcPr>
            <w:tcW w:w="3380" w:type="dxa"/>
            <w:vAlign w:val="bottom"/>
          </w:tcPr>
          <w:p>
            <w:pPr>
              <w:spacing w:after="0"/>
              <w:rPr>
                <w:sz w:val="10"/>
                <w:szCs w:val="10"/>
                <w:color w:val="auto"/>
              </w:rPr>
            </w:pP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annual Remuneration Report.</w:t>
            </w:r>
          </w:p>
        </w:tc>
        <w:tc>
          <w:tcPr>
            <w:tcW w:w="0" w:type="dxa"/>
            <w:vAlign w:val="bottom"/>
          </w:tcPr>
          <w:p>
            <w:pPr>
              <w:spacing w:after="0"/>
              <w:rPr>
                <w:sz w:val="1"/>
                <w:szCs w:val="1"/>
                <w:color w:val="auto"/>
              </w:rPr>
            </w:pPr>
          </w:p>
        </w:tc>
      </w:tr>
      <w:tr>
        <w:trPr>
          <w:trHeight w:val="83"/>
        </w:trPr>
        <w:tc>
          <w:tcPr>
            <w:tcW w:w="1100" w:type="dxa"/>
            <w:vAlign w:val="bottom"/>
            <w:tcBorders>
              <w:bottom w:val="single" w:sz="8" w:color="005AFF"/>
            </w:tcBorders>
          </w:tcPr>
          <w:p>
            <w:pPr>
              <w:spacing w:after="0"/>
              <w:rPr>
                <w:sz w:val="7"/>
                <w:szCs w:val="7"/>
                <w:color w:val="auto"/>
              </w:rPr>
            </w:pPr>
          </w:p>
        </w:tc>
        <w:tc>
          <w:tcPr>
            <w:tcW w:w="1680" w:type="dxa"/>
            <w:vAlign w:val="bottom"/>
            <w:tcBorders>
              <w:bottom w:val="single" w:sz="8" w:color="005AFF"/>
            </w:tcBorders>
          </w:tcPr>
          <w:p>
            <w:pPr>
              <w:spacing w:after="0"/>
              <w:rPr>
                <w:sz w:val="7"/>
                <w:szCs w:val="7"/>
                <w:color w:val="auto"/>
              </w:rPr>
            </w:pPr>
          </w:p>
        </w:tc>
        <w:tc>
          <w:tcPr>
            <w:tcW w:w="3380" w:type="dxa"/>
            <w:vAlign w:val="bottom"/>
            <w:tcBorders>
              <w:bottom w:val="single" w:sz="8" w:color="005AFF"/>
            </w:tcBorders>
          </w:tcPr>
          <w:p>
            <w:pPr>
              <w:spacing w:after="0"/>
              <w:rPr>
                <w:sz w:val="7"/>
                <w:szCs w:val="7"/>
                <w:color w:val="auto"/>
              </w:rPr>
            </w:pPr>
          </w:p>
        </w:tc>
        <w:tc>
          <w:tcPr>
            <w:tcW w:w="3620" w:type="dxa"/>
            <w:vAlign w:val="bottom"/>
            <w:tcBorders>
              <w:bottom w:val="single" w:sz="8" w:color="005AFF"/>
            </w:tcBorders>
          </w:tcPr>
          <w:p>
            <w:pPr>
              <w:spacing w:after="0"/>
              <w:rPr>
                <w:sz w:val="7"/>
                <w:szCs w:val="7"/>
                <w:color w:val="auto"/>
              </w:rPr>
            </w:pPr>
          </w:p>
        </w:tc>
        <w:tc>
          <w:tcPr>
            <w:tcW w:w="0" w:type="dxa"/>
            <w:vAlign w:val="bottom"/>
          </w:tcPr>
          <w:p>
            <w:pPr>
              <w:spacing w:after="0"/>
              <w:rPr>
                <w:sz w:val="1"/>
                <w:szCs w:val="1"/>
                <w:color w:val="auto"/>
              </w:rPr>
            </w:pPr>
          </w:p>
        </w:tc>
      </w:tr>
      <w:tr>
        <w:trPr>
          <w:trHeight w:val="108"/>
        </w:trPr>
        <w:tc>
          <w:tcPr>
            <w:tcW w:w="1100" w:type="dxa"/>
            <w:vAlign w:val="bottom"/>
          </w:tcPr>
          <w:p>
            <w:pPr>
              <w:ind w:left="40"/>
              <w:spacing w:after="0" w:line="109" w:lineRule="exact"/>
              <w:rPr>
                <w:sz w:val="20"/>
                <w:szCs w:val="20"/>
                <w:color w:val="auto"/>
              </w:rPr>
            </w:pPr>
            <w:r>
              <w:rPr>
                <w:rFonts w:ascii="Times New Roman" w:cs="Times New Roman" w:eastAsia="Times New Roman" w:hAnsi="Times New Roman"/>
                <w:sz w:val="10"/>
                <w:szCs w:val="10"/>
                <w:b w:val="1"/>
                <w:bCs w:val="1"/>
                <w:color w:val="auto"/>
              </w:rPr>
              <w:t>Long-term incentive</w:t>
            </w:r>
          </w:p>
        </w:tc>
        <w:tc>
          <w:tcPr>
            <w:tcW w:w="16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To reward for delivery of sustainable</w:t>
            </w:r>
          </w:p>
        </w:tc>
        <w:tc>
          <w:tcPr>
            <w:tcW w:w="3380" w:type="dxa"/>
            <w:vAlign w:val="bottom"/>
          </w:tcPr>
          <w:p>
            <w:pPr>
              <w:ind w:left="100"/>
              <w:spacing w:after="0"/>
              <w:rPr>
                <w:sz w:val="20"/>
                <w:szCs w:val="20"/>
                <w:color w:val="auto"/>
              </w:rPr>
            </w:pPr>
            <w:r>
              <w:rPr>
                <w:rFonts w:ascii="Times New Roman" w:cs="Times New Roman" w:eastAsia="Times New Roman" w:hAnsi="Times New Roman"/>
                <w:sz w:val="9"/>
                <w:szCs w:val="9"/>
                <w:color w:val="221E1F"/>
              </w:rPr>
              <w:t>Long-term incentive awards may be made annually in shares, vesting normally</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Performance measures, weightings and targets for the selected measures</w:t>
            </w:r>
          </w:p>
        </w:tc>
        <w:tc>
          <w:tcPr>
            <w:tcW w:w="0" w:type="dxa"/>
            <w:vAlign w:val="bottom"/>
          </w:tcPr>
          <w:p>
            <w:pPr>
              <w:spacing w:after="0"/>
              <w:rPr>
                <w:sz w:val="1"/>
                <w:szCs w:val="1"/>
                <w:color w:val="auto"/>
              </w:rPr>
            </w:pPr>
          </w:p>
        </w:tc>
      </w:tr>
      <w:tr>
        <w:trPr>
          <w:trHeight w:val="114"/>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(LTI) – performance</w:t>
            </w:r>
          </w:p>
        </w:tc>
        <w:tc>
          <w:tcPr>
            <w:tcW w:w="16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long-term performance, align the</w:t>
            </w:r>
          </w:p>
        </w:tc>
        <w:tc>
          <w:tcPr>
            <w:tcW w:w="3380" w:type="dxa"/>
            <w:vAlign w:val="bottom"/>
          </w:tcPr>
          <w:p>
            <w:pPr>
              <w:ind w:left="100"/>
              <w:spacing w:after="0"/>
              <w:rPr>
                <w:sz w:val="20"/>
                <w:szCs w:val="20"/>
                <w:color w:val="auto"/>
              </w:rPr>
            </w:pPr>
            <w:r>
              <w:rPr>
                <w:rFonts w:ascii="Times New Roman" w:cs="Times New Roman" w:eastAsia="Times New Roman" w:hAnsi="Times New Roman"/>
                <w:sz w:val="9"/>
                <w:szCs w:val="9"/>
                <w:color w:val="221E1F"/>
              </w:rPr>
              <w:t>after three years dependent on the achievement of stretching performance</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are set by the Board of Directors to ensure they continue to support Nokia’s</w:t>
            </w:r>
          </w:p>
        </w:tc>
        <w:tc>
          <w:tcPr>
            <w:tcW w:w="0" w:type="dxa"/>
            <w:vAlign w:val="bottom"/>
          </w:tcPr>
          <w:p>
            <w:pPr>
              <w:spacing w:after="0"/>
              <w:rPr>
                <w:sz w:val="1"/>
                <w:szCs w:val="1"/>
                <w:color w:val="auto"/>
              </w:rPr>
            </w:pPr>
          </w:p>
        </w:tc>
      </w:tr>
      <w:tr>
        <w:trPr>
          <w:trHeight w:val="118"/>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share award</w:t>
            </w:r>
          </w:p>
        </w:tc>
        <w:tc>
          <w:tcPr>
            <w:tcW w:w="16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President and CEO’s interests with</w:t>
            </w:r>
          </w:p>
        </w:tc>
        <w:tc>
          <w:tcPr>
            <w:tcW w:w="3380" w:type="dxa"/>
            <w:vAlign w:val="bottom"/>
          </w:tcPr>
          <w:p>
            <w:pPr>
              <w:ind w:left="100"/>
              <w:spacing w:after="0"/>
              <w:rPr>
                <w:sz w:val="20"/>
                <w:szCs w:val="20"/>
                <w:color w:val="auto"/>
              </w:rPr>
            </w:pPr>
            <w:r>
              <w:rPr>
                <w:rFonts w:ascii="Times New Roman" w:cs="Times New Roman" w:eastAsia="Times New Roman" w:hAnsi="Times New Roman"/>
                <w:sz w:val="9"/>
                <w:szCs w:val="9"/>
                <w:color w:val="221E1F"/>
              </w:rPr>
              <w:t>conditions measured over a three-year period.</w:t>
            </w:r>
          </w:p>
        </w:tc>
        <w:tc>
          <w:tcPr>
            <w:tcW w:w="3620" w:type="dxa"/>
            <w:vAlign w:val="bottom"/>
          </w:tcPr>
          <w:p>
            <w:pPr>
              <w:ind w:left="280"/>
              <w:spacing w:after="0"/>
              <w:rPr>
                <w:sz w:val="20"/>
                <w:szCs w:val="20"/>
                <w:color w:val="auto"/>
              </w:rPr>
            </w:pPr>
            <w:r>
              <w:rPr>
                <w:rFonts w:ascii="Times New Roman" w:cs="Times New Roman" w:eastAsia="Times New Roman" w:hAnsi="Times New Roman"/>
                <w:sz w:val="9"/>
                <w:szCs w:val="9"/>
                <w:color w:val="221E1F"/>
              </w:rPr>
              <w:t>long-term business strategy and financial success.</w:t>
            </w:r>
          </w:p>
        </w:tc>
        <w:tc>
          <w:tcPr>
            <w:tcW w:w="0" w:type="dxa"/>
            <w:vAlign w:val="bottom"/>
          </w:tcPr>
          <w:p>
            <w:pPr>
              <w:spacing w:after="0"/>
              <w:rPr>
                <w:sz w:val="1"/>
                <w:szCs w:val="1"/>
                <w:color w:val="auto"/>
              </w:rPr>
            </w:pPr>
          </w:p>
        </w:tc>
      </w:tr>
      <w:tr>
        <w:trPr>
          <w:trHeight w:val="111"/>
        </w:trPr>
        <w:tc>
          <w:tcPr>
            <w:tcW w:w="1100" w:type="dxa"/>
            <w:vAlign w:val="bottom"/>
          </w:tcPr>
          <w:p>
            <w:pPr>
              <w:spacing w:after="0"/>
              <w:rPr>
                <w:sz w:val="9"/>
                <w:szCs w:val="9"/>
                <w:color w:val="auto"/>
              </w:rPr>
            </w:pPr>
          </w:p>
        </w:tc>
        <w:tc>
          <w:tcPr>
            <w:tcW w:w="1680" w:type="dxa"/>
            <w:vAlign w:val="bottom"/>
          </w:tcPr>
          <w:p>
            <w:pPr>
              <w:ind w:left="180"/>
              <w:spacing w:after="0"/>
              <w:rPr>
                <w:sz w:val="20"/>
                <w:szCs w:val="20"/>
                <w:color w:val="auto"/>
              </w:rPr>
            </w:pPr>
            <w:r>
              <w:rPr>
                <w:rFonts w:ascii="Times New Roman" w:cs="Times New Roman" w:eastAsia="Times New Roman" w:hAnsi="Times New Roman"/>
                <w:sz w:val="9"/>
                <w:szCs w:val="9"/>
                <w:color w:val="221E1F"/>
              </w:rPr>
              <w:t>those of shareholders and aid</w:t>
            </w:r>
          </w:p>
        </w:tc>
        <w:tc>
          <w:tcPr>
            <w:tcW w:w="338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221E1F"/>
              </w:rPr>
              <w:t>Target award level is 200% of base salary at the date of grant, with maximum</w:t>
            </w:r>
          </w:p>
        </w:tc>
        <w:tc>
          <w:tcPr>
            <w:tcW w:w="3620" w:type="dxa"/>
            <w:vAlign w:val="bottom"/>
            <w:vMerge w:val="restart"/>
          </w:tcPr>
          <w:p>
            <w:pPr>
              <w:ind w:left="280"/>
              <w:spacing w:after="0"/>
              <w:rPr>
                <w:sz w:val="20"/>
                <w:szCs w:val="20"/>
                <w:color w:val="auto"/>
              </w:rPr>
            </w:pPr>
            <w:r>
              <w:rPr>
                <w:rFonts w:ascii="Times New Roman" w:cs="Times New Roman" w:eastAsia="Times New Roman" w:hAnsi="Times New Roman"/>
                <w:sz w:val="9"/>
                <w:szCs w:val="9"/>
                <w:color w:val="221E1F"/>
              </w:rPr>
              <w:t>Targets are set in the context of Nokia’s long-term plans and analyst</w:t>
            </w:r>
          </w:p>
        </w:tc>
        <w:tc>
          <w:tcPr>
            <w:tcW w:w="0" w:type="dxa"/>
            <w:vAlign w:val="bottom"/>
          </w:tcPr>
          <w:p>
            <w:pPr>
              <w:spacing w:after="0"/>
              <w:rPr>
                <w:sz w:val="1"/>
                <w:szCs w:val="1"/>
                <w:color w:val="auto"/>
              </w:rPr>
            </w:pPr>
          </w:p>
        </w:tc>
      </w:tr>
      <w:tr>
        <w:trPr>
          <w:trHeight w:val="51"/>
        </w:trPr>
        <w:tc>
          <w:tcPr>
            <w:tcW w:w="1100" w:type="dxa"/>
            <w:vAlign w:val="bottom"/>
          </w:tcPr>
          <w:p>
            <w:pPr>
              <w:spacing w:after="0"/>
              <w:rPr>
                <w:sz w:val="4"/>
                <w:szCs w:val="4"/>
                <w:color w:val="auto"/>
              </w:rPr>
            </w:pPr>
          </w:p>
        </w:tc>
        <w:tc>
          <w:tcPr>
            <w:tcW w:w="1680" w:type="dxa"/>
            <w:vAlign w:val="bottom"/>
            <w:vMerge w:val="restart"/>
          </w:tcPr>
          <w:p>
            <w:pPr>
              <w:ind w:left="180"/>
              <w:spacing w:after="0"/>
              <w:rPr>
                <w:sz w:val="20"/>
                <w:szCs w:val="20"/>
                <w:color w:val="auto"/>
              </w:rPr>
            </w:pPr>
            <w:r>
              <w:rPr>
                <w:rFonts w:ascii="Times New Roman" w:cs="Times New Roman" w:eastAsia="Times New Roman" w:hAnsi="Times New Roman"/>
                <w:sz w:val="9"/>
                <w:szCs w:val="9"/>
                <w:color w:val="221E1F"/>
              </w:rPr>
              <w:t>retention</w:t>
            </w:r>
          </w:p>
        </w:tc>
        <w:tc>
          <w:tcPr>
            <w:tcW w:w="3380" w:type="dxa"/>
            <w:vAlign w:val="bottom"/>
            <w:vMerge w:val="continue"/>
          </w:tcPr>
          <w:p>
            <w:pPr>
              <w:spacing w:after="0"/>
              <w:rPr>
                <w:sz w:val="4"/>
                <w:szCs w:val="4"/>
                <w:color w:val="auto"/>
              </w:rPr>
            </w:pPr>
          </w:p>
        </w:tc>
        <w:tc>
          <w:tcPr>
            <w:tcW w:w="3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2"/>
        </w:trPr>
        <w:tc>
          <w:tcPr>
            <w:tcW w:w="1100" w:type="dxa"/>
            <w:vAlign w:val="bottom"/>
          </w:tcPr>
          <w:p>
            <w:pPr>
              <w:spacing w:after="0"/>
              <w:rPr>
                <w:sz w:val="6"/>
                <w:szCs w:val="6"/>
                <w:color w:val="auto"/>
              </w:rPr>
            </w:pPr>
          </w:p>
        </w:tc>
        <w:tc>
          <w:tcPr>
            <w:tcW w:w="1680" w:type="dxa"/>
            <w:vAlign w:val="bottom"/>
            <w:vMerge w:val="continue"/>
          </w:tcPr>
          <w:p>
            <w:pPr>
              <w:spacing w:after="0"/>
              <w:rPr>
                <w:sz w:val="6"/>
                <w:szCs w:val="6"/>
                <w:color w:val="auto"/>
              </w:rPr>
            </w:pPr>
          </w:p>
        </w:tc>
        <w:tc>
          <w:tcPr>
            <w:tcW w:w="338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221E1F"/>
              </w:rPr>
              <w:t>vesting of 400% of base salary.</w:t>
            </w:r>
          </w:p>
        </w:tc>
        <w:tc>
          <w:tcPr>
            <w:tcW w:w="3620" w:type="dxa"/>
            <w:vAlign w:val="bottom"/>
            <w:vMerge w:val="restart"/>
          </w:tcPr>
          <w:p>
            <w:pPr>
              <w:ind w:left="280"/>
              <w:spacing w:after="0"/>
              <w:rPr>
                <w:sz w:val="20"/>
                <w:szCs w:val="20"/>
                <w:color w:val="auto"/>
              </w:rPr>
            </w:pPr>
            <w:r>
              <w:rPr>
                <w:rFonts w:ascii="Times New Roman" w:cs="Times New Roman" w:eastAsia="Times New Roman" w:hAnsi="Times New Roman"/>
                <w:sz w:val="9"/>
                <w:szCs w:val="9"/>
                <w:color w:val="221E1F"/>
              </w:rPr>
              <w:t>forecasts, ensuring that they are considered both achievable and</w:t>
            </w:r>
          </w:p>
        </w:tc>
        <w:tc>
          <w:tcPr>
            <w:tcW w:w="0" w:type="dxa"/>
            <w:vAlign w:val="bottom"/>
          </w:tcPr>
          <w:p>
            <w:pPr>
              <w:spacing w:after="0"/>
              <w:rPr>
                <w:sz w:val="1"/>
                <w:szCs w:val="1"/>
                <w:color w:val="auto"/>
              </w:rPr>
            </w:pPr>
          </w:p>
        </w:tc>
      </w:tr>
      <w:tr>
        <w:trPr>
          <w:trHeight w:val="50"/>
        </w:trPr>
        <w:tc>
          <w:tcPr>
            <w:tcW w:w="1100" w:type="dxa"/>
            <w:vAlign w:val="bottom"/>
          </w:tcPr>
          <w:p>
            <w:pPr>
              <w:spacing w:after="0"/>
              <w:rPr>
                <w:sz w:val="4"/>
                <w:szCs w:val="4"/>
                <w:color w:val="auto"/>
              </w:rPr>
            </w:pPr>
          </w:p>
        </w:tc>
        <w:tc>
          <w:tcPr>
            <w:tcW w:w="1680" w:type="dxa"/>
            <w:vAlign w:val="bottom"/>
          </w:tcPr>
          <w:p>
            <w:pPr>
              <w:spacing w:after="0"/>
              <w:rPr>
                <w:sz w:val="4"/>
                <w:szCs w:val="4"/>
                <w:color w:val="auto"/>
              </w:rPr>
            </w:pPr>
          </w:p>
        </w:tc>
        <w:tc>
          <w:tcPr>
            <w:tcW w:w="3380" w:type="dxa"/>
            <w:vAlign w:val="bottom"/>
            <w:vMerge w:val="continue"/>
          </w:tcPr>
          <w:p>
            <w:pPr>
              <w:spacing w:after="0"/>
              <w:rPr>
                <w:sz w:val="4"/>
                <w:szCs w:val="4"/>
                <w:color w:val="auto"/>
              </w:rPr>
            </w:pPr>
          </w:p>
        </w:tc>
        <w:tc>
          <w:tcPr>
            <w:tcW w:w="3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22"/>
        </w:trPr>
        <w:tc>
          <w:tcPr>
            <w:tcW w:w="5420" w:type="dxa"/>
            <w:vAlign w:val="bottom"/>
            <w:vMerge w:val="restart"/>
          </w:tcPr>
          <w:p>
            <w:pPr>
              <w:ind w:left="2880"/>
              <w:spacing w:after="0"/>
              <w:rPr>
                <w:sz w:val="20"/>
                <w:szCs w:val="20"/>
                <w:color w:val="auto"/>
              </w:rPr>
            </w:pPr>
            <w:r>
              <w:rPr>
                <w:rFonts w:ascii="Times New Roman" w:cs="Times New Roman" w:eastAsia="Times New Roman" w:hAnsi="Times New Roman"/>
                <w:sz w:val="9"/>
                <w:szCs w:val="9"/>
                <w:color w:val="221E1F"/>
              </w:rPr>
              <w:t>The Company Clawback Policies apply.</w:t>
            </w:r>
          </w:p>
        </w:tc>
        <w:tc>
          <w:tcPr>
            <w:tcW w:w="4360" w:type="dxa"/>
            <w:vAlign w:val="bottom"/>
          </w:tcPr>
          <w:p>
            <w:pPr>
              <w:ind w:left="1020"/>
              <w:spacing w:after="0"/>
              <w:rPr>
                <w:sz w:val="20"/>
                <w:szCs w:val="20"/>
                <w:color w:val="auto"/>
              </w:rPr>
            </w:pPr>
            <w:r>
              <w:rPr>
                <w:rFonts w:ascii="Times New Roman" w:cs="Times New Roman" w:eastAsia="Times New Roman" w:hAnsi="Times New Roman"/>
                <w:sz w:val="9"/>
                <w:szCs w:val="9"/>
                <w:color w:val="221E1F"/>
              </w:rPr>
              <w:t>sufficiently stretching.</w:t>
            </w:r>
          </w:p>
        </w:tc>
        <w:tc>
          <w:tcPr>
            <w:tcW w:w="0" w:type="dxa"/>
            <w:vAlign w:val="bottom"/>
          </w:tcPr>
          <w:p>
            <w:pPr>
              <w:spacing w:after="0"/>
              <w:rPr>
                <w:sz w:val="1"/>
                <w:szCs w:val="1"/>
                <w:color w:val="auto"/>
              </w:rPr>
            </w:pPr>
          </w:p>
        </w:tc>
      </w:tr>
      <w:tr>
        <w:trPr>
          <w:trHeight w:val="41"/>
        </w:trPr>
        <w:tc>
          <w:tcPr>
            <w:tcW w:w="5420" w:type="dxa"/>
            <w:vAlign w:val="bottom"/>
            <w:vMerge w:val="continue"/>
          </w:tcPr>
          <w:p>
            <w:pPr>
              <w:spacing w:after="0"/>
              <w:rPr>
                <w:sz w:val="3"/>
                <w:szCs w:val="3"/>
                <w:color w:val="auto"/>
              </w:rPr>
            </w:pPr>
          </w:p>
        </w:tc>
        <w:tc>
          <w:tcPr>
            <w:tcW w:w="4360" w:type="dxa"/>
            <w:vAlign w:val="bottom"/>
            <w:vMerge w:val="restart"/>
          </w:tcPr>
          <w:p>
            <w:pPr>
              <w:ind w:left="1020"/>
              <w:spacing w:after="0"/>
              <w:rPr>
                <w:sz w:val="20"/>
                <w:szCs w:val="20"/>
                <w:color w:val="auto"/>
              </w:rPr>
            </w:pPr>
            <w:r>
              <w:rPr>
                <w:rFonts w:ascii="Times New Roman" w:cs="Times New Roman" w:eastAsia="Times New Roman" w:hAnsi="Times New Roman"/>
                <w:sz w:val="9"/>
                <w:szCs w:val="9"/>
                <w:color w:val="221E1F"/>
              </w:rPr>
              <w:t>The Committee may choose different measures and weightings each year</w:t>
            </w:r>
          </w:p>
        </w:tc>
        <w:tc>
          <w:tcPr>
            <w:tcW w:w="0" w:type="dxa"/>
            <w:vAlign w:val="bottom"/>
          </w:tcPr>
          <w:p>
            <w:pPr>
              <w:spacing w:after="0"/>
              <w:rPr>
                <w:sz w:val="1"/>
                <w:szCs w:val="1"/>
                <w:color w:val="auto"/>
              </w:rPr>
            </w:pPr>
          </w:p>
        </w:tc>
      </w:tr>
      <w:tr>
        <w:trPr>
          <w:trHeight w:val="111"/>
        </w:trPr>
        <w:tc>
          <w:tcPr>
            <w:tcW w:w="5420" w:type="dxa"/>
            <w:vAlign w:val="bottom"/>
          </w:tcPr>
          <w:p>
            <w:pPr>
              <w:spacing w:after="0"/>
              <w:rPr>
                <w:sz w:val="9"/>
                <w:szCs w:val="9"/>
                <w:color w:val="auto"/>
              </w:rPr>
            </w:pPr>
          </w:p>
        </w:tc>
        <w:tc>
          <w:tcPr>
            <w:tcW w:w="4360" w:type="dxa"/>
            <w:vAlign w:val="bottom"/>
            <w:vMerge w:val="continue"/>
          </w:tcPr>
          <w:p>
            <w:pPr>
              <w:spacing w:after="0"/>
              <w:rPr>
                <w:sz w:val="9"/>
                <w:szCs w:val="9"/>
                <w:color w:val="auto"/>
              </w:rPr>
            </w:pPr>
          </w:p>
        </w:tc>
        <w:tc>
          <w:tcPr>
            <w:tcW w:w="0" w:type="dxa"/>
            <w:vAlign w:val="bottom"/>
          </w:tcPr>
          <w:p>
            <w:pPr>
              <w:spacing w:after="0"/>
              <w:rPr>
                <w:sz w:val="1"/>
                <w:szCs w:val="1"/>
                <w:color w:val="auto"/>
              </w:rPr>
            </w:pPr>
          </w:p>
        </w:tc>
      </w:tr>
      <w:tr>
        <w:trPr>
          <w:trHeight w:val="111"/>
        </w:trPr>
        <w:tc>
          <w:tcPr>
            <w:tcW w:w="5420" w:type="dxa"/>
            <w:vAlign w:val="bottom"/>
          </w:tcPr>
          <w:p>
            <w:pPr>
              <w:spacing w:after="0"/>
              <w:rPr>
                <w:sz w:val="9"/>
                <w:szCs w:val="9"/>
                <w:color w:val="auto"/>
              </w:rPr>
            </w:pPr>
          </w:p>
        </w:tc>
        <w:tc>
          <w:tcPr>
            <w:tcW w:w="4360" w:type="dxa"/>
            <w:vAlign w:val="bottom"/>
          </w:tcPr>
          <w:p>
            <w:pPr>
              <w:ind w:left="1020"/>
              <w:spacing w:after="0"/>
              <w:rPr>
                <w:sz w:val="20"/>
                <w:szCs w:val="20"/>
                <w:color w:val="auto"/>
              </w:rPr>
            </w:pPr>
            <w:r>
              <w:rPr>
                <w:rFonts w:ascii="Times New Roman" w:cs="Times New Roman" w:eastAsia="Times New Roman" w:hAnsi="Times New Roman"/>
                <w:sz w:val="9"/>
                <w:szCs w:val="9"/>
                <w:color w:val="221E1F"/>
              </w:rPr>
              <w:t>based on the business plan and these will consist of at least 60% financial</w:t>
            </w:r>
          </w:p>
        </w:tc>
        <w:tc>
          <w:tcPr>
            <w:tcW w:w="0" w:type="dxa"/>
            <w:vAlign w:val="bottom"/>
          </w:tcPr>
          <w:p>
            <w:pPr>
              <w:spacing w:after="0"/>
              <w:rPr>
                <w:sz w:val="1"/>
                <w:szCs w:val="1"/>
                <w:color w:val="auto"/>
              </w:rPr>
            </w:pPr>
          </w:p>
        </w:tc>
      </w:tr>
      <w:tr>
        <w:trPr>
          <w:trHeight w:val="111"/>
        </w:trPr>
        <w:tc>
          <w:tcPr>
            <w:tcW w:w="5420" w:type="dxa"/>
            <w:vAlign w:val="bottom"/>
          </w:tcPr>
          <w:p>
            <w:pPr>
              <w:spacing w:after="0"/>
              <w:rPr>
                <w:sz w:val="9"/>
                <w:szCs w:val="9"/>
                <w:color w:val="auto"/>
              </w:rPr>
            </w:pPr>
          </w:p>
        </w:tc>
        <w:tc>
          <w:tcPr>
            <w:tcW w:w="4360" w:type="dxa"/>
            <w:vAlign w:val="bottom"/>
          </w:tcPr>
          <w:p>
            <w:pPr>
              <w:ind w:left="1020"/>
              <w:spacing w:after="0"/>
              <w:rPr>
                <w:sz w:val="20"/>
                <w:szCs w:val="20"/>
                <w:color w:val="auto"/>
              </w:rPr>
            </w:pPr>
            <w:r>
              <w:rPr>
                <w:rFonts w:ascii="Times New Roman" w:cs="Times New Roman" w:eastAsia="Times New Roman" w:hAnsi="Times New Roman"/>
                <w:sz w:val="9"/>
                <w:szCs w:val="9"/>
                <w:color w:val="221E1F"/>
              </w:rPr>
              <w:t>measures and/or share price-related measures. Performance metrics and</w:t>
            </w:r>
          </w:p>
        </w:tc>
        <w:tc>
          <w:tcPr>
            <w:tcW w:w="0" w:type="dxa"/>
            <w:vAlign w:val="bottom"/>
          </w:tcPr>
          <w:p>
            <w:pPr>
              <w:spacing w:after="0"/>
              <w:rPr>
                <w:sz w:val="1"/>
                <w:szCs w:val="1"/>
                <w:color w:val="auto"/>
              </w:rPr>
            </w:pPr>
          </w:p>
        </w:tc>
      </w:tr>
      <w:tr>
        <w:trPr>
          <w:trHeight w:val="122"/>
        </w:trPr>
        <w:tc>
          <w:tcPr>
            <w:tcW w:w="5420" w:type="dxa"/>
            <w:vAlign w:val="bottom"/>
          </w:tcPr>
          <w:p>
            <w:pPr>
              <w:spacing w:after="0"/>
              <w:rPr>
                <w:sz w:val="10"/>
                <w:szCs w:val="10"/>
                <w:color w:val="auto"/>
              </w:rPr>
            </w:pPr>
          </w:p>
        </w:tc>
        <w:tc>
          <w:tcPr>
            <w:tcW w:w="4360" w:type="dxa"/>
            <w:vAlign w:val="bottom"/>
          </w:tcPr>
          <w:p>
            <w:pPr>
              <w:ind w:left="1020"/>
              <w:spacing w:after="0"/>
              <w:rPr>
                <w:sz w:val="20"/>
                <w:szCs w:val="20"/>
                <w:color w:val="auto"/>
              </w:rPr>
            </w:pPr>
            <w:r>
              <w:rPr>
                <w:rFonts w:ascii="Times New Roman" w:cs="Times New Roman" w:eastAsia="Times New Roman" w:hAnsi="Times New Roman"/>
                <w:sz w:val="9"/>
                <w:szCs w:val="9"/>
                <w:color w:val="221E1F"/>
              </w:rPr>
              <w:t>weightings are disclosed retrospectively in the annual Remuneration Report.</w:t>
            </w:r>
          </w:p>
        </w:tc>
        <w:tc>
          <w:tcPr>
            <w:tcW w:w="0" w:type="dxa"/>
            <w:vAlign w:val="bottom"/>
          </w:tcPr>
          <w:p>
            <w:pPr>
              <w:spacing w:after="0"/>
              <w:rPr>
                <w:sz w:val="1"/>
                <w:szCs w:val="1"/>
                <w:color w:val="auto"/>
              </w:rPr>
            </w:pPr>
          </w:p>
        </w:tc>
      </w:tr>
      <w:tr>
        <w:trPr>
          <w:trHeight w:val="83"/>
        </w:trPr>
        <w:tc>
          <w:tcPr>
            <w:tcW w:w="5420" w:type="dxa"/>
            <w:vAlign w:val="bottom"/>
            <w:tcBorders>
              <w:bottom w:val="single" w:sz="8" w:color="005AFF"/>
            </w:tcBorders>
          </w:tcPr>
          <w:p>
            <w:pPr>
              <w:spacing w:after="0"/>
              <w:rPr>
                <w:sz w:val="7"/>
                <w:szCs w:val="7"/>
                <w:color w:val="auto"/>
              </w:rPr>
            </w:pPr>
          </w:p>
        </w:tc>
        <w:tc>
          <w:tcPr>
            <w:tcW w:w="4360" w:type="dxa"/>
            <w:vAlign w:val="bottom"/>
            <w:tcBorders>
              <w:bottom w:val="single" w:sz="8" w:color="005AFF"/>
            </w:tcBorders>
          </w:tcPr>
          <w:p>
            <w:pPr>
              <w:spacing w:after="0"/>
              <w:rPr>
                <w:sz w:val="7"/>
                <w:szCs w:val="7"/>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73" w:name="page74"/>
    <w:bookmarkEnd w:id="73"/>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8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100" w:type="dxa"/>
            <w:vAlign w:val="bottom"/>
          </w:tcPr>
          <w:p>
            <w:pPr>
              <w:ind w:left="180"/>
              <w:spacing w:after="0"/>
              <w:rPr>
                <w:sz w:val="20"/>
                <w:szCs w:val="20"/>
                <w:color w:val="auto"/>
              </w:rPr>
            </w:pPr>
            <w:r>
              <w:rPr>
                <w:rFonts w:ascii="Times New Roman" w:cs="Times New Roman" w:eastAsia="Times New Roman" w:hAnsi="Times New Roman"/>
                <w:sz w:val="9"/>
                <w:szCs w:val="9"/>
                <w:color w:val="auto"/>
              </w:rPr>
              <w:t>Operating and financial</w:t>
            </w:r>
          </w:p>
        </w:tc>
        <w:tc>
          <w:tcPr>
            <w:tcW w:w="1580" w:type="dxa"/>
            <w:vAlign w:val="bottom"/>
          </w:tcPr>
          <w:p>
            <w:pPr>
              <w:ind w:left="540"/>
              <w:spacing w:after="0"/>
              <w:rPr>
                <w:sz w:val="20"/>
                <w:szCs w:val="20"/>
                <w:color w:val="auto"/>
              </w:rPr>
            </w:pPr>
            <w:r>
              <w:rPr>
                <w:rFonts w:ascii="Times New Roman" w:cs="Times New Roman" w:eastAsia="Times New Roman" w:hAnsi="Times New Roman"/>
                <w:sz w:val="9"/>
                <w:szCs w:val="9"/>
                <w:color w:val="auto"/>
              </w:rPr>
              <w:t>General facts</w:t>
            </w:r>
          </w:p>
        </w:tc>
        <w:tc>
          <w:tcPr>
            <w:tcW w:w="840" w:type="dxa"/>
            <w:vAlign w:val="bottom"/>
          </w:tcPr>
          <w:p>
            <w:pPr>
              <w:ind w:left="40"/>
              <w:spacing w:after="0"/>
              <w:rPr>
                <w:sz w:val="20"/>
                <w:szCs w:val="20"/>
                <w:color w:val="auto"/>
              </w:rPr>
            </w:pPr>
            <w:r>
              <w:rPr>
                <w:rFonts w:ascii="Times New Roman" w:cs="Times New Roman" w:eastAsia="Times New Roman" w:hAnsi="Times New Roman"/>
                <w:sz w:val="9"/>
                <w:szCs w:val="9"/>
                <w:color w:val="auto"/>
              </w:rPr>
              <w:t>Financial</w:t>
            </w:r>
          </w:p>
        </w:tc>
        <w:tc>
          <w:tcPr>
            <w:tcW w:w="960" w:type="dxa"/>
            <w:vAlign w:val="bottom"/>
          </w:tcPr>
          <w:p>
            <w:pPr>
              <w:ind w:left="220"/>
              <w:spacing w:after="0"/>
              <w:rPr>
                <w:sz w:val="20"/>
                <w:szCs w:val="20"/>
                <w:color w:val="auto"/>
              </w:rPr>
            </w:pPr>
            <w:r>
              <w:rPr>
                <w:rFonts w:ascii="Times New Roman" w:cs="Times New Roman" w:eastAsia="Times New Roman" w:hAnsi="Times New Roman"/>
                <w:sz w:val="9"/>
                <w:szCs w:val="9"/>
                <w:color w:val="auto"/>
              </w:rPr>
              <w:t>Other</w:t>
            </w:r>
          </w:p>
        </w:tc>
        <w:tc>
          <w:tcPr>
            <w:tcW w:w="3740" w:type="dxa"/>
            <w:vAlign w:val="bottom"/>
            <w:gridSpan w:val="2"/>
            <w:vMerge w:val="restart"/>
          </w:tcPr>
          <w:p>
            <w:pPr>
              <w:ind w:left="3620"/>
              <w:spacing w:after="0"/>
              <w:rPr>
                <w:sz w:val="20"/>
                <w:szCs w:val="20"/>
                <w:color w:val="auto"/>
              </w:rPr>
            </w:pPr>
            <w:r>
              <w:rPr>
                <w:rFonts w:ascii="Times New Roman" w:cs="Times New Roman" w:eastAsia="Times New Roman" w:hAnsi="Times New Roman"/>
                <w:sz w:val="12"/>
                <w:szCs w:val="12"/>
                <w:color w:val="auto"/>
                <w:w w:val="82"/>
              </w:rPr>
              <w:t>66</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860" w:type="dxa"/>
            <w:vAlign w:val="bottom"/>
            <w:gridSpan w:val="3"/>
          </w:tcPr>
          <w:p>
            <w:pPr>
              <w:jc w:val="right"/>
              <w:ind w:right="400"/>
              <w:spacing w:after="0"/>
              <w:rPr>
                <w:sz w:val="20"/>
                <w:szCs w:val="20"/>
                <w:color w:val="auto"/>
              </w:rPr>
            </w:pPr>
            <w:r>
              <w:rPr>
                <w:rFonts w:ascii="Times New Roman" w:cs="Times New Roman" w:eastAsia="Times New Roman" w:hAnsi="Times New Roman"/>
                <w:sz w:val="9"/>
                <w:szCs w:val="9"/>
                <w:color w:val="005AFF"/>
              </w:rPr>
              <w:t>governance</w:t>
            </w:r>
          </w:p>
        </w:tc>
        <w:tc>
          <w:tcPr>
            <w:tcW w:w="1100" w:type="dxa"/>
            <w:vAlign w:val="bottom"/>
          </w:tcPr>
          <w:p>
            <w:pPr>
              <w:ind w:left="180"/>
              <w:spacing w:after="0"/>
              <w:rPr>
                <w:sz w:val="20"/>
                <w:szCs w:val="20"/>
                <w:color w:val="auto"/>
              </w:rPr>
            </w:pPr>
            <w:r>
              <w:rPr>
                <w:rFonts w:ascii="Times New Roman" w:cs="Times New Roman" w:eastAsia="Times New Roman" w:hAnsi="Times New Roman"/>
                <w:sz w:val="9"/>
                <w:szCs w:val="9"/>
                <w:color w:val="auto"/>
              </w:rPr>
              <w:t>review and prospects</w:t>
            </w:r>
          </w:p>
        </w:tc>
        <w:tc>
          <w:tcPr>
            <w:tcW w:w="1580" w:type="dxa"/>
            <w:vAlign w:val="bottom"/>
          </w:tcPr>
          <w:p>
            <w:pPr>
              <w:ind w:left="540"/>
              <w:spacing w:after="0"/>
              <w:rPr>
                <w:sz w:val="20"/>
                <w:szCs w:val="20"/>
                <w:color w:val="auto"/>
              </w:rPr>
            </w:pPr>
            <w:r>
              <w:rPr>
                <w:rFonts w:ascii="Times New Roman" w:cs="Times New Roman" w:eastAsia="Times New Roman" w:hAnsi="Times New Roman"/>
                <w:sz w:val="9"/>
                <w:szCs w:val="9"/>
                <w:color w:val="auto"/>
              </w:rPr>
              <w:t>on Nokia</w:t>
            </w:r>
          </w:p>
        </w:tc>
        <w:tc>
          <w:tcPr>
            <w:tcW w:w="840" w:type="dxa"/>
            <w:vAlign w:val="bottom"/>
          </w:tcPr>
          <w:p>
            <w:pPr>
              <w:ind w:left="40"/>
              <w:spacing w:after="0"/>
              <w:rPr>
                <w:sz w:val="20"/>
                <w:szCs w:val="20"/>
                <w:color w:val="auto"/>
              </w:rPr>
            </w:pPr>
            <w:r>
              <w:rPr>
                <w:rFonts w:ascii="Times New Roman" w:cs="Times New Roman" w:eastAsia="Times New Roman" w:hAnsi="Times New Roman"/>
                <w:sz w:val="9"/>
                <w:szCs w:val="9"/>
                <w:color w:val="auto"/>
              </w:rPr>
              <w:t>statements</w:t>
            </w:r>
          </w:p>
        </w:tc>
        <w:tc>
          <w:tcPr>
            <w:tcW w:w="960" w:type="dxa"/>
            <w:vAlign w:val="bottom"/>
          </w:tcPr>
          <w:p>
            <w:pPr>
              <w:ind w:left="220"/>
              <w:spacing w:after="0"/>
              <w:rPr>
                <w:sz w:val="20"/>
                <w:szCs w:val="20"/>
                <w:color w:val="auto"/>
              </w:rPr>
            </w:pPr>
            <w:r>
              <w:rPr>
                <w:rFonts w:ascii="Times New Roman" w:cs="Times New Roman" w:eastAsia="Times New Roman" w:hAnsi="Times New Roman"/>
                <w:sz w:val="9"/>
                <w:szCs w:val="9"/>
                <w:color w:val="auto"/>
              </w:rPr>
              <w:t>information</w:t>
            </w:r>
          </w:p>
        </w:tc>
        <w:tc>
          <w:tcPr>
            <w:tcW w:w="374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gridSpan w:val="2"/>
          </w:tcPr>
          <w:p>
            <w:pPr>
              <w:spacing w:after="0"/>
              <w:rPr>
                <w:sz w:val="3"/>
                <w:szCs w:val="3"/>
                <w:color w:val="auto"/>
              </w:rPr>
            </w:pPr>
          </w:p>
        </w:tc>
        <w:tc>
          <w:tcPr>
            <w:tcW w:w="320" w:type="dxa"/>
            <w:vAlign w:val="bottom"/>
          </w:tcPr>
          <w:p>
            <w:pPr>
              <w:spacing w:after="0"/>
              <w:rPr>
                <w:sz w:val="3"/>
                <w:szCs w:val="3"/>
                <w:color w:val="auto"/>
              </w:rPr>
            </w:pPr>
          </w:p>
        </w:tc>
        <w:tc>
          <w:tcPr>
            <w:tcW w:w="1100" w:type="dxa"/>
            <w:vAlign w:val="bottom"/>
          </w:tcPr>
          <w:p>
            <w:pPr>
              <w:spacing w:after="0"/>
              <w:rPr>
                <w:sz w:val="3"/>
                <w:szCs w:val="3"/>
                <w:color w:val="auto"/>
              </w:rPr>
            </w:pPr>
          </w:p>
        </w:tc>
        <w:tc>
          <w:tcPr>
            <w:tcW w:w="1580" w:type="dxa"/>
            <w:vAlign w:val="bottom"/>
          </w:tcPr>
          <w:p>
            <w:pPr>
              <w:spacing w:after="0"/>
              <w:rPr>
                <w:sz w:val="3"/>
                <w:szCs w:val="3"/>
                <w:color w:val="auto"/>
              </w:rPr>
            </w:pPr>
          </w:p>
        </w:tc>
        <w:tc>
          <w:tcPr>
            <w:tcW w:w="840" w:type="dxa"/>
            <w:vAlign w:val="bottom"/>
          </w:tcPr>
          <w:p>
            <w:pPr>
              <w:spacing w:after="0"/>
              <w:rPr>
                <w:sz w:val="3"/>
                <w:szCs w:val="3"/>
                <w:color w:val="auto"/>
              </w:rPr>
            </w:pPr>
          </w:p>
        </w:tc>
        <w:tc>
          <w:tcPr>
            <w:tcW w:w="960" w:type="dxa"/>
            <w:vAlign w:val="bottom"/>
          </w:tcPr>
          <w:p>
            <w:pPr>
              <w:spacing w:after="0"/>
              <w:rPr>
                <w:sz w:val="3"/>
                <w:szCs w:val="3"/>
                <w:color w:val="auto"/>
              </w:rPr>
            </w:pPr>
          </w:p>
        </w:tc>
        <w:tc>
          <w:tcPr>
            <w:tcW w:w="3540" w:type="dxa"/>
            <w:vAlign w:val="bottom"/>
          </w:tcPr>
          <w:p>
            <w:pPr>
              <w:spacing w:after="0"/>
              <w:rPr>
                <w:sz w:val="3"/>
                <w:szCs w:val="3"/>
                <w:color w:val="auto"/>
              </w:rPr>
            </w:pPr>
          </w:p>
        </w:tc>
        <w:tc>
          <w:tcPr>
            <w:tcW w:w="20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760" w:type="dxa"/>
            <w:vAlign w:val="bottom"/>
            <w:gridSpan w:val="4"/>
          </w:tcPr>
          <w:p>
            <w:pPr>
              <w:jc w:val="right"/>
              <w:ind w:right="400"/>
              <w:spacing w:after="0"/>
              <w:rPr>
                <w:sz w:val="20"/>
                <w:szCs w:val="20"/>
                <w:color w:val="auto"/>
              </w:rPr>
            </w:pPr>
            <w:r>
              <w:rPr>
                <w:rFonts w:ascii="Times New Roman" w:cs="Times New Roman" w:eastAsia="Times New Roman" w:hAnsi="Times New Roman"/>
                <w:sz w:val="13"/>
                <w:szCs w:val="13"/>
                <w:color w:val="005AFF"/>
              </w:rPr>
              <w:t>Remuneration continued</w:t>
            </w:r>
          </w:p>
        </w:tc>
        <w:tc>
          <w:tcPr>
            <w:tcW w:w="1100" w:type="dxa"/>
            <w:vAlign w:val="bottom"/>
          </w:tcPr>
          <w:p>
            <w:pPr>
              <w:spacing w:after="0"/>
              <w:rPr>
                <w:sz w:val="24"/>
                <w:szCs w:val="24"/>
                <w:color w:val="auto"/>
              </w:rPr>
            </w:pPr>
          </w:p>
        </w:tc>
        <w:tc>
          <w:tcPr>
            <w:tcW w:w="1580" w:type="dxa"/>
            <w:vAlign w:val="bottom"/>
          </w:tcPr>
          <w:p>
            <w:pPr>
              <w:spacing w:after="0"/>
              <w:rPr>
                <w:sz w:val="24"/>
                <w:szCs w:val="24"/>
                <w:color w:val="auto"/>
              </w:rPr>
            </w:pPr>
          </w:p>
        </w:tc>
        <w:tc>
          <w:tcPr>
            <w:tcW w:w="840" w:type="dxa"/>
            <w:vAlign w:val="bottom"/>
          </w:tcPr>
          <w:p>
            <w:pPr>
              <w:spacing w:after="0"/>
              <w:rPr>
                <w:sz w:val="24"/>
                <w:szCs w:val="24"/>
                <w:color w:val="auto"/>
              </w:rPr>
            </w:pPr>
          </w:p>
        </w:tc>
        <w:tc>
          <w:tcPr>
            <w:tcW w:w="960" w:type="dxa"/>
            <w:vAlign w:val="bottom"/>
          </w:tcPr>
          <w:p>
            <w:pPr>
              <w:spacing w:after="0"/>
              <w:rPr>
                <w:sz w:val="24"/>
                <w:szCs w:val="24"/>
                <w:color w:val="auto"/>
              </w:rPr>
            </w:pPr>
          </w:p>
        </w:tc>
        <w:tc>
          <w:tcPr>
            <w:tcW w:w="354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324"/>
        </w:trPr>
        <w:tc>
          <w:tcPr>
            <w:tcW w:w="900" w:type="dxa"/>
            <w:vAlign w:val="bottom"/>
          </w:tcPr>
          <w:p>
            <w:pPr>
              <w:spacing w:after="0"/>
              <w:rPr>
                <w:sz w:val="24"/>
                <w:szCs w:val="24"/>
                <w:color w:val="auto"/>
              </w:rPr>
            </w:pPr>
          </w:p>
        </w:tc>
        <w:tc>
          <w:tcPr>
            <w:tcW w:w="260" w:type="dxa"/>
            <w:vAlign w:val="bottom"/>
          </w:tcPr>
          <w:p>
            <w:pPr>
              <w:spacing w:after="0"/>
              <w:rPr>
                <w:sz w:val="24"/>
                <w:szCs w:val="24"/>
                <w:color w:val="auto"/>
              </w:rPr>
            </w:pPr>
          </w:p>
        </w:tc>
        <w:tc>
          <w:tcPr>
            <w:tcW w:w="280" w:type="dxa"/>
            <w:vAlign w:val="bottom"/>
          </w:tcPr>
          <w:p>
            <w:pPr>
              <w:spacing w:after="0"/>
              <w:rPr>
                <w:sz w:val="24"/>
                <w:szCs w:val="24"/>
                <w:color w:val="auto"/>
              </w:rPr>
            </w:pPr>
          </w:p>
        </w:tc>
        <w:tc>
          <w:tcPr>
            <w:tcW w:w="1420" w:type="dxa"/>
            <w:vAlign w:val="bottom"/>
            <w:gridSpan w:val="2"/>
          </w:tcPr>
          <w:p>
            <w:pPr>
              <w:spacing w:after="0"/>
              <w:rPr>
                <w:sz w:val="24"/>
                <w:szCs w:val="24"/>
                <w:color w:val="auto"/>
              </w:rPr>
            </w:pPr>
          </w:p>
        </w:tc>
        <w:tc>
          <w:tcPr>
            <w:tcW w:w="1580" w:type="dxa"/>
            <w:vAlign w:val="bottom"/>
          </w:tcPr>
          <w:p>
            <w:pPr>
              <w:spacing w:after="0"/>
              <w:rPr>
                <w:sz w:val="24"/>
                <w:szCs w:val="24"/>
                <w:color w:val="auto"/>
              </w:rPr>
            </w:pPr>
          </w:p>
        </w:tc>
        <w:tc>
          <w:tcPr>
            <w:tcW w:w="840" w:type="dxa"/>
            <w:vAlign w:val="bottom"/>
          </w:tcPr>
          <w:p>
            <w:pPr>
              <w:spacing w:after="0"/>
              <w:rPr>
                <w:sz w:val="24"/>
                <w:szCs w:val="24"/>
                <w:color w:val="auto"/>
              </w:rPr>
            </w:pPr>
          </w:p>
        </w:tc>
        <w:tc>
          <w:tcPr>
            <w:tcW w:w="960" w:type="dxa"/>
            <w:vAlign w:val="bottom"/>
          </w:tcPr>
          <w:p>
            <w:pPr>
              <w:spacing w:after="0"/>
              <w:rPr>
                <w:sz w:val="24"/>
                <w:szCs w:val="24"/>
                <w:color w:val="auto"/>
              </w:rPr>
            </w:pPr>
          </w:p>
        </w:tc>
        <w:tc>
          <w:tcPr>
            <w:tcW w:w="3740" w:type="dxa"/>
            <w:vAlign w:val="bottom"/>
            <w:gridSpan w:val="2"/>
          </w:tcPr>
          <w:p>
            <w:pPr>
              <w:spacing w:after="0"/>
              <w:rPr>
                <w:sz w:val="24"/>
                <w:szCs w:val="24"/>
                <w:color w:val="auto"/>
              </w:rPr>
            </w:pPr>
          </w:p>
        </w:tc>
        <w:tc>
          <w:tcPr>
            <w:tcW w:w="0" w:type="dxa"/>
            <w:vAlign w:val="bottom"/>
          </w:tcPr>
          <w:p>
            <w:pPr>
              <w:spacing w:after="0"/>
              <w:rPr>
                <w:sz w:val="1"/>
                <w:szCs w:val="1"/>
                <w:color w:val="auto"/>
              </w:rPr>
            </w:pPr>
          </w:p>
        </w:tc>
      </w:tr>
      <w:tr>
        <w:trPr>
          <w:trHeight w:val="152"/>
        </w:trPr>
        <w:tc>
          <w:tcPr>
            <w:tcW w:w="900" w:type="dxa"/>
            <w:vAlign w:val="bottom"/>
            <w:shd w:val="clear" w:color="auto" w:fill="005AFF"/>
          </w:tcPr>
          <w:p>
            <w:pPr>
              <w:ind w:left="40"/>
              <w:spacing w:after="0"/>
              <w:rPr>
                <w:sz w:val="20"/>
                <w:szCs w:val="20"/>
                <w:color w:val="auto"/>
              </w:rPr>
            </w:pPr>
            <w:r>
              <w:rPr>
                <w:rFonts w:ascii="Times New Roman" w:cs="Times New Roman" w:eastAsia="Times New Roman" w:hAnsi="Times New Roman"/>
                <w:sz w:val="8"/>
                <w:szCs w:val="8"/>
                <w:b w:val="1"/>
                <w:bCs w:val="1"/>
                <w:color w:val="FFFFFF"/>
              </w:rPr>
              <w:t>Remuneration element</w:t>
            </w:r>
          </w:p>
        </w:tc>
        <w:tc>
          <w:tcPr>
            <w:tcW w:w="260" w:type="dxa"/>
            <w:vAlign w:val="bottom"/>
            <w:shd w:val="clear" w:color="auto" w:fill="005AFF"/>
          </w:tcPr>
          <w:p>
            <w:pPr>
              <w:spacing w:after="0"/>
              <w:rPr>
                <w:sz w:val="13"/>
                <w:szCs w:val="13"/>
                <w:color w:val="auto"/>
              </w:rPr>
            </w:pPr>
          </w:p>
        </w:tc>
        <w:tc>
          <w:tcPr>
            <w:tcW w:w="1700" w:type="dxa"/>
            <w:vAlign w:val="bottom"/>
            <w:gridSpan w:val="3"/>
            <w:shd w:val="clear" w:color="auto" w:fill="005AFF"/>
          </w:tcPr>
          <w:p>
            <w:pPr>
              <w:ind w:left="120"/>
              <w:spacing w:after="0"/>
              <w:rPr>
                <w:sz w:val="20"/>
                <w:szCs w:val="20"/>
                <w:color w:val="auto"/>
              </w:rPr>
            </w:pPr>
            <w:r>
              <w:rPr>
                <w:rFonts w:ascii="Times New Roman" w:cs="Times New Roman" w:eastAsia="Times New Roman" w:hAnsi="Times New Roman"/>
                <w:sz w:val="8"/>
                <w:szCs w:val="8"/>
                <w:b w:val="1"/>
                <w:bCs w:val="1"/>
                <w:color w:val="FFFFFF"/>
              </w:rPr>
              <w:t>Purpose and link to strategy</w:t>
            </w:r>
          </w:p>
        </w:tc>
        <w:tc>
          <w:tcPr>
            <w:tcW w:w="1580" w:type="dxa"/>
            <w:vAlign w:val="bottom"/>
            <w:shd w:val="clear" w:color="auto" w:fill="005AFF"/>
          </w:tcPr>
          <w:p>
            <w:pPr>
              <w:ind w:left="20"/>
              <w:spacing w:after="0"/>
              <w:rPr>
                <w:sz w:val="20"/>
                <w:szCs w:val="20"/>
                <w:color w:val="auto"/>
              </w:rPr>
            </w:pPr>
            <w:r>
              <w:rPr>
                <w:rFonts w:ascii="Times New Roman" w:cs="Times New Roman" w:eastAsia="Times New Roman" w:hAnsi="Times New Roman"/>
                <w:sz w:val="8"/>
                <w:szCs w:val="8"/>
                <w:b w:val="1"/>
                <w:bCs w:val="1"/>
                <w:color w:val="FFFFFF"/>
              </w:rPr>
              <w:t>Operation including maximum opportunity</w:t>
            </w:r>
          </w:p>
        </w:tc>
        <w:tc>
          <w:tcPr>
            <w:tcW w:w="840" w:type="dxa"/>
            <w:vAlign w:val="bottom"/>
            <w:shd w:val="clear" w:color="auto" w:fill="005AFF"/>
          </w:tcPr>
          <w:p>
            <w:pPr>
              <w:spacing w:after="0"/>
              <w:rPr>
                <w:sz w:val="13"/>
                <w:szCs w:val="13"/>
                <w:color w:val="auto"/>
              </w:rPr>
            </w:pPr>
          </w:p>
        </w:tc>
        <w:tc>
          <w:tcPr>
            <w:tcW w:w="960" w:type="dxa"/>
            <w:vAlign w:val="bottom"/>
            <w:shd w:val="clear" w:color="auto" w:fill="005AFF"/>
          </w:tcPr>
          <w:p>
            <w:pPr>
              <w:spacing w:after="0"/>
              <w:rPr>
                <w:sz w:val="13"/>
                <w:szCs w:val="13"/>
                <w:color w:val="auto"/>
              </w:rPr>
            </w:pPr>
          </w:p>
        </w:tc>
        <w:tc>
          <w:tcPr>
            <w:tcW w:w="3540" w:type="dxa"/>
            <w:vAlign w:val="bottom"/>
            <w:shd w:val="clear" w:color="auto" w:fill="005AFF"/>
          </w:tcPr>
          <w:p>
            <w:pPr>
              <w:ind w:left="200"/>
              <w:spacing w:after="0"/>
              <w:rPr>
                <w:sz w:val="20"/>
                <w:szCs w:val="20"/>
                <w:color w:val="auto"/>
              </w:rPr>
            </w:pPr>
            <w:r>
              <w:rPr>
                <w:rFonts w:ascii="Times New Roman" w:cs="Times New Roman" w:eastAsia="Times New Roman" w:hAnsi="Times New Roman"/>
                <w:sz w:val="8"/>
                <w:szCs w:val="8"/>
                <w:b w:val="1"/>
                <w:bCs w:val="1"/>
                <w:color w:val="FFFFFF"/>
              </w:rPr>
              <w:t>Performance conditions</w:t>
            </w:r>
          </w:p>
        </w:tc>
        <w:tc>
          <w:tcPr>
            <w:tcW w:w="20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28"/>
        </w:trPr>
        <w:tc>
          <w:tcPr>
            <w:tcW w:w="116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auto"/>
              </w:rPr>
              <w:t>Enhanced LTI (eLTI) –</w:t>
            </w: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To further align the President</w:t>
            </w: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To further align the President and CEO’s interests with Nokia’s long-term success</w:t>
            </w:r>
          </w:p>
        </w:tc>
        <w:tc>
          <w:tcPr>
            <w:tcW w:w="3740" w:type="dxa"/>
            <w:vAlign w:val="bottom"/>
            <w:gridSpan w:val="2"/>
          </w:tcPr>
          <w:p>
            <w:pPr>
              <w:ind w:left="200"/>
              <w:spacing w:after="0"/>
              <w:rPr>
                <w:sz w:val="20"/>
                <w:szCs w:val="20"/>
                <w:color w:val="auto"/>
              </w:rPr>
            </w:pPr>
            <w:r>
              <w:rPr>
                <w:rFonts w:ascii="Times New Roman" w:cs="Times New Roman" w:eastAsia="Times New Roman" w:hAnsi="Times New Roman"/>
                <w:sz w:val="9"/>
                <w:szCs w:val="9"/>
                <w:color w:val="221E1F"/>
              </w:rPr>
              <w:t>The performance metrics, targets and weightings for the matching shares</w:t>
            </w:r>
          </w:p>
        </w:tc>
        <w:tc>
          <w:tcPr>
            <w:tcW w:w="0" w:type="dxa"/>
            <w:vAlign w:val="bottom"/>
          </w:tcPr>
          <w:p>
            <w:pPr>
              <w:spacing w:after="0"/>
              <w:rPr>
                <w:sz w:val="1"/>
                <w:szCs w:val="1"/>
                <w:color w:val="auto"/>
              </w:rPr>
            </w:pPr>
          </w:p>
        </w:tc>
      </w:tr>
      <w:tr>
        <w:trPr>
          <w:trHeight w:val="114"/>
        </w:trPr>
        <w:tc>
          <w:tcPr>
            <w:tcW w:w="9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co-investment</w:t>
            </w:r>
          </w:p>
        </w:tc>
        <w:tc>
          <w:tcPr>
            <w:tcW w:w="260" w:type="dxa"/>
            <w:vAlign w:val="bottom"/>
          </w:tcPr>
          <w:p>
            <w:pPr>
              <w:spacing w:after="0"/>
              <w:rPr>
                <w:sz w:val="9"/>
                <w:szCs w:val="9"/>
                <w:color w:val="auto"/>
              </w:rPr>
            </w:pP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and CEO’s interests with Nokia’s</w:t>
            </w: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and shareholder interests eLTI is only granted in exceptional circumstances.</w:t>
            </w:r>
          </w:p>
        </w:tc>
        <w:tc>
          <w:tcPr>
            <w:tcW w:w="3740" w:type="dxa"/>
            <w:vAlign w:val="bottom"/>
            <w:gridSpan w:val="2"/>
          </w:tcPr>
          <w:p>
            <w:pPr>
              <w:ind w:left="200"/>
              <w:spacing w:after="0"/>
              <w:rPr>
                <w:sz w:val="20"/>
                <w:szCs w:val="20"/>
                <w:color w:val="auto"/>
              </w:rPr>
            </w:pPr>
            <w:r>
              <w:rPr>
                <w:rFonts w:ascii="Times New Roman" w:cs="Times New Roman" w:eastAsia="Times New Roman" w:hAnsi="Times New Roman"/>
                <w:sz w:val="9"/>
                <w:szCs w:val="9"/>
                <w:color w:val="221E1F"/>
              </w:rPr>
              <w:t>are typically the same as those for LTI performance shares granted in the</w:t>
            </w:r>
          </w:p>
        </w:tc>
        <w:tc>
          <w:tcPr>
            <w:tcW w:w="0" w:type="dxa"/>
            <w:vAlign w:val="bottom"/>
          </w:tcPr>
          <w:p>
            <w:pPr>
              <w:spacing w:after="0"/>
              <w:rPr>
                <w:sz w:val="1"/>
                <w:szCs w:val="1"/>
                <w:color w:val="auto"/>
              </w:rPr>
            </w:pPr>
          </w:p>
        </w:tc>
      </w:tr>
      <w:tr>
        <w:trPr>
          <w:trHeight w:val="152"/>
        </w:trPr>
        <w:tc>
          <w:tcPr>
            <w:tcW w:w="9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arrangement</w:t>
            </w:r>
          </w:p>
        </w:tc>
        <w:tc>
          <w:tcPr>
            <w:tcW w:w="260" w:type="dxa"/>
            <w:vAlign w:val="bottom"/>
          </w:tcPr>
          <w:p>
            <w:pPr>
              <w:spacing w:after="0"/>
              <w:rPr>
                <w:sz w:val="13"/>
                <w:szCs w:val="13"/>
                <w:color w:val="auto"/>
              </w:rPr>
            </w:pP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long-term success and shareholder</w:t>
            </w: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The President and CEO may be invited, at the discretion of the Board, to</w:t>
            </w:r>
          </w:p>
        </w:tc>
        <w:tc>
          <w:tcPr>
            <w:tcW w:w="3740" w:type="dxa"/>
            <w:vAlign w:val="bottom"/>
            <w:gridSpan w:val="2"/>
          </w:tcPr>
          <w:p>
            <w:pPr>
              <w:ind w:left="200"/>
              <w:spacing w:after="0"/>
              <w:rPr>
                <w:sz w:val="20"/>
                <w:szCs w:val="20"/>
                <w:color w:val="auto"/>
              </w:rPr>
            </w:pPr>
            <w:r>
              <w:rPr>
                <w:rFonts w:ascii="Times New Roman" w:cs="Times New Roman" w:eastAsia="Times New Roman" w:hAnsi="Times New Roman"/>
                <w:sz w:val="9"/>
                <w:szCs w:val="9"/>
                <w:color w:val="221E1F"/>
              </w:rPr>
              <w:t>same year.</w:t>
            </w:r>
          </w:p>
        </w:tc>
        <w:tc>
          <w:tcPr>
            <w:tcW w:w="0" w:type="dxa"/>
            <w:vAlign w:val="bottom"/>
          </w:tcPr>
          <w:p>
            <w:pPr>
              <w:spacing w:after="0"/>
              <w:rPr>
                <w:sz w:val="1"/>
                <w:szCs w:val="1"/>
                <w:color w:val="auto"/>
              </w:rPr>
            </w:pPr>
          </w:p>
        </w:tc>
      </w:tr>
      <w:tr>
        <w:trPr>
          <w:trHeight w:val="128"/>
        </w:trPr>
        <w:tc>
          <w:tcPr>
            <w:tcW w:w="900" w:type="dxa"/>
            <w:vAlign w:val="bottom"/>
          </w:tcPr>
          <w:p>
            <w:pPr>
              <w:spacing w:after="0"/>
              <w:rPr>
                <w:sz w:val="11"/>
                <w:szCs w:val="11"/>
                <w:color w:val="auto"/>
              </w:rPr>
            </w:pPr>
          </w:p>
        </w:tc>
        <w:tc>
          <w:tcPr>
            <w:tcW w:w="260" w:type="dxa"/>
            <w:vAlign w:val="bottom"/>
          </w:tcPr>
          <w:p>
            <w:pPr>
              <w:spacing w:after="0"/>
              <w:rPr>
                <w:sz w:val="11"/>
                <w:szCs w:val="11"/>
                <w:color w:val="auto"/>
              </w:rPr>
            </w:pPr>
          </w:p>
        </w:tc>
        <w:tc>
          <w:tcPr>
            <w:tcW w:w="600" w:type="dxa"/>
            <w:vAlign w:val="bottom"/>
            <w:gridSpan w:val="2"/>
          </w:tcPr>
          <w:p>
            <w:pPr>
              <w:ind w:left="120"/>
              <w:spacing w:after="0"/>
              <w:rPr>
                <w:sz w:val="20"/>
                <w:szCs w:val="20"/>
                <w:color w:val="auto"/>
              </w:rPr>
            </w:pPr>
            <w:r>
              <w:rPr>
                <w:rFonts w:ascii="Times New Roman" w:cs="Times New Roman" w:eastAsia="Times New Roman" w:hAnsi="Times New Roman"/>
                <w:sz w:val="9"/>
                <w:szCs w:val="9"/>
                <w:color w:val="221E1F"/>
              </w:rPr>
              <w:t>interests</w:t>
            </w:r>
          </w:p>
        </w:tc>
        <w:tc>
          <w:tcPr>
            <w:tcW w:w="1100" w:type="dxa"/>
            <w:vAlign w:val="bottom"/>
          </w:tcPr>
          <w:p>
            <w:pPr>
              <w:spacing w:after="0"/>
              <w:rPr>
                <w:sz w:val="11"/>
                <w:szCs w:val="11"/>
                <w:color w:val="auto"/>
              </w:rPr>
            </w:pP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purchase investment shares of up to 200% of base salary, and in return,</w:t>
            </w:r>
          </w:p>
        </w:tc>
        <w:tc>
          <w:tcPr>
            <w:tcW w:w="3540" w:type="dxa"/>
            <w:vAlign w:val="bottom"/>
          </w:tcPr>
          <w:p>
            <w:pPr>
              <w:spacing w:after="0"/>
              <w:rPr>
                <w:sz w:val="11"/>
                <w:szCs w:val="11"/>
                <w:color w:val="auto"/>
              </w:rPr>
            </w:pPr>
          </w:p>
        </w:tc>
        <w:tc>
          <w:tcPr>
            <w:tcW w:w="2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280" w:type="dxa"/>
            <w:vAlign w:val="bottom"/>
          </w:tcPr>
          <w:p>
            <w:pPr>
              <w:spacing w:after="0"/>
              <w:rPr>
                <w:sz w:val="10"/>
                <w:szCs w:val="10"/>
                <w:color w:val="auto"/>
              </w:rPr>
            </w:pPr>
          </w:p>
        </w:tc>
        <w:tc>
          <w:tcPr>
            <w:tcW w:w="320" w:type="dxa"/>
            <w:vAlign w:val="bottom"/>
          </w:tcPr>
          <w:p>
            <w:pPr>
              <w:spacing w:after="0"/>
              <w:rPr>
                <w:sz w:val="10"/>
                <w:szCs w:val="10"/>
                <w:color w:val="auto"/>
              </w:rPr>
            </w:pPr>
          </w:p>
        </w:tc>
        <w:tc>
          <w:tcPr>
            <w:tcW w:w="1100" w:type="dxa"/>
            <w:vAlign w:val="bottom"/>
          </w:tcPr>
          <w:p>
            <w:pPr>
              <w:spacing w:after="0"/>
              <w:rPr>
                <w:sz w:val="10"/>
                <w:szCs w:val="10"/>
                <w:color w:val="auto"/>
              </w:rPr>
            </w:pP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receive two matching shares for every one investment share purchased.</w:t>
            </w:r>
          </w:p>
        </w:tc>
        <w:tc>
          <w:tcPr>
            <w:tcW w:w="354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1"/>
        </w:trPr>
        <w:tc>
          <w:tcPr>
            <w:tcW w:w="900" w:type="dxa"/>
            <w:vAlign w:val="bottom"/>
          </w:tcPr>
          <w:p>
            <w:pPr>
              <w:spacing w:after="0"/>
              <w:rPr>
                <w:sz w:val="14"/>
                <w:szCs w:val="14"/>
                <w:color w:val="auto"/>
              </w:rPr>
            </w:pPr>
          </w:p>
        </w:tc>
        <w:tc>
          <w:tcPr>
            <w:tcW w:w="260" w:type="dxa"/>
            <w:vAlign w:val="bottom"/>
          </w:tcPr>
          <w:p>
            <w:pPr>
              <w:spacing w:after="0"/>
              <w:rPr>
                <w:sz w:val="14"/>
                <w:szCs w:val="14"/>
                <w:color w:val="auto"/>
              </w:rPr>
            </w:pPr>
          </w:p>
        </w:tc>
        <w:tc>
          <w:tcPr>
            <w:tcW w:w="280" w:type="dxa"/>
            <w:vAlign w:val="bottom"/>
          </w:tcPr>
          <w:p>
            <w:pPr>
              <w:spacing w:after="0"/>
              <w:rPr>
                <w:sz w:val="14"/>
                <w:szCs w:val="14"/>
                <w:color w:val="auto"/>
              </w:rPr>
            </w:pPr>
          </w:p>
        </w:tc>
        <w:tc>
          <w:tcPr>
            <w:tcW w:w="320" w:type="dxa"/>
            <w:vAlign w:val="bottom"/>
          </w:tcPr>
          <w:p>
            <w:pPr>
              <w:spacing w:after="0"/>
              <w:rPr>
                <w:sz w:val="14"/>
                <w:szCs w:val="14"/>
                <w:color w:val="auto"/>
              </w:rPr>
            </w:pPr>
          </w:p>
        </w:tc>
        <w:tc>
          <w:tcPr>
            <w:tcW w:w="1100" w:type="dxa"/>
            <w:vAlign w:val="bottom"/>
          </w:tcPr>
          <w:p>
            <w:pPr>
              <w:spacing w:after="0"/>
              <w:rPr>
                <w:sz w:val="14"/>
                <w:szCs w:val="14"/>
                <w:color w:val="auto"/>
              </w:rPr>
            </w:pP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The matching shares are delivered in the form of performance shares, typically</w:t>
            </w:r>
          </w:p>
        </w:tc>
        <w:tc>
          <w:tcPr>
            <w:tcW w:w="3540" w:type="dxa"/>
            <w:vAlign w:val="bottom"/>
          </w:tcPr>
          <w:p>
            <w:pPr>
              <w:spacing w:after="0"/>
              <w:rPr>
                <w:sz w:val="14"/>
                <w:szCs w:val="14"/>
                <w:color w:val="auto"/>
              </w:rPr>
            </w:pPr>
          </w:p>
        </w:tc>
        <w:tc>
          <w:tcPr>
            <w:tcW w:w="20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11"/>
        </w:trPr>
        <w:tc>
          <w:tcPr>
            <w:tcW w:w="900" w:type="dxa"/>
            <w:vAlign w:val="bottom"/>
          </w:tcPr>
          <w:p>
            <w:pPr>
              <w:spacing w:after="0"/>
              <w:rPr>
                <w:sz w:val="9"/>
                <w:szCs w:val="9"/>
                <w:color w:val="auto"/>
              </w:rPr>
            </w:pPr>
          </w:p>
        </w:tc>
        <w:tc>
          <w:tcPr>
            <w:tcW w:w="260" w:type="dxa"/>
            <w:vAlign w:val="bottom"/>
          </w:tcPr>
          <w:p>
            <w:pPr>
              <w:spacing w:after="0"/>
              <w:rPr>
                <w:sz w:val="9"/>
                <w:szCs w:val="9"/>
                <w:color w:val="auto"/>
              </w:rPr>
            </w:pPr>
          </w:p>
        </w:tc>
        <w:tc>
          <w:tcPr>
            <w:tcW w:w="280" w:type="dxa"/>
            <w:vAlign w:val="bottom"/>
          </w:tcPr>
          <w:p>
            <w:pPr>
              <w:spacing w:after="0"/>
              <w:rPr>
                <w:sz w:val="9"/>
                <w:szCs w:val="9"/>
                <w:color w:val="auto"/>
              </w:rPr>
            </w:pPr>
          </w:p>
        </w:tc>
        <w:tc>
          <w:tcPr>
            <w:tcW w:w="320" w:type="dxa"/>
            <w:vAlign w:val="bottom"/>
          </w:tcPr>
          <w:p>
            <w:pPr>
              <w:spacing w:after="0"/>
              <w:rPr>
                <w:sz w:val="9"/>
                <w:szCs w:val="9"/>
                <w:color w:val="auto"/>
              </w:rPr>
            </w:pPr>
          </w:p>
        </w:tc>
        <w:tc>
          <w:tcPr>
            <w:tcW w:w="1100" w:type="dxa"/>
            <w:vAlign w:val="bottom"/>
          </w:tcPr>
          <w:p>
            <w:pPr>
              <w:spacing w:after="0"/>
              <w:rPr>
                <w:sz w:val="9"/>
                <w:szCs w:val="9"/>
                <w:color w:val="auto"/>
              </w:rPr>
            </w:pP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subject to the same performance conditions as for the LTI performance share</w:t>
            </w:r>
          </w:p>
        </w:tc>
        <w:tc>
          <w:tcPr>
            <w:tcW w:w="354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280" w:type="dxa"/>
            <w:vAlign w:val="bottom"/>
          </w:tcPr>
          <w:p>
            <w:pPr>
              <w:spacing w:after="0"/>
              <w:rPr>
                <w:sz w:val="10"/>
                <w:szCs w:val="10"/>
                <w:color w:val="auto"/>
              </w:rPr>
            </w:pPr>
          </w:p>
        </w:tc>
        <w:tc>
          <w:tcPr>
            <w:tcW w:w="320" w:type="dxa"/>
            <w:vAlign w:val="bottom"/>
          </w:tcPr>
          <w:p>
            <w:pPr>
              <w:spacing w:after="0"/>
              <w:rPr>
                <w:sz w:val="10"/>
                <w:szCs w:val="10"/>
                <w:color w:val="auto"/>
              </w:rPr>
            </w:pPr>
          </w:p>
        </w:tc>
        <w:tc>
          <w:tcPr>
            <w:tcW w:w="1100" w:type="dxa"/>
            <w:vAlign w:val="bottom"/>
          </w:tcPr>
          <w:p>
            <w:pPr>
              <w:spacing w:after="0"/>
              <w:rPr>
                <w:sz w:val="10"/>
                <w:szCs w:val="10"/>
                <w:color w:val="auto"/>
              </w:rPr>
            </w:pPr>
          </w:p>
        </w:tc>
        <w:tc>
          <w:tcPr>
            <w:tcW w:w="242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221E1F"/>
              </w:rPr>
              <w:t>award, with a three-year performance and vesting period.</w:t>
            </w:r>
          </w:p>
        </w:tc>
        <w:tc>
          <w:tcPr>
            <w:tcW w:w="960" w:type="dxa"/>
            <w:vAlign w:val="bottom"/>
          </w:tcPr>
          <w:p>
            <w:pPr>
              <w:spacing w:after="0"/>
              <w:rPr>
                <w:sz w:val="10"/>
                <w:szCs w:val="10"/>
                <w:color w:val="auto"/>
              </w:rPr>
            </w:pPr>
          </w:p>
        </w:tc>
        <w:tc>
          <w:tcPr>
            <w:tcW w:w="354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1"/>
        </w:trPr>
        <w:tc>
          <w:tcPr>
            <w:tcW w:w="900" w:type="dxa"/>
            <w:vAlign w:val="bottom"/>
          </w:tcPr>
          <w:p>
            <w:pPr>
              <w:spacing w:after="0"/>
              <w:rPr>
                <w:sz w:val="14"/>
                <w:szCs w:val="14"/>
                <w:color w:val="auto"/>
              </w:rPr>
            </w:pPr>
          </w:p>
        </w:tc>
        <w:tc>
          <w:tcPr>
            <w:tcW w:w="260" w:type="dxa"/>
            <w:vAlign w:val="bottom"/>
          </w:tcPr>
          <w:p>
            <w:pPr>
              <w:spacing w:after="0"/>
              <w:rPr>
                <w:sz w:val="14"/>
                <w:szCs w:val="14"/>
                <w:color w:val="auto"/>
              </w:rPr>
            </w:pPr>
          </w:p>
        </w:tc>
        <w:tc>
          <w:tcPr>
            <w:tcW w:w="280" w:type="dxa"/>
            <w:vAlign w:val="bottom"/>
          </w:tcPr>
          <w:p>
            <w:pPr>
              <w:spacing w:after="0"/>
              <w:rPr>
                <w:sz w:val="14"/>
                <w:szCs w:val="14"/>
                <w:color w:val="auto"/>
              </w:rPr>
            </w:pPr>
          </w:p>
        </w:tc>
        <w:tc>
          <w:tcPr>
            <w:tcW w:w="320" w:type="dxa"/>
            <w:vAlign w:val="bottom"/>
          </w:tcPr>
          <w:p>
            <w:pPr>
              <w:spacing w:after="0"/>
              <w:rPr>
                <w:sz w:val="14"/>
                <w:szCs w:val="14"/>
                <w:color w:val="auto"/>
              </w:rPr>
            </w:pPr>
          </w:p>
        </w:tc>
        <w:tc>
          <w:tcPr>
            <w:tcW w:w="1100" w:type="dxa"/>
            <w:vAlign w:val="bottom"/>
          </w:tcPr>
          <w:p>
            <w:pPr>
              <w:spacing w:after="0"/>
              <w:rPr>
                <w:sz w:val="14"/>
                <w:szCs w:val="14"/>
                <w:color w:val="auto"/>
              </w:rPr>
            </w:pP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The minimum vesting of the matching shares is 0% of base salary and maximum</w:t>
            </w:r>
          </w:p>
        </w:tc>
        <w:tc>
          <w:tcPr>
            <w:tcW w:w="3540" w:type="dxa"/>
            <w:vAlign w:val="bottom"/>
          </w:tcPr>
          <w:p>
            <w:pPr>
              <w:spacing w:after="0"/>
              <w:rPr>
                <w:sz w:val="14"/>
                <w:szCs w:val="14"/>
                <w:color w:val="auto"/>
              </w:rPr>
            </w:pPr>
          </w:p>
        </w:tc>
        <w:tc>
          <w:tcPr>
            <w:tcW w:w="20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280" w:type="dxa"/>
            <w:vAlign w:val="bottom"/>
          </w:tcPr>
          <w:p>
            <w:pPr>
              <w:spacing w:after="0"/>
              <w:rPr>
                <w:sz w:val="10"/>
                <w:szCs w:val="10"/>
                <w:color w:val="auto"/>
              </w:rPr>
            </w:pPr>
          </w:p>
        </w:tc>
        <w:tc>
          <w:tcPr>
            <w:tcW w:w="320" w:type="dxa"/>
            <w:vAlign w:val="bottom"/>
          </w:tcPr>
          <w:p>
            <w:pPr>
              <w:spacing w:after="0"/>
              <w:rPr>
                <w:sz w:val="10"/>
                <w:szCs w:val="10"/>
                <w:color w:val="auto"/>
              </w:rPr>
            </w:pPr>
          </w:p>
        </w:tc>
        <w:tc>
          <w:tcPr>
            <w:tcW w:w="1100" w:type="dxa"/>
            <w:vAlign w:val="bottom"/>
          </w:tcPr>
          <w:p>
            <w:pPr>
              <w:spacing w:after="0"/>
              <w:rPr>
                <w:sz w:val="10"/>
                <w:szCs w:val="10"/>
                <w:color w:val="auto"/>
              </w:rPr>
            </w:pPr>
          </w:p>
        </w:tc>
        <w:tc>
          <w:tcPr>
            <w:tcW w:w="1580" w:type="dxa"/>
            <w:vAlign w:val="bottom"/>
          </w:tcPr>
          <w:p>
            <w:pPr>
              <w:ind w:left="20"/>
              <w:spacing w:after="0"/>
              <w:rPr>
                <w:sz w:val="20"/>
                <w:szCs w:val="20"/>
                <w:color w:val="auto"/>
              </w:rPr>
            </w:pPr>
            <w:r>
              <w:rPr>
                <w:rFonts w:ascii="Times New Roman" w:cs="Times New Roman" w:eastAsia="Times New Roman" w:hAnsi="Times New Roman"/>
                <w:sz w:val="9"/>
                <w:szCs w:val="9"/>
                <w:color w:val="221E1F"/>
              </w:rPr>
              <w:t>vesting is two times grant level.</w:t>
            </w:r>
          </w:p>
        </w:tc>
        <w:tc>
          <w:tcPr>
            <w:tcW w:w="840" w:type="dxa"/>
            <w:vAlign w:val="bottom"/>
          </w:tcPr>
          <w:p>
            <w:pPr>
              <w:spacing w:after="0"/>
              <w:rPr>
                <w:sz w:val="10"/>
                <w:szCs w:val="10"/>
                <w:color w:val="auto"/>
              </w:rPr>
            </w:pPr>
          </w:p>
        </w:tc>
        <w:tc>
          <w:tcPr>
            <w:tcW w:w="960" w:type="dxa"/>
            <w:vAlign w:val="bottom"/>
          </w:tcPr>
          <w:p>
            <w:pPr>
              <w:spacing w:after="0"/>
              <w:rPr>
                <w:sz w:val="10"/>
                <w:szCs w:val="10"/>
                <w:color w:val="auto"/>
              </w:rPr>
            </w:pPr>
          </w:p>
        </w:tc>
        <w:tc>
          <w:tcPr>
            <w:tcW w:w="354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2"/>
        </w:trPr>
        <w:tc>
          <w:tcPr>
            <w:tcW w:w="900" w:type="dxa"/>
            <w:vAlign w:val="bottom"/>
          </w:tcPr>
          <w:p>
            <w:pPr>
              <w:spacing w:after="0"/>
              <w:rPr>
                <w:sz w:val="14"/>
                <w:szCs w:val="14"/>
                <w:color w:val="auto"/>
              </w:rPr>
            </w:pPr>
          </w:p>
        </w:tc>
        <w:tc>
          <w:tcPr>
            <w:tcW w:w="260" w:type="dxa"/>
            <w:vAlign w:val="bottom"/>
          </w:tcPr>
          <w:p>
            <w:pPr>
              <w:spacing w:after="0"/>
              <w:rPr>
                <w:sz w:val="14"/>
                <w:szCs w:val="14"/>
                <w:color w:val="auto"/>
              </w:rPr>
            </w:pPr>
          </w:p>
        </w:tc>
        <w:tc>
          <w:tcPr>
            <w:tcW w:w="280" w:type="dxa"/>
            <w:vAlign w:val="bottom"/>
          </w:tcPr>
          <w:p>
            <w:pPr>
              <w:spacing w:after="0"/>
              <w:rPr>
                <w:sz w:val="14"/>
                <w:szCs w:val="14"/>
                <w:color w:val="auto"/>
              </w:rPr>
            </w:pPr>
          </w:p>
        </w:tc>
        <w:tc>
          <w:tcPr>
            <w:tcW w:w="320" w:type="dxa"/>
            <w:vAlign w:val="bottom"/>
          </w:tcPr>
          <w:p>
            <w:pPr>
              <w:spacing w:after="0"/>
              <w:rPr>
                <w:sz w:val="14"/>
                <w:szCs w:val="14"/>
                <w:color w:val="auto"/>
              </w:rPr>
            </w:pPr>
          </w:p>
        </w:tc>
        <w:tc>
          <w:tcPr>
            <w:tcW w:w="1100" w:type="dxa"/>
            <w:vAlign w:val="bottom"/>
          </w:tcPr>
          <w:p>
            <w:pPr>
              <w:spacing w:after="0"/>
              <w:rPr>
                <w:sz w:val="14"/>
                <w:szCs w:val="14"/>
                <w:color w:val="auto"/>
              </w:rPr>
            </w:pPr>
          </w:p>
        </w:tc>
        <w:tc>
          <w:tcPr>
            <w:tcW w:w="1580" w:type="dxa"/>
            <w:vAlign w:val="bottom"/>
          </w:tcPr>
          <w:p>
            <w:pPr>
              <w:ind w:left="20"/>
              <w:spacing w:after="0"/>
              <w:rPr>
                <w:sz w:val="20"/>
                <w:szCs w:val="20"/>
                <w:color w:val="auto"/>
              </w:rPr>
            </w:pPr>
            <w:r>
              <w:rPr>
                <w:rFonts w:ascii="Times New Roman" w:cs="Times New Roman" w:eastAsia="Times New Roman" w:hAnsi="Times New Roman"/>
                <w:sz w:val="9"/>
                <w:szCs w:val="9"/>
                <w:color w:val="221E1F"/>
              </w:rPr>
              <w:t>The Company Clawback Policies apply.</w:t>
            </w:r>
          </w:p>
        </w:tc>
        <w:tc>
          <w:tcPr>
            <w:tcW w:w="840" w:type="dxa"/>
            <w:vAlign w:val="bottom"/>
          </w:tcPr>
          <w:p>
            <w:pPr>
              <w:spacing w:after="0"/>
              <w:rPr>
                <w:sz w:val="14"/>
                <w:szCs w:val="14"/>
                <w:color w:val="auto"/>
              </w:rPr>
            </w:pPr>
          </w:p>
        </w:tc>
        <w:tc>
          <w:tcPr>
            <w:tcW w:w="960" w:type="dxa"/>
            <w:vAlign w:val="bottom"/>
          </w:tcPr>
          <w:p>
            <w:pPr>
              <w:spacing w:after="0"/>
              <w:rPr>
                <w:sz w:val="14"/>
                <w:szCs w:val="14"/>
                <w:color w:val="auto"/>
              </w:rPr>
            </w:pPr>
          </w:p>
        </w:tc>
        <w:tc>
          <w:tcPr>
            <w:tcW w:w="3540" w:type="dxa"/>
            <w:vAlign w:val="bottom"/>
          </w:tcPr>
          <w:p>
            <w:pPr>
              <w:spacing w:after="0"/>
              <w:rPr>
                <w:sz w:val="14"/>
                <w:szCs w:val="14"/>
                <w:color w:val="auto"/>
              </w:rPr>
            </w:pPr>
          </w:p>
        </w:tc>
        <w:tc>
          <w:tcPr>
            <w:tcW w:w="20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83"/>
        </w:trPr>
        <w:tc>
          <w:tcPr>
            <w:tcW w:w="900" w:type="dxa"/>
            <w:vAlign w:val="bottom"/>
            <w:tcBorders>
              <w:bottom w:val="single" w:sz="8" w:color="005AFF"/>
            </w:tcBorders>
          </w:tcPr>
          <w:p>
            <w:pPr>
              <w:spacing w:after="0"/>
              <w:rPr>
                <w:sz w:val="7"/>
                <w:szCs w:val="7"/>
                <w:color w:val="auto"/>
              </w:rPr>
            </w:pPr>
          </w:p>
        </w:tc>
        <w:tc>
          <w:tcPr>
            <w:tcW w:w="260" w:type="dxa"/>
            <w:vAlign w:val="bottom"/>
            <w:tcBorders>
              <w:bottom w:val="single" w:sz="8" w:color="005AFF"/>
            </w:tcBorders>
          </w:tcPr>
          <w:p>
            <w:pPr>
              <w:spacing w:after="0"/>
              <w:rPr>
                <w:sz w:val="7"/>
                <w:szCs w:val="7"/>
                <w:color w:val="auto"/>
              </w:rPr>
            </w:pPr>
          </w:p>
        </w:tc>
        <w:tc>
          <w:tcPr>
            <w:tcW w:w="280" w:type="dxa"/>
            <w:vAlign w:val="bottom"/>
            <w:tcBorders>
              <w:bottom w:val="single" w:sz="8" w:color="005AFF"/>
            </w:tcBorders>
          </w:tcPr>
          <w:p>
            <w:pPr>
              <w:spacing w:after="0"/>
              <w:rPr>
                <w:sz w:val="7"/>
                <w:szCs w:val="7"/>
                <w:color w:val="auto"/>
              </w:rPr>
            </w:pPr>
          </w:p>
        </w:tc>
        <w:tc>
          <w:tcPr>
            <w:tcW w:w="1420" w:type="dxa"/>
            <w:vAlign w:val="bottom"/>
            <w:tcBorders>
              <w:bottom w:val="single" w:sz="8" w:color="005AFF"/>
            </w:tcBorders>
            <w:gridSpan w:val="2"/>
          </w:tcPr>
          <w:p>
            <w:pPr>
              <w:spacing w:after="0"/>
              <w:rPr>
                <w:sz w:val="7"/>
                <w:szCs w:val="7"/>
                <w:color w:val="auto"/>
              </w:rPr>
            </w:pPr>
          </w:p>
        </w:tc>
        <w:tc>
          <w:tcPr>
            <w:tcW w:w="3380" w:type="dxa"/>
            <w:vAlign w:val="bottom"/>
            <w:tcBorders>
              <w:bottom w:val="single" w:sz="8" w:color="005AFF"/>
            </w:tcBorders>
            <w:gridSpan w:val="3"/>
          </w:tcPr>
          <w:p>
            <w:pPr>
              <w:spacing w:after="0"/>
              <w:rPr>
                <w:sz w:val="7"/>
                <w:szCs w:val="7"/>
                <w:color w:val="auto"/>
              </w:rPr>
            </w:pPr>
          </w:p>
        </w:tc>
        <w:tc>
          <w:tcPr>
            <w:tcW w:w="3540" w:type="dxa"/>
            <w:vAlign w:val="bottom"/>
            <w:tcBorders>
              <w:bottom w:val="single" w:sz="8" w:color="005AFF"/>
            </w:tcBorders>
          </w:tcPr>
          <w:p>
            <w:pPr>
              <w:spacing w:after="0"/>
              <w:rPr>
                <w:sz w:val="7"/>
                <w:szCs w:val="7"/>
                <w:color w:val="auto"/>
              </w:rPr>
            </w:pPr>
          </w:p>
        </w:tc>
        <w:tc>
          <w:tcPr>
            <w:tcW w:w="2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08"/>
        </w:trPr>
        <w:tc>
          <w:tcPr>
            <w:tcW w:w="900" w:type="dxa"/>
            <w:vAlign w:val="bottom"/>
          </w:tcPr>
          <w:p>
            <w:pPr>
              <w:ind w:left="40"/>
              <w:spacing w:after="0" w:line="109" w:lineRule="exact"/>
              <w:rPr>
                <w:sz w:val="20"/>
                <w:szCs w:val="20"/>
                <w:color w:val="auto"/>
              </w:rPr>
            </w:pPr>
            <w:r>
              <w:rPr>
                <w:rFonts w:ascii="Times New Roman" w:cs="Times New Roman" w:eastAsia="Times New Roman" w:hAnsi="Times New Roman"/>
                <w:sz w:val="10"/>
                <w:szCs w:val="10"/>
                <w:b w:val="1"/>
                <w:bCs w:val="1"/>
                <w:color w:val="auto"/>
              </w:rPr>
              <w:t>Shareholding</w:t>
            </w:r>
          </w:p>
        </w:tc>
        <w:tc>
          <w:tcPr>
            <w:tcW w:w="260" w:type="dxa"/>
            <w:vAlign w:val="bottom"/>
          </w:tcPr>
          <w:p>
            <w:pPr>
              <w:spacing w:after="0"/>
              <w:rPr>
                <w:sz w:val="9"/>
                <w:szCs w:val="9"/>
                <w:color w:val="auto"/>
              </w:rPr>
            </w:pP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To align the President and CEO’s</w:t>
            </w: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The President and CEO is required to build and maintain a shareholding equivalent</w:t>
            </w:r>
          </w:p>
        </w:tc>
        <w:tc>
          <w:tcPr>
            <w:tcW w:w="3740" w:type="dxa"/>
            <w:vAlign w:val="bottom"/>
            <w:gridSpan w:val="2"/>
          </w:tcPr>
          <w:p>
            <w:pPr>
              <w:ind w:left="200"/>
              <w:spacing w:after="0"/>
              <w:rPr>
                <w:sz w:val="20"/>
                <w:szCs w:val="20"/>
                <w:color w:val="auto"/>
              </w:rPr>
            </w:pPr>
            <w:r>
              <w:rPr>
                <w:rFonts w:ascii="Times New Roman" w:cs="Times New Roman" w:eastAsia="Times New Roman" w:hAnsi="Times New Roman"/>
                <w:sz w:val="9"/>
                <w:szCs w:val="9"/>
                <w:color w:val="221E1F"/>
              </w:rPr>
              <w:t>N/A</w:t>
            </w:r>
          </w:p>
        </w:tc>
        <w:tc>
          <w:tcPr>
            <w:tcW w:w="0" w:type="dxa"/>
            <w:vAlign w:val="bottom"/>
          </w:tcPr>
          <w:p>
            <w:pPr>
              <w:spacing w:after="0"/>
              <w:rPr>
                <w:sz w:val="1"/>
                <w:szCs w:val="1"/>
                <w:color w:val="auto"/>
              </w:rPr>
            </w:pPr>
          </w:p>
        </w:tc>
      </w:tr>
      <w:tr>
        <w:trPr>
          <w:trHeight w:val="114"/>
        </w:trPr>
        <w:tc>
          <w:tcPr>
            <w:tcW w:w="9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auto"/>
              </w:rPr>
              <w:t>requirement</w:t>
            </w:r>
          </w:p>
        </w:tc>
        <w:tc>
          <w:tcPr>
            <w:tcW w:w="260" w:type="dxa"/>
            <w:vAlign w:val="bottom"/>
          </w:tcPr>
          <w:p>
            <w:pPr>
              <w:spacing w:after="0"/>
              <w:rPr>
                <w:sz w:val="9"/>
                <w:szCs w:val="9"/>
                <w:color w:val="auto"/>
              </w:rPr>
            </w:pP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interests with shareholder interests</w:t>
            </w:r>
          </w:p>
        </w:tc>
        <w:tc>
          <w:tcPr>
            <w:tcW w:w="338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221E1F"/>
              </w:rPr>
              <w:t>to 300% of base salary, to be achieved normally within five years of appointment.</w:t>
            </w:r>
          </w:p>
        </w:tc>
        <w:tc>
          <w:tcPr>
            <w:tcW w:w="3540" w:type="dxa"/>
            <w:vAlign w:val="bottom"/>
          </w:tcPr>
          <w:p>
            <w:pPr>
              <w:spacing w:after="0"/>
              <w:rPr>
                <w:sz w:val="9"/>
                <w:szCs w:val="9"/>
                <w:color w:val="auto"/>
              </w:rPr>
            </w:pPr>
          </w:p>
        </w:tc>
        <w:tc>
          <w:tcPr>
            <w:tcW w:w="2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900" w:type="dxa"/>
            <w:vAlign w:val="bottom"/>
          </w:tcPr>
          <w:p>
            <w:pPr>
              <w:spacing w:after="0"/>
              <w:rPr>
                <w:sz w:val="10"/>
                <w:szCs w:val="10"/>
                <w:color w:val="auto"/>
              </w:rPr>
            </w:pPr>
          </w:p>
        </w:tc>
        <w:tc>
          <w:tcPr>
            <w:tcW w:w="260" w:type="dxa"/>
            <w:vAlign w:val="bottom"/>
          </w:tcPr>
          <w:p>
            <w:pPr>
              <w:spacing w:after="0"/>
              <w:rPr>
                <w:sz w:val="10"/>
                <w:szCs w:val="10"/>
                <w:color w:val="auto"/>
              </w:rPr>
            </w:pPr>
          </w:p>
        </w:tc>
        <w:tc>
          <w:tcPr>
            <w:tcW w:w="1700" w:type="dxa"/>
            <w:vAlign w:val="bottom"/>
            <w:gridSpan w:val="3"/>
          </w:tcPr>
          <w:p>
            <w:pPr>
              <w:ind w:left="120"/>
              <w:spacing w:after="0"/>
              <w:rPr>
                <w:sz w:val="20"/>
                <w:szCs w:val="20"/>
                <w:color w:val="auto"/>
              </w:rPr>
            </w:pPr>
            <w:r>
              <w:rPr>
                <w:rFonts w:ascii="Times New Roman" w:cs="Times New Roman" w:eastAsia="Times New Roman" w:hAnsi="Times New Roman"/>
                <w:sz w:val="9"/>
                <w:szCs w:val="9"/>
                <w:color w:val="221E1F"/>
              </w:rPr>
              <w:t>and ensure any decisions made</w:t>
            </w:r>
          </w:p>
        </w:tc>
        <w:tc>
          <w:tcPr>
            <w:tcW w:w="1580" w:type="dxa"/>
            <w:vAlign w:val="bottom"/>
          </w:tcPr>
          <w:p>
            <w:pPr>
              <w:spacing w:after="0"/>
              <w:rPr>
                <w:sz w:val="10"/>
                <w:szCs w:val="10"/>
                <w:color w:val="auto"/>
              </w:rPr>
            </w:pPr>
          </w:p>
        </w:tc>
        <w:tc>
          <w:tcPr>
            <w:tcW w:w="840" w:type="dxa"/>
            <w:vAlign w:val="bottom"/>
          </w:tcPr>
          <w:p>
            <w:pPr>
              <w:spacing w:after="0"/>
              <w:rPr>
                <w:sz w:val="10"/>
                <w:szCs w:val="10"/>
                <w:color w:val="auto"/>
              </w:rPr>
            </w:pPr>
          </w:p>
        </w:tc>
        <w:tc>
          <w:tcPr>
            <w:tcW w:w="960" w:type="dxa"/>
            <w:vAlign w:val="bottom"/>
          </w:tcPr>
          <w:p>
            <w:pPr>
              <w:spacing w:after="0"/>
              <w:rPr>
                <w:sz w:val="10"/>
                <w:szCs w:val="10"/>
                <w:color w:val="auto"/>
              </w:rPr>
            </w:pPr>
          </w:p>
        </w:tc>
        <w:tc>
          <w:tcPr>
            <w:tcW w:w="3540" w:type="dxa"/>
            <w:vAlign w:val="bottom"/>
          </w:tcPr>
          <w:p>
            <w:pPr>
              <w:spacing w:after="0"/>
              <w:rPr>
                <w:sz w:val="10"/>
                <w:szCs w:val="10"/>
                <w:color w:val="auto"/>
              </w:rPr>
            </w:pPr>
          </w:p>
        </w:tc>
        <w:tc>
          <w:tcPr>
            <w:tcW w:w="200" w:type="dxa"/>
            <w:vAlign w:val="bottom"/>
          </w:tcPr>
          <w:p>
            <w:pPr>
              <w:spacing w:after="0"/>
              <w:rPr>
                <w:sz w:val="10"/>
                <w:szCs w:val="10"/>
                <w:color w:val="auto"/>
              </w:rPr>
            </w:pPr>
          </w:p>
        </w:tc>
        <w:tc>
          <w:tcPr>
            <w:tcW w:w="0" w:type="dxa"/>
            <w:vAlign w:val="bottom"/>
          </w:tcPr>
          <w:p>
            <w:pPr>
              <w:spacing w:after="0"/>
              <w:rPr>
                <w:sz w:val="1"/>
                <w:szCs w:val="1"/>
                <w:color w:val="auto"/>
              </w:rPr>
            </w:pPr>
          </w:p>
        </w:tc>
      </w:tr>
    </w:tbl>
    <w:p>
      <w:pPr>
        <w:ind w:left="1280"/>
        <w:spacing w:after="0"/>
        <w:rPr>
          <w:sz w:val="20"/>
          <w:szCs w:val="20"/>
          <w:color w:val="auto"/>
        </w:rPr>
      </w:pPr>
      <w:r>
        <w:rPr>
          <w:rFonts w:ascii="Times New Roman" w:cs="Times New Roman" w:eastAsia="Times New Roman" w:hAnsi="Times New Roman"/>
          <w:sz w:val="9"/>
          <w:szCs w:val="9"/>
          <w:color w:val="221E1F"/>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are in the long-term interest of</w:t>
      </w:r>
    </w:p>
    <w:p>
      <w:pPr>
        <w:spacing w:after="0" w:line="14" w:lineRule="exact"/>
        <w:rPr>
          <w:sz w:val="20"/>
          <w:szCs w:val="20"/>
          <w:color w:val="auto"/>
        </w:rPr>
      </w:pPr>
    </w:p>
    <w:p>
      <w:pPr>
        <w:ind w:left="1280"/>
        <w:spacing w:after="0"/>
        <w:rPr>
          <w:sz w:val="20"/>
          <w:szCs w:val="20"/>
          <w:color w:val="auto"/>
        </w:rPr>
      </w:pPr>
      <w:r>
        <w:rPr>
          <w:rFonts w:ascii="Times New Roman" w:cs="Times New Roman" w:eastAsia="Times New Roman" w:hAnsi="Times New Roman"/>
          <w:sz w:val="9"/>
          <w:szCs w:val="9"/>
          <w:color w:val="221E1F"/>
        </w:rPr>
        <w:t>the Company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74" w:name="page75"/>
    <w:bookmarkEnd w:id="74"/>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324" w:lineRule="exact"/>
        <w:rPr>
          <w:sz w:val="20"/>
          <w:szCs w:val="20"/>
          <w:color w:val="auto"/>
        </w:rPr>
      </w:pPr>
    </w:p>
    <w:p>
      <w:pPr>
        <w:ind w:right="280"/>
        <w:spacing w:after="0" w:line="276" w:lineRule="auto"/>
        <w:rPr>
          <w:sz w:val="20"/>
          <w:szCs w:val="20"/>
          <w:color w:val="auto"/>
        </w:rPr>
      </w:pPr>
      <w:r>
        <w:rPr>
          <w:rFonts w:ascii="Times New Roman" w:cs="Times New Roman" w:eastAsia="Times New Roman" w:hAnsi="Times New Roman"/>
          <w:sz w:val="11"/>
          <w:szCs w:val="11"/>
          <w:b w:val="1"/>
          <w:bCs w:val="1"/>
          <w:color w:val="auto"/>
        </w:rPr>
        <w:t>Pay mix and remuneration scenarios for the President and CEO</w:t>
      </w:r>
    </w:p>
    <w:p>
      <w:pPr>
        <w:spacing w:after="0" w:line="1"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The chart below illustrates how the proportion of the President and CEO’s remuneration package varies at the minimum, target and maximum levels of performance. A significant proportion of remuneration is linked to performance, especially at stretch performance levels. Actual pay mix is influenced by the extent to which the performance targets set for the STI and LTI are achieved and may vary from the scenarios below.</w:t>
      </w:r>
    </w:p>
    <w:p>
      <w:pPr>
        <w:spacing w:after="0" w:line="65" w:lineRule="exact"/>
        <w:rPr>
          <w:sz w:val="20"/>
          <w:szCs w:val="20"/>
          <w:color w:val="auto"/>
        </w:rPr>
      </w:pPr>
    </w:p>
    <w:p>
      <w:pPr>
        <w:ind w:right="20"/>
        <w:spacing w:after="0" w:line="265" w:lineRule="auto"/>
        <w:rPr>
          <w:sz w:val="20"/>
          <w:szCs w:val="20"/>
          <w:color w:val="auto"/>
        </w:rPr>
      </w:pPr>
      <w:r>
        <w:rPr>
          <w:rFonts w:ascii="Times New Roman" w:cs="Times New Roman" w:eastAsia="Times New Roman" w:hAnsi="Times New Roman"/>
          <w:sz w:val="11"/>
          <w:szCs w:val="11"/>
          <w:color w:val="auto"/>
        </w:rPr>
        <w:t>The long-term incentive vesting outcomes in the chart below ignore share price movement from grant to vest. The eLTI is not included in this analysis as it is not an annual award and is only granted in exceptional circumstances. The vesting outcome of the matching performance shares under the eLTI would be dependent, besides the performance, on the value of the investment, which could range from 0% to 200% of base salary for the President and CEO. The minimum and maximum vesting levels for the matching performance shares are provided in the above summary table of the remuneration elements.</w:t>
      </w:r>
    </w:p>
    <w:p>
      <w:pPr>
        <w:spacing w:after="0" w:line="1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President and CEO pay mix scenarios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ownership requirement</w:t>
      </w:r>
    </w:p>
    <w:p>
      <w:pPr>
        <w:spacing w:after="0" w:line="24" w:lineRule="exact"/>
        <w:rPr>
          <w:sz w:val="20"/>
          <w:szCs w:val="20"/>
          <w:color w:val="auto"/>
        </w:rPr>
      </w:pPr>
    </w:p>
    <w:p>
      <w:pPr>
        <w:ind w:right="200"/>
        <w:spacing w:after="0" w:line="267" w:lineRule="auto"/>
        <w:rPr>
          <w:sz w:val="20"/>
          <w:szCs w:val="20"/>
          <w:color w:val="auto"/>
        </w:rPr>
      </w:pPr>
      <w:r>
        <w:rPr>
          <w:rFonts w:ascii="Times New Roman" w:cs="Times New Roman" w:eastAsia="Times New Roman" w:hAnsi="Times New Roman"/>
          <w:sz w:val="11"/>
          <w:szCs w:val="11"/>
          <w:color w:val="auto"/>
        </w:rPr>
        <w:t>Nokia believes that it is desirable for its executives to own shares in Nokia to align their interests with those of shareholders and to ensure that their decisions are in the long-term interest of the Company. The President and CEO is required to own three times his or her annual base salary in Nokia shares and is given a period of five years from appointment to achieve the required level of share ownership.</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Clawback Policies</w:t>
      </w:r>
    </w:p>
    <w:p>
      <w:pPr>
        <w:spacing w:after="0" w:line="24"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The Company Clawback Policies apply to the President and CEO’s incentive plans. The Executive Clawback Policy is applied in the case of any erroneously awarded remuneration due to restatement in the Company’s financial statements with a three-year look back period, resulting in the recoupment of excess amounts previously paid based on numbers which have since been materially restated.</w:t>
      </w:r>
    </w:p>
    <w:p>
      <w:pPr>
        <w:spacing w:after="0" w:line="200" w:lineRule="exact"/>
        <w:rPr>
          <w:sz w:val="20"/>
          <w:szCs w:val="20"/>
          <w:color w:val="auto"/>
        </w:rPr>
      </w:pPr>
    </w:p>
    <w:p>
      <w:pPr>
        <w:ind w:right="140"/>
        <w:spacing w:after="0" w:line="275" w:lineRule="auto"/>
        <w:rPr>
          <w:sz w:val="20"/>
          <w:szCs w:val="20"/>
          <w:color w:val="auto"/>
        </w:rPr>
      </w:pPr>
      <w:r>
        <w:rPr>
          <w:rFonts w:ascii="Times New Roman" w:cs="Times New Roman" w:eastAsia="Times New Roman" w:hAnsi="Times New Roman"/>
          <w:sz w:val="11"/>
          <w:szCs w:val="11"/>
          <w:color w:val="auto"/>
        </w:rPr>
        <w:t>Additionally, the Board of Directors may, in its sole discretion, apply the Nokia Incentive Compensation Clawback Policy in circumstances such as reputational damage, gross misconduct and willful breach of internal control procedure.</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Remuneration on recruitment</w:t>
      </w:r>
    </w:p>
    <w:p>
      <w:pPr>
        <w:spacing w:after="0" w:line="24" w:lineRule="exact"/>
        <w:rPr>
          <w:sz w:val="20"/>
          <w:szCs w:val="20"/>
          <w:color w:val="auto"/>
        </w:rPr>
      </w:pPr>
    </w:p>
    <w:p>
      <w:pPr>
        <w:jc w:val="both"/>
        <w:ind w:right="240"/>
        <w:spacing w:after="0" w:line="273" w:lineRule="auto"/>
        <w:rPr>
          <w:sz w:val="20"/>
          <w:szCs w:val="20"/>
          <w:color w:val="auto"/>
        </w:rPr>
      </w:pPr>
      <w:r>
        <w:rPr>
          <w:rFonts w:ascii="Times New Roman" w:cs="Times New Roman" w:eastAsia="Times New Roman" w:hAnsi="Times New Roman"/>
          <w:sz w:val="11"/>
          <w:szCs w:val="11"/>
          <w:color w:val="auto"/>
        </w:rPr>
        <w:t>Our policy on recruitment is to offer a remuneration package that is sufficient to attract, retain and motivate the individual with the right skills for the required role.</w:t>
      </w:r>
    </w:p>
    <w:p>
      <w:pPr>
        <w:spacing w:after="0" w:line="57" w:lineRule="exact"/>
        <w:rPr>
          <w:sz w:val="20"/>
          <w:szCs w:val="20"/>
          <w:color w:val="auto"/>
        </w:rPr>
      </w:pPr>
    </w:p>
    <w:p>
      <w:pPr>
        <w:ind w:right="160"/>
        <w:spacing w:after="0" w:line="269" w:lineRule="auto"/>
        <w:rPr>
          <w:sz w:val="20"/>
          <w:szCs w:val="20"/>
          <w:color w:val="auto"/>
        </w:rPr>
      </w:pPr>
      <w:r>
        <w:rPr>
          <w:rFonts w:ascii="Times New Roman" w:cs="Times New Roman" w:eastAsia="Times New Roman" w:hAnsi="Times New Roman"/>
          <w:sz w:val="11"/>
          <w:szCs w:val="11"/>
          <w:color w:val="auto"/>
        </w:rPr>
        <w:t>On occasion, we may offer buy-out awards to compensate for a candidate’s forfeited awards on leaving a previous employer. Such buy-out awards would, where possible, reflect the nature of the forfeited awards in terms of delivery mechanism, time horizons, attributed expected value and performance conditions.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67</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Termination provisions</w:t>
      </w:r>
    </w:p>
    <w:p>
      <w:pPr>
        <w:spacing w:after="0" w:line="24" w:lineRule="exact"/>
        <w:rPr>
          <w:sz w:val="20"/>
          <w:szCs w:val="20"/>
          <w:color w:val="auto"/>
        </w:rPr>
      </w:pPr>
    </w:p>
    <w:p>
      <w:pPr>
        <w:ind w:right="320"/>
        <w:spacing w:after="0" w:line="261" w:lineRule="auto"/>
        <w:rPr>
          <w:sz w:val="20"/>
          <w:szCs w:val="20"/>
          <w:color w:val="auto"/>
        </w:rPr>
      </w:pPr>
      <w:r>
        <w:rPr>
          <w:rFonts w:ascii="Times New Roman" w:cs="Times New Roman" w:eastAsia="Times New Roman" w:hAnsi="Times New Roman"/>
          <w:sz w:val="11"/>
          <w:szCs w:val="11"/>
          <w:color w:val="auto"/>
        </w:rPr>
        <w:t>In the event of a termination of employment, any payable remuneration is determined in line with legal advice regarding local legislation, country policies, contractual obligations and the rules of the applicable incentive and benefit plans. Payment in lieu of notice will not typically exceed the value of 12 months’ remuneration (including base salary, benefits, STI and pension contribution, if applicable). The treatment of equity incentive awards may depend on the circumstances</w:t>
      </w:r>
    </w:p>
    <w:p>
      <w:pPr>
        <w:spacing w:after="0" w:line="2" w:lineRule="exact"/>
        <w:rPr>
          <w:sz w:val="20"/>
          <w:szCs w:val="20"/>
          <w:color w:val="auto"/>
        </w:rPr>
      </w:pPr>
    </w:p>
    <w:p>
      <w:pPr>
        <w:ind w:right="320"/>
        <w:spacing w:after="0" w:line="265" w:lineRule="auto"/>
        <w:rPr>
          <w:sz w:val="20"/>
          <w:szCs w:val="20"/>
          <w:color w:val="auto"/>
        </w:rPr>
      </w:pPr>
      <w:r>
        <w:rPr>
          <w:rFonts w:ascii="Times New Roman" w:cs="Times New Roman" w:eastAsia="Times New Roman" w:hAnsi="Times New Roman"/>
          <w:sz w:val="11"/>
          <w:szCs w:val="11"/>
          <w:color w:val="auto"/>
        </w:rPr>
        <w:t>of the departure. In the event of death, permanent disability or retirement, unvested awards are normally allowed to be retained. These awards will vest either on departure or at normal vesting date, subject to performance (if applicable) and time proration, unless the Board of Directors determines otherwise. Current termination provisions of the President and CEO’s service agreement are described in the Remuneration Report.</w:t>
      </w:r>
    </w:p>
    <w:p>
      <w:pPr>
        <w:spacing w:after="0" w:line="199" w:lineRule="exact"/>
        <w:rPr>
          <w:sz w:val="20"/>
          <w:szCs w:val="20"/>
          <w:color w:val="auto"/>
        </w:rPr>
      </w:pPr>
    </w:p>
    <w:p>
      <w:pPr>
        <w:ind w:right="340"/>
        <w:spacing w:after="0" w:line="269" w:lineRule="auto"/>
        <w:rPr>
          <w:sz w:val="20"/>
          <w:szCs w:val="20"/>
          <w:color w:val="auto"/>
        </w:rPr>
      </w:pPr>
      <w:r>
        <w:rPr>
          <w:rFonts w:ascii="Times New Roman" w:cs="Times New Roman" w:eastAsia="Times New Roman" w:hAnsi="Times New Roman"/>
          <w:sz w:val="11"/>
          <w:szCs w:val="11"/>
          <w:color w:val="auto"/>
        </w:rPr>
        <w:t>Change of control arrangements, if any, are based on a double trigger structure, which means that both a specified change of control event and termination of the individual’s employment must take place for any change of control-based severance payment to materialize.</w:t>
      </w:r>
    </w:p>
    <w:p>
      <w:pPr>
        <w:sectPr>
          <w:pgSz w:w="11900" w:h="16838" w:orient="portrait"/>
          <w:cols w:equalWidth="0" w:num="3">
            <w:col w:w="2920" w:space="480"/>
            <w:col w:w="3020" w:space="380"/>
            <w:col w:w="3180"/>
          </w:cols>
          <w:pgMar w:left="960" w:top="409" w:right="959" w:bottom="1440" w:gutter="0" w:footer="0" w:header="0"/>
        </w:sectPr>
      </w:pPr>
    </w:p>
    <w:bookmarkStart w:id="75" w:name="page76"/>
    <w:bookmarkEnd w:id="75"/>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Remuneration governance</w:t>
      </w:r>
    </w:p>
    <w:p>
      <w:pPr>
        <w:spacing w:after="0" w:line="46" w:lineRule="exact"/>
        <w:rPr>
          <w:sz w:val="20"/>
          <w:szCs w:val="20"/>
          <w:color w:val="auto"/>
        </w:rPr>
      </w:pPr>
    </w:p>
    <w:p>
      <w:pPr>
        <w:ind w:right="160"/>
        <w:spacing w:after="0" w:line="265" w:lineRule="auto"/>
        <w:rPr>
          <w:sz w:val="20"/>
          <w:szCs w:val="20"/>
          <w:color w:val="auto"/>
        </w:rPr>
      </w:pPr>
      <w:r>
        <w:rPr>
          <w:rFonts w:ascii="Times New Roman" w:cs="Times New Roman" w:eastAsia="Times New Roman" w:hAnsi="Times New Roman"/>
          <w:sz w:val="11"/>
          <w:szCs w:val="11"/>
          <w:color w:val="auto"/>
        </w:rPr>
        <w:t>We manage our remuneration through clearly defined processes, with well-defined governance principles, ensuring that no individual is involved in the decision-making related to their own remuneration, and that there is appropriate oversight of any remuneration decision. Remuneration of the Board is annually presented to shareholders for approval at the Annual General Meeting.</w:t>
      </w:r>
    </w:p>
    <w:p>
      <w:pPr>
        <w:spacing w:after="0" w:line="64"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1"/>
          <w:szCs w:val="11"/>
          <w:color w:val="auto"/>
        </w:rPr>
        <w:t>The Board submits its proposal to the Annual General Meeting on the recommendation of the Board’s Corporate Governance and Nomination Committee, which actively considers and evaluates the appropriate level and structure of directors’ remuneration. Shareholders also authorize the Board to resolve to issue shares, for example to settle Nokia’s equity-based incentive plans, based on the proposal of the Board.</w:t>
      </w:r>
    </w:p>
    <w:p>
      <w:pPr>
        <w:spacing w:after="0" w:line="64" w:lineRule="exact"/>
        <w:rPr>
          <w:sz w:val="20"/>
          <w:szCs w:val="20"/>
          <w:color w:val="auto"/>
        </w:rPr>
      </w:pPr>
    </w:p>
    <w:p>
      <w:pPr>
        <w:ind w:right="480"/>
        <w:spacing w:after="0" w:line="275" w:lineRule="auto"/>
        <w:rPr>
          <w:sz w:val="20"/>
          <w:szCs w:val="20"/>
          <w:color w:val="auto"/>
        </w:rPr>
      </w:pPr>
      <w:r>
        <w:rPr>
          <w:rFonts w:ascii="Times New Roman" w:cs="Times New Roman" w:eastAsia="Times New Roman" w:hAnsi="Times New Roman"/>
          <w:sz w:val="11"/>
          <w:szCs w:val="11"/>
          <w:color w:val="auto"/>
        </w:rPr>
        <w:t>The Board of Directors approves, and the independent members of the Board confirm, the remuneration of the President and CEO, upon recommendation of the Personnel Committee.</w:t>
      </w:r>
    </w:p>
    <w:p>
      <w:pPr>
        <w:spacing w:after="0" w:line="47"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The Personnel Committee consults regularly with the President and CEO and the Chief People Officer. The President and CEO has an active role in the remuneration governance and performance management processes for the GLT and the wider employee population at Nokia. However, the President and CEO or the Chief Personnel Officer are not present when their own remuneration is reviewed or discussed. This enables the Personnel Committee to be mindful of employee pay and conditions across the broader employee population.</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68</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4"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Work of the Personnel Committee</w:t>
      </w:r>
    </w:p>
    <w:p>
      <w:pPr>
        <w:spacing w:after="0" w:line="36" w:lineRule="exact"/>
        <w:rPr>
          <w:sz w:val="20"/>
          <w:szCs w:val="20"/>
          <w:color w:val="auto"/>
        </w:rPr>
      </w:pPr>
    </w:p>
    <w:p>
      <w:pPr>
        <w:ind w:left="160"/>
        <w:spacing w:after="0"/>
        <w:tabs>
          <w:tab w:leader="none" w:pos="2040" w:val="left"/>
          <w:tab w:leader="none" w:pos="3120" w:val="left"/>
        </w:tabs>
        <w:rPr>
          <w:sz w:val="20"/>
          <w:szCs w:val="20"/>
          <w:color w:val="auto"/>
        </w:rPr>
      </w:pPr>
      <w:r>
        <w:rPr>
          <w:rFonts w:ascii="Times New Roman" w:cs="Times New Roman" w:eastAsia="Times New Roman" w:hAnsi="Times New Roman"/>
          <w:sz w:val="11"/>
          <w:szCs w:val="11"/>
          <w:color w:val="auto"/>
        </w:rPr>
        <w:t>The Personnel Committee convened</w:t>
      </w:r>
      <w:r>
        <w:rPr>
          <w:sz w:val="20"/>
          <w:szCs w:val="20"/>
          <w:color w:val="auto"/>
        </w:rPr>
        <w:tab/>
      </w:r>
      <w:r>
        <w:rPr>
          <w:rFonts w:ascii="Times New Roman" w:cs="Times New Roman" w:eastAsia="Times New Roman" w:hAnsi="Times New Roman"/>
          <w:sz w:val="11"/>
          <w:szCs w:val="11"/>
          <w:color w:val="auto"/>
        </w:rPr>
        <w:t>five times during 202</w:t>
        <w:tab/>
        <w:t>3 with a general theme for each meeting.</w:t>
      </w:r>
    </w:p>
    <w:p>
      <w:pPr>
        <w:spacing w:after="0" w:line="200" w:lineRule="exact"/>
        <w:rPr>
          <w:sz w:val="20"/>
          <w:szCs w:val="20"/>
          <w:color w:val="auto"/>
        </w:rPr>
      </w:pPr>
    </w:p>
    <w:p>
      <w:pPr>
        <w:spacing w:after="0" w:line="364" w:lineRule="exact"/>
        <w:rPr>
          <w:sz w:val="20"/>
          <w:szCs w:val="20"/>
          <w:color w:val="auto"/>
        </w:rPr>
      </w:pPr>
    </w:p>
    <w:p>
      <w:pPr>
        <w:ind w:left="3400"/>
        <w:spacing w:after="0"/>
        <w:rPr>
          <w:sz w:val="20"/>
          <w:szCs w:val="20"/>
          <w:color w:val="auto"/>
        </w:rPr>
      </w:pPr>
      <w:r>
        <w:rPr>
          <w:rFonts w:ascii="Times New Roman" w:cs="Times New Roman" w:eastAsia="Times New Roman" w:hAnsi="Times New Roman"/>
          <w:sz w:val="16"/>
          <w:szCs w:val="16"/>
          <w:color w:val="005AFF"/>
        </w:rPr>
        <w:t>May</w:t>
      </w:r>
    </w:p>
    <w:p>
      <w:pPr>
        <w:spacing w:after="0" w:line="46"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LTI design for 2024–2026</w:t>
      </w:r>
    </w:p>
    <w:p>
      <w:pPr>
        <w:spacing w:after="0" w:line="17"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Equity plan status</w:t>
      </w:r>
    </w:p>
    <w:p>
      <w:pPr>
        <w:spacing w:after="0" w:line="10" w:lineRule="exact"/>
        <w:rPr>
          <w:sz w:val="20"/>
          <w:szCs w:val="20"/>
          <w:color w:val="auto"/>
        </w:rPr>
      </w:pPr>
    </w:p>
    <w:p>
      <w:pPr>
        <w:ind w:left="3420" w:right="940"/>
        <w:spacing w:after="0" w:line="259" w:lineRule="auto"/>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2023 Annual General Meeting season review</w:t>
      </w:r>
      <w:r>
        <w:rPr>
          <w:rFonts w:ascii="Times New Roman" w:cs="Times New Roman" w:eastAsia="Times New Roman" w:hAnsi="Times New Roman"/>
          <w:sz w:val="11"/>
          <w:szCs w:val="11"/>
          <w:color w:val="005AFF"/>
        </w:rPr>
        <w:t xml:space="preserve"> ■ </w:t>
      </w:r>
      <w:r>
        <w:rPr>
          <w:rFonts w:ascii="Times New Roman" w:cs="Times New Roman" w:eastAsia="Times New Roman" w:hAnsi="Times New Roman"/>
          <w:sz w:val="11"/>
          <w:szCs w:val="11"/>
          <w:color w:val="000000"/>
        </w:rPr>
        <w:t>GLT remuneration review</w:t>
      </w: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Culture update</w:t>
      </w:r>
    </w:p>
    <w:p>
      <w:pPr>
        <w:spacing w:after="0" w:line="15"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GLT succession approach</w:t>
      </w:r>
    </w:p>
    <w:p>
      <w:pPr>
        <w:spacing w:after="0" w:line="10"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The SEC’s regulation on clawback</w:t>
      </w:r>
    </w:p>
    <w:p>
      <w:pPr>
        <w:spacing w:after="0" w:line="117" w:lineRule="exact"/>
        <w:rPr>
          <w:sz w:val="20"/>
          <w:szCs w:val="20"/>
          <w:color w:val="auto"/>
        </w:rPr>
      </w:pPr>
    </w:p>
    <w:p>
      <w:pPr>
        <w:ind w:left="3400"/>
        <w:spacing w:after="0"/>
        <w:rPr>
          <w:sz w:val="20"/>
          <w:szCs w:val="20"/>
          <w:color w:val="auto"/>
        </w:rPr>
      </w:pPr>
      <w:r>
        <w:rPr>
          <w:rFonts w:ascii="Times New Roman" w:cs="Times New Roman" w:eastAsia="Times New Roman" w:hAnsi="Times New Roman"/>
          <w:sz w:val="16"/>
          <w:szCs w:val="16"/>
          <w:color w:val="005AFF"/>
        </w:rPr>
        <w:t>July</w:t>
      </w:r>
    </w:p>
    <w:p>
      <w:pPr>
        <w:spacing w:after="0" w:line="36"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Remuneration Policy review</w:t>
      </w:r>
    </w:p>
    <w:p>
      <w:pPr>
        <w:spacing w:after="0" w:line="22" w:lineRule="exact"/>
        <w:rPr>
          <w:sz w:val="20"/>
          <w:szCs w:val="20"/>
          <w:color w:val="auto"/>
        </w:rPr>
      </w:pPr>
    </w:p>
    <w:p>
      <w:pPr>
        <w:ind w:left="3420" w:right="1100"/>
        <w:spacing w:after="0" w:line="259" w:lineRule="auto"/>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Nokia Executive Clawback Policy review</w:t>
      </w:r>
      <w:r>
        <w:rPr>
          <w:rFonts w:ascii="Times New Roman" w:cs="Times New Roman" w:eastAsia="Times New Roman" w:hAnsi="Times New Roman"/>
          <w:sz w:val="11"/>
          <w:szCs w:val="11"/>
          <w:color w:val="005AFF"/>
        </w:rPr>
        <w:t xml:space="preserve"> ■ </w:t>
      </w:r>
      <w:r>
        <w:rPr>
          <w:rFonts w:ascii="Times New Roman" w:cs="Times New Roman" w:eastAsia="Times New Roman" w:hAnsi="Times New Roman"/>
          <w:sz w:val="11"/>
          <w:szCs w:val="11"/>
          <w:color w:val="000000"/>
        </w:rPr>
        <w:t>LTI design for 2024–2026</w:t>
      </w: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Market practice update</w:t>
      </w:r>
    </w:p>
    <w:p>
      <w:pPr>
        <w:spacing w:after="0" w:line="10" w:lineRule="exact"/>
        <w:rPr>
          <w:sz w:val="20"/>
          <w:szCs w:val="20"/>
          <w:color w:val="auto"/>
        </w:rPr>
      </w:pP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People risks including physical safety review</w:t>
      </w:r>
    </w:p>
    <w:p>
      <w:pPr>
        <w:spacing w:after="0" w:line="117" w:lineRule="exact"/>
        <w:rPr>
          <w:sz w:val="20"/>
          <w:szCs w:val="20"/>
          <w:color w:val="auto"/>
        </w:rPr>
      </w:pPr>
    </w:p>
    <w:p>
      <w:pPr>
        <w:ind w:left="3400"/>
        <w:spacing w:after="0"/>
        <w:rPr>
          <w:sz w:val="20"/>
          <w:szCs w:val="20"/>
          <w:color w:val="auto"/>
        </w:rPr>
      </w:pPr>
      <w:r>
        <w:rPr>
          <w:rFonts w:ascii="Times New Roman" w:cs="Times New Roman" w:eastAsia="Times New Roman" w:hAnsi="Times New Roman"/>
          <w:sz w:val="16"/>
          <w:szCs w:val="16"/>
          <w:color w:val="005AFF"/>
        </w:rPr>
        <w:t>September</w:t>
      </w:r>
    </w:p>
    <w:p>
      <w:pPr>
        <w:spacing w:after="0" w:line="36" w:lineRule="exact"/>
        <w:rPr>
          <w:sz w:val="20"/>
          <w:szCs w:val="20"/>
          <w:color w:val="auto"/>
        </w:rPr>
      </w:pPr>
    </w:p>
    <w:p>
      <w:pPr>
        <w:ind w:left="3420" w:right="440"/>
        <w:spacing w:after="0" w:line="270" w:lineRule="auto"/>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Nokia Incentive Compensation Clawback Policy review</w:t>
      </w:r>
      <w:r>
        <w:rPr>
          <w:rFonts w:ascii="Times New Roman" w:cs="Times New Roman" w:eastAsia="Times New Roman" w:hAnsi="Times New Roman"/>
          <w:sz w:val="11"/>
          <w:szCs w:val="11"/>
          <w:color w:val="005AFF"/>
        </w:rPr>
        <w:t xml:space="preserve"> ■ </w:t>
      </w:r>
      <w:r>
        <w:rPr>
          <w:rFonts w:ascii="Times New Roman" w:cs="Times New Roman" w:eastAsia="Times New Roman" w:hAnsi="Times New Roman"/>
          <w:sz w:val="11"/>
          <w:szCs w:val="11"/>
          <w:color w:val="000000"/>
        </w:rPr>
        <w:t>LTI design for 2024–2026</w:t>
      </w:r>
    </w:p>
    <w:p>
      <w:pPr>
        <w:ind w:left="3420"/>
        <w:spacing w:after="0"/>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Analytics and demographics</w:t>
      </w:r>
    </w:p>
    <w:p>
      <w:pPr>
        <w:spacing w:after="0" w:line="10" w:lineRule="exact"/>
        <w:rPr>
          <w:sz w:val="20"/>
          <w:szCs w:val="20"/>
          <w:color w:val="auto"/>
        </w:rPr>
      </w:pPr>
    </w:p>
    <w:p>
      <w:pPr>
        <w:ind w:left="3580" w:right="580" w:hanging="159"/>
        <w:spacing w:after="0" w:line="245" w:lineRule="auto"/>
        <w:tabs>
          <w:tab w:leader="none" w:pos="3560" w:val="left"/>
        </w:tabs>
        <w:rPr>
          <w:sz w:val="20"/>
          <w:szCs w:val="20"/>
          <w:color w:val="auto"/>
        </w:rPr>
      </w:pPr>
      <w:r>
        <w:rPr>
          <w:rFonts w:ascii="Times New Roman" w:cs="Times New Roman" w:eastAsia="Times New Roman" w:hAnsi="Times New Roman"/>
          <w:sz w:val="11"/>
          <w:szCs w:val="11"/>
          <w:color w:val="005AFF"/>
        </w:rPr>
        <w:t>■</w:t>
      </w:r>
      <w:r>
        <w:rPr>
          <w:rFonts w:ascii="Times New Roman" w:cs="Times New Roman" w:eastAsia="Times New Roman" w:hAnsi="Times New Roman"/>
          <w:sz w:val="11"/>
          <w:szCs w:val="11"/>
          <w:color w:val="auto"/>
        </w:rPr>
        <w:tab/>
        <w:t>Remuneration Policy 2024 including the shareholder consultation process</w:t>
      </w:r>
    </w:p>
    <w:p>
      <w:pPr>
        <w:spacing w:after="0" w:line="1" w:lineRule="exact"/>
        <w:rPr>
          <w:sz w:val="20"/>
          <w:szCs w:val="20"/>
          <w:color w:val="auto"/>
        </w:rPr>
      </w:pPr>
    </w:p>
    <w:p>
      <w:pPr>
        <w:sectPr>
          <w:pgSz w:w="11900" w:h="16838" w:orient="portrait"/>
          <w:cols w:equalWidth="0" w:num="2">
            <w:col w:w="2960" w:space="440"/>
            <w:col w:w="6580"/>
          </w:cols>
          <w:pgMar w:left="960" w:top="409" w:right="959" w:bottom="1440" w:gutter="0" w:footer="0" w:header="0"/>
        </w:sectPr>
      </w:pPr>
    </w:p>
    <w:p>
      <w:pPr>
        <w:spacing w:after="0" w:line="263" w:lineRule="auto"/>
        <w:rPr>
          <w:sz w:val="20"/>
          <w:szCs w:val="20"/>
          <w:color w:val="auto"/>
        </w:rPr>
      </w:pPr>
      <w:r>
        <w:rPr>
          <w:rFonts w:ascii="Times New Roman" w:cs="Times New Roman" w:eastAsia="Times New Roman" w:hAnsi="Times New Roman"/>
          <w:sz w:val="11"/>
          <w:szCs w:val="11"/>
          <w:color w:val="auto"/>
        </w:rPr>
        <w:t>The Committee has the power, in its sole discretion, to retain remuneration consultants to assist the Personnel Committee in evaluating executive remuneration. During 2023, the Personnel Committee engaged Willis Towers Watson, an independent external consultant, to assist in the review and determination of executive remuneration and program design, as well as to provide insight into market trends and regulatory developments.</w:t>
      </w:r>
    </w:p>
    <w:p>
      <w:pPr>
        <w:spacing w:after="0" w:line="201"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The Personnel Committee Chair regularly engages with shareholders to discuss their views on our remuneration policies, programs and associated disclosures and reflects on their feedback. These insights are taken account of in the Committee’s and Board’s decision-making process for executive remuneration.</w:t>
      </w:r>
    </w:p>
    <w:p>
      <w:pPr>
        <w:spacing w:after="0" w:line="2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7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January</w:t>
      </w:r>
    </w:p>
    <w:p>
      <w:pPr>
        <w:spacing w:after="0" w:line="36" w:lineRule="exact"/>
        <w:rPr>
          <w:sz w:val="20"/>
          <w:szCs w:val="20"/>
          <w:color w:val="auto"/>
        </w:rPr>
      </w:pPr>
    </w:p>
    <w:p>
      <w:pPr>
        <w:ind w:left="180" w:hanging="162"/>
        <w:spacing w:after="0"/>
        <w:tabs>
          <w:tab w:leader="none" w:pos="180" w:val="left"/>
        </w:tabs>
        <w:numPr>
          <w:ilvl w:val="0"/>
          <w:numId w:val="5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2022 STI performance outcome</w:t>
      </w:r>
    </w:p>
    <w:p>
      <w:pPr>
        <w:spacing w:after="0" w:line="21" w:lineRule="exact"/>
        <w:rPr>
          <w:rFonts w:ascii="Times New Roman" w:cs="Times New Roman" w:eastAsia="Times New Roman" w:hAnsi="Times New Roman"/>
          <w:sz w:val="11"/>
          <w:szCs w:val="11"/>
          <w:color w:val="005AFF"/>
        </w:rPr>
      </w:pPr>
    </w:p>
    <w:p>
      <w:pPr>
        <w:ind w:left="180" w:hanging="162"/>
        <w:spacing w:after="0"/>
        <w:tabs>
          <w:tab w:leader="none" w:pos="180" w:val="left"/>
        </w:tabs>
        <w:numPr>
          <w:ilvl w:val="0"/>
          <w:numId w:val="5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2023 STI and LTI metrics and target setting</w:t>
      </w:r>
    </w:p>
    <w:p>
      <w:pPr>
        <w:spacing w:after="0" w:line="10" w:lineRule="exact"/>
        <w:rPr>
          <w:rFonts w:ascii="Times New Roman" w:cs="Times New Roman" w:eastAsia="Times New Roman" w:hAnsi="Times New Roman"/>
          <w:sz w:val="11"/>
          <w:szCs w:val="11"/>
          <w:color w:val="005AFF"/>
        </w:rPr>
      </w:pPr>
    </w:p>
    <w:p>
      <w:pPr>
        <w:ind w:left="180" w:hanging="162"/>
        <w:spacing w:after="0"/>
        <w:tabs>
          <w:tab w:leader="none" w:pos="180" w:val="left"/>
        </w:tabs>
        <w:numPr>
          <w:ilvl w:val="0"/>
          <w:numId w:val="5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President and CEO remuneration review</w:t>
      </w:r>
    </w:p>
    <w:p>
      <w:pPr>
        <w:spacing w:after="0" w:line="9" w:lineRule="exact"/>
        <w:rPr>
          <w:rFonts w:ascii="Times New Roman" w:cs="Times New Roman" w:eastAsia="Times New Roman" w:hAnsi="Times New Roman"/>
          <w:sz w:val="11"/>
          <w:szCs w:val="11"/>
          <w:color w:val="005AFF"/>
        </w:rPr>
      </w:pPr>
    </w:p>
    <w:p>
      <w:pPr>
        <w:ind w:left="180" w:hanging="162"/>
        <w:spacing w:after="0"/>
        <w:tabs>
          <w:tab w:leader="none" w:pos="180" w:val="left"/>
        </w:tabs>
        <w:numPr>
          <w:ilvl w:val="0"/>
          <w:numId w:val="5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Equity plan vesting and granting during 2023</w:t>
      </w:r>
    </w:p>
    <w:p>
      <w:pPr>
        <w:spacing w:after="0" w:line="15" w:lineRule="exact"/>
        <w:rPr>
          <w:rFonts w:ascii="Times New Roman" w:cs="Times New Roman" w:eastAsia="Times New Roman" w:hAnsi="Times New Roman"/>
          <w:sz w:val="11"/>
          <w:szCs w:val="11"/>
          <w:color w:val="005AFF"/>
        </w:rPr>
      </w:pPr>
    </w:p>
    <w:p>
      <w:pPr>
        <w:ind w:left="180" w:hanging="162"/>
        <w:spacing w:after="0"/>
        <w:tabs>
          <w:tab w:leader="none" w:pos="180" w:val="left"/>
        </w:tabs>
        <w:numPr>
          <w:ilvl w:val="0"/>
          <w:numId w:val="5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Remuneration Report for 2022</w:t>
      </w:r>
    </w:p>
    <w:p>
      <w:pPr>
        <w:spacing w:after="0" w:line="20" w:lineRule="exact"/>
        <w:rPr>
          <w:sz w:val="20"/>
          <w:szCs w:val="20"/>
          <w:color w:val="auto"/>
        </w:rPr>
      </w:pPr>
      <w:r>
        <w:rPr>
          <w:sz w:val="20"/>
          <w:szCs w:val="20"/>
          <w:color w:val="auto"/>
        </w:rPr>
        <w:br w:type="column"/>
      </w:r>
    </w:p>
    <w:p>
      <w:pPr>
        <w:spacing w:after="0" w:line="101"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November</w:t>
      </w:r>
    </w:p>
    <w:p>
      <w:pPr>
        <w:spacing w:after="0" w:line="36" w:lineRule="exact"/>
        <w:rPr>
          <w:sz w:val="20"/>
          <w:szCs w:val="20"/>
          <w:color w:val="auto"/>
        </w:rPr>
      </w:pPr>
    </w:p>
    <w:p>
      <w:pPr>
        <w:ind w:left="180" w:right="940" w:hanging="169"/>
        <w:spacing w:after="0" w:line="274" w:lineRule="auto"/>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LTI and Share in Success Plan Rules renewal for 2024–2026 and 2024 incentive metrics</w:t>
      </w: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2024 equity plan budget and allocation</w:t>
      </w:r>
    </w:p>
    <w:p>
      <w:pPr>
        <w:spacing w:after="0" w:line="10"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Proxy agency and shareholder feedback</w:t>
      </w:r>
    </w:p>
    <w:p>
      <w:pPr>
        <w:spacing w:after="0" w:line="9"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Planning of Remuneration Report for 2023</w:t>
      </w:r>
    </w:p>
    <w:p>
      <w:pPr>
        <w:spacing w:after="0" w:line="10"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GLT Succession planning</w:t>
      </w:r>
    </w:p>
    <w:p>
      <w:pPr>
        <w:spacing w:after="0" w:line="9"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Executive shareholding assessment</w:t>
      </w:r>
    </w:p>
    <w:p>
      <w:pPr>
        <w:spacing w:after="0" w:line="15"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5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Personnel Committee charter review</w:t>
      </w:r>
    </w:p>
    <w:p>
      <w:pPr>
        <w:sectPr>
          <w:pgSz w:w="11900" w:h="16838" w:orient="portrait"/>
          <w:cols w:equalWidth="0" w:num="3">
            <w:col w:w="2900" w:space="660"/>
            <w:col w:w="2520" w:space="720"/>
            <w:col w:w="3180"/>
          </w:cols>
          <w:pgMar w:left="960" w:top="409" w:right="959" w:bottom="1440" w:gutter="0" w:footer="0" w:header="0"/>
          <w:type w:val="continuous"/>
        </w:sectPr>
      </w:pPr>
    </w:p>
    <w:bookmarkStart w:id="76" w:name="page77"/>
    <w:bookmarkEnd w:id="76"/>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318" w:lineRule="exact"/>
        <w:rPr>
          <w:sz w:val="20"/>
          <w:szCs w:val="20"/>
          <w:color w:val="auto"/>
        </w:rPr>
      </w:pPr>
    </w:p>
    <w:p>
      <w:pPr>
        <w:ind w:right="640"/>
        <w:spacing w:after="0" w:line="269" w:lineRule="auto"/>
        <w:rPr>
          <w:sz w:val="20"/>
          <w:szCs w:val="20"/>
          <w:color w:val="auto"/>
        </w:rPr>
      </w:pPr>
      <w:r>
        <w:rPr>
          <w:rFonts w:ascii="Times New Roman" w:cs="Times New Roman" w:eastAsia="Times New Roman" w:hAnsi="Times New Roman"/>
          <w:sz w:val="16"/>
          <w:szCs w:val="16"/>
          <w:color w:val="005AFF"/>
        </w:rPr>
        <w:t>Remuneration of the Nokia Group Leadership Team in 2023</w:t>
      </w:r>
    </w:p>
    <w:p>
      <w:pPr>
        <w:spacing w:after="0" w:line="262" w:lineRule="auto"/>
        <w:rPr>
          <w:sz w:val="20"/>
          <w:szCs w:val="20"/>
          <w:color w:val="auto"/>
        </w:rPr>
      </w:pPr>
      <w:r>
        <w:rPr>
          <w:rFonts w:ascii="Times New Roman" w:cs="Times New Roman" w:eastAsia="Times New Roman" w:hAnsi="Times New Roman"/>
          <w:sz w:val="11"/>
          <w:szCs w:val="11"/>
          <w:color w:val="auto"/>
        </w:rPr>
        <w:t>The remuneration of the members of the GLT (excluding the President and CEO) consists of base salary, other benefits, and short- and long-term incentives. Short-term incentive plans are based on rewarding the delivery of business performance utilizing certain, or all, of the following metrics as appropriate to the member’s role: Economic Profit, diversity, carbon emission reduction and defined strategic objectives.</w:t>
      </w:r>
    </w:p>
    <w:p>
      <w:pPr>
        <w:spacing w:after="0" w:line="65" w:lineRule="exact"/>
        <w:rPr>
          <w:sz w:val="20"/>
          <w:szCs w:val="20"/>
          <w:color w:val="auto"/>
        </w:rPr>
      </w:pPr>
    </w:p>
    <w:p>
      <w:pPr>
        <w:ind w:right="80"/>
        <w:spacing w:after="0" w:line="269" w:lineRule="auto"/>
        <w:rPr>
          <w:sz w:val="20"/>
          <w:szCs w:val="20"/>
          <w:color w:val="auto"/>
        </w:rPr>
      </w:pPr>
      <w:r>
        <w:rPr>
          <w:rFonts w:ascii="Times New Roman" w:cs="Times New Roman" w:eastAsia="Times New Roman" w:hAnsi="Times New Roman"/>
          <w:sz w:val="11"/>
          <w:szCs w:val="11"/>
          <w:color w:val="auto"/>
        </w:rPr>
        <w:t>Executives in the GLT are subject to the same remuneration policy framework as the President and CEO. This includes being subject to the Clawback Policies and shareholding requirements. The shareholding requirement for members of the GLT is two times their annual base salary, built within a period of five years of their appointment.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69</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330" w:lineRule="exact"/>
        <w:rPr>
          <w:sz w:val="20"/>
          <w:szCs w:val="20"/>
          <w:color w:val="auto"/>
        </w:rPr>
      </w:pPr>
    </w:p>
    <w:p>
      <w:pPr>
        <w:jc w:val="both"/>
        <w:ind w:left="40" w:right="1080"/>
        <w:spacing w:after="0" w:line="279" w:lineRule="auto"/>
        <w:rPr>
          <w:sz w:val="20"/>
          <w:szCs w:val="20"/>
          <w:color w:val="auto"/>
        </w:rPr>
      </w:pPr>
      <w:r>
        <w:rPr>
          <w:rFonts w:ascii="Times New Roman" w:cs="Times New Roman" w:eastAsia="Times New Roman" w:hAnsi="Times New Roman"/>
          <w:sz w:val="11"/>
          <w:szCs w:val="11"/>
          <w:color w:val="auto"/>
        </w:rPr>
        <w:t>At the end of 2023, the Group Leadership Team consisted of 11 persons split between Finland, other European countries, Singapore and the United States. For information regarding the current Group Leadership Team composition, refer to the Corporate Governance Statement.</w:t>
      </w:r>
    </w:p>
    <w:p>
      <w:pPr>
        <w:spacing w:after="0" w:line="167"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Name</w:t>
            </w:r>
          </w:p>
        </w:tc>
        <w:tc>
          <w:tcPr>
            <w:tcW w:w="3200" w:type="dxa"/>
            <w:vAlign w:val="bottom"/>
            <w:tcBorders>
              <w:bottom w:val="single" w:sz="8" w:color="005AFF"/>
            </w:tcBorders>
          </w:tcPr>
          <w:p>
            <w:pPr>
              <w:ind w:left="420"/>
              <w:spacing w:after="0"/>
              <w:rPr>
                <w:sz w:val="20"/>
                <w:szCs w:val="20"/>
                <w:color w:val="auto"/>
              </w:rPr>
            </w:pPr>
            <w:r>
              <w:rPr>
                <w:rFonts w:ascii="Times New Roman" w:cs="Times New Roman" w:eastAsia="Times New Roman" w:hAnsi="Times New Roman"/>
                <w:sz w:val="8"/>
                <w:szCs w:val="8"/>
                <w:b w:val="1"/>
                <w:bCs w:val="1"/>
                <w:color w:val="005AFF"/>
              </w:rPr>
              <w:t>Position in 2023</w:t>
            </w:r>
          </w:p>
        </w:tc>
        <w:tc>
          <w:tcPr>
            <w:tcW w:w="2020" w:type="dxa"/>
            <w:vAlign w:val="bottom"/>
            <w:tcBorders>
              <w:bottom w:val="single" w:sz="8" w:color="005AFF"/>
            </w:tcBorders>
          </w:tcPr>
          <w:p>
            <w:pPr>
              <w:ind w:left="1300"/>
              <w:spacing w:after="0"/>
              <w:rPr>
                <w:sz w:val="20"/>
                <w:szCs w:val="20"/>
                <w:color w:val="auto"/>
              </w:rPr>
            </w:pPr>
            <w:r>
              <w:rPr>
                <w:rFonts w:ascii="Times New Roman" w:cs="Times New Roman" w:eastAsia="Times New Roman" w:hAnsi="Times New Roman"/>
                <w:sz w:val="8"/>
                <w:szCs w:val="8"/>
                <w:b w:val="1"/>
                <w:bCs w:val="1"/>
                <w:color w:val="005AFF"/>
              </w:rPr>
              <w:t>Appointment date</w:t>
            </w:r>
          </w:p>
        </w:tc>
      </w:tr>
      <w:tr>
        <w:trPr>
          <w:trHeight w:val="140"/>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Pekka Lundmark</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President and CEO</w:t>
            </w:r>
          </w:p>
        </w:tc>
        <w:tc>
          <w:tcPr>
            <w:tcW w:w="2020" w:type="dxa"/>
            <w:vAlign w:val="bottom"/>
          </w:tcPr>
          <w:p>
            <w:pPr>
              <w:ind w:left="1300"/>
              <w:spacing w:after="0"/>
              <w:rPr>
                <w:sz w:val="20"/>
                <w:szCs w:val="20"/>
                <w:color w:val="auto"/>
              </w:rPr>
            </w:pPr>
            <w:r>
              <w:rPr>
                <w:rFonts w:ascii="Times New Roman" w:cs="Times New Roman" w:eastAsia="Times New Roman" w:hAnsi="Times New Roman"/>
                <w:sz w:val="10"/>
                <w:szCs w:val="10"/>
                <w:color w:val="0D0D0D"/>
              </w:rPr>
              <w:t>1 August 2020</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Nishant Batra</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Chief Strategy and Technology Officer</w:t>
            </w:r>
          </w:p>
        </w:tc>
        <w:tc>
          <w:tcPr>
            <w:tcW w:w="2020" w:type="dxa"/>
            <w:vAlign w:val="bottom"/>
          </w:tcPr>
          <w:p>
            <w:pPr>
              <w:jc w:val="center"/>
              <w:ind w:left="1010"/>
              <w:spacing w:after="0"/>
              <w:rPr>
                <w:sz w:val="20"/>
                <w:szCs w:val="20"/>
                <w:color w:val="auto"/>
              </w:rPr>
            </w:pPr>
            <w:r>
              <w:rPr>
                <w:rFonts w:ascii="Times New Roman" w:cs="Times New Roman" w:eastAsia="Times New Roman" w:hAnsi="Times New Roman"/>
                <w:sz w:val="10"/>
                <w:szCs w:val="10"/>
                <w:color w:val="0D0D0D"/>
              </w:rPr>
              <w:t>18 January 2021</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Ricky Corker</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Chief Customer Experience Officer</w:t>
            </w:r>
          </w:p>
        </w:tc>
        <w:tc>
          <w:tcPr>
            <w:tcW w:w="2020" w:type="dxa"/>
            <w:vAlign w:val="bottom"/>
          </w:tcPr>
          <w:p>
            <w:pPr>
              <w:ind w:left="1260"/>
              <w:spacing w:after="0"/>
              <w:rPr>
                <w:sz w:val="20"/>
                <w:szCs w:val="20"/>
                <w:color w:val="auto"/>
              </w:rPr>
            </w:pPr>
            <w:r>
              <w:rPr>
                <w:rFonts w:ascii="Times New Roman" w:cs="Times New Roman" w:eastAsia="Times New Roman" w:hAnsi="Times New Roman"/>
                <w:sz w:val="10"/>
                <w:szCs w:val="10"/>
                <w:color w:val="0D0D0D"/>
              </w:rPr>
              <w:t>1 January 2019</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Federico Guillén</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President of Network Infrastructure</w:t>
            </w:r>
          </w:p>
        </w:tc>
        <w:tc>
          <w:tcPr>
            <w:tcW w:w="2020" w:type="dxa"/>
            <w:vAlign w:val="bottom"/>
          </w:tcPr>
          <w:p>
            <w:pPr>
              <w:ind w:left="1260"/>
              <w:spacing w:after="0"/>
              <w:rPr>
                <w:sz w:val="20"/>
                <w:szCs w:val="20"/>
                <w:color w:val="auto"/>
              </w:rPr>
            </w:pPr>
            <w:r>
              <w:rPr>
                <w:rFonts w:ascii="Times New Roman" w:cs="Times New Roman" w:eastAsia="Times New Roman" w:hAnsi="Times New Roman"/>
                <w:sz w:val="10"/>
                <w:szCs w:val="10"/>
                <w:color w:val="0D0D0D"/>
              </w:rPr>
              <w:t>8 January 2016</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Amy Hanlon-Rodemich</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Chief People Officer</w:t>
            </w:r>
          </w:p>
        </w:tc>
        <w:tc>
          <w:tcPr>
            <w:tcW w:w="2020" w:type="dxa"/>
            <w:vAlign w:val="bottom"/>
          </w:tcPr>
          <w:p>
            <w:pPr>
              <w:jc w:val="center"/>
              <w:ind w:left="970"/>
              <w:spacing w:after="0"/>
              <w:rPr>
                <w:sz w:val="20"/>
                <w:szCs w:val="20"/>
                <w:color w:val="auto"/>
              </w:rPr>
            </w:pPr>
            <w:r>
              <w:rPr>
                <w:rFonts w:ascii="Times New Roman" w:cs="Times New Roman" w:eastAsia="Times New Roman" w:hAnsi="Times New Roman"/>
                <w:sz w:val="10"/>
                <w:szCs w:val="10"/>
                <w:color w:val="0D0D0D"/>
              </w:rPr>
              <w:t>24 October 2022</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Jenni Lukander</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President of Nokia Technologies</w:t>
            </w:r>
          </w:p>
        </w:tc>
        <w:tc>
          <w:tcPr>
            <w:tcW w:w="2020" w:type="dxa"/>
            <w:vAlign w:val="bottom"/>
          </w:tcPr>
          <w:p>
            <w:pPr>
              <w:ind w:left="1300"/>
              <w:spacing w:after="0"/>
              <w:rPr>
                <w:sz w:val="20"/>
                <w:szCs w:val="20"/>
                <w:color w:val="auto"/>
              </w:rPr>
            </w:pPr>
            <w:r>
              <w:rPr>
                <w:rFonts w:ascii="Times New Roman" w:cs="Times New Roman" w:eastAsia="Times New Roman" w:hAnsi="Times New Roman"/>
                <w:sz w:val="10"/>
                <w:szCs w:val="10"/>
                <w:color w:val="0D0D0D"/>
              </w:rPr>
              <w:t>1 August 2019</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Esa Niinimäki</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Chief Legal Officer</w:t>
            </w:r>
          </w:p>
        </w:tc>
        <w:tc>
          <w:tcPr>
            <w:tcW w:w="2020" w:type="dxa"/>
            <w:vAlign w:val="bottom"/>
          </w:tcPr>
          <w:p>
            <w:pPr>
              <w:jc w:val="center"/>
              <w:ind w:left="1010"/>
              <w:spacing w:after="0"/>
              <w:rPr>
                <w:sz w:val="20"/>
                <w:szCs w:val="20"/>
                <w:color w:val="auto"/>
              </w:rPr>
            </w:pPr>
            <w:r>
              <w:rPr>
                <w:rFonts w:ascii="Times New Roman" w:cs="Times New Roman" w:eastAsia="Times New Roman" w:hAnsi="Times New Roman"/>
                <w:sz w:val="10"/>
                <w:szCs w:val="10"/>
                <w:color w:val="0D0D0D"/>
              </w:rPr>
              <w:t>25 January 2023</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Raghav Sahgal</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President of Cloud and Network Services</w:t>
            </w:r>
          </w:p>
        </w:tc>
        <w:tc>
          <w:tcPr>
            <w:tcW w:w="2020" w:type="dxa"/>
            <w:vAlign w:val="bottom"/>
          </w:tcPr>
          <w:p>
            <w:pPr>
              <w:ind w:left="1400"/>
              <w:spacing w:after="0"/>
              <w:rPr>
                <w:sz w:val="20"/>
                <w:szCs w:val="20"/>
                <w:color w:val="auto"/>
              </w:rPr>
            </w:pPr>
            <w:r>
              <w:rPr>
                <w:rFonts w:ascii="Times New Roman" w:cs="Times New Roman" w:eastAsia="Times New Roman" w:hAnsi="Times New Roman"/>
                <w:sz w:val="10"/>
                <w:szCs w:val="10"/>
                <w:color w:val="0D0D0D"/>
              </w:rPr>
              <w:t>1 June 2020</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Melissa Schoeb</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Chief Corporate Affairs Officer</w:t>
            </w:r>
          </w:p>
        </w:tc>
        <w:tc>
          <w:tcPr>
            <w:tcW w:w="2020" w:type="dxa"/>
            <w:vAlign w:val="bottom"/>
          </w:tcPr>
          <w:p>
            <w:pPr>
              <w:ind w:left="1360"/>
              <w:spacing w:after="0"/>
              <w:rPr>
                <w:sz w:val="20"/>
                <w:szCs w:val="20"/>
                <w:color w:val="auto"/>
              </w:rPr>
            </w:pPr>
            <w:r>
              <w:rPr>
                <w:rFonts w:ascii="Times New Roman" w:cs="Times New Roman" w:eastAsia="Times New Roman" w:hAnsi="Times New Roman"/>
                <w:sz w:val="10"/>
                <w:szCs w:val="10"/>
                <w:color w:val="0D0D0D"/>
              </w:rPr>
              <w:t>12 April 2021</w:t>
            </w: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Tommi Uitto</w:t>
            </w:r>
          </w:p>
        </w:tc>
        <w:tc>
          <w:tcPr>
            <w:tcW w:w="3200" w:type="dxa"/>
            <w:vAlign w:val="bottom"/>
          </w:tcPr>
          <w:p>
            <w:pPr>
              <w:ind w:left="420"/>
              <w:spacing w:after="0"/>
              <w:rPr>
                <w:sz w:val="20"/>
                <w:szCs w:val="20"/>
                <w:color w:val="auto"/>
              </w:rPr>
            </w:pPr>
            <w:r>
              <w:rPr>
                <w:rFonts w:ascii="Times New Roman" w:cs="Times New Roman" w:eastAsia="Times New Roman" w:hAnsi="Times New Roman"/>
                <w:sz w:val="10"/>
                <w:szCs w:val="10"/>
                <w:color w:val="0D0D0D"/>
              </w:rPr>
              <w:t>President of Mobile Networks</w:t>
            </w:r>
          </w:p>
        </w:tc>
        <w:tc>
          <w:tcPr>
            <w:tcW w:w="2020" w:type="dxa"/>
            <w:vAlign w:val="bottom"/>
          </w:tcPr>
          <w:p>
            <w:pPr>
              <w:jc w:val="center"/>
              <w:ind w:left="1010"/>
              <w:spacing w:after="0"/>
              <w:rPr>
                <w:sz w:val="20"/>
                <w:szCs w:val="20"/>
                <w:color w:val="auto"/>
              </w:rPr>
            </w:pPr>
            <w:r>
              <w:rPr>
                <w:rFonts w:ascii="Times New Roman" w:cs="Times New Roman" w:eastAsia="Times New Roman" w:hAnsi="Times New Roman"/>
                <w:sz w:val="10"/>
                <w:szCs w:val="10"/>
                <w:color w:val="0D0D0D"/>
              </w:rPr>
              <w:t>31 January 2019</w:t>
            </w:r>
          </w:p>
        </w:tc>
      </w:tr>
      <w:tr>
        <w:trPr>
          <w:trHeight w:val="167"/>
        </w:trPr>
        <w:tc>
          <w:tcPr>
            <w:tcW w:w="1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Marco Wirén</w:t>
            </w:r>
          </w:p>
        </w:tc>
        <w:tc>
          <w:tcPr>
            <w:tcW w:w="3200" w:type="dxa"/>
            <w:vAlign w:val="bottom"/>
            <w:tcBorders>
              <w:bottom w:val="single" w:sz="8" w:color="005AFF"/>
            </w:tcBorders>
          </w:tcPr>
          <w:p>
            <w:pPr>
              <w:ind w:left="420"/>
              <w:spacing w:after="0"/>
              <w:rPr>
                <w:sz w:val="20"/>
                <w:szCs w:val="20"/>
                <w:color w:val="auto"/>
              </w:rPr>
            </w:pPr>
            <w:r>
              <w:rPr>
                <w:rFonts w:ascii="Times New Roman" w:cs="Times New Roman" w:eastAsia="Times New Roman" w:hAnsi="Times New Roman"/>
                <w:sz w:val="10"/>
                <w:szCs w:val="10"/>
                <w:color w:val="0D0D0D"/>
              </w:rPr>
              <w:t>Chief Financial Officer</w:t>
            </w:r>
          </w:p>
        </w:tc>
        <w:tc>
          <w:tcPr>
            <w:tcW w:w="2020" w:type="dxa"/>
            <w:vAlign w:val="bottom"/>
            <w:tcBorders>
              <w:bottom w:val="single" w:sz="8" w:color="005AFF"/>
            </w:tcBorders>
          </w:tcPr>
          <w:p>
            <w:pPr>
              <w:ind w:left="1120"/>
              <w:spacing w:after="0"/>
              <w:rPr>
                <w:sz w:val="20"/>
                <w:szCs w:val="20"/>
                <w:color w:val="auto"/>
              </w:rPr>
            </w:pPr>
            <w:r>
              <w:rPr>
                <w:rFonts w:ascii="Times New Roman" w:cs="Times New Roman" w:eastAsia="Times New Roman" w:hAnsi="Times New Roman"/>
                <w:sz w:val="10"/>
                <w:szCs w:val="10"/>
                <w:color w:val="0D0D0D"/>
              </w:rPr>
              <w:t>1 September 2020</w:t>
            </w:r>
          </w:p>
        </w:tc>
      </w:tr>
    </w:tbl>
    <w:p>
      <w:pPr>
        <w:spacing w:after="0" w:line="149"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color w:val="auto"/>
        </w:rPr>
        <w:t>Remuneration of the Group Leadership Team members in 2023</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392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Remuneration of the Group Leadership Team (excluding the President and CEO) in</w:t>
            </w:r>
          </w:p>
        </w:tc>
        <w:tc>
          <w:tcPr>
            <w:tcW w:w="2700" w:type="dxa"/>
            <w:vAlign w:val="bottom"/>
            <w:gridSpan w:val="3"/>
          </w:tcPr>
          <w:p>
            <w:pPr>
              <w:jc w:val="right"/>
              <w:ind w:right="212"/>
              <w:spacing w:after="0"/>
              <w:rPr>
                <w:sz w:val="20"/>
                <w:szCs w:val="20"/>
                <w:color w:val="auto"/>
              </w:rPr>
            </w:pPr>
            <w:r>
              <w:rPr>
                <w:rFonts w:ascii="Times New Roman" w:cs="Times New Roman" w:eastAsia="Times New Roman" w:hAnsi="Times New Roman"/>
                <w:sz w:val="11"/>
                <w:szCs w:val="11"/>
                <w:color w:val="auto"/>
              </w:rPr>
              <w:t>2022 and 2023 , in the aggregate, was as follows:</w:t>
            </w:r>
          </w:p>
        </w:tc>
      </w:tr>
      <w:tr>
        <w:trPr>
          <w:trHeight w:val="209"/>
        </w:trPr>
        <w:tc>
          <w:tcPr>
            <w:tcW w:w="2340" w:type="dxa"/>
            <w:vAlign w:val="bottom"/>
            <w:tcBorders>
              <w:bottom w:val="single" w:sz="8" w:color="005AFF"/>
            </w:tcBorders>
          </w:tcPr>
          <w:p>
            <w:pPr>
              <w:ind w:left="40"/>
              <w:spacing w:after="0" w:line="92" w:lineRule="exact"/>
              <w:rPr>
                <w:sz w:val="20"/>
                <w:szCs w:val="20"/>
                <w:color w:val="auto"/>
              </w:rPr>
            </w:pPr>
            <w:r>
              <w:rPr>
                <w:rFonts w:ascii="Times New Roman" w:cs="Times New Roman" w:eastAsia="Times New Roman" w:hAnsi="Times New Roman"/>
                <w:sz w:val="8"/>
                <w:szCs w:val="8"/>
                <w:b w:val="1"/>
                <w:bCs w:val="1"/>
                <w:color w:val="005AFF"/>
              </w:rPr>
              <w:t>EURm</w:t>
            </w:r>
            <w:r>
              <w:rPr>
                <w:rFonts w:ascii="MS PGothic" w:cs="MS PGothic" w:eastAsia="MS PGothic" w:hAnsi="MS PGothic"/>
                <w:sz w:val="8"/>
                <w:szCs w:val="8"/>
                <w:color w:val="000000"/>
              </w:rPr>
              <w:t>⁽</w:t>
            </w:r>
            <w:r>
              <w:rPr>
                <w:rFonts w:ascii="Times New Roman" w:cs="Times New Roman" w:eastAsia="Times New Roman" w:hAnsi="Times New Roman"/>
                <w:sz w:val="8"/>
                <w:szCs w:val="8"/>
                <w:b w:val="1"/>
                <w:bCs w:val="1"/>
                <w:color w:val="005AFF"/>
              </w:rPr>
              <w:t>¹</w:t>
            </w:r>
            <w:r>
              <w:rPr>
                <w:rFonts w:ascii="MS PGothic" w:cs="MS PGothic" w:eastAsia="MS PGothic" w:hAnsi="MS PGothic"/>
                <w:sz w:val="8"/>
                <w:szCs w:val="8"/>
                <w:color w:val="000000"/>
              </w:rPr>
              <w:t>⁾</w:t>
            </w:r>
          </w:p>
        </w:tc>
        <w:tc>
          <w:tcPr>
            <w:tcW w:w="1580" w:type="dxa"/>
            <w:vAlign w:val="bottom"/>
            <w:tcBorders>
              <w:bottom w:val="single" w:sz="8" w:color="005AFF"/>
            </w:tcBorders>
          </w:tcPr>
          <w:p>
            <w:pPr>
              <w:spacing w:after="0"/>
              <w:rPr>
                <w:sz w:val="18"/>
                <w:szCs w:val="18"/>
                <w:color w:val="auto"/>
              </w:rPr>
            </w:pPr>
          </w:p>
        </w:tc>
        <w:tc>
          <w:tcPr>
            <w:tcW w:w="174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2023</w:t>
            </w:r>
          </w:p>
        </w:tc>
        <w:tc>
          <w:tcPr>
            <w:tcW w:w="9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1"/>
        </w:trPr>
        <w:tc>
          <w:tcPr>
            <w:tcW w:w="2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Salary, short-term incentives and other compensation</w:t>
            </w:r>
          </w:p>
        </w:tc>
        <w:tc>
          <w:tcPr>
            <w:tcW w:w="1580" w:type="dxa"/>
            <w:vAlign w:val="bottom"/>
          </w:tcPr>
          <w:p>
            <w:pPr>
              <w:jc w:val="right"/>
              <w:ind w:right="1347"/>
              <w:spacing w:after="0"/>
              <w:rPr>
                <w:sz w:val="20"/>
                <w:szCs w:val="20"/>
                <w:color w:val="auto"/>
              </w:rPr>
            </w:pPr>
            <w:r>
              <w:rPr>
                <w:rFonts w:ascii="Times New Roman" w:cs="Times New Roman" w:eastAsia="Times New Roman" w:hAnsi="Times New Roman"/>
                <w:sz w:val="7"/>
                <w:szCs w:val="7"/>
                <w:color w:val="0D0D0D"/>
              </w:rPr>
              <w:t>(2)</w:t>
            </w:r>
          </w:p>
        </w:tc>
        <w:tc>
          <w:tcPr>
            <w:tcW w:w="800" w:type="dxa"/>
            <w:vAlign w:val="bottom"/>
          </w:tcPr>
          <w:p>
            <w:pPr>
              <w:spacing w:after="0"/>
              <w:rPr>
                <w:sz w:val="11"/>
                <w:szCs w:val="11"/>
                <w:color w:val="auto"/>
              </w:rPr>
            </w:pPr>
          </w:p>
        </w:tc>
        <w:tc>
          <w:tcPr>
            <w:tcW w:w="94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10.8</w:t>
            </w:r>
          </w:p>
        </w:tc>
        <w:tc>
          <w:tcPr>
            <w:tcW w:w="96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13.6</w:t>
            </w:r>
          </w:p>
        </w:tc>
      </w:tr>
      <w:tr>
        <w:trPr>
          <w:trHeight w:val="172"/>
        </w:trPr>
        <w:tc>
          <w:tcPr>
            <w:tcW w:w="2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Long-term incentives  </w:t>
            </w:r>
            <w:r>
              <w:rPr>
                <w:rFonts w:ascii="Times New Roman" w:cs="Times New Roman" w:eastAsia="Times New Roman" w:hAnsi="Times New Roman"/>
                <w:sz w:val="13"/>
                <w:szCs w:val="13"/>
                <w:color w:val="0D0D0D"/>
                <w:vertAlign w:val="superscript"/>
              </w:rPr>
              <w:t>(3)</w:t>
            </w:r>
          </w:p>
        </w:tc>
        <w:tc>
          <w:tcPr>
            <w:tcW w:w="158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spacing w:after="0"/>
              <w:rPr>
                <w:sz w:val="14"/>
                <w:szCs w:val="14"/>
                <w:color w:val="auto"/>
              </w:rPr>
            </w:pPr>
          </w:p>
        </w:tc>
        <w:tc>
          <w:tcPr>
            <w:tcW w:w="94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2.5</w:t>
            </w:r>
          </w:p>
        </w:tc>
        <w:tc>
          <w:tcPr>
            <w:tcW w:w="9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7.0</w:t>
            </w:r>
          </w:p>
        </w:tc>
      </w:tr>
      <w:tr>
        <w:trPr>
          <w:trHeight w:val="137"/>
        </w:trPr>
        <w:tc>
          <w:tcPr>
            <w:tcW w:w="2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58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tcPr>
          <w:p>
            <w:pPr>
              <w:spacing w:after="0"/>
              <w:rPr>
                <w:sz w:val="11"/>
                <w:szCs w:val="11"/>
                <w:color w:val="auto"/>
              </w:rPr>
            </w:pPr>
          </w:p>
        </w:tc>
        <w:tc>
          <w:tcPr>
            <w:tcW w:w="9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13.3</w:t>
            </w:r>
          </w:p>
        </w:tc>
        <w:tc>
          <w:tcPr>
            <w:tcW w:w="9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20.6</w:t>
            </w:r>
          </w:p>
        </w:tc>
      </w:tr>
    </w:tbl>
    <w:p>
      <w:pPr>
        <w:spacing w:after="0" w:line="11" w:lineRule="exact"/>
        <w:rPr>
          <w:sz w:val="20"/>
          <w:szCs w:val="20"/>
          <w:color w:val="auto"/>
        </w:rPr>
      </w:pPr>
    </w:p>
    <w:p>
      <w:pPr>
        <w:ind w:left="220" w:hanging="183"/>
        <w:spacing w:after="0"/>
        <w:tabs>
          <w:tab w:leader="none" w:pos="220" w:val="left"/>
        </w:tabs>
        <w:numPr>
          <w:ilvl w:val="0"/>
          <w:numId w:val="5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values represent each member’s time on the Group Leadership Team.</w:t>
      </w:r>
    </w:p>
    <w:p>
      <w:pPr>
        <w:spacing w:after="0" w:line="12" w:lineRule="exact"/>
        <w:rPr>
          <w:sz w:val="20"/>
          <w:szCs w:val="20"/>
          <w:color w:val="auto"/>
        </w:rPr>
      </w:pPr>
    </w:p>
    <w:tbl>
      <w:tblPr>
        <w:tblLayout w:type="fixed"/>
        <w:tblInd w:w="40" w:type="dxa"/>
        <w:tblCellMar>
          <w:top w:w="0" w:type="dxa"/>
          <w:left w:w="0" w:type="dxa"/>
          <w:bottom w:w="0" w:type="dxa"/>
          <w:right w:w="0" w:type="dxa"/>
        </w:tblCellMar>
      </w:tblPr>
      <w:tr>
        <w:trPr>
          <w:trHeight w:val="98"/>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(2)</w:t>
            </w:r>
          </w:p>
        </w:tc>
        <w:tc>
          <w:tcPr>
            <w:tcW w:w="2060" w:type="dxa"/>
            <w:vAlign w:val="bottom"/>
          </w:tcPr>
          <w:p>
            <w:pPr>
              <w:ind w:left="40"/>
              <w:spacing w:after="0"/>
              <w:rPr>
                <w:sz w:val="20"/>
                <w:szCs w:val="20"/>
                <w:color w:val="auto"/>
              </w:rPr>
            </w:pPr>
            <w:r>
              <w:rPr>
                <w:rFonts w:ascii="Times New Roman" w:cs="Times New Roman" w:eastAsia="Times New Roman" w:hAnsi="Times New Roman"/>
                <w:sz w:val="8"/>
                <w:szCs w:val="8"/>
                <w:color w:val="auto"/>
              </w:rPr>
              <w:t>Short-term incentives represent amounts earned in respect of</w:t>
            </w:r>
          </w:p>
        </w:tc>
        <w:tc>
          <w:tcPr>
            <w:tcW w:w="3840" w:type="dxa"/>
            <w:vAlign w:val="bottom"/>
          </w:tcPr>
          <w:p>
            <w:pPr>
              <w:ind w:left="280"/>
              <w:spacing w:after="0"/>
              <w:rPr>
                <w:sz w:val="20"/>
                <w:szCs w:val="20"/>
                <w:color w:val="auto"/>
              </w:rPr>
            </w:pPr>
            <w:r>
              <w:rPr>
                <w:rFonts w:ascii="Times New Roman" w:cs="Times New Roman" w:eastAsia="Times New Roman" w:hAnsi="Times New Roman"/>
                <w:sz w:val="8"/>
                <w:szCs w:val="8"/>
                <w:color w:val="auto"/>
              </w:rPr>
              <w:t>2023 performance. Other compensation includes mobility-related payments, local benefits and pension costs.</w:t>
            </w:r>
          </w:p>
        </w:tc>
      </w:tr>
      <w:tr>
        <w:trPr>
          <w:trHeight w:val="104"/>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(3)</w:t>
            </w:r>
          </w:p>
        </w:tc>
        <w:tc>
          <w:tcPr>
            <w:tcW w:w="2060" w:type="dxa"/>
            <w:vAlign w:val="bottom"/>
          </w:tcPr>
          <w:p>
            <w:pPr>
              <w:ind w:left="40"/>
              <w:spacing w:after="0"/>
              <w:rPr>
                <w:sz w:val="20"/>
                <w:szCs w:val="20"/>
                <w:color w:val="auto"/>
              </w:rPr>
            </w:pPr>
            <w:r>
              <w:rPr>
                <w:rFonts w:ascii="Times New Roman" w:cs="Times New Roman" w:eastAsia="Times New Roman" w:hAnsi="Times New Roman"/>
                <w:sz w:val="8"/>
                <w:szCs w:val="8"/>
                <w:color w:val="auto"/>
              </w:rPr>
              <w:t>The amounts represent the equity awards that vested in</w:t>
            </w:r>
          </w:p>
        </w:tc>
        <w:tc>
          <w:tcPr>
            <w:tcW w:w="3840" w:type="dxa"/>
            <w:vAlign w:val="bottom"/>
          </w:tcPr>
          <w:p>
            <w:pPr>
              <w:ind w:left="40"/>
              <w:spacing w:after="0"/>
              <w:rPr>
                <w:sz w:val="20"/>
                <w:szCs w:val="20"/>
                <w:color w:val="auto"/>
              </w:rPr>
            </w:pPr>
            <w:r>
              <w:rPr>
                <w:rFonts w:ascii="Times New Roman" w:cs="Times New Roman" w:eastAsia="Times New Roman" w:hAnsi="Times New Roman"/>
                <w:sz w:val="8"/>
                <w:szCs w:val="8"/>
                <w:color w:val="auto"/>
              </w:rPr>
              <w:t>2023 and 2022 .</w:t>
            </w:r>
          </w:p>
        </w:tc>
      </w:tr>
    </w:tbl>
    <w:p>
      <w:pPr>
        <w:spacing w:after="0" w:line="13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The members of the Group Leadership Team (excluding the President and CEO) were awarded the following equity awards under the</w:t>
      </w:r>
    </w:p>
    <w:p>
      <w:pPr>
        <w:spacing w:after="0" w:line="11"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11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Nokia equity program in</w:t>
            </w:r>
          </w:p>
        </w:tc>
        <w:tc>
          <w:tcPr>
            <w:tcW w:w="700" w:type="dxa"/>
            <w:vAlign w:val="bottom"/>
          </w:tcPr>
          <w:p>
            <w:pPr>
              <w:jc w:val="right"/>
              <w:ind w:right="295"/>
              <w:spacing w:after="0"/>
              <w:rPr>
                <w:sz w:val="20"/>
                <w:szCs w:val="20"/>
                <w:color w:val="auto"/>
              </w:rPr>
            </w:pPr>
            <w:r>
              <w:rPr>
                <w:rFonts w:ascii="Times New Roman" w:cs="Times New Roman" w:eastAsia="Times New Roman" w:hAnsi="Times New Roman"/>
                <w:sz w:val="11"/>
                <w:szCs w:val="11"/>
                <w:color w:val="auto"/>
              </w:rPr>
              <w:t xml:space="preserve">2023 </w:t>
            </w:r>
            <w:r>
              <w:rPr>
                <w:rFonts w:ascii="Times New Roman" w:cs="Times New Roman" w:eastAsia="Times New Roman" w:hAnsi="Times New Roman"/>
                <w:sz w:val="10"/>
                <w:szCs w:val="10"/>
                <w:color w:val="auto"/>
              </w:rPr>
              <w:t>:</w:t>
            </w:r>
          </w:p>
        </w:tc>
        <w:tc>
          <w:tcPr>
            <w:tcW w:w="1180" w:type="dxa"/>
            <w:vAlign w:val="bottom"/>
          </w:tcPr>
          <w:p>
            <w:pPr>
              <w:spacing w:after="0"/>
              <w:rPr>
                <w:sz w:val="12"/>
                <w:szCs w:val="12"/>
                <w:color w:val="auto"/>
              </w:rPr>
            </w:pPr>
          </w:p>
        </w:tc>
        <w:tc>
          <w:tcPr>
            <w:tcW w:w="1240" w:type="dxa"/>
            <w:vAlign w:val="bottom"/>
          </w:tcPr>
          <w:p>
            <w:pPr>
              <w:spacing w:after="0"/>
              <w:rPr>
                <w:sz w:val="12"/>
                <w:szCs w:val="12"/>
                <w:color w:val="auto"/>
              </w:rPr>
            </w:pPr>
          </w:p>
        </w:tc>
        <w:tc>
          <w:tcPr>
            <w:tcW w:w="1260" w:type="dxa"/>
            <w:vAlign w:val="bottom"/>
          </w:tcPr>
          <w:p>
            <w:pPr>
              <w:spacing w:after="0"/>
              <w:rPr>
                <w:sz w:val="12"/>
                <w:szCs w:val="12"/>
                <w:color w:val="auto"/>
              </w:rPr>
            </w:pPr>
          </w:p>
        </w:tc>
        <w:tc>
          <w:tcPr>
            <w:tcW w:w="1060" w:type="dxa"/>
            <w:vAlign w:val="bottom"/>
          </w:tcPr>
          <w:p>
            <w:pPr>
              <w:spacing w:after="0"/>
              <w:rPr>
                <w:sz w:val="12"/>
                <w:szCs w:val="12"/>
                <w:color w:val="auto"/>
              </w:rPr>
            </w:pPr>
          </w:p>
        </w:tc>
      </w:tr>
      <w:tr>
        <w:trPr>
          <w:trHeight w:val="278"/>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Award</w:t>
            </w:r>
          </w:p>
        </w:tc>
        <w:tc>
          <w:tcPr>
            <w:tcW w:w="700" w:type="dxa"/>
            <w:vAlign w:val="bottom"/>
            <w:tcBorders>
              <w:bottom w:val="single" w:sz="8" w:color="005AFF"/>
            </w:tcBorders>
          </w:tcPr>
          <w:p>
            <w:pPr>
              <w:spacing w:after="0"/>
              <w:rPr>
                <w:sz w:val="24"/>
                <w:szCs w:val="24"/>
                <w:color w:val="auto"/>
              </w:rPr>
            </w:pPr>
          </w:p>
        </w:tc>
        <w:tc>
          <w:tcPr>
            <w:tcW w:w="1180" w:type="dxa"/>
            <w:vAlign w:val="bottom"/>
            <w:tcBorders>
              <w:bottom w:val="single" w:sz="8" w:color="005AFF"/>
            </w:tcBorders>
          </w:tcPr>
          <w:p>
            <w:pPr>
              <w:jc w:val="right"/>
              <w:ind w:right="173"/>
              <w:spacing w:after="0"/>
              <w:rPr>
                <w:sz w:val="20"/>
                <w:szCs w:val="20"/>
                <w:color w:val="auto"/>
              </w:rPr>
            </w:pPr>
            <w:r>
              <w:rPr>
                <w:rFonts w:ascii="Times New Roman" w:cs="Times New Roman" w:eastAsia="Times New Roman" w:hAnsi="Times New Roman"/>
                <w:sz w:val="8"/>
                <w:szCs w:val="8"/>
                <w:b w:val="1"/>
                <w:bCs w:val="1"/>
                <w:color w:val="005AFF"/>
              </w:rPr>
              <w:t xml:space="preserve">Units awarded </w:t>
            </w:r>
            <w:r>
              <w:rPr>
                <w:rFonts w:ascii="Times New Roman" w:cs="Times New Roman" w:eastAsia="Times New Roman" w:hAnsi="Times New Roman"/>
                <w:sz w:val="10"/>
                <w:szCs w:val="10"/>
                <w:b w:val="1"/>
                <w:bCs w:val="1"/>
                <w:color w:val="005AFF"/>
                <w:vertAlign w:val="superscript"/>
              </w:rPr>
              <w:t>(1)</w:t>
            </w:r>
          </w:p>
        </w:tc>
        <w:tc>
          <w:tcPr>
            <w:tcW w:w="1240" w:type="dxa"/>
            <w:vAlign w:val="bottom"/>
            <w:tcBorders>
              <w:bottom w:val="single" w:sz="8" w:color="005AFF"/>
            </w:tcBorders>
          </w:tcPr>
          <w:p>
            <w:pPr>
              <w:jc w:val="right"/>
              <w:ind w:right="214"/>
              <w:spacing w:after="0"/>
              <w:rPr>
                <w:sz w:val="20"/>
                <w:szCs w:val="20"/>
                <w:color w:val="auto"/>
              </w:rPr>
            </w:pPr>
            <w:r>
              <w:rPr>
                <w:rFonts w:ascii="Times New Roman" w:cs="Times New Roman" w:eastAsia="Times New Roman" w:hAnsi="Times New Roman"/>
                <w:sz w:val="8"/>
                <w:szCs w:val="8"/>
                <w:b w:val="1"/>
                <w:bCs w:val="1"/>
                <w:color w:val="005AFF"/>
                <w:w w:val="99"/>
              </w:rPr>
              <w:t>Grant date fair value (EUR)</w:t>
            </w:r>
          </w:p>
        </w:tc>
        <w:tc>
          <w:tcPr>
            <w:tcW w:w="1260" w:type="dxa"/>
            <w:vAlign w:val="bottom"/>
            <w:tcBorders>
              <w:bottom w:val="single" w:sz="8" w:color="005AFF"/>
            </w:tcBorders>
          </w:tcPr>
          <w:p>
            <w:pPr>
              <w:ind w:left="720"/>
              <w:spacing w:after="0"/>
              <w:rPr>
                <w:sz w:val="20"/>
                <w:szCs w:val="20"/>
                <w:color w:val="auto"/>
              </w:rPr>
            </w:pPr>
            <w:r>
              <w:rPr>
                <w:rFonts w:ascii="Times New Roman" w:cs="Times New Roman" w:eastAsia="Times New Roman" w:hAnsi="Times New Roman"/>
                <w:sz w:val="8"/>
                <w:szCs w:val="8"/>
                <w:b w:val="1"/>
                <w:bCs w:val="1"/>
                <w:color w:val="005AFF"/>
              </w:rPr>
              <w:t>Grant date</w:t>
            </w:r>
          </w:p>
        </w:tc>
        <w:tc>
          <w:tcPr>
            <w:tcW w:w="1060" w:type="dxa"/>
            <w:vAlign w:val="bottom"/>
            <w:tcBorders>
              <w:bottom w:val="single" w:sz="8" w:color="005AFF"/>
            </w:tcBorders>
          </w:tcPr>
          <w:p>
            <w:pPr>
              <w:ind w:left="740"/>
              <w:spacing w:after="0"/>
              <w:rPr>
                <w:sz w:val="20"/>
                <w:szCs w:val="20"/>
                <w:color w:val="auto"/>
              </w:rPr>
            </w:pPr>
            <w:r>
              <w:rPr>
                <w:rFonts w:ascii="Times New Roman" w:cs="Times New Roman" w:eastAsia="Times New Roman" w:hAnsi="Times New Roman"/>
                <w:sz w:val="8"/>
                <w:szCs w:val="8"/>
                <w:b w:val="1"/>
                <w:bCs w:val="1"/>
                <w:color w:val="005AFF"/>
              </w:rPr>
              <w:t>Vesting</w:t>
            </w:r>
          </w:p>
        </w:tc>
      </w:tr>
      <w:tr>
        <w:trPr>
          <w:trHeight w:val="131"/>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Performance share award</w:t>
            </w:r>
          </w:p>
        </w:tc>
        <w:tc>
          <w:tcPr>
            <w:tcW w:w="700" w:type="dxa"/>
            <w:vAlign w:val="bottom"/>
          </w:tcPr>
          <w:p>
            <w:pPr>
              <w:jc w:val="right"/>
              <w:ind w:right="555"/>
              <w:spacing w:after="0"/>
              <w:rPr>
                <w:sz w:val="20"/>
                <w:szCs w:val="20"/>
                <w:color w:val="auto"/>
              </w:rPr>
            </w:pPr>
            <w:r>
              <w:rPr>
                <w:rFonts w:ascii="Times New Roman" w:cs="Times New Roman" w:eastAsia="Times New Roman" w:hAnsi="Times New Roman"/>
                <w:sz w:val="7"/>
                <w:szCs w:val="7"/>
                <w:color w:val="0D0D0D"/>
                <w:w w:val="97"/>
              </w:rPr>
              <w:t>(2)</w:t>
            </w:r>
          </w:p>
        </w:tc>
        <w:tc>
          <w:tcPr>
            <w:tcW w:w="1180" w:type="dxa"/>
            <w:vAlign w:val="bottom"/>
          </w:tcPr>
          <w:p>
            <w:pPr>
              <w:jc w:val="right"/>
              <w:ind w:right="253"/>
              <w:spacing w:after="0"/>
              <w:rPr>
                <w:sz w:val="20"/>
                <w:szCs w:val="20"/>
                <w:color w:val="auto"/>
              </w:rPr>
            </w:pPr>
            <w:r>
              <w:rPr>
                <w:rFonts w:ascii="Times New Roman" w:cs="Times New Roman" w:eastAsia="Times New Roman" w:hAnsi="Times New Roman"/>
                <w:sz w:val="10"/>
                <w:szCs w:val="10"/>
                <w:color w:val="0D0D0D"/>
              </w:rPr>
              <w:t>1 858 500</w:t>
            </w:r>
          </w:p>
        </w:tc>
        <w:tc>
          <w:tcPr>
            <w:tcW w:w="1240" w:type="dxa"/>
            <w:vAlign w:val="bottom"/>
          </w:tcPr>
          <w:p>
            <w:pPr>
              <w:jc w:val="right"/>
              <w:ind w:right="274"/>
              <w:spacing w:after="0"/>
              <w:rPr>
                <w:sz w:val="20"/>
                <w:szCs w:val="20"/>
                <w:color w:val="auto"/>
              </w:rPr>
            </w:pPr>
            <w:r>
              <w:rPr>
                <w:rFonts w:ascii="Times New Roman" w:cs="Times New Roman" w:eastAsia="Times New Roman" w:hAnsi="Times New Roman"/>
                <w:sz w:val="10"/>
                <w:szCs w:val="10"/>
                <w:color w:val="0D0D0D"/>
              </w:rPr>
              <w:t>7 118 055</w:t>
            </w:r>
          </w:p>
        </w:tc>
        <w:tc>
          <w:tcPr>
            <w:tcW w:w="1260" w:type="dxa"/>
            <w:vAlign w:val="bottom"/>
          </w:tcPr>
          <w:p>
            <w:pPr>
              <w:ind w:left="580"/>
              <w:spacing w:after="0"/>
              <w:rPr>
                <w:sz w:val="20"/>
                <w:szCs w:val="20"/>
                <w:color w:val="auto"/>
              </w:rPr>
            </w:pPr>
            <w:r>
              <w:rPr>
                <w:rFonts w:ascii="Times New Roman" w:cs="Times New Roman" w:eastAsia="Times New Roman" w:hAnsi="Times New Roman"/>
                <w:sz w:val="10"/>
                <w:szCs w:val="10"/>
                <w:color w:val="0D0D0D"/>
              </w:rPr>
              <w:t>6 July 2023</w:t>
            </w:r>
          </w:p>
        </w:tc>
        <w:tc>
          <w:tcPr>
            <w:tcW w:w="1060" w:type="dxa"/>
            <w:vAlign w:val="bottom"/>
          </w:tcPr>
          <w:p>
            <w:pPr>
              <w:ind w:left="620"/>
              <w:spacing w:after="0"/>
              <w:rPr>
                <w:sz w:val="20"/>
                <w:szCs w:val="20"/>
                <w:color w:val="auto"/>
              </w:rPr>
            </w:pPr>
            <w:r>
              <w:rPr>
                <w:rFonts w:ascii="Times New Roman" w:cs="Times New Roman" w:eastAsia="Times New Roman" w:hAnsi="Times New Roman"/>
                <w:sz w:val="10"/>
                <w:szCs w:val="10"/>
                <w:color w:val="0D0D0D"/>
              </w:rPr>
              <w:t>Q3 2026</w:t>
            </w:r>
          </w:p>
        </w:tc>
      </w:tr>
      <w:tr>
        <w:trPr>
          <w:trHeight w:val="172"/>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Restricted share award  </w:t>
            </w:r>
            <w:r>
              <w:rPr>
                <w:rFonts w:ascii="Times New Roman" w:cs="Times New Roman" w:eastAsia="Times New Roman" w:hAnsi="Times New Roman"/>
                <w:sz w:val="13"/>
                <w:szCs w:val="13"/>
                <w:color w:val="0D0D0D"/>
                <w:vertAlign w:val="superscript"/>
              </w:rPr>
              <w:t>(3)</w:t>
            </w:r>
          </w:p>
        </w:tc>
        <w:tc>
          <w:tcPr>
            <w:tcW w:w="700" w:type="dxa"/>
            <w:vAlign w:val="bottom"/>
            <w:tcBorders>
              <w:bottom w:val="single" w:sz="8" w:color="005AFF"/>
            </w:tcBorders>
          </w:tcPr>
          <w:p>
            <w:pPr>
              <w:spacing w:after="0"/>
              <w:rPr>
                <w:sz w:val="14"/>
                <w:szCs w:val="14"/>
                <w:color w:val="auto"/>
              </w:rPr>
            </w:pPr>
          </w:p>
        </w:tc>
        <w:tc>
          <w:tcPr>
            <w:tcW w:w="1180" w:type="dxa"/>
            <w:vAlign w:val="bottom"/>
            <w:tcBorders>
              <w:bottom w:val="single" w:sz="8" w:color="005AFF"/>
            </w:tcBorders>
          </w:tcPr>
          <w:p>
            <w:pPr>
              <w:jc w:val="right"/>
              <w:ind w:right="253"/>
              <w:spacing w:after="0"/>
              <w:rPr>
                <w:sz w:val="20"/>
                <w:szCs w:val="20"/>
                <w:color w:val="auto"/>
              </w:rPr>
            </w:pPr>
            <w:r>
              <w:rPr>
                <w:rFonts w:ascii="Times New Roman" w:cs="Times New Roman" w:eastAsia="Times New Roman" w:hAnsi="Times New Roman"/>
                <w:sz w:val="10"/>
                <w:szCs w:val="10"/>
                <w:color w:val="0D0D0D"/>
              </w:rPr>
              <w:t>1 454 000</w:t>
            </w:r>
          </w:p>
        </w:tc>
        <w:tc>
          <w:tcPr>
            <w:tcW w:w="1240" w:type="dxa"/>
            <w:vAlign w:val="bottom"/>
            <w:tcBorders>
              <w:bottom w:val="single" w:sz="8" w:color="005AFF"/>
            </w:tcBorders>
          </w:tcPr>
          <w:p>
            <w:pPr>
              <w:jc w:val="right"/>
              <w:ind w:right="274"/>
              <w:spacing w:after="0"/>
              <w:rPr>
                <w:sz w:val="20"/>
                <w:szCs w:val="20"/>
                <w:color w:val="auto"/>
              </w:rPr>
            </w:pPr>
            <w:r>
              <w:rPr>
                <w:rFonts w:ascii="Times New Roman" w:cs="Times New Roman" w:eastAsia="Times New Roman" w:hAnsi="Times New Roman"/>
                <w:sz w:val="10"/>
                <w:szCs w:val="10"/>
                <w:color w:val="0D0D0D"/>
              </w:rPr>
              <w:t>4 376 540</w:t>
            </w:r>
          </w:p>
        </w:tc>
        <w:tc>
          <w:tcPr>
            <w:tcW w:w="1260" w:type="dxa"/>
            <w:vAlign w:val="bottom"/>
            <w:tcBorders>
              <w:bottom w:val="single" w:sz="8" w:color="005AFF"/>
            </w:tcBorders>
          </w:tcPr>
          <w:p>
            <w:pPr>
              <w:ind w:left="240"/>
              <w:spacing w:after="0"/>
              <w:rPr>
                <w:sz w:val="20"/>
                <w:szCs w:val="20"/>
                <w:color w:val="auto"/>
              </w:rPr>
            </w:pPr>
            <w:r>
              <w:rPr>
                <w:rFonts w:ascii="Times New Roman" w:cs="Times New Roman" w:eastAsia="Times New Roman" w:hAnsi="Times New Roman"/>
                <w:sz w:val="10"/>
                <w:szCs w:val="10"/>
                <w:color w:val="0D0D0D"/>
              </w:rPr>
              <w:t>15 December 2023</w:t>
            </w:r>
          </w:p>
        </w:tc>
        <w:tc>
          <w:tcPr>
            <w:tcW w:w="106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10"/>
                <w:szCs w:val="10"/>
                <w:color w:val="0D0D0D"/>
              </w:rPr>
              <w:t>Q4 2024, Q4 2025</w:t>
            </w:r>
          </w:p>
        </w:tc>
      </w:tr>
      <w:tr>
        <w:trPr>
          <w:trHeight w:val="110"/>
        </w:trPr>
        <w:tc>
          <w:tcPr>
            <w:tcW w:w="3040" w:type="dxa"/>
            <w:vAlign w:val="bottom"/>
            <w:gridSpan w:val="3"/>
          </w:tcPr>
          <w:p>
            <w:pPr>
              <w:ind w:left="40"/>
              <w:spacing w:after="0"/>
              <w:rPr>
                <w:sz w:val="20"/>
                <w:szCs w:val="20"/>
                <w:color w:val="auto"/>
              </w:rPr>
            </w:pPr>
            <w:r>
              <w:rPr>
                <w:rFonts w:ascii="Times New Roman" w:cs="Times New Roman" w:eastAsia="Times New Roman" w:hAnsi="Times New Roman"/>
                <w:sz w:val="8"/>
                <w:szCs w:val="8"/>
                <w:color w:val="auto"/>
              </w:rPr>
              <w:t>(1)   Includes units awarded to persons who were Group Leadership Team members during</w:t>
            </w:r>
          </w:p>
        </w:tc>
        <w:tc>
          <w:tcPr>
            <w:tcW w:w="1240" w:type="dxa"/>
            <w:vAlign w:val="bottom"/>
          </w:tcPr>
          <w:p>
            <w:pPr>
              <w:jc w:val="right"/>
              <w:ind w:right="674"/>
              <w:spacing w:after="0"/>
              <w:rPr>
                <w:sz w:val="20"/>
                <w:szCs w:val="20"/>
                <w:color w:val="auto"/>
              </w:rPr>
            </w:pPr>
            <w:r>
              <w:rPr>
                <w:rFonts w:ascii="Times New Roman" w:cs="Times New Roman" w:eastAsia="Times New Roman" w:hAnsi="Times New Roman"/>
                <w:sz w:val="8"/>
                <w:szCs w:val="8"/>
                <w:color w:val="auto"/>
              </w:rPr>
              <w:t>2023 .</w:t>
            </w:r>
          </w:p>
        </w:tc>
        <w:tc>
          <w:tcPr>
            <w:tcW w:w="1260" w:type="dxa"/>
            <w:vAlign w:val="bottom"/>
          </w:tcPr>
          <w:p>
            <w:pPr>
              <w:spacing w:after="0"/>
              <w:rPr>
                <w:sz w:val="9"/>
                <w:szCs w:val="9"/>
                <w:color w:val="auto"/>
              </w:rPr>
            </w:pPr>
          </w:p>
        </w:tc>
        <w:tc>
          <w:tcPr>
            <w:tcW w:w="1060" w:type="dxa"/>
            <w:vAlign w:val="bottom"/>
          </w:tcPr>
          <w:p>
            <w:pPr>
              <w:spacing w:after="0"/>
              <w:rPr>
                <w:sz w:val="9"/>
                <w:szCs w:val="9"/>
                <w:color w:val="auto"/>
              </w:rPr>
            </w:pPr>
          </w:p>
        </w:tc>
      </w:tr>
    </w:tbl>
    <w:p>
      <w:pPr>
        <w:ind w:left="220" w:right="1100" w:hanging="183"/>
        <w:spacing w:after="0" w:line="257" w:lineRule="auto"/>
        <w:tabs>
          <w:tab w:leader="none" w:pos="220" w:val="left"/>
        </w:tabs>
        <w:numPr>
          <w:ilvl w:val="0"/>
          <w:numId w:val="5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2023 performance shares have a three-year performance period based on absolute total shareholder return. The maximum payout is 200% subject to maximum performance against the performance criteria. Vesting is subject to continued employment.</w:t>
      </w:r>
    </w:p>
    <w:p>
      <w:pPr>
        <w:ind w:left="220" w:hanging="183"/>
        <w:spacing w:after="0"/>
        <w:tabs>
          <w:tab w:leader="none" w:pos="220" w:val="left"/>
        </w:tabs>
        <w:numPr>
          <w:ilvl w:val="0"/>
          <w:numId w:val="5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Vesting of each tranche of the restricted share awards is conditional on continued employment.</w:t>
      </w:r>
    </w:p>
    <w:p>
      <w:pPr>
        <w:sectPr>
          <w:pgSz w:w="11900" w:h="16838" w:orient="portrait"/>
          <w:cols w:equalWidth="0" w:num="2">
            <w:col w:w="2860" w:space="540"/>
            <w:col w:w="6660"/>
          </w:cols>
          <w:pgMar w:left="960" w:top="409" w:right="879" w:bottom="1440" w:gutter="0" w:footer="0" w:header="0"/>
        </w:sectPr>
      </w:pPr>
    </w:p>
    <w:bookmarkStart w:id="77" w:name="page78"/>
    <w:bookmarkEnd w:id="77"/>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4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20" w:type="dxa"/>
            <w:vAlign w:val="bottom"/>
          </w:tcPr>
          <w:p>
            <w:pPr>
              <w:spacing w:after="0"/>
              <w:rPr>
                <w:sz w:val="9"/>
                <w:szCs w:val="9"/>
                <w:color w:val="auto"/>
              </w:rPr>
            </w:pPr>
          </w:p>
        </w:tc>
        <w:tc>
          <w:tcPr>
            <w:tcW w:w="1960" w:type="dxa"/>
            <w:vAlign w:val="bottom"/>
            <w:gridSpan w:val="2"/>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520" w:type="dxa"/>
            <w:vAlign w:val="bottom"/>
            <w:gridSpan w:val="2"/>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60" w:type="dxa"/>
            <w:vAlign w:val="bottom"/>
          </w:tcPr>
          <w:p>
            <w:pPr>
              <w:spacing w:after="0"/>
              <w:rPr>
                <w:sz w:val="9"/>
                <w:szCs w:val="9"/>
                <w:color w:val="auto"/>
              </w:rPr>
            </w:pPr>
          </w:p>
        </w:tc>
        <w:tc>
          <w:tcPr>
            <w:tcW w:w="520" w:type="dxa"/>
            <w:vAlign w:val="bottom"/>
          </w:tcPr>
          <w:p>
            <w:pPr>
              <w:spacing w:after="0"/>
              <w:rPr>
                <w:sz w:val="20"/>
                <w:szCs w:val="20"/>
                <w:color w:val="auto"/>
              </w:rPr>
            </w:pPr>
            <w:r>
              <w:rPr>
                <w:rFonts w:ascii="Times New Roman" w:cs="Times New Roman" w:eastAsia="Times New Roman" w:hAnsi="Times New Roman"/>
                <w:sz w:val="9"/>
                <w:szCs w:val="9"/>
                <w:color w:val="auto"/>
              </w:rPr>
              <w:t>Financial</w:t>
            </w:r>
          </w:p>
        </w:tc>
        <w:tc>
          <w:tcPr>
            <w:tcW w:w="72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7"/>
              </w:rPr>
              <w:t>Other</w:t>
            </w:r>
          </w:p>
        </w:tc>
        <w:tc>
          <w:tcPr>
            <w:tcW w:w="280" w:type="dxa"/>
            <w:vAlign w:val="bottom"/>
          </w:tcPr>
          <w:p>
            <w:pPr>
              <w:spacing w:after="0"/>
              <w:rPr>
                <w:sz w:val="9"/>
                <w:szCs w:val="9"/>
                <w:color w:val="auto"/>
              </w:rPr>
            </w:pPr>
          </w:p>
        </w:tc>
        <w:tc>
          <w:tcPr>
            <w:tcW w:w="3980" w:type="dxa"/>
            <w:vAlign w:val="bottom"/>
            <w:gridSpan w:val="2"/>
            <w:vMerge w:val="restart"/>
          </w:tcPr>
          <w:p>
            <w:pPr>
              <w:jc w:val="right"/>
              <w:spacing w:after="0"/>
              <w:rPr>
                <w:sz w:val="20"/>
                <w:szCs w:val="20"/>
                <w:color w:val="auto"/>
              </w:rPr>
            </w:pPr>
            <w:r>
              <w:rPr>
                <w:rFonts w:ascii="Times New Roman" w:cs="Times New Roman" w:eastAsia="Times New Roman" w:hAnsi="Times New Roman"/>
                <w:sz w:val="12"/>
                <w:szCs w:val="12"/>
                <w:color w:val="auto"/>
              </w:rPr>
              <w:t>70</w:t>
            </w:r>
          </w:p>
        </w:tc>
        <w:tc>
          <w:tcPr>
            <w:tcW w:w="0" w:type="dxa"/>
            <w:vAlign w:val="bottom"/>
          </w:tcPr>
          <w:p>
            <w:pPr>
              <w:spacing w:after="0"/>
              <w:rPr>
                <w:sz w:val="1"/>
                <w:szCs w:val="1"/>
                <w:color w:val="auto"/>
              </w:rPr>
            </w:pPr>
          </w:p>
        </w:tc>
      </w:tr>
      <w:tr>
        <w:trPr>
          <w:trHeight w:val="130"/>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960" w:type="dxa"/>
            <w:vAlign w:val="bottom"/>
            <w:gridSpan w:val="2"/>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4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6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520" w:type="dxa"/>
            <w:vAlign w:val="bottom"/>
          </w:tcPr>
          <w:p>
            <w:pPr>
              <w:spacing w:after="0"/>
              <w:rPr>
                <w:sz w:val="20"/>
                <w:szCs w:val="20"/>
                <w:color w:val="auto"/>
              </w:rPr>
            </w:pPr>
            <w:r>
              <w:rPr>
                <w:rFonts w:ascii="Times New Roman" w:cs="Times New Roman" w:eastAsia="Times New Roman" w:hAnsi="Times New Roman"/>
                <w:sz w:val="9"/>
                <w:szCs w:val="9"/>
                <w:color w:val="auto"/>
              </w:rPr>
              <w:t>statements</w:t>
            </w:r>
          </w:p>
        </w:tc>
        <w:tc>
          <w:tcPr>
            <w:tcW w:w="1000" w:type="dxa"/>
            <w:vAlign w:val="bottom"/>
            <w:gridSpan w:val="2"/>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398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900" w:type="dxa"/>
            <w:vAlign w:val="bottom"/>
          </w:tcPr>
          <w:p>
            <w:pPr>
              <w:spacing w:after="0"/>
              <w:rPr>
                <w:sz w:val="3"/>
                <w:szCs w:val="3"/>
                <w:color w:val="auto"/>
              </w:rPr>
            </w:pPr>
          </w:p>
        </w:tc>
        <w:tc>
          <w:tcPr>
            <w:tcW w:w="540" w:type="dxa"/>
            <w:vAlign w:val="bottom"/>
            <w:tcBorders>
              <w:bottom w:val="single" w:sz="8" w:color="005AFF"/>
            </w:tcBorders>
            <w:gridSpan w:val="2"/>
          </w:tcPr>
          <w:p>
            <w:pPr>
              <w:spacing w:after="0"/>
              <w:rPr>
                <w:sz w:val="3"/>
                <w:szCs w:val="3"/>
                <w:color w:val="auto"/>
              </w:rPr>
            </w:pPr>
          </w:p>
        </w:tc>
        <w:tc>
          <w:tcPr>
            <w:tcW w:w="1160" w:type="dxa"/>
            <w:vAlign w:val="bottom"/>
          </w:tcPr>
          <w:p>
            <w:pPr>
              <w:spacing w:after="0"/>
              <w:rPr>
                <w:sz w:val="3"/>
                <w:szCs w:val="3"/>
                <w:color w:val="auto"/>
              </w:rPr>
            </w:pPr>
          </w:p>
        </w:tc>
        <w:tc>
          <w:tcPr>
            <w:tcW w:w="800" w:type="dxa"/>
            <w:vAlign w:val="bottom"/>
          </w:tcPr>
          <w:p>
            <w:pPr>
              <w:spacing w:after="0"/>
              <w:rPr>
                <w:sz w:val="3"/>
                <w:szCs w:val="3"/>
                <w:color w:val="auto"/>
              </w:rPr>
            </w:pPr>
          </w:p>
        </w:tc>
        <w:tc>
          <w:tcPr>
            <w:tcW w:w="460" w:type="dxa"/>
            <w:vAlign w:val="bottom"/>
          </w:tcPr>
          <w:p>
            <w:pPr>
              <w:spacing w:after="0"/>
              <w:rPr>
                <w:sz w:val="3"/>
                <w:szCs w:val="3"/>
                <w:color w:val="auto"/>
              </w:rPr>
            </w:pPr>
          </w:p>
        </w:tc>
        <w:tc>
          <w:tcPr>
            <w:tcW w:w="60" w:type="dxa"/>
            <w:vAlign w:val="bottom"/>
          </w:tcPr>
          <w:p>
            <w:pPr>
              <w:spacing w:after="0"/>
              <w:rPr>
                <w:sz w:val="3"/>
                <w:szCs w:val="3"/>
                <w:color w:val="auto"/>
              </w:rPr>
            </w:pPr>
          </w:p>
        </w:tc>
        <w:tc>
          <w:tcPr>
            <w:tcW w:w="560" w:type="dxa"/>
            <w:vAlign w:val="bottom"/>
          </w:tcPr>
          <w:p>
            <w:pPr>
              <w:spacing w:after="0"/>
              <w:rPr>
                <w:sz w:val="3"/>
                <w:szCs w:val="3"/>
                <w:color w:val="auto"/>
              </w:rPr>
            </w:pPr>
          </w:p>
        </w:tc>
        <w:tc>
          <w:tcPr>
            <w:tcW w:w="520" w:type="dxa"/>
            <w:vAlign w:val="bottom"/>
          </w:tcPr>
          <w:p>
            <w:pPr>
              <w:spacing w:after="0"/>
              <w:rPr>
                <w:sz w:val="3"/>
                <w:szCs w:val="3"/>
                <w:color w:val="auto"/>
              </w:rPr>
            </w:pPr>
          </w:p>
        </w:tc>
        <w:tc>
          <w:tcPr>
            <w:tcW w:w="720" w:type="dxa"/>
            <w:vAlign w:val="bottom"/>
          </w:tcPr>
          <w:p>
            <w:pPr>
              <w:spacing w:after="0"/>
              <w:rPr>
                <w:sz w:val="3"/>
                <w:szCs w:val="3"/>
                <w:color w:val="auto"/>
              </w:rPr>
            </w:pPr>
          </w:p>
        </w:tc>
        <w:tc>
          <w:tcPr>
            <w:tcW w:w="280" w:type="dxa"/>
            <w:vAlign w:val="bottom"/>
          </w:tcPr>
          <w:p>
            <w:pPr>
              <w:spacing w:after="0"/>
              <w:rPr>
                <w:sz w:val="3"/>
                <w:szCs w:val="3"/>
                <w:color w:val="auto"/>
              </w:rPr>
            </w:pPr>
          </w:p>
        </w:tc>
        <w:tc>
          <w:tcPr>
            <w:tcW w:w="720" w:type="dxa"/>
            <w:vAlign w:val="bottom"/>
          </w:tcPr>
          <w:p>
            <w:pPr>
              <w:spacing w:after="0"/>
              <w:rPr>
                <w:sz w:val="3"/>
                <w:szCs w:val="3"/>
                <w:color w:val="auto"/>
              </w:rPr>
            </w:pPr>
          </w:p>
        </w:tc>
        <w:tc>
          <w:tcPr>
            <w:tcW w:w="326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440" w:type="dxa"/>
            <w:vAlign w:val="bottom"/>
            <w:gridSpan w:val="3"/>
          </w:tcPr>
          <w:p>
            <w:pPr>
              <w:spacing w:after="0"/>
              <w:rPr>
                <w:sz w:val="20"/>
                <w:szCs w:val="20"/>
                <w:color w:val="auto"/>
              </w:rPr>
            </w:pPr>
            <w:r>
              <w:rPr>
                <w:rFonts w:ascii="Times New Roman" w:cs="Times New Roman" w:eastAsia="Times New Roman" w:hAnsi="Times New Roman"/>
                <w:sz w:val="13"/>
                <w:szCs w:val="13"/>
                <w:color w:val="005AFF"/>
              </w:rPr>
              <w:t>Remuneration continued</w:t>
            </w:r>
          </w:p>
        </w:tc>
        <w:tc>
          <w:tcPr>
            <w:tcW w:w="116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28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32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5720" w:type="dxa"/>
            <w:vAlign w:val="bottom"/>
            <w:gridSpan w:val="10"/>
          </w:tcPr>
          <w:p>
            <w:pPr>
              <w:spacing w:after="0"/>
              <w:rPr>
                <w:sz w:val="20"/>
                <w:szCs w:val="20"/>
                <w:color w:val="auto"/>
              </w:rPr>
            </w:pPr>
            <w:r>
              <w:rPr>
                <w:rFonts w:ascii="Times New Roman" w:cs="Times New Roman" w:eastAsia="Times New Roman" w:hAnsi="Times New Roman"/>
                <w:sz w:val="13"/>
                <w:szCs w:val="13"/>
                <w:color w:val="auto"/>
              </w:rPr>
              <w:t>Unvested equity awards held by the Group Leadership Team, including the President and CEO</w:t>
            </w:r>
          </w:p>
        </w:tc>
        <w:tc>
          <w:tcPr>
            <w:tcW w:w="28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32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9"/>
        </w:trPr>
        <w:tc>
          <w:tcPr>
            <w:tcW w:w="6000" w:type="dxa"/>
            <w:vAlign w:val="bottom"/>
            <w:gridSpan w:val="11"/>
          </w:tcPr>
          <w:p>
            <w:pPr>
              <w:spacing w:after="0"/>
              <w:rPr>
                <w:sz w:val="20"/>
                <w:szCs w:val="20"/>
                <w:color w:val="auto"/>
              </w:rPr>
            </w:pPr>
            <w:r>
              <w:rPr>
                <w:rFonts w:ascii="Times New Roman" w:cs="Times New Roman" w:eastAsia="Times New Roman" w:hAnsi="Times New Roman"/>
                <w:sz w:val="11"/>
                <w:szCs w:val="11"/>
                <w:color w:val="auto"/>
              </w:rPr>
              <w:t>The following table sets forth the potential aggregate ownership interest through the holding of equity-based long-term incentives</w:t>
            </w:r>
          </w:p>
        </w:tc>
        <w:tc>
          <w:tcPr>
            <w:tcW w:w="720" w:type="dxa"/>
            <w:vAlign w:val="bottom"/>
          </w:tcPr>
          <w:p>
            <w:pPr>
              <w:spacing w:after="0"/>
              <w:rPr>
                <w:sz w:val="12"/>
                <w:szCs w:val="12"/>
                <w:color w:val="auto"/>
              </w:rPr>
            </w:pPr>
          </w:p>
        </w:tc>
        <w:tc>
          <w:tcPr>
            <w:tcW w:w="32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386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of the Group Leadership Team in office, including the President and CEO, at</w:t>
            </w:r>
          </w:p>
        </w:tc>
        <w:tc>
          <w:tcPr>
            <w:tcW w:w="1140" w:type="dxa"/>
            <w:vAlign w:val="bottom"/>
            <w:gridSpan w:val="3"/>
          </w:tcPr>
          <w:p>
            <w:pPr>
              <w:jc w:val="right"/>
              <w:ind w:right="56"/>
              <w:spacing w:after="0"/>
              <w:rPr>
                <w:sz w:val="20"/>
                <w:szCs w:val="20"/>
                <w:color w:val="auto"/>
              </w:rPr>
            </w:pPr>
            <w:r>
              <w:rPr>
                <w:rFonts w:ascii="Times New Roman" w:cs="Times New Roman" w:eastAsia="Times New Roman" w:hAnsi="Times New Roman"/>
                <w:sz w:val="11"/>
                <w:szCs w:val="11"/>
                <w:color w:val="auto"/>
              </w:rPr>
              <w:t>31 December 2023  :</w:t>
            </w:r>
          </w:p>
        </w:tc>
        <w:tc>
          <w:tcPr>
            <w:tcW w:w="72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720" w:type="dxa"/>
            <w:vAlign w:val="bottom"/>
          </w:tcPr>
          <w:p>
            <w:pPr>
              <w:spacing w:after="0"/>
              <w:rPr>
                <w:sz w:val="12"/>
                <w:szCs w:val="12"/>
                <w:color w:val="auto"/>
              </w:rPr>
            </w:pPr>
          </w:p>
        </w:tc>
        <w:tc>
          <w:tcPr>
            <w:tcW w:w="326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08"/>
        </w:trPr>
        <w:tc>
          <w:tcPr>
            <w:tcW w:w="900" w:type="dxa"/>
            <w:vAlign w:val="bottom"/>
          </w:tcPr>
          <w:p>
            <w:pPr>
              <w:spacing w:after="0"/>
              <w:rPr>
                <w:sz w:val="18"/>
                <w:szCs w:val="18"/>
                <w:color w:val="auto"/>
              </w:rPr>
            </w:pPr>
          </w:p>
        </w:tc>
        <w:tc>
          <w:tcPr>
            <w:tcW w:w="420" w:type="dxa"/>
            <w:vAlign w:val="bottom"/>
          </w:tcPr>
          <w:p>
            <w:pPr>
              <w:spacing w:after="0"/>
              <w:rPr>
                <w:sz w:val="18"/>
                <w:szCs w:val="18"/>
                <w:color w:val="auto"/>
              </w:rPr>
            </w:pPr>
          </w:p>
        </w:tc>
        <w:tc>
          <w:tcPr>
            <w:tcW w:w="120" w:type="dxa"/>
            <w:vAlign w:val="bottom"/>
          </w:tcPr>
          <w:p>
            <w:pPr>
              <w:spacing w:after="0"/>
              <w:rPr>
                <w:sz w:val="18"/>
                <w:szCs w:val="18"/>
                <w:color w:val="auto"/>
              </w:rPr>
            </w:pPr>
          </w:p>
        </w:tc>
        <w:tc>
          <w:tcPr>
            <w:tcW w:w="1160" w:type="dxa"/>
            <w:vAlign w:val="bottom"/>
          </w:tcPr>
          <w:p>
            <w:pPr>
              <w:spacing w:after="0"/>
              <w:rPr>
                <w:sz w:val="18"/>
                <w:szCs w:val="18"/>
                <w:color w:val="auto"/>
              </w:rPr>
            </w:pPr>
          </w:p>
        </w:tc>
        <w:tc>
          <w:tcPr>
            <w:tcW w:w="800" w:type="dxa"/>
            <w:vAlign w:val="bottom"/>
          </w:tcPr>
          <w:p>
            <w:pPr>
              <w:spacing w:after="0"/>
              <w:rPr>
                <w:sz w:val="18"/>
                <w:szCs w:val="18"/>
                <w:color w:val="auto"/>
              </w:rPr>
            </w:pPr>
          </w:p>
        </w:tc>
        <w:tc>
          <w:tcPr>
            <w:tcW w:w="1080" w:type="dxa"/>
            <w:vAlign w:val="bottom"/>
            <w:gridSpan w:val="3"/>
          </w:tcPr>
          <w:p>
            <w:pPr>
              <w:jc w:val="right"/>
              <w:spacing w:after="0"/>
              <w:rPr>
                <w:sz w:val="20"/>
                <w:szCs w:val="20"/>
                <w:color w:val="auto"/>
              </w:rPr>
            </w:pPr>
            <w:r>
              <w:rPr>
                <w:rFonts w:ascii="Times New Roman" w:cs="Times New Roman" w:eastAsia="Times New Roman" w:hAnsi="Times New Roman"/>
                <w:sz w:val="8"/>
                <w:szCs w:val="8"/>
                <w:b w:val="1"/>
                <w:bCs w:val="1"/>
                <w:color w:val="005AFF"/>
              </w:rPr>
              <w:t>Shares receivable through</w:t>
            </w:r>
          </w:p>
        </w:tc>
        <w:tc>
          <w:tcPr>
            <w:tcW w:w="1240" w:type="dxa"/>
            <w:vAlign w:val="bottom"/>
            <w:gridSpan w:val="2"/>
          </w:tcPr>
          <w:p>
            <w:pPr>
              <w:jc w:val="right"/>
              <w:ind w:right="173"/>
              <w:spacing w:after="0"/>
              <w:rPr>
                <w:sz w:val="20"/>
                <w:szCs w:val="20"/>
                <w:color w:val="auto"/>
              </w:rPr>
            </w:pPr>
            <w:r>
              <w:rPr>
                <w:rFonts w:ascii="Times New Roman" w:cs="Times New Roman" w:eastAsia="Times New Roman" w:hAnsi="Times New Roman"/>
                <w:sz w:val="8"/>
                <w:szCs w:val="8"/>
                <w:b w:val="1"/>
                <w:bCs w:val="1"/>
                <w:color w:val="005AFF"/>
              </w:rPr>
              <w:t>Shares receivable through</w:t>
            </w:r>
          </w:p>
        </w:tc>
        <w:tc>
          <w:tcPr>
            <w:tcW w:w="280" w:type="dxa"/>
            <w:vAlign w:val="bottom"/>
          </w:tcPr>
          <w:p>
            <w:pPr>
              <w:spacing w:after="0"/>
              <w:rPr>
                <w:sz w:val="18"/>
                <w:szCs w:val="18"/>
                <w:color w:val="auto"/>
              </w:rPr>
            </w:pPr>
          </w:p>
        </w:tc>
        <w:tc>
          <w:tcPr>
            <w:tcW w:w="720" w:type="dxa"/>
            <w:vAlign w:val="bottom"/>
          </w:tcPr>
          <w:p>
            <w:pPr>
              <w:spacing w:after="0"/>
              <w:rPr>
                <w:sz w:val="18"/>
                <w:szCs w:val="18"/>
                <w:color w:val="auto"/>
              </w:rPr>
            </w:pPr>
          </w:p>
        </w:tc>
        <w:tc>
          <w:tcPr>
            <w:tcW w:w="3260" w:type="dxa"/>
            <w:vAlign w:val="bottom"/>
          </w:tcPr>
          <w:p>
            <w:pPr>
              <w:spacing w:after="0"/>
              <w:rPr>
                <w:sz w:val="18"/>
                <w:szCs w:val="18"/>
                <w:color w:val="auto"/>
              </w:rPr>
            </w:pPr>
          </w:p>
        </w:tc>
        <w:tc>
          <w:tcPr>
            <w:tcW w:w="0" w:type="dxa"/>
            <w:vAlign w:val="bottom"/>
          </w:tcPr>
          <w:p>
            <w:pPr>
              <w:spacing w:after="0"/>
              <w:rPr>
                <w:sz w:val="1"/>
                <w:szCs w:val="1"/>
                <w:color w:val="auto"/>
              </w:rPr>
            </w:pPr>
          </w:p>
        </w:tc>
      </w:tr>
      <w:tr>
        <w:trPr>
          <w:trHeight w:val="100"/>
        </w:trPr>
        <w:tc>
          <w:tcPr>
            <w:tcW w:w="900" w:type="dxa"/>
            <w:vAlign w:val="bottom"/>
          </w:tcPr>
          <w:p>
            <w:pPr>
              <w:spacing w:after="0"/>
              <w:rPr>
                <w:sz w:val="8"/>
                <w:szCs w:val="8"/>
                <w:color w:val="auto"/>
              </w:rPr>
            </w:pPr>
          </w:p>
        </w:tc>
        <w:tc>
          <w:tcPr>
            <w:tcW w:w="420" w:type="dxa"/>
            <w:vAlign w:val="bottom"/>
          </w:tcPr>
          <w:p>
            <w:pPr>
              <w:spacing w:after="0"/>
              <w:rPr>
                <w:sz w:val="8"/>
                <w:szCs w:val="8"/>
                <w:color w:val="auto"/>
              </w:rPr>
            </w:pPr>
          </w:p>
        </w:tc>
        <w:tc>
          <w:tcPr>
            <w:tcW w:w="120" w:type="dxa"/>
            <w:vAlign w:val="bottom"/>
          </w:tcPr>
          <w:p>
            <w:pPr>
              <w:spacing w:after="0"/>
              <w:rPr>
                <w:sz w:val="8"/>
                <w:szCs w:val="8"/>
                <w:color w:val="auto"/>
              </w:rPr>
            </w:pPr>
          </w:p>
        </w:tc>
        <w:tc>
          <w:tcPr>
            <w:tcW w:w="1160" w:type="dxa"/>
            <w:vAlign w:val="bottom"/>
          </w:tcPr>
          <w:p>
            <w:pPr>
              <w:spacing w:after="0"/>
              <w:rPr>
                <w:sz w:val="8"/>
                <w:szCs w:val="8"/>
                <w:color w:val="auto"/>
              </w:rPr>
            </w:pPr>
          </w:p>
        </w:tc>
        <w:tc>
          <w:tcPr>
            <w:tcW w:w="800" w:type="dxa"/>
            <w:vAlign w:val="bottom"/>
          </w:tcPr>
          <w:p>
            <w:pPr>
              <w:spacing w:after="0"/>
              <w:rPr>
                <w:sz w:val="8"/>
                <w:szCs w:val="8"/>
                <w:color w:val="auto"/>
              </w:rPr>
            </w:pPr>
          </w:p>
        </w:tc>
        <w:tc>
          <w:tcPr>
            <w:tcW w:w="460" w:type="dxa"/>
            <w:vAlign w:val="bottom"/>
          </w:tcPr>
          <w:p>
            <w:pPr>
              <w:spacing w:after="0"/>
              <w:rPr>
                <w:sz w:val="8"/>
                <w:szCs w:val="8"/>
                <w:color w:val="auto"/>
              </w:rPr>
            </w:pPr>
          </w:p>
        </w:tc>
        <w:tc>
          <w:tcPr>
            <w:tcW w:w="60" w:type="dxa"/>
            <w:vAlign w:val="bottom"/>
          </w:tcPr>
          <w:p>
            <w:pPr>
              <w:spacing w:after="0"/>
              <w:rPr>
                <w:sz w:val="8"/>
                <w:szCs w:val="8"/>
                <w:color w:val="auto"/>
              </w:rPr>
            </w:pPr>
          </w:p>
        </w:tc>
        <w:tc>
          <w:tcPr>
            <w:tcW w:w="5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performance</w:t>
            </w:r>
          </w:p>
        </w:tc>
        <w:tc>
          <w:tcPr>
            <w:tcW w:w="520" w:type="dxa"/>
            <w:vAlign w:val="bottom"/>
          </w:tcPr>
          <w:p>
            <w:pPr>
              <w:spacing w:after="0"/>
              <w:rPr>
                <w:sz w:val="8"/>
                <w:szCs w:val="8"/>
                <w:color w:val="auto"/>
              </w:rPr>
            </w:pPr>
          </w:p>
        </w:tc>
        <w:tc>
          <w:tcPr>
            <w:tcW w:w="720" w:type="dxa"/>
            <w:vAlign w:val="bottom"/>
          </w:tcPr>
          <w:p>
            <w:pPr>
              <w:jc w:val="right"/>
              <w:ind w:right="133"/>
              <w:spacing w:after="0"/>
              <w:rPr>
                <w:sz w:val="20"/>
                <w:szCs w:val="20"/>
                <w:color w:val="auto"/>
              </w:rPr>
            </w:pPr>
            <w:r>
              <w:rPr>
                <w:rFonts w:ascii="Times New Roman" w:cs="Times New Roman" w:eastAsia="Times New Roman" w:hAnsi="Times New Roman"/>
                <w:sz w:val="8"/>
                <w:szCs w:val="8"/>
                <w:b w:val="1"/>
                <w:bCs w:val="1"/>
                <w:color w:val="005AFF"/>
              </w:rPr>
              <w:t>performance</w:t>
            </w:r>
          </w:p>
        </w:tc>
        <w:tc>
          <w:tcPr>
            <w:tcW w:w="4260" w:type="dxa"/>
            <w:vAlign w:val="bottom"/>
            <w:gridSpan w:val="3"/>
          </w:tcPr>
          <w:p>
            <w:pPr>
              <w:jc w:val="right"/>
              <w:ind w:right="3340"/>
              <w:spacing w:after="0"/>
              <w:rPr>
                <w:sz w:val="20"/>
                <w:szCs w:val="20"/>
                <w:color w:val="auto"/>
              </w:rPr>
            </w:pPr>
            <w:r>
              <w:rPr>
                <w:rFonts w:ascii="Times New Roman" w:cs="Times New Roman" w:eastAsia="Times New Roman" w:hAnsi="Times New Roman"/>
                <w:sz w:val="8"/>
                <w:szCs w:val="8"/>
                <w:b w:val="1"/>
                <w:bCs w:val="1"/>
                <w:color w:val="005AFF"/>
              </w:rPr>
              <w:t>Shares receivable through</w:t>
            </w:r>
          </w:p>
        </w:tc>
        <w:tc>
          <w:tcPr>
            <w:tcW w:w="0" w:type="dxa"/>
            <w:vAlign w:val="bottom"/>
          </w:tcPr>
          <w:p>
            <w:pPr>
              <w:spacing w:after="0"/>
              <w:rPr>
                <w:sz w:val="1"/>
                <w:szCs w:val="1"/>
                <w:color w:val="auto"/>
              </w:rPr>
            </w:pPr>
          </w:p>
        </w:tc>
      </w:tr>
      <w:tr>
        <w:trPr>
          <w:trHeight w:val="124"/>
        </w:trPr>
        <w:tc>
          <w:tcPr>
            <w:tcW w:w="90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1160" w:type="dxa"/>
            <w:vAlign w:val="bottom"/>
          </w:tcPr>
          <w:p>
            <w:pPr>
              <w:spacing w:after="0"/>
              <w:rPr>
                <w:sz w:val="10"/>
                <w:szCs w:val="10"/>
                <w:color w:val="auto"/>
              </w:rPr>
            </w:pPr>
          </w:p>
        </w:tc>
        <w:tc>
          <w:tcPr>
            <w:tcW w:w="800" w:type="dxa"/>
            <w:vAlign w:val="bottom"/>
          </w:tcPr>
          <w:p>
            <w:pPr>
              <w:spacing w:after="0"/>
              <w:rPr>
                <w:sz w:val="10"/>
                <w:szCs w:val="10"/>
                <w:color w:val="auto"/>
              </w:rPr>
            </w:pPr>
          </w:p>
        </w:tc>
        <w:tc>
          <w:tcPr>
            <w:tcW w:w="460" w:type="dxa"/>
            <w:vAlign w:val="bottom"/>
          </w:tcPr>
          <w:p>
            <w:pPr>
              <w:spacing w:after="0"/>
              <w:rPr>
                <w:sz w:val="10"/>
                <w:szCs w:val="10"/>
                <w:color w:val="auto"/>
              </w:rPr>
            </w:pPr>
          </w:p>
        </w:tc>
        <w:tc>
          <w:tcPr>
            <w:tcW w:w="60" w:type="dxa"/>
            <w:vAlign w:val="bottom"/>
          </w:tcPr>
          <w:p>
            <w:pPr>
              <w:spacing w:after="0"/>
              <w:rPr>
                <w:sz w:val="10"/>
                <w:szCs w:val="10"/>
                <w:color w:val="auto"/>
              </w:rPr>
            </w:pPr>
          </w:p>
        </w:tc>
        <w:tc>
          <w:tcPr>
            <w:tcW w:w="5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shares at grant</w:t>
            </w:r>
          </w:p>
        </w:tc>
        <w:tc>
          <w:tcPr>
            <w:tcW w:w="1240" w:type="dxa"/>
            <w:vAlign w:val="bottom"/>
            <w:gridSpan w:val="2"/>
          </w:tcPr>
          <w:p>
            <w:pPr>
              <w:jc w:val="right"/>
              <w:ind w:right="93"/>
              <w:spacing w:after="0"/>
              <w:rPr>
                <w:sz w:val="20"/>
                <w:szCs w:val="20"/>
                <w:color w:val="auto"/>
              </w:rPr>
            </w:pPr>
            <w:r>
              <w:rPr>
                <w:rFonts w:ascii="Times New Roman" w:cs="Times New Roman" w:eastAsia="Times New Roman" w:hAnsi="Times New Roman"/>
                <w:sz w:val="8"/>
                <w:szCs w:val="8"/>
                <w:b w:val="1"/>
                <w:bCs w:val="1"/>
                <w:color w:val="005AFF"/>
              </w:rPr>
              <w:t xml:space="preserve">shares at maximum </w:t>
            </w:r>
            <w:r>
              <w:rPr>
                <w:rFonts w:ascii="Times New Roman" w:cs="Times New Roman" w:eastAsia="Times New Roman" w:hAnsi="Times New Roman"/>
                <w:sz w:val="10"/>
                <w:szCs w:val="10"/>
                <w:b w:val="1"/>
                <w:bCs w:val="1"/>
                <w:color w:val="005AFF"/>
                <w:vertAlign w:val="superscript"/>
              </w:rPr>
              <w:t>(4)</w:t>
            </w:r>
          </w:p>
        </w:tc>
        <w:tc>
          <w:tcPr>
            <w:tcW w:w="280" w:type="dxa"/>
            <w:vAlign w:val="bottom"/>
          </w:tcPr>
          <w:p>
            <w:pPr>
              <w:spacing w:after="0"/>
              <w:rPr>
                <w:sz w:val="10"/>
                <w:szCs w:val="10"/>
                <w:color w:val="auto"/>
              </w:rPr>
            </w:pPr>
          </w:p>
        </w:tc>
        <w:tc>
          <w:tcPr>
            <w:tcW w:w="3980" w:type="dxa"/>
            <w:vAlign w:val="bottom"/>
            <w:gridSpan w:val="2"/>
          </w:tcPr>
          <w:p>
            <w:pPr>
              <w:jc w:val="right"/>
              <w:ind w:right="3340"/>
              <w:spacing w:after="0"/>
              <w:rPr>
                <w:sz w:val="20"/>
                <w:szCs w:val="20"/>
                <w:color w:val="auto"/>
              </w:rPr>
            </w:pPr>
            <w:r>
              <w:rPr>
                <w:rFonts w:ascii="Times New Roman" w:cs="Times New Roman" w:eastAsia="Times New Roman" w:hAnsi="Times New Roman"/>
                <w:sz w:val="8"/>
                <w:szCs w:val="8"/>
                <w:b w:val="1"/>
                <w:bCs w:val="1"/>
                <w:color w:val="005AFF"/>
              </w:rPr>
              <w:t>restricted shares</w:t>
            </w:r>
          </w:p>
        </w:tc>
        <w:tc>
          <w:tcPr>
            <w:tcW w:w="0" w:type="dxa"/>
            <w:vAlign w:val="bottom"/>
          </w:tcPr>
          <w:p>
            <w:pPr>
              <w:spacing w:after="0"/>
              <w:rPr>
                <w:sz w:val="1"/>
                <w:szCs w:val="1"/>
                <w:color w:val="auto"/>
              </w:rPr>
            </w:pPr>
          </w:p>
        </w:tc>
      </w:tr>
      <w:tr>
        <w:trPr>
          <w:trHeight w:val="81"/>
        </w:trPr>
        <w:tc>
          <w:tcPr>
            <w:tcW w:w="2600" w:type="dxa"/>
            <w:vAlign w:val="bottom"/>
            <w:tcBorders>
              <w:top w:val="single" w:sz="8" w:color="005AFF"/>
            </w:tcBorders>
            <w:gridSpan w:val="4"/>
            <w:vMerge w:val="restart"/>
          </w:tcPr>
          <w:p>
            <w:pPr>
              <w:ind w:left="40"/>
              <w:spacing w:after="0"/>
              <w:rPr>
                <w:sz w:val="20"/>
                <w:szCs w:val="20"/>
                <w:color w:val="auto"/>
              </w:rPr>
            </w:pPr>
            <w:r>
              <w:rPr>
                <w:rFonts w:ascii="Times New Roman" w:cs="Times New Roman" w:eastAsia="Times New Roman" w:hAnsi="Times New Roman"/>
                <w:sz w:val="10"/>
                <w:szCs w:val="10"/>
                <w:color w:val="0D0D0D"/>
              </w:rPr>
              <w:t>Number of equity awards held by the Group Leadership Team</w:t>
            </w:r>
          </w:p>
        </w:tc>
        <w:tc>
          <w:tcPr>
            <w:tcW w:w="800" w:type="dxa"/>
            <w:vAlign w:val="bottom"/>
            <w:tcBorders>
              <w:top w:val="single" w:sz="8" w:color="005AFF"/>
            </w:tcBorders>
          </w:tcPr>
          <w:p>
            <w:pPr>
              <w:jc w:val="right"/>
              <w:ind w:right="485"/>
              <w:spacing w:after="0"/>
              <w:rPr>
                <w:sz w:val="20"/>
                <w:szCs w:val="20"/>
                <w:color w:val="auto"/>
              </w:rPr>
            </w:pPr>
            <w:r>
              <w:rPr>
                <w:rFonts w:ascii="Times New Roman" w:cs="Times New Roman" w:eastAsia="Times New Roman" w:hAnsi="Times New Roman"/>
                <w:sz w:val="7"/>
                <w:szCs w:val="7"/>
                <w:color w:val="0D0D0D"/>
              </w:rPr>
              <w:t>(1)</w:t>
            </w:r>
          </w:p>
        </w:tc>
        <w:tc>
          <w:tcPr>
            <w:tcW w:w="460" w:type="dxa"/>
            <w:vAlign w:val="bottom"/>
            <w:tcBorders>
              <w:top w:val="single" w:sz="8" w:color="005AFF"/>
            </w:tcBorders>
          </w:tcPr>
          <w:p>
            <w:pPr>
              <w:spacing w:after="0"/>
              <w:rPr>
                <w:sz w:val="7"/>
                <w:szCs w:val="7"/>
                <w:color w:val="auto"/>
              </w:rPr>
            </w:pPr>
          </w:p>
        </w:tc>
        <w:tc>
          <w:tcPr>
            <w:tcW w:w="60" w:type="dxa"/>
            <w:vAlign w:val="bottom"/>
            <w:tcBorders>
              <w:top w:val="single" w:sz="8" w:color="005AFF"/>
            </w:tcBorders>
          </w:tcPr>
          <w:p>
            <w:pPr>
              <w:spacing w:after="0"/>
              <w:rPr>
                <w:sz w:val="7"/>
                <w:szCs w:val="7"/>
                <w:color w:val="auto"/>
              </w:rPr>
            </w:pPr>
          </w:p>
        </w:tc>
        <w:tc>
          <w:tcPr>
            <w:tcW w:w="560" w:type="dxa"/>
            <w:vAlign w:val="bottom"/>
            <w:tcBorders>
              <w:top w:val="single" w:sz="8" w:color="005AFF"/>
            </w:tcBorders>
            <w:vMerge w:val="restart"/>
          </w:tcPr>
          <w:p>
            <w:pPr>
              <w:jc w:val="right"/>
              <w:spacing w:after="0"/>
              <w:rPr>
                <w:sz w:val="20"/>
                <w:szCs w:val="20"/>
                <w:color w:val="auto"/>
              </w:rPr>
            </w:pPr>
            <w:r>
              <w:rPr>
                <w:rFonts w:ascii="Times New Roman" w:cs="Times New Roman" w:eastAsia="Times New Roman" w:hAnsi="Times New Roman"/>
                <w:sz w:val="10"/>
                <w:szCs w:val="10"/>
                <w:color w:val="0D0D0D"/>
              </w:rPr>
              <w:t>9 556 958</w:t>
            </w:r>
          </w:p>
        </w:tc>
        <w:tc>
          <w:tcPr>
            <w:tcW w:w="520" w:type="dxa"/>
            <w:vAlign w:val="bottom"/>
            <w:tcBorders>
              <w:top w:val="single" w:sz="8" w:color="005AFF"/>
            </w:tcBorders>
          </w:tcPr>
          <w:p>
            <w:pPr>
              <w:spacing w:after="0"/>
              <w:rPr>
                <w:sz w:val="7"/>
                <w:szCs w:val="7"/>
                <w:color w:val="auto"/>
              </w:rPr>
            </w:pPr>
          </w:p>
        </w:tc>
        <w:tc>
          <w:tcPr>
            <w:tcW w:w="720" w:type="dxa"/>
            <w:vAlign w:val="bottom"/>
            <w:tcBorders>
              <w:top w:val="single" w:sz="8" w:color="005AFF"/>
            </w:tcBorders>
            <w:vMerge w:val="restart"/>
          </w:tcPr>
          <w:p>
            <w:pPr>
              <w:jc w:val="right"/>
              <w:ind w:right="153"/>
              <w:spacing w:after="0"/>
              <w:rPr>
                <w:sz w:val="20"/>
                <w:szCs w:val="20"/>
                <w:color w:val="auto"/>
              </w:rPr>
            </w:pPr>
            <w:r>
              <w:rPr>
                <w:rFonts w:ascii="Times New Roman" w:cs="Times New Roman" w:eastAsia="Times New Roman" w:hAnsi="Times New Roman"/>
                <w:sz w:val="10"/>
                <w:szCs w:val="10"/>
                <w:color w:val="0D0D0D"/>
              </w:rPr>
              <w:t>19 113 916</w:t>
            </w:r>
          </w:p>
        </w:tc>
        <w:tc>
          <w:tcPr>
            <w:tcW w:w="280" w:type="dxa"/>
            <w:vAlign w:val="bottom"/>
            <w:tcBorders>
              <w:top w:val="single" w:sz="8" w:color="005AFF"/>
            </w:tcBorders>
          </w:tcPr>
          <w:p>
            <w:pPr>
              <w:spacing w:after="0"/>
              <w:rPr>
                <w:sz w:val="7"/>
                <w:szCs w:val="7"/>
                <w:color w:val="auto"/>
              </w:rPr>
            </w:pPr>
          </w:p>
        </w:tc>
        <w:tc>
          <w:tcPr>
            <w:tcW w:w="720" w:type="dxa"/>
            <w:vAlign w:val="bottom"/>
            <w:tcBorders>
              <w:top w:val="single" w:sz="8" w:color="005AFF"/>
            </w:tcBorders>
            <w:vMerge w:val="restart"/>
          </w:tcPr>
          <w:p>
            <w:pPr>
              <w:jc w:val="right"/>
              <w:ind w:right="29"/>
              <w:spacing w:after="0"/>
              <w:rPr>
                <w:sz w:val="20"/>
                <w:szCs w:val="20"/>
                <w:color w:val="auto"/>
              </w:rPr>
            </w:pPr>
            <w:r>
              <w:rPr>
                <w:rFonts w:ascii="Times New Roman" w:cs="Times New Roman" w:eastAsia="Times New Roman" w:hAnsi="Times New Roman"/>
                <w:sz w:val="10"/>
                <w:szCs w:val="10"/>
                <w:color w:val="0D0D0D"/>
              </w:rPr>
              <w:t>1 454 000</w:t>
            </w:r>
          </w:p>
        </w:tc>
        <w:tc>
          <w:tcPr>
            <w:tcW w:w="326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50"/>
        </w:trPr>
        <w:tc>
          <w:tcPr>
            <w:tcW w:w="2600" w:type="dxa"/>
            <w:vAlign w:val="bottom"/>
            <w:gridSpan w:val="4"/>
            <w:vMerge w:val="continue"/>
          </w:tcPr>
          <w:p>
            <w:pPr>
              <w:spacing w:after="0"/>
              <w:rPr>
                <w:sz w:val="4"/>
                <w:szCs w:val="4"/>
                <w:color w:val="auto"/>
              </w:rPr>
            </w:pPr>
          </w:p>
        </w:tc>
        <w:tc>
          <w:tcPr>
            <w:tcW w:w="800" w:type="dxa"/>
            <w:vAlign w:val="bottom"/>
          </w:tcPr>
          <w:p>
            <w:pPr>
              <w:spacing w:after="0"/>
              <w:rPr>
                <w:sz w:val="4"/>
                <w:szCs w:val="4"/>
                <w:color w:val="auto"/>
              </w:rPr>
            </w:pPr>
          </w:p>
        </w:tc>
        <w:tc>
          <w:tcPr>
            <w:tcW w:w="460" w:type="dxa"/>
            <w:vAlign w:val="bottom"/>
          </w:tcPr>
          <w:p>
            <w:pPr>
              <w:spacing w:after="0"/>
              <w:rPr>
                <w:sz w:val="4"/>
                <w:szCs w:val="4"/>
                <w:color w:val="auto"/>
              </w:rPr>
            </w:pPr>
          </w:p>
        </w:tc>
        <w:tc>
          <w:tcPr>
            <w:tcW w:w="60" w:type="dxa"/>
            <w:vAlign w:val="bottom"/>
          </w:tcPr>
          <w:p>
            <w:pPr>
              <w:spacing w:after="0"/>
              <w:rPr>
                <w:sz w:val="4"/>
                <w:szCs w:val="4"/>
                <w:color w:val="auto"/>
              </w:rPr>
            </w:pPr>
          </w:p>
        </w:tc>
        <w:tc>
          <w:tcPr>
            <w:tcW w:w="560" w:type="dxa"/>
            <w:vAlign w:val="bottom"/>
            <w:vMerge w:val="continue"/>
          </w:tcPr>
          <w:p>
            <w:pPr>
              <w:spacing w:after="0"/>
              <w:rPr>
                <w:sz w:val="4"/>
                <w:szCs w:val="4"/>
                <w:color w:val="auto"/>
              </w:rPr>
            </w:pPr>
          </w:p>
        </w:tc>
        <w:tc>
          <w:tcPr>
            <w:tcW w:w="520" w:type="dxa"/>
            <w:vAlign w:val="bottom"/>
          </w:tcPr>
          <w:p>
            <w:pPr>
              <w:spacing w:after="0"/>
              <w:rPr>
                <w:sz w:val="4"/>
                <w:szCs w:val="4"/>
                <w:color w:val="auto"/>
              </w:rPr>
            </w:pPr>
          </w:p>
        </w:tc>
        <w:tc>
          <w:tcPr>
            <w:tcW w:w="720" w:type="dxa"/>
            <w:vAlign w:val="bottom"/>
            <w:vMerge w:val="continue"/>
          </w:tcPr>
          <w:p>
            <w:pPr>
              <w:spacing w:after="0"/>
              <w:rPr>
                <w:sz w:val="4"/>
                <w:szCs w:val="4"/>
                <w:color w:val="auto"/>
              </w:rPr>
            </w:pPr>
          </w:p>
        </w:tc>
        <w:tc>
          <w:tcPr>
            <w:tcW w:w="280" w:type="dxa"/>
            <w:vAlign w:val="bottom"/>
          </w:tcPr>
          <w:p>
            <w:pPr>
              <w:spacing w:after="0"/>
              <w:rPr>
                <w:sz w:val="4"/>
                <w:szCs w:val="4"/>
                <w:color w:val="auto"/>
              </w:rPr>
            </w:pPr>
          </w:p>
        </w:tc>
        <w:tc>
          <w:tcPr>
            <w:tcW w:w="720" w:type="dxa"/>
            <w:vAlign w:val="bottom"/>
            <w:vMerge w:val="continue"/>
          </w:tcPr>
          <w:p>
            <w:pPr>
              <w:spacing w:after="0"/>
              <w:rPr>
                <w:sz w:val="4"/>
                <w:szCs w:val="4"/>
                <w:color w:val="auto"/>
              </w:rPr>
            </w:pPr>
          </w:p>
        </w:tc>
        <w:tc>
          <w:tcPr>
            <w:tcW w:w="326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132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 of the outstanding shares</w:t>
            </w:r>
          </w:p>
        </w:tc>
        <w:tc>
          <w:tcPr>
            <w:tcW w:w="120" w:type="dxa"/>
            <w:vAlign w:val="bottom"/>
          </w:tcPr>
          <w:p>
            <w:pPr>
              <w:jc w:val="right"/>
              <w:ind w:right="7"/>
              <w:spacing w:after="0"/>
              <w:rPr>
                <w:sz w:val="20"/>
                <w:szCs w:val="20"/>
                <w:color w:val="auto"/>
              </w:rPr>
            </w:pPr>
            <w:r>
              <w:rPr>
                <w:rFonts w:ascii="Times New Roman" w:cs="Times New Roman" w:eastAsia="Times New Roman" w:hAnsi="Times New Roman"/>
                <w:sz w:val="7"/>
                <w:szCs w:val="7"/>
                <w:color w:val="0D0D0D"/>
                <w:w w:val="72"/>
              </w:rPr>
              <w:t>(2)</w:t>
            </w:r>
          </w:p>
        </w:tc>
        <w:tc>
          <w:tcPr>
            <w:tcW w:w="1160" w:type="dxa"/>
            <w:vAlign w:val="bottom"/>
          </w:tcPr>
          <w:p>
            <w:pPr>
              <w:spacing w:after="0"/>
              <w:rPr>
                <w:sz w:val="9"/>
                <w:szCs w:val="9"/>
                <w:color w:val="auto"/>
              </w:rPr>
            </w:pPr>
          </w:p>
        </w:tc>
        <w:tc>
          <w:tcPr>
            <w:tcW w:w="800" w:type="dxa"/>
            <w:vAlign w:val="bottom"/>
          </w:tcPr>
          <w:p>
            <w:pPr>
              <w:spacing w:after="0"/>
              <w:rPr>
                <w:sz w:val="9"/>
                <w:szCs w:val="9"/>
                <w:color w:val="auto"/>
              </w:rPr>
            </w:pPr>
          </w:p>
        </w:tc>
        <w:tc>
          <w:tcPr>
            <w:tcW w:w="460" w:type="dxa"/>
            <w:vAlign w:val="bottom"/>
          </w:tcPr>
          <w:p>
            <w:pPr>
              <w:spacing w:after="0"/>
              <w:rPr>
                <w:sz w:val="9"/>
                <w:szCs w:val="9"/>
                <w:color w:val="auto"/>
              </w:rPr>
            </w:pPr>
          </w:p>
        </w:tc>
        <w:tc>
          <w:tcPr>
            <w:tcW w:w="60" w:type="dxa"/>
            <w:vAlign w:val="bottom"/>
          </w:tcPr>
          <w:p>
            <w:pPr>
              <w:spacing w:after="0"/>
              <w:rPr>
                <w:sz w:val="9"/>
                <w:szCs w:val="9"/>
                <w:color w:val="auto"/>
              </w:rPr>
            </w:pPr>
          </w:p>
        </w:tc>
        <w:tc>
          <w:tcPr>
            <w:tcW w:w="1080" w:type="dxa"/>
            <w:vAlign w:val="bottom"/>
            <w:gridSpan w:val="2"/>
            <w:vMerge w:val="restart"/>
          </w:tcPr>
          <w:p>
            <w:pPr>
              <w:jc w:val="right"/>
              <w:ind w:right="456"/>
              <w:spacing w:after="0"/>
              <w:rPr>
                <w:sz w:val="20"/>
                <w:szCs w:val="20"/>
                <w:color w:val="auto"/>
              </w:rPr>
            </w:pPr>
            <w:r>
              <w:rPr>
                <w:rFonts w:ascii="Times New Roman" w:cs="Times New Roman" w:eastAsia="Times New Roman" w:hAnsi="Times New Roman"/>
                <w:sz w:val="10"/>
                <w:szCs w:val="10"/>
                <w:color w:val="0D0D0D"/>
              </w:rPr>
              <w:t>0.17 %</w:t>
            </w:r>
          </w:p>
        </w:tc>
        <w:tc>
          <w:tcPr>
            <w:tcW w:w="720" w:type="dxa"/>
            <w:vAlign w:val="bottom"/>
            <w:vMerge w:val="restart"/>
          </w:tcPr>
          <w:p>
            <w:pPr>
              <w:jc w:val="right"/>
              <w:ind w:right="73"/>
              <w:spacing w:after="0"/>
              <w:rPr>
                <w:sz w:val="20"/>
                <w:szCs w:val="20"/>
                <w:color w:val="auto"/>
              </w:rPr>
            </w:pPr>
            <w:r>
              <w:rPr>
                <w:rFonts w:ascii="Times New Roman" w:cs="Times New Roman" w:eastAsia="Times New Roman" w:hAnsi="Times New Roman"/>
                <w:sz w:val="10"/>
                <w:szCs w:val="10"/>
                <w:color w:val="0D0D0D"/>
              </w:rPr>
              <w:t>0.35 %</w:t>
            </w:r>
          </w:p>
        </w:tc>
        <w:tc>
          <w:tcPr>
            <w:tcW w:w="280" w:type="dxa"/>
            <w:vAlign w:val="bottom"/>
          </w:tcPr>
          <w:p>
            <w:pPr>
              <w:spacing w:after="0"/>
              <w:rPr>
                <w:sz w:val="9"/>
                <w:szCs w:val="9"/>
                <w:color w:val="auto"/>
              </w:rPr>
            </w:pPr>
          </w:p>
        </w:tc>
        <w:tc>
          <w:tcPr>
            <w:tcW w:w="7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0.03 %</w:t>
            </w:r>
          </w:p>
        </w:tc>
        <w:tc>
          <w:tcPr>
            <w:tcW w:w="326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1320" w:type="dxa"/>
            <w:vAlign w:val="bottom"/>
            <w:gridSpan w:val="2"/>
            <w:vMerge w:val="continue"/>
          </w:tcPr>
          <w:p>
            <w:pPr>
              <w:spacing w:after="0"/>
              <w:rPr>
                <w:sz w:val="4"/>
                <w:szCs w:val="4"/>
                <w:color w:val="auto"/>
              </w:rPr>
            </w:pPr>
          </w:p>
        </w:tc>
        <w:tc>
          <w:tcPr>
            <w:tcW w:w="120" w:type="dxa"/>
            <w:vAlign w:val="bottom"/>
          </w:tcPr>
          <w:p>
            <w:pPr>
              <w:spacing w:after="0"/>
              <w:rPr>
                <w:sz w:val="4"/>
                <w:szCs w:val="4"/>
                <w:color w:val="auto"/>
              </w:rPr>
            </w:pPr>
          </w:p>
        </w:tc>
        <w:tc>
          <w:tcPr>
            <w:tcW w:w="1160" w:type="dxa"/>
            <w:vAlign w:val="bottom"/>
          </w:tcPr>
          <w:p>
            <w:pPr>
              <w:spacing w:after="0"/>
              <w:rPr>
                <w:sz w:val="4"/>
                <w:szCs w:val="4"/>
                <w:color w:val="auto"/>
              </w:rPr>
            </w:pPr>
          </w:p>
        </w:tc>
        <w:tc>
          <w:tcPr>
            <w:tcW w:w="800" w:type="dxa"/>
            <w:vAlign w:val="bottom"/>
          </w:tcPr>
          <w:p>
            <w:pPr>
              <w:spacing w:after="0"/>
              <w:rPr>
                <w:sz w:val="4"/>
                <w:szCs w:val="4"/>
                <w:color w:val="auto"/>
              </w:rPr>
            </w:pPr>
          </w:p>
        </w:tc>
        <w:tc>
          <w:tcPr>
            <w:tcW w:w="460" w:type="dxa"/>
            <w:vAlign w:val="bottom"/>
          </w:tcPr>
          <w:p>
            <w:pPr>
              <w:spacing w:after="0"/>
              <w:rPr>
                <w:sz w:val="4"/>
                <w:szCs w:val="4"/>
                <w:color w:val="auto"/>
              </w:rPr>
            </w:pPr>
          </w:p>
        </w:tc>
        <w:tc>
          <w:tcPr>
            <w:tcW w:w="60" w:type="dxa"/>
            <w:vAlign w:val="bottom"/>
          </w:tcPr>
          <w:p>
            <w:pPr>
              <w:spacing w:after="0"/>
              <w:rPr>
                <w:sz w:val="4"/>
                <w:szCs w:val="4"/>
                <w:color w:val="auto"/>
              </w:rPr>
            </w:pPr>
          </w:p>
        </w:tc>
        <w:tc>
          <w:tcPr>
            <w:tcW w:w="1080" w:type="dxa"/>
            <w:vAlign w:val="bottom"/>
            <w:gridSpan w:val="2"/>
            <w:vMerge w:val="continue"/>
          </w:tcPr>
          <w:p>
            <w:pPr>
              <w:spacing w:after="0"/>
              <w:rPr>
                <w:sz w:val="4"/>
                <w:szCs w:val="4"/>
                <w:color w:val="auto"/>
              </w:rPr>
            </w:pPr>
          </w:p>
        </w:tc>
        <w:tc>
          <w:tcPr>
            <w:tcW w:w="720" w:type="dxa"/>
            <w:vAlign w:val="bottom"/>
            <w:vMerge w:val="continue"/>
          </w:tcPr>
          <w:p>
            <w:pPr>
              <w:spacing w:after="0"/>
              <w:rPr>
                <w:sz w:val="4"/>
                <w:szCs w:val="4"/>
                <w:color w:val="auto"/>
              </w:rPr>
            </w:pPr>
          </w:p>
        </w:tc>
        <w:tc>
          <w:tcPr>
            <w:tcW w:w="280" w:type="dxa"/>
            <w:vAlign w:val="bottom"/>
          </w:tcPr>
          <w:p>
            <w:pPr>
              <w:spacing w:after="0"/>
              <w:rPr>
                <w:sz w:val="4"/>
                <w:szCs w:val="4"/>
                <w:color w:val="auto"/>
              </w:rPr>
            </w:pPr>
          </w:p>
        </w:tc>
        <w:tc>
          <w:tcPr>
            <w:tcW w:w="720" w:type="dxa"/>
            <w:vAlign w:val="bottom"/>
            <w:vMerge w:val="continue"/>
          </w:tcPr>
          <w:p>
            <w:pPr>
              <w:spacing w:after="0"/>
              <w:rPr>
                <w:sz w:val="4"/>
                <w:szCs w:val="4"/>
                <w:color w:val="auto"/>
              </w:rPr>
            </w:pPr>
          </w:p>
        </w:tc>
        <w:tc>
          <w:tcPr>
            <w:tcW w:w="326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2600" w:type="dxa"/>
            <w:vAlign w:val="bottom"/>
            <w:gridSpan w:val="4"/>
            <w:vMerge w:val="restart"/>
          </w:tcPr>
          <w:p>
            <w:pPr>
              <w:ind w:left="40"/>
              <w:spacing w:after="0"/>
              <w:rPr>
                <w:sz w:val="20"/>
                <w:szCs w:val="20"/>
                <w:color w:val="auto"/>
              </w:rPr>
            </w:pPr>
            <w:r>
              <w:rPr>
                <w:rFonts w:ascii="Times New Roman" w:cs="Times New Roman" w:eastAsia="Times New Roman" w:hAnsi="Times New Roman"/>
                <w:sz w:val="10"/>
                <w:szCs w:val="10"/>
                <w:color w:val="0D0D0D"/>
              </w:rPr>
              <w:t>% of the total outstanding equity incentives (per instrument)</w:t>
            </w:r>
          </w:p>
        </w:tc>
        <w:tc>
          <w:tcPr>
            <w:tcW w:w="800" w:type="dxa"/>
            <w:vAlign w:val="bottom"/>
          </w:tcPr>
          <w:p>
            <w:pPr>
              <w:jc w:val="right"/>
              <w:ind w:right="505"/>
              <w:spacing w:after="0"/>
              <w:rPr>
                <w:sz w:val="20"/>
                <w:szCs w:val="20"/>
                <w:color w:val="auto"/>
              </w:rPr>
            </w:pPr>
            <w:r>
              <w:rPr>
                <w:rFonts w:ascii="Times New Roman" w:cs="Times New Roman" w:eastAsia="Times New Roman" w:hAnsi="Times New Roman"/>
                <w:sz w:val="7"/>
                <w:szCs w:val="7"/>
                <w:color w:val="0D0D0D"/>
              </w:rPr>
              <w:t>(3)</w:t>
            </w:r>
          </w:p>
        </w:tc>
        <w:tc>
          <w:tcPr>
            <w:tcW w:w="460" w:type="dxa"/>
            <w:vAlign w:val="bottom"/>
          </w:tcPr>
          <w:p>
            <w:pPr>
              <w:spacing w:after="0"/>
              <w:rPr>
                <w:sz w:val="9"/>
                <w:szCs w:val="9"/>
                <w:color w:val="auto"/>
              </w:rPr>
            </w:pPr>
          </w:p>
        </w:tc>
        <w:tc>
          <w:tcPr>
            <w:tcW w:w="60" w:type="dxa"/>
            <w:vAlign w:val="bottom"/>
          </w:tcPr>
          <w:p>
            <w:pPr>
              <w:spacing w:after="0"/>
              <w:rPr>
                <w:sz w:val="9"/>
                <w:szCs w:val="9"/>
                <w:color w:val="auto"/>
              </w:rPr>
            </w:pPr>
          </w:p>
        </w:tc>
        <w:tc>
          <w:tcPr>
            <w:tcW w:w="1080" w:type="dxa"/>
            <w:vAlign w:val="bottom"/>
            <w:gridSpan w:val="2"/>
            <w:vMerge w:val="restart"/>
          </w:tcPr>
          <w:p>
            <w:pPr>
              <w:jc w:val="right"/>
              <w:ind w:right="456"/>
              <w:spacing w:after="0"/>
              <w:rPr>
                <w:sz w:val="20"/>
                <w:szCs w:val="20"/>
                <w:color w:val="auto"/>
              </w:rPr>
            </w:pPr>
            <w:r>
              <w:rPr>
                <w:rFonts w:ascii="Times New Roman" w:cs="Times New Roman" w:eastAsia="Times New Roman" w:hAnsi="Times New Roman"/>
                <w:sz w:val="10"/>
                <w:szCs w:val="10"/>
                <w:color w:val="0D0D0D"/>
              </w:rPr>
              <w:t>22.19 %</w:t>
            </w:r>
          </w:p>
        </w:tc>
        <w:tc>
          <w:tcPr>
            <w:tcW w:w="720" w:type="dxa"/>
            <w:vAlign w:val="bottom"/>
            <w:vMerge w:val="restart"/>
          </w:tcPr>
          <w:p>
            <w:pPr>
              <w:jc w:val="right"/>
              <w:ind w:right="73"/>
              <w:spacing w:after="0"/>
              <w:rPr>
                <w:sz w:val="20"/>
                <w:szCs w:val="20"/>
                <w:color w:val="auto"/>
              </w:rPr>
            </w:pPr>
            <w:r>
              <w:rPr>
                <w:rFonts w:ascii="Times New Roman" w:cs="Times New Roman" w:eastAsia="Times New Roman" w:hAnsi="Times New Roman"/>
                <w:sz w:val="10"/>
                <w:szCs w:val="10"/>
                <w:color w:val="0D0D0D"/>
              </w:rPr>
              <w:t>23.26 %</w:t>
            </w:r>
          </w:p>
        </w:tc>
        <w:tc>
          <w:tcPr>
            <w:tcW w:w="280" w:type="dxa"/>
            <w:vAlign w:val="bottom"/>
          </w:tcPr>
          <w:p>
            <w:pPr>
              <w:spacing w:after="0"/>
              <w:rPr>
                <w:sz w:val="9"/>
                <w:szCs w:val="9"/>
                <w:color w:val="auto"/>
              </w:rPr>
            </w:pPr>
          </w:p>
        </w:tc>
        <w:tc>
          <w:tcPr>
            <w:tcW w:w="7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1.55 %</w:t>
            </w:r>
          </w:p>
        </w:tc>
        <w:tc>
          <w:tcPr>
            <w:tcW w:w="326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6"/>
        </w:trPr>
        <w:tc>
          <w:tcPr>
            <w:tcW w:w="2600" w:type="dxa"/>
            <w:vAlign w:val="bottom"/>
            <w:tcBorders>
              <w:bottom w:val="single" w:sz="8" w:color="005AFF"/>
            </w:tcBorders>
            <w:gridSpan w:val="4"/>
            <w:vMerge w:val="continue"/>
          </w:tcPr>
          <w:p>
            <w:pPr>
              <w:spacing w:after="0"/>
              <w:rPr>
                <w:sz w:val="4"/>
                <w:szCs w:val="4"/>
                <w:color w:val="auto"/>
              </w:rPr>
            </w:pPr>
          </w:p>
        </w:tc>
        <w:tc>
          <w:tcPr>
            <w:tcW w:w="800" w:type="dxa"/>
            <w:vAlign w:val="bottom"/>
            <w:tcBorders>
              <w:bottom w:val="single" w:sz="8" w:color="005AFF"/>
            </w:tcBorders>
          </w:tcPr>
          <w:p>
            <w:pPr>
              <w:spacing w:after="0"/>
              <w:rPr>
                <w:sz w:val="4"/>
                <w:szCs w:val="4"/>
                <w:color w:val="auto"/>
              </w:rPr>
            </w:pPr>
          </w:p>
        </w:tc>
        <w:tc>
          <w:tcPr>
            <w:tcW w:w="460" w:type="dxa"/>
            <w:vAlign w:val="bottom"/>
            <w:tcBorders>
              <w:bottom w:val="single" w:sz="8" w:color="005AFF"/>
            </w:tcBorders>
          </w:tcPr>
          <w:p>
            <w:pPr>
              <w:spacing w:after="0"/>
              <w:rPr>
                <w:sz w:val="4"/>
                <w:szCs w:val="4"/>
                <w:color w:val="auto"/>
              </w:rPr>
            </w:pPr>
          </w:p>
        </w:tc>
        <w:tc>
          <w:tcPr>
            <w:tcW w:w="60" w:type="dxa"/>
            <w:vAlign w:val="bottom"/>
            <w:tcBorders>
              <w:bottom w:val="single" w:sz="8" w:color="005AFF"/>
            </w:tcBorders>
          </w:tcPr>
          <w:p>
            <w:pPr>
              <w:spacing w:after="0"/>
              <w:rPr>
                <w:sz w:val="4"/>
                <w:szCs w:val="4"/>
                <w:color w:val="auto"/>
              </w:rPr>
            </w:pPr>
          </w:p>
        </w:tc>
        <w:tc>
          <w:tcPr>
            <w:tcW w:w="1080" w:type="dxa"/>
            <w:vAlign w:val="bottom"/>
            <w:tcBorders>
              <w:bottom w:val="single" w:sz="8" w:color="005AFF"/>
            </w:tcBorders>
            <w:gridSpan w:val="2"/>
            <w:vMerge w:val="continue"/>
          </w:tcPr>
          <w:p>
            <w:pPr>
              <w:spacing w:after="0"/>
              <w:rPr>
                <w:sz w:val="4"/>
                <w:szCs w:val="4"/>
                <w:color w:val="auto"/>
              </w:rPr>
            </w:pPr>
          </w:p>
        </w:tc>
        <w:tc>
          <w:tcPr>
            <w:tcW w:w="720" w:type="dxa"/>
            <w:vAlign w:val="bottom"/>
            <w:tcBorders>
              <w:bottom w:val="single" w:sz="8" w:color="005AFF"/>
            </w:tcBorders>
            <w:vMerge w:val="continue"/>
          </w:tcPr>
          <w:p>
            <w:pPr>
              <w:spacing w:after="0"/>
              <w:rPr>
                <w:sz w:val="4"/>
                <w:szCs w:val="4"/>
                <w:color w:val="auto"/>
              </w:rPr>
            </w:pPr>
          </w:p>
        </w:tc>
        <w:tc>
          <w:tcPr>
            <w:tcW w:w="280" w:type="dxa"/>
            <w:vAlign w:val="bottom"/>
            <w:tcBorders>
              <w:bottom w:val="single" w:sz="8" w:color="005AFF"/>
            </w:tcBorders>
          </w:tcPr>
          <w:p>
            <w:pPr>
              <w:spacing w:after="0"/>
              <w:rPr>
                <w:sz w:val="4"/>
                <w:szCs w:val="4"/>
                <w:color w:val="auto"/>
              </w:rPr>
            </w:pPr>
          </w:p>
        </w:tc>
        <w:tc>
          <w:tcPr>
            <w:tcW w:w="720" w:type="dxa"/>
            <w:vAlign w:val="bottom"/>
            <w:tcBorders>
              <w:bottom w:val="single" w:sz="8" w:color="005AFF"/>
            </w:tcBorders>
            <w:vMerge w:val="continue"/>
          </w:tcPr>
          <w:p>
            <w:pPr>
              <w:spacing w:after="0"/>
              <w:rPr>
                <w:sz w:val="4"/>
                <w:szCs w:val="4"/>
                <w:color w:val="auto"/>
              </w:rPr>
            </w:pPr>
          </w:p>
        </w:tc>
        <w:tc>
          <w:tcPr>
            <w:tcW w:w="326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28"/>
        </w:trPr>
        <w:tc>
          <w:tcPr>
            <w:tcW w:w="2600" w:type="dxa"/>
            <w:vAlign w:val="bottom"/>
            <w:gridSpan w:val="4"/>
          </w:tcPr>
          <w:p>
            <w:pPr>
              <w:spacing w:after="0"/>
              <w:rPr>
                <w:sz w:val="20"/>
                <w:szCs w:val="20"/>
                <w:color w:val="auto"/>
              </w:rPr>
            </w:pPr>
            <w:r>
              <w:rPr>
                <w:rFonts w:ascii="Times New Roman" w:cs="Times New Roman" w:eastAsia="Times New Roman" w:hAnsi="Times New Roman"/>
                <w:sz w:val="8"/>
                <w:szCs w:val="8"/>
                <w:color w:val="auto"/>
              </w:rPr>
              <w:t>(1)   Includes the 11 members of the Group Leadership Team in office at</w:t>
            </w:r>
          </w:p>
        </w:tc>
        <w:tc>
          <w:tcPr>
            <w:tcW w:w="800" w:type="dxa"/>
            <w:vAlign w:val="bottom"/>
          </w:tcPr>
          <w:p>
            <w:pPr>
              <w:jc w:val="right"/>
              <w:spacing w:after="0"/>
              <w:rPr>
                <w:sz w:val="20"/>
                <w:szCs w:val="20"/>
                <w:color w:val="auto"/>
              </w:rPr>
            </w:pPr>
            <w:r>
              <w:rPr>
                <w:rFonts w:ascii="Times New Roman" w:cs="Times New Roman" w:eastAsia="Times New Roman" w:hAnsi="Times New Roman"/>
                <w:sz w:val="8"/>
                <w:szCs w:val="8"/>
                <w:color w:val="auto"/>
              </w:rPr>
              <w:t>31 December 2023  .</w:t>
            </w:r>
          </w:p>
        </w:tc>
        <w:tc>
          <w:tcPr>
            <w:tcW w:w="46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28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32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04"/>
        </w:trPr>
        <w:tc>
          <w:tcPr>
            <w:tcW w:w="3860" w:type="dxa"/>
            <w:vAlign w:val="bottom"/>
            <w:gridSpan w:val="6"/>
          </w:tcPr>
          <w:p>
            <w:pPr>
              <w:spacing w:after="0"/>
              <w:rPr>
                <w:sz w:val="20"/>
                <w:szCs w:val="20"/>
                <w:color w:val="auto"/>
              </w:rPr>
            </w:pPr>
            <w:r>
              <w:rPr>
                <w:rFonts w:ascii="Times New Roman" w:cs="Times New Roman" w:eastAsia="Times New Roman" w:hAnsi="Times New Roman"/>
                <w:sz w:val="8"/>
                <w:szCs w:val="8"/>
                <w:color w:val="auto"/>
              </w:rPr>
              <w:t>(2)   The percentages are calculated in relation to the outstanding number of shares and total voting rights of Nokia at</w:t>
            </w:r>
          </w:p>
        </w:tc>
        <w:tc>
          <w:tcPr>
            <w:tcW w:w="60" w:type="dxa"/>
            <w:vAlign w:val="bottom"/>
          </w:tcPr>
          <w:p>
            <w:pPr>
              <w:spacing w:after="0"/>
              <w:rPr>
                <w:sz w:val="9"/>
                <w:szCs w:val="9"/>
                <w:color w:val="auto"/>
              </w:rPr>
            </w:pPr>
          </w:p>
        </w:tc>
        <w:tc>
          <w:tcPr>
            <w:tcW w:w="1080" w:type="dxa"/>
            <w:vAlign w:val="bottom"/>
            <w:gridSpan w:val="2"/>
          </w:tcPr>
          <w:p>
            <w:pPr>
              <w:jc w:val="right"/>
              <w:spacing w:after="0"/>
              <w:rPr>
                <w:sz w:val="20"/>
                <w:szCs w:val="20"/>
                <w:color w:val="auto"/>
              </w:rPr>
            </w:pPr>
            <w:r>
              <w:rPr>
                <w:rFonts w:ascii="Times New Roman" w:cs="Times New Roman" w:eastAsia="Times New Roman" w:hAnsi="Times New Roman"/>
                <w:sz w:val="8"/>
                <w:szCs w:val="8"/>
                <w:color w:val="auto"/>
              </w:rPr>
              <w:t>31 December 2023</w:t>
            </w:r>
          </w:p>
        </w:tc>
        <w:tc>
          <w:tcPr>
            <w:tcW w:w="4980" w:type="dxa"/>
            <w:vAlign w:val="bottom"/>
            <w:gridSpan w:val="4"/>
          </w:tcPr>
          <w:p>
            <w:pPr>
              <w:ind w:left="40"/>
              <w:spacing w:after="0"/>
              <w:rPr>
                <w:sz w:val="20"/>
                <w:szCs w:val="20"/>
                <w:color w:val="auto"/>
              </w:rPr>
            </w:pPr>
            <w:r>
              <w:rPr>
                <w:rFonts w:ascii="Times New Roman" w:cs="Times New Roman" w:eastAsia="Times New Roman" w:hAnsi="Times New Roman"/>
                <w:sz w:val="8"/>
                <w:szCs w:val="8"/>
                <w:color w:val="auto"/>
              </w:rPr>
              <w:t>, excluding shares held by the Nokia Group.</w:t>
            </w:r>
          </w:p>
        </w:tc>
        <w:tc>
          <w:tcPr>
            <w:tcW w:w="0" w:type="dxa"/>
            <w:vAlign w:val="bottom"/>
          </w:tcPr>
          <w:p>
            <w:pPr>
              <w:spacing w:after="0"/>
              <w:rPr>
                <w:sz w:val="1"/>
                <w:szCs w:val="1"/>
                <w:color w:val="auto"/>
              </w:rPr>
            </w:pPr>
          </w:p>
        </w:tc>
      </w:tr>
    </w:tbl>
    <w:p>
      <w:pPr>
        <w:ind w:left="200"/>
        <w:spacing w:after="0"/>
        <w:rPr>
          <w:sz w:val="20"/>
          <w:szCs w:val="20"/>
          <w:color w:val="auto"/>
        </w:rPr>
      </w:pPr>
      <w:r>
        <w:rPr>
          <w:rFonts w:ascii="Times New Roman" w:cs="Times New Roman" w:eastAsia="Times New Roman" w:hAnsi="Times New Roman"/>
          <w:sz w:val="8"/>
          <w:szCs w:val="8"/>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No member of the Group Leadership Team owns more than 1% of the outstanding Nokia shares.</w:t>
      </w:r>
    </w:p>
    <w:p>
      <w:pPr>
        <w:spacing w:after="0" w:line="4" w:lineRule="exact"/>
        <w:rPr>
          <w:sz w:val="20"/>
          <w:szCs w:val="20"/>
          <w:color w:val="auto"/>
        </w:rPr>
      </w:pPr>
    </w:p>
    <w:p>
      <w:pPr>
        <w:ind w:left="200" w:hanging="199"/>
        <w:spacing w:after="0"/>
        <w:tabs>
          <w:tab w:leader="none" w:pos="200" w:val="left"/>
        </w:tabs>
        <w:numPr>
          <w:ilvl w:val="0"/>
          <w:numId w:val="5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percentages are calculated in relation to the total outstanding equity incentives per instrument.</w:t>
      </w:r>
    </w:p>
    <w:p>
      <w:pPr>
        <w:spacing w:after="0" w:line="4" w:lineRule="exact"/>
        <w:rPr>
          <w:sz w:val="20"/>
          <w:szCs w:val="20"/>
          <w:color w:val="auto"/>
        </w:rPr>
      </w:pPr>
    </w:p>
    <w:p>
      <w:pPr>
        <w:spacing w:after="0"/>
        <w:tabs>
          <w:tab w:leader="none" w:pos="180" w:val="left"/>
          <w:tab w:leader="none" w:pos="3020" w:val="left"/>
          <w:tab w:leader="none" w:pos="3720" w:val="left"/>
        </w:tabs>
        <w:rPr>
          <w:sz w:val="20"/>
          <w:szCs w:val="20"/>
          <w:color w:val="auto"/>
        </w:rPr>
      </w:pPr>
      <w:r>
        <w:rPr>
          <w:rFonts w:ascii="Times New Roman" w:cs="Times New Roman" w:eastAsia="Times New Roman" w:hAnsi="Times New Roman"/>
          <w:sz w:val="8"/>
          <w:szCs w:val="8"/>
          <w:color w:val="auto"/>
        </w:rPr>
        <w:t>(4)</w:t>
        <w:tab/>
        <w:t>At maximum performance, under the performance share plans outstanding at</w:t>
      </w:r>
      <w:r>
        <w:rPr>
          <w:sz w:val="20"/>
          <w:szCs w:val="20"/>
          <w:color w:val="auto"/>
        </w:rPr>
        <w:tab/>
      </w:r>
      <w:r>
        <w:rPr>
          <w:rFonts w:ascii="Times New Roman" w:cs="Times New Roman" w:eastAsia="Times New Roman" w:hAnsi="Times New Roman"/>
          <w:sz w:val="8"/>
          <w:szCs w:val="8"/>
          <w:color w:val="auto"/>
        </w:rPr>
        <w:t>31 December 2023</w:t>
        <w:tab/>
        <w:t>, the payout would be 200% and the table reflects this potential maximum payout.</w:t>
      </w:r>
    </w:p>
    <w:p>
      <w:pPr>
        <w:spacing w:after="0" w:line="25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Employee Share Purchase Plan</w:t>
      </w:r>
    </w:p>
    <w:p>
      <w:pPr>
        <w:spacing w:after="0" w:line="32" w:lineRule="exact"/>
        <w:rPr>
          <w:sz w:val="20"/>
          <w:szCs w:val="20"/>
          <w:color w:val="auto"/>
        </w:rPr>
      </w:pPr>
    </w:p>
    <w:p>
      <w:pPr>
        <w:ind w:right="3800"/>
        <w:spacing w:after="0" w:line="271" w:lineRule="auto"/>
        <w:rPr>
          <w:sz w:val="20"/>
          <w:szCs w:val="20"/>
          <w:color w:val="auto"/>
        </w:rPr>
      </w:pPr>
      <w:r>
        <w:rPr>
          <w:rFonts w:ascii="Times New Roman" w:cs="Times New Roman" w:eastAsia="Times New Roman" w:hAnsi="Times New Roman"/>
          <w:sz w:val="11"/>
          <w:szCs w:val="11"/>
          <w:color w:val="auto"/>
        </w:rPr>
        <w:t>All eligible Nokia employees, including the President and CEO and our GLT members can participate in the Employee Share Purchase Plan, by making contributions from their monthly net salaries (up to a cap) to purchase Nokia shares at market value. Participants will receive one matching share for every two purchased shares they still hold at the end of the applicable annual plan cycle. Until the matching shares are delivered, the participants have no shareholder rights, such as voting or dividend rights associated with the matching shares.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78" w:name="page79"/>
    <w:bookmarkEnd w:id="78"/>
    <w:tbl>
      <w:tblPr>
        <w:tblLayout w:type="fixed"/>
        <w:tblInd w:w="20" w:type="dxa"/>
        <w:tblCellMar>
          <w:top w:w="0" w:type="dxa"/>
          <w:left w:w="0" w:type="dxa"/>
          <w:bottom w:w="0" w:type="dxa"/>
          <w:right w:w="0" w:type="dxa"/>
        </w:tblCellMar>
      </w:tblPr>
      <w:tr>
        <w:trPr>
          <w:trHeight w:val="111"/>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Corporate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r>
      <w:tr>
        <w:trPr>
          <w:trHeight w:val="122"/>
        </w:trPr>
        <w:tc>
          <w:tcPr>
            <w:tcW w:w="88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governance</w:t>
            </w:r>
          </w:p>
        </w:tc>
        <w:tc>
          <w:tcPr>
            <w:tcW w:w="1380" w:type="dxa"/>
            <w:vAlign w:val="bottom"/>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r>
      <w:tr>
        <w:trPr>
          <w:trHeight w:val="53"/>
        </w:trPr>
        <w:tc>
          <w:tcPr>
            <w:tcW w:w="88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3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Remuneration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Pay for performance</w:t>
      </w:r>
    </w:p>
    <w:p>
      <w:pPr>
        <w:spacing w:after="0" w:line="46" w:lineRule="exact"/>
        <w:rPr>
          <w:sz w:val="20"/>
          <w:szCs w:val="20"/>
          <w:color w:val="auto"/>
        </w:rPr>
      </w:pPr>
    </w:p>
    <w:p>
      <w:pPr>
        <w:ind w:right="260"/>
        <w:spacing w:after="0" w:line="290" w:lineRule="auto"/>
        <w:rPr>
          <w:sz w:val="20"/>
          <w:szCs w:val="20"/>
          <w:color w:val="auto"/>
        </w:rPr>
      </w:pPr>
      <w:r>
        <w:rPr>
          <w:rFonts w:ascii="Times New Roman" w:cs="Times New Roman" w:eastAsia="Times New Roman" w:hAnsi="Times New Roman"/>
          <w:sz w:val="11"/>
          <w:szCs w:val="11"/>
          <w:color w:val="auto"/>
        </w:rPr>
        <w:t>Core to our remuneration philosophy is a desire to pay for performance.</w:t>
      </w:r>
    </w:p>
    <w:p>
      <w:pPr>
        <w:spacing w:after="0" w:line="48" w:lineRule="exact"/>
        <w:rPr>
          <w:sz w:val="20"/>
          <w:szCs w:val="20"/>
          <w:color w:val="auto"/>
        </w:rPr>
      </w:pPr>
    </w:p>
    <w:p>
      <w:pPr>
        <w:jc w:val="both"/>
        <w:spacing w:after="0" w:line="279" w:lineRule="auto"/>
        <w:rPr>
          <w:sz w:val="20"/>
          <w:szCs w:val="20"/>
          <w:color w:val="auto"/>
        </w:rPr>
      </w:pPr>
      <w:r>
        <w:rPr>
          <w:rFonts w:ascii="Times New Roman" w:cs="Times New Roman" w:eastAsia="Times New Roman" w:hAnsi="Times New Roman"/>
          <w:sz w:val="11"/>
          <w:szCs w:val="11"/>
          <w:color w:val="auto"/>
        </w:rPr>
        <w:t>Each year we review overall total shareholder return compared with LTI vesting, mapping the performance of the plans against the total shareholder return curve.</w:t>
      </w:r>
    </w:p>
    <w:p>
      <w:pPr>
        <w:spacing w:after="0" w:line="52" w:lineRule="exact"/>
        <w:rPr>
          <w:sz w:val="20"/>
          <w:szCs w:val="20"/>
          <w:color w:val="auto"/>
        </w:rPr>
      </w:pPr>
    </w:p>
    <w:p>
      <w:pPr>
        <w:ind w:right="140"/>
        <w:spacing w:after="0" w:line="294" w:lineRule="auto"/>
        <w:rPr>
          <w:sz w:val="20"/>
          <w:szCs w:val="20"/>
          <w:color w:val="auto"/>
        </w:rPr>
      </w:pPr>
      <w:r>
        <w:rPr>
          <w:rFonts w:ascii="Times New Roman" w:cs="Times New Roman" w:eastAsia="Times New Roman" w:hAnsi="Times New Roman"/>
          <w:sz w:val="11"/>
          <w:szCs w:val="11"/>
          <w:b w:val="1"/>
          <w:bCs w:val="1"/>
          <w:color w:val="005AFF"/>
        </w:rPr>
        <w:t>Share price and total shareholder return vs long-term incentive performance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4" w:lineRule="exact"/>
        <w:rPr>
          <w:sz w:val="20"/>
          <w:szCs w:val="20"/>
          <w:color w:val="auto"/>
        </w:rPr>
      </w:pPr>
    </w:p>
    <w:p>
      <w:pPr>
        <w:spacing w:after="0"/>
        <w:tabs>
          <w:tab w:leader="none" w:pos="100" w:val="left"/>
        </w:tabs>
        <w:rPr>
          <w:sz w:val="20"/>
          <w:szCs w:val="20"/>
          <w:color w:val="auto"/>
        </w:rPr>
      </w:pPr>
      <w:r>
        <w:rPr>
          <w:rFonts w:ascii="Times New Roman" w:cs="Times New Roman" w:eastAsia="Times New Roman" w:hAnsi="Times New Roman"/>
          <w:sz w:val="8"/>
          <w:szCs w:val="8"/>
          <w:color w:val="auto"/>
        </w:rPr>
        <w:t>*</w:t>
        <w:tab/>
        <w:t>2021 LTI's performance period ended in Jan 2024. The vesting outcome of this award</w:t>
      </w:r>
    </w:p>
    <w:p>
      <w:pPr>
        <w:spacing w:after="0" w:line="1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8"/>
          <w:szCs w:val="8"/>
          <w:color w:val="auto"/>
        </w:rPr>
        <w:t>will be reported in the 2024 Remuneration Report.</w:t>
      </w:r>
    </w:p>
    <w:p>
      <w:pPr>
        <w:spacing w:after="0" w:line="4" w:lineRule="exact"/>
        <w:rPr>
          <w:sz w:val="20"/>
          <w:szCs w:val="20"/>
          <w:color w:val="auto"/>
        </w:rPr>
      </w:pPr>
    </w:p>
    <w:p>
      <w:pPr>
        <w:spacing w:after="0"/>
        <w:rPr>
          <w:sz w:val="20"/>
          <w:szCs w:val="20"/>
          <w:color w:val="auto"/>
        </w:rPr>
      </w:pPr>
      <w:r>
        <w:rPr>
          <w:rFonts w:ascii="Times New Roman" w:cs="Times New Roman" w:eastAsia="Times New Roman" w:hAnsi="Times New Roman"/>
          <w:sz w:val="8"/>
          <w:szCs w:val="8"/>
          <w:color w:val="auto"/>
        </w:rPr>
        <w:t>** 2022 and 2023 LTIs' performance periods not yet completed.</w:t>
      </w:r>
    </w:p>
    <w:p>
      <w:pPr>
        <w:spacing w:after="0" w:line="88" w:lineRule="exact"/>
        <w:rPr>
          <w:sz w:val="20"/>
          <w:szCs w:val="20"/>
          <w:color w:val="auto"/>
        </w:rPr>
      </w:pPr>
    </w:p>
    <w:p>
      <w:pPr>
        <w:ind w:right="80"/>
        <w:spacing w:after="0" w:line="275" w:lineRule="auto"/>
        <w:rPr>
          <w:sz w:val="20"/>
          <w:szCs w:val="20"/>
          <w:color w:val="auto"/>
        </w:rPr>
      </w:pPr>
      <w:r>
        <w:rPr>
          <w:rFonts w:ascii="Times New Roman" w:cs="Times New Roman" w:eastAsia="Times New Roman" w:hAnsi="Times New Roman"/>
          <w:sz w:val="11"/>
          <w:szCs w:val="11"/>
          <w:color w:val="auto"/>
        </w:rPr>
        <w:t>Looking at the performance of our long-term incentive plans against total shareholder return, there is a reasonable alignment with the performance of the plans declining as total shareholder return declines.</w:t>
      </w:r>
    </w:p>
    <w:p>
      <w:pPr>
        <w:spacing w:after="0" w:line="57" w:lineRule="exact"/>
        <w:rPr>
          <w:sz w:val="20"/>
          <w:szCs w:val="20"/>
          <w:color w:val="auto"/>
        </w:rPr>
      </w:pPr>
    </w:p>
    <w:p>
      <w:pPr>
        <w:ind w:right="80"/>
        <w:spacing w:after="0" w:line="279" w:lineRule="auto"/>
        <w:rPr>
          <w:sz w:val="20"/>
          <w:szCs w:val="20"/>
          <w:color w:val="auto"/>
        </w:rPr>
      </w:pPr>
      <w:r>
        <w:rPr>
          <w:rFonts w:ascii="Times New Roman" w:cs="Times New Roman" w:eastAsia="Times New Roman" w:hAnsi="Times New Roman"/>
          <w:sz w:val="11"/>
          <w:szCs w:val="11"/>
          <w:color w:val="auto"/>
        </w:rPr>
        <w:t>The Board continues to actively monitor the performance of our long-term incentive plans to ensure that they deliver value for shareholders.</w:t>
      </w:r>
    </w:p>
    <w:p>
      <w:pPr>
        <w:spacing w:after="0" w:line="200" w:lineRule="exact"/>
        <w:rPr>
          <w:sz w:val="20"/>
          <w:szCs w:val="20"/>
          <w:color w:val="auto"/>
        </w:rPr>
      </w:pPr>
    </w:p>
    <w:p>
      <w:pPr>
        <w:spacing w:after="0" w:line="39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71</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9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Global peer group</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global peer group used in our remuneration benchmarking</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relative TSR performance assessment consists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27 companies.</w:t>
      </w:r>
    </w:p>
    <w:p>
      <w:pPr>
        <w:spacing w:after="0" w:line="124" w:lineRule="exact"/>
        <w:rPr>
          <w:sz w:val="20"/>
          <w:szCs w:val="20"/>
          <w:color w:val="auto"/>
        </w:rPr>
      </w:pPr>
    </w:p>
    <w:tbl>
      <w:tblPr>
        <w:tblLayout w:type="fixed"/>
        <w:tblInd w:w="0" w:type="dxa"/>
        <w:tblCellMar>
          <w:top w:w="0" w:type="dxa"/>
          <w:left w:w="0" w:type="dxa"/>
          <w:bottom w:w="0" w:type="dxa"/>
          <w:right w:w="0" w:type="dxa"/>
        </w:tblCellMar>
      </w:tblPr>
      <w:tr>
        <w:trPr>
          <w:trHeight w:val="130"/>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ABB</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IBM</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Adobe</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Infineon Technologies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Airbus</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Juniper Networks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ASML</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Kone</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Atos</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Motorola Solutions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BAE Systems</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NXP Semiconductors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Capgemini</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Oracle</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Ciena</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Philips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Cisco Systems</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SAP</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Corning</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Siemens Healthineers</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Dell Technologies</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VMware</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Ericsson</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Vodafone Group</w:t>
            </w:r>
          </w:p>
        </w:tc>
      </w:tr>
      <w:tr>
        <w:trPr>
          <w:trHeight w:val="162"/>
        </w:trPr>
        <w:tc>
          <w:tcPr>
            <w:tcW w:w="14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Hewlett Packard Enterprise</w:t>
            </w:r>
          </w:p>
        </w:tc>
        <w:tc>
          <w:tcPr>
            <w:tcW w:w="186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Wärtsilä</w:t>
            </w:r>
          </w:p>
        </w:tc>
      </w:tr>
      <w:tr>
        <w:trPr>
          <w:trHeight w:val="167"/>
        </w:trPr>
        <w:tc>
          <w:tcPr>
            <w:tcW w:w="14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HP</w:t>
            </w:r>
          </w:p>
        </w:tc>
        <w:tc>
          <w:tcPr>
            <w:tcW w:w="1860" w:type="dxa"/>
            <w:vAlign w:val="bottom"/>
            <w:tcBorders>
              <w:bottom w:val="single" w:sz="8" w:color="005AFF"/>
            </w:tcBorders>
          </w:tcPr>
          <w:p>
            <w:pPr>
              <w:spacing w:after="0"/>
              <w:rPr>
                <w:sz w:val="14"/>
                <w:szCs w:val="14"/>
                <w:color w:val="auto"/>
              </w:rPr>
            </w:pPr>
          </w:p>
        </w:tc>
      </w:tr>
    </w:tbl>
    <w:p>
      <w:pPr>
        <w:sectPr>
          <w:pgSz w:w="11900" w:h="16838" w:orient="portrait"/>
          <w:cols w:equalWidth="0" w:num="2">
            <w:col w:w="2920" w:space="480"/>
            <w:col w:w="6580"/>
          </w:cols>
          <w:pgMar w:left="960" w:top="409" w:right="959" w:bottom="1440" w:gutter="0" w:footer="0" w:header="0"/>
        </w:sectPr>
      </w:pPr>
    </w:p>
    <w:bookmarkStart w:id="79" w:name="page80"/>
    <w:bookmarkEnd w:id="79"/>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72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20" w:lineRule="exact"/>
        <w:rPr>
          <w:sz w:val="20"/>
          <w:szCs w:val="20"/>
          <w:color w:val="auto"/>
        </w:rPr>
      </w:pPr>
    </w:p>
    <w:p>
      <w:pPr>
        <w:ind w:right="3620"/>
        <w:spacing w:after="0" w:line="246" w:lineRule="auto"/>
        <w:rPr>
          <w:sz w:val="20"/>
          <w:szCs w:val="20"/>
          <w:color w:val="auto"/>
        </w:rPr>
      </w:pPr>
      <w:r>
        <w:rPr>
          <w:rFonts w:ascii="Times New Roman" w:cs="Times New Roman" w:eastAsia="Times New Roman" w:hAnsi="Times New Roman"/>
          <w:sz w:val="67"/>
          <w:szCs w:val="67"/>
          <w:color w:val="FFFFFF"/>
        </w:rPr>
        <w:t>Operating and financial review and prospects</w:t>
      </w:r>
    </w:p>
    <w:p>
      <w:pPr>
        <w:spacing w:after="0" w:line="97" w:lineRule="exact"/>
        <w:rPr>
          <w:sz w:val="20"/>
          <w:szCs w:val="20"/>
          <w:color w:val="auto"/>
        </w:rPr>
      </w:pPr>
    </w:p>
    <w:tbl>
      <w:tblPr>
        <w:tblLayout w:type="fixed"/>
        <w:tblInd w:w="40" w:type="dxa"/>
        <w:tblCellMar>
          <w:top w:w="0" w:type="dxa"/>
          <w:left w:w="0" w:type="dxa"/>
          <w:bottom w:w="0" w:type="dxa"/>
          <w:right w:w="0" w:type="dxa"/>
        </w:tblCellMar>
      </w:tblP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Selected financial data</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73</w:t>
            </w:r>
          </w:p>
        </w:tc>
      </w:t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Operating and financial review</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74</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Results of operations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74</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Results of segments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77</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Network Infrastructure</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77</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Mobile Networks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78</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Cloud and Network Services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79</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Nokia Technologies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80</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Group Common and Other</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81</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Liquidity and capital resources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82</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Financial position</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82</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Cash flow</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82</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Financial assets and debt</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83</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Venture fund investments and commitments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83</w:t>
            </w:r>
          </w:p>
        </w:tc>
      </w:tr>
      <w:tr>
        <w:trPr>
          <w:trHeight w:val="121"/>
        </w:trPr>
        <w:tc>
          <w:tcPr>
            <w:tcW w:w="2300" w:type="dxa"/>
            <w:vAlign w:val="bottom"/>
          </w:tcPr>
          <w:p>
            <w:pPr>
              <w:ind w:left="180"/>
              <w:spacing w:after="0"/>
              <w:rPr>
                <w:sz w:val="20"/>
                <w:szCs w:val="20"/>
                <w:color w:val="auto"/>
              </w:rPr>
            </w:pPr>
            <w:r>
              <w:rPr>
                <w:rFonts w:ascii="Times New Roman" w:cs="Times New Roman" w:eastAsia="Times New Roman" w:hAnsi="Times New Roman"/>
                <w:sz w:val="9"/>
                <w:szCs w:val="9"/>
                <w:color w:val="FFFFFF"/>
              </w:rPr>
              <w:t>Treasury policy</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83</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Foreign exchange impact</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84</w:t>
            </w:r>
          </w:p>
        </w:tc>
      </w:t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Sustainability and corporate responsibility</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85</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Our purpose, strategy and targets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85</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Sustainability governance</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90</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Risk management</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91</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Environment</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92</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Industrial digitalization</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95</w:t>
            </w:r>
          </w:p>
        </w:tc>
      </w:tr>
      <w:tr>
        <w:trPr>
          <w:trHeight w:val="122"/>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Security and privacy</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96</w:t>
            </w:r>
          </w:p>
        </w:tc>
      </w:tr>
      <w:tr>
        <w:trPr>
          <w:trHeight w:val="13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Bridging the digital divide</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97</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Responsible business</w:t>
            </w:r>
          </w:p>
        </w:tc>
        <w:tc>
          <w:tcPr>
            <w:tcW w:w="620" w:type="dxa"/>
            <w:vAlign w:val="bottom"/>
          </w:tcPr>
          <w:p>
            <w:pPr>
              <w:ind w:left="520"/>
              <w:spacing w:after="0"/>
              <w:rPr>
                <w:sz w:val="20"/>
                <w:szCs w:val="20"/>
                <w:color w:val="auto"/>
              </w:rPr>
            </w:pPr>
            <w:r>
              <w:rPr>
                <w:rFonts w:ascii="Times New Roman" w:cs="Times New Roman" w:eastAsia="Times New Roman" w:hAnsi="Times New Roman"/>
                <w:sz w:val="9"/>
                <w:szCs w:val="9"/>
                <w:color w:val="FFFFFF"/>
                <w:w w:val="88"/>
              </w:rPr>
              <w:t>98</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Our People</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101</w:t>
            </w:r>
          </w:p>
        </w:tc>
      </w:t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Shares and shareholders</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107</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Share details</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107</w:t>
            </w:r>
          </w:p>
        </w:tc>
      </w:tr>
      <w:tr>
        <w:trPr>
          <w:trHeight w:val="121"/>
        </w:trPr>
        <w:tc>
          <w:tcPr>
            <w:tcW w:w="230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Shareholders</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110</w:t>
            </w:r>
          </w:p>
        </w:tc>
      </w:t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Articles of Association</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111</w:t>
            </w:r>
          </w:p>
        </w:tc>
      </w:tr>
      <w:tr>
        <w:trPr>
          <w:trHeight w:val="121"/>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Risk factors</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113</w:t>
            </w:r>
          </w:p>
        </w:tc>
      </w:tr>
      <w:tr>
        <w:trPr>
          <w:trHeight w:val="122"/>
        </w:trPr>
        <w:tc>
          <w:tcPr>
            <w:tcW w:w="2300" w:type="dxa"/>
            <w:vAlign w:val="bottom"/>
          </w:tcPr>
          <w:p>
            <w:pPr>
              <w:spacing w:after="0"/>
              <w:rPr>
                <w:sz w:val="20"/>
                <w:szCs w:val="20"/>
                <w:color w:val="auto"/>
              </w:rPr>
            </w:pPr>
            <w:r>
              <w:rPr>
                <w:rFonts w:ascii="Times New Roman" w:cs="Times New Roman" w:eastAsia="Times New Roman" w:hAnsi="Times New Roman"/>
                <w:sz w:val="9"/>
                <w:szCs w:val="9"/>
                <w:color w:val="FFFFFF"/>
              </w:rPr>
              <w:t>Significant subsequent events</w:t>
            </w:r>
          </w:p>
        </w:tc>
        <w:tc>
          <w:tcPr>
            <w:tcW w:w="620" w:type="dxa"/>
            <w:vAlign w:val="bottom"/>
          </w:tcPr>
          <w:p>
            <w:pPr>
              <w:ind w:left="480"/>
              <w:spacing w:after="0"/>
              <w:rPr>
                <w:sz w:val="20"/>
                <w:szCs w:val="20"/>
                <w:color w:val="auto"/>
              </w:rPr>
            </w:pPr>
            <w:r>
              <w:rPr>
                <w:rFonts w:ascii="Times New Roman" w:cs="Times New Roman" w:eastAsia="Times New Roman" w:hAnsi="Times New Roman"/>
                <w:sz w:val="9"/>
                <w:szCs w:val="9"/>
                <w:color w:val="FFFFFF"/>
                <w:w w:val="88"/>
              </w:rPr>
              <w:t>130</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9980"/>
          </w:cols>
          <w:pgMar w:left="960" w:top="409" w:right="959" w:bottom="1440" w:gutter="0" w:footer="0" w:header="0"/>
        </w:sectPr>
      </w:pPr>
    </w:p>
    <w:bookmarkStart w:id="80" w:name="page81"/>
    <w:bookmarkEnd w:id="8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Selected financial data</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Selected financial data</w:t>
      </w:r>
    </w:p>
    <w:p>
      <w:pPr>
        <w:spacing w:after="0" w:line="161"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708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This section includes selected financial and other measures for the Nokia Group as of and for each of the years in the three-year period ended</w:t>
            </w:r>
          </w:p>
        </w:tc>
        <w:tc>
          <w:tcPr>
            <w:tcW w:w="2900" w:type="dxa"/>
            <w:vAlign w:val="bottom"/>
            <w:gridSpan w:val="3"/>
          </w:tcPr>
          <w:p>
            <w:pPr>
              <w:jc w:val="right"/>
              <w:ind w:right="51"/>
              <w:spacing w:after="0"/>
              <w:rPr>
                <w:sz w:val="20"/>
                <w:szCs w:val="20"/>
                <w:color w:val="auto"/>
              </w:rPr>
            </w:pPr>
            <w:r>
              <w:rPr>
                <w:rFonts w:ascii="Times New Roman" w:cs="Times New Roman" w:eastAsia="Times New Roman" w:hAnsi="Times New Roman"/>
                <w:sz w:val="11"/>
                <w:szCs w:val="11"/>
                <w:color w:val="auto"/>
              </w:rPr>
              <w:t>31 December  2023 . The information has been derived</w:t>
            </w:r>
          </w:p>
        </w:tc>
      </w:tr>
      <w:tr>
        <w:trPr>
          <w:trHeight w:val="142"/>
        </w:trPr>
        <w:tc>
          <w:tcPr>
            <w:tcW w:w="888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from, and should be read in conjunction with, our audited consolidated financial statements prepared in accordance with IFRS. The consolidated financial statements as of 31 December</w:t>
            </w:r>
          </w:p>
        </w:tc>
        <w:tc>
          <w:tcPr>
            <w:tcW w:w="8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w:t>
            </w:r>
          </w:p>
        </w:tc>
        <w:tc>
          <w:tcPr>
            <w:tcW w:w="300" w:type="dxa"/>
            <w:vAlign w:val="bottom"/>
          </w:tcPr>
          <w:p>
            <w:pPr>
              <w:jc w:val="right"/>
              <w:ind w:right="51"/>
              <w:spacing w:after="0"/>
              <w:rPr>
                <w:sz w:val="20"/>
                <w:szCs w:val="20"/>
                <w:color w:val="auto"/>
              </w:rPr>
            </w:pPr>
            <w:r>
              <w:rPr>
                <w:rFonts w:ascii="Times New Roman" w:cs="Times New Roman" w:eastAsia="Times New Roman" w:hAnsi="Times New Roman"/>
                <w:sz w:val="11"/>
                <w:szCs w:val="11"/>
                <w:color w:val="auto"/>
              </w:rPr>
              <w:t>and</w:t>
            </w:r>
          </w:p>
        </w:tc>
      </w:tr>
      <w:tr>
        <w:trPr>
          <w:trHeight w:val="148"/>
        </w:trPr>
        <w:tc>
          <w:tcPr>
            <w:tcW w:w="2180" w:type="dxa"/>
            <w:vAlign w:val="bottom"/>
          </w:tcPr>
          <w:p>
            <w:pPr>
              <w:spacing w:after="0"/>
              <w:rPr>
                <w:sz w:val="20"/>
                <w:szCs w:val="20"/>
                <w:color w:val="auto"/>
              </w:rPr>
            </w:pPr>
            <w:r>
              <w:rPr>
                <w:rFonts w:ascii="Times New Roman" w:cs="Times New Roman" w:eastAsia="Times New Roman" w:hAnsi="Times New Roman"/>
                <w:sz w:val="11"/>
                <w:szCs w:val="11"/>
                <w:color w:val="auto"/>
              </w:rPr>
              <w:t>2022 , and for the years ended 31 December</w:t>
            </w:r>
          </w:p>
        </w:tc>
        <w:tc>
          <w:tcPr>
            <w:tcW w:w="250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2023 , 2022 and 2021 are included in this report.</w:t>
            </w:r>
          </w:p>
        </w:tc>
        <w:tc>
          <w:tcPr>
            <w:tcW w:w="320" w:type="dxa"/>
            <w:vAlign w:val="bottom"/>
          </w:tcPr>
          <w:p>
            <w:pPr>
              <w:spacing w:after="0"/>
              <w:rPr>
                <w:sz w:val="12"/>
                <w:szCs w:val="12"/>
                <w:color w:val="auto"/>
              </w:rPr>
            </w:pPr>
          </w:p>
        </w:tc>
        <w:tc>
          <w:tcPr>
            <w:tcW w:w="2080" w:type="dxa"/>
            <w:vAlign w:val="bottom"/>
          </w:tcPr>
          <w:p>
            <w:pPr>
              <w:spacing w:after="0"/>
              <w:rPr>
                <w:sz w:val="12"/>
                <w:szCs w:val="12"/>
                <w:color w:val="auto"/>
              </w:rPr>
            </w:pPr>
          </w:p>
        </w:tc>
        <w:tc>
          <w:tcPr>
            <w:tcW w:w="1800" w:type="dxa"/>
            <w:vAlign w:val="bottom"/>
          </w:tcPr>
          <w:p>
            <w:pPr>
              <w:spacing w:after="0"/>
              <w:rPr>
                <w:sz w:val="12"/>
                <w:szCs w:val="12"/>
                <w:color w:val="auto"/>
              </w:rPr>
            </w:pPr>
          </w:p>
        </w:tc>
        <w:tc>
          <w:tcPr>
            <w:tcW w:w="800" w:type="dxa"/>
            <w:vAlign w:val="bottom"/>
          </w:tcPr>
          <w:p>
            <w:pPr>
              <w:spacing w:after="0"/>
              <w:rPr>
                <w:sz w:val="12"/>
                <w:szCs w:val="12"/>
                <w:color w:val="auto"/>
              </w:rPr>
            </w:pPr>
          </w:p>
        </w:tc>
        <w:tc>
          <w:tcPr>
            <w:tcW w:w="300" w:type="dxa"/>
            <w:vAlign w:val="bottom"/>
          </w:tcPr>
          <w:p>
            <w:pPr>
              <w:spacing w:after="0"/>
              <w:rPr>
                <w:sz w:val="12"/>
                <w:szCs w:val="12"/>
                <w:color w:val="auto"/>
              </w:rPr>
            </w:pPr>
          </w:p>
        </w:tc>
      </w:tr>
      <w:tr>
        <w:trPr>
          <w:trHeight w:val="233"/>
        </w:trPr>
        <w:tc>
          <w:tcPr>
            <w:tcW w:w="218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EURm (except for percentage and personnel data)</w:t>
            </w:r>
          </w:p>
        </w:tc>
        <w:tc>
          <w:tcPr>
            <w:tcW w:w="1600" w:type="dxa"/>
            <w:vAlign w:val="bottom"/>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900" w:type="dxa"/>
            <w:vAlign w:val="bottom"/>
          </w:tcPr>
          <w:p>
            <w:pPr>
              <w:jc w:val="right"/>
              <w:ind w:right="440"/>
              <w:spacing w:after="0"/>
              <w:rPr>
                <w:sz w:val="20"/>
                <w:szCs w:val="20"/>
                <w:color w:val="auto"/>
              </w:rPr>
            </w:pPr>
            <w:r>
              <w:rPr>
                <w:rFonts w:ascii="Times New Roman" w:cs="Times New Roman" w:eastAsia="Times New Roman" w:hAnsi="Times New Roman"/>
                <w:sz w:val="8"/>
                <w:szCs w:val="8"/>
                <w:b w:val="1"/>
                <w:bCs w:val="1"/>
                <w:color w:val="005AFF"/>
              </w:rPr>
              <w:t>2022</w:t>
            </w:r>
          </w:p>
        </w:tc>
        <w:tc>
          <w:tcPr>
            <w:tcW w:w="320" w:type="dxa"/>
            <w:vAlign w:val="bottom"/>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2021</w:t>
            </w:r>
          </w:p>
        </w:tc>
        <w:tc>
          <w:tcPr>
            <w:tcW w:w="20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EURm (except for percentage and personnel data)</w:t>
            </w:r>
          </w:p>
        </w:tc>
        <w:tc>
          <w:tcPr>
            <w:tcW w:w="1800" w:type="dxa"/>
            <w:vAlign w:val="bottom"/>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0" w:type="dxa"/>
            <w:vAlign w:val="bottom"/>
          </w:tcPr>
          <w:p>
            <w:pPr>
              <w:jc w:val="right"/>
              <w:ind w:right="331"/>
              <w:spacing w:after="0"/>
              <w:rPr>
                <w:sz w:val="20"/>
                <w:szCs w:val="20"/>
                <w:color w:val="auto"/>
              </w:rPr>
            </w:pPr>
            <w:r>
              <w:rPr>
                <w:rFonts w:ascii="Times New Roman" w:cs="Times New Roman" w:eastAsia="Times New Roman" w:hAnsi="Times New Roman"/>
                <w:sz w:val="8"/>
                <w:szCs w:val="8"/>
                <w:b w:val="1"/>
                <w:bCs w:val="1"/>
                <w:color w:val="005AFF"/>
              </w:rPr>
              <w:t>2022</w:t>
            </w:r>
          </w:p>
        </w:tc>
        <w:tc>
          <w:tcPr>
            <w:tcW w:w="30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2021</w:t>
            </w:r>
          </w:p>
        </w:tc>
      </w:tr>
    </w:tbl>
    <w:p>
      <w:pPr>
        <w:spacing w:after="0" w:line="20" w:lineRule="exact"/>
        <w:rPr>
          <w:sz w:val="20"/>
          <w:szCs w:val="20"/>
          <w:color w:val="auto"/>
        </w:rPr>
      </w:pPr>
    </w:p>
    <w:p>
      <w:pPr>
        <w:sectPr>
          <w:pgSz w:w="11900" w:h="16838" w:orient="portrait"/>
          <w:cols w:equalWidth="0" w:num="1">
            <w:col w:w="10020"/>
          </w:cols>
          <w:pgMar w:left="960" w:top="409" w:right="919" w:bottom="1440" w:gutter="0" w:footer="0" w:header="0"/>
        </w:sectPr>
      </w:pPr>
    </w:p>
    <w:p>
      <w:pPr>
        <w:spacing w:after="0" w:line="16" w:lineRule="exact"/>
        <w:rPr>
          <w:sz w:val="20"/>
          <w:szCs w:val="20"/>
          <w:color w:val="auto"/>
        </w:rPr>
      </w:pPr>
    </w:p>
    <w:tbl>
      <w:tblPr>
        <w:tblLayout w:type="fixed"/>
        <w:tblInd w:w="0" w:type="dxa"/>
        <w:tblCellMar>
          <w:top w:w="0" w:type="dxa"/>
          <w:left w:w="0" w:type="dxa"/>
          <w:bottom w:w="0" w:type="dxa"/>
          <w:right w:w="0" w:type="dxa"/>
        </w:tblCellMar>
      </w:tblPr>
      <w:tr>
        <w:trPr>
          <w:trHeight w:val="132"/>
        </w:trPr>
        <w:tc>
          <w:tcPr>
            <w:tcW w:w="278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From the consolidated income statement</w:t>
            </w:r>
          </w:p>
        </w:tc>
        <w:tc>
          <w:tcPr>
            <w:tcW w:w="940" w:type="dxa"/>
            <w:vAlign w:val="bottom"/>
          </w:tcPr>
          <w:p>
            <w:pPr>
              <w:spacing w:after="0"/>
              <w:rPr>
                <w:sz w:val="11"/>
                <w:szCs w:val="11"/>
                <w:color w:val="auto"/>
              </w:rPr>
            </w:pPr>
          </w:p>
        </w:tc>
        <w:tc>
          <w:tcPr>
            <w:tcW w:w="70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22 258</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24 911</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22 202</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Operating profit</w:t>
            </w:r>
          </w:p>
        </w:tc>
        <w:tc>
          <w:tcPr>
            <w:tcW w:w="1640" w:type="dxa"/>
            <w:vAlign w:val="bottom"/>
          </w:tcPr>
          <w:p>
            <w:pPr>
              <w:spacing w:after="0"/>
              <w:rPr>
                <w:sz w:val="14"/>
                <w:szCs w:val="14"/>
                <w:color w:val="auto"/>
              </w:rPr>
            </w:pPr>
          </w:p>
        </w:tc>
        <w:tc>
          <w:tcPr>
            <w:tcW w:w="94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1 688</w:t>
            </w:r>
          </w:p>
        </w:tc>
        <w:tc>
          <w:tcPr>
            <w:tcW w:w="70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2 318</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2 158</w:t>
            </w:r>
          </w:p>
        </w:tc>
        <w:tc>
          <w:tcPr>
            <w:tcW w:w="0" w:type="dxa"/>
            <w:vAlign w:val="bottom"/>
          </w:tcPr>
          <w:p>
            <w:pPr>
              <w:spacing w:after="0"/>
              <w:rPr>
                <w:sz w:val="1"/>
                <w:szCs w:val="1"/>
                <w:color w:val="auto"/>
              </w:rPr>
            </w:pPr>
          </w:p>
        </w:tc>
      </w:tr>
      <w:tr>
        <w:trPr>
          <w:trHeight w:val="162"/>
        </w:trPr>
        <w:tc>
          <w:tcPr>
            <w:tcW w:w="11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of net sales</w:t>
            </w:r>
          </w:p>
        </w:tc>
        <w:tc>
          <w:tcPr>
            <w:tcW w:w="1640" w:type="dxa"/>
            <w:vAlign w:val="bottom"/>
          </w:tcPr>
          <w:p>
            <w:pPr>
              <w:spacing w:after="0"/>
              <w:rPr>
                <w:sz w:val="14"/>
                <w:szCs w:val="14"/>
                <w:color w:val="auto"/>
              </w:rPr>
            </w:pPr>
          </w:p>
        </w:tc>
        <w:tc>
          <w:tcPr>
            <w:tcW w:w="94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7.6%</w:t>
            </w:r>
          </w:p>
        </w:tc>
        <w:tc>
          <w:tcPr>
            <w:tcW w:w="70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9.3 %</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9.7 %</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before tax</w:t>
            </w:r>
          </w:p>
        </w:tc>
        <w:tc>
          <w:tcPr>
            <w:tcW w:w="1640" w:type="dxa"/>
            <w:vAlign w:val="bottom"/>
          </w:tcPr>
          <w:p>
            <w:pPr>
              <w:spacing w:after="0"/>
              <w:rPr>
                <w:sz w:val="14"/>
                <w:szCs w:val="14"/>
                <w:color w:val="auto"/>
              </w:rPr>
            </w:pPr>
          </w:p>
        </w:tc>
        <w:tc>
          <w:tcPr>
            <w:tcW w:w="94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1 499</w:t>
            </w:r>
          </w:p>
        </w:tc>
        <w:tc>
          <w:tcPr>
            <w:tcW w:w="70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2 184</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1 926</w:t>
            </w:r>
          </w:p>
        </w:tc>
        <w:tc>
          <w:tcPr>
            <w:tcW w:w="0" w:type="dxa"/>
            <w:vAlign w:val="bottom"/>
          </w:tcPr>
          <w:p>
            <w:pPr>
              <w:spacing w:after="0"/>
              <w:rPr>
                <w:sz w:val="1"/>
                <w:szCs w:val="1"/>
                <w:color w:val="auto"/>
              </w:rPr>
            </w:pPr>
          </w:p>
        </w:tc>
      </w:tr>
      <w:tr>
        <w:trPr>
          <w:trHeight w:val="162"/>
        </w:trPr>
        <w:tc>
          <w:tcPr>
            <w:tcW w:w="27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Profit from continuing operations</w:t>
            </w:r>
          </w:p>
        </w:tc>
        <w:tc>
          <w:tcPr>
            <w:tcW w:w="94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674</w:t>
            </w:r>
          </w:p>
        </w:tc>
        <w:tc>
          <w:tcPr>
            <w:tcW w:w="70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4 210</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1 654</w:t>
            </w:r>
          </w:p>
        </w:tc>
        <w:tc>
          <w:tcPr>
            <w:tcW w:w="0" w:type="dxa"/>
            <w:vAlign w:val="bottom"/>
          </w:tcPr>
          <w:p>
            <w:pPr>
              <w:spacing w:after="0"/>
              <w:rPr>
                <w:sz w:val="1"/>
                <w:szCs w:val="1"/>
                <w:color w:val="auto"/>
              </w:rPr>
            </w:pPr>
          </w:p>
        </w:tc>
      </w:tr>
      <w:tr>
        <w:trPr>
          <w:trHeight w:val="162"/>
        </w:trPr>
        <w:tc>
          <w:tcPr>
            <w:tcW w:w="27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Profit/(loss) from discontinued operations</w:t>
            </w:r>
          </w:p>
        </w:tc>
        <w:tc>
          <w:tcPr>
            <w:tcW w:w="94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5</w:t>
            </w:r>
          </w:p>
        </w:tc>
        <w:tc>
          <w:tcPr>
            <w:tcW w:w="70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D0D0D"/>
              </w:rPr>
              <w:t>49</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w:t>
            </w:r>
          </w:p>
        </w:tc>
        <w:tc>
          <w:tcPr>
            <w:tcW w:w="0" w:type="dxa"/>
            <w:vAlign w:val="bottom"/>
          </w:tcPr>
          <w:p>
            <w:pPr>
              <w:spacing w:after="0"/>
              <w:rPr>
                <w:sz w:val="1"/>
                <w:szCs w:val="1"/>
                <w:color w:val="auto"/>
              </w:rPr>
            </w:pPr>
          </w:p>
        </w:tc>
      </w:tr>
      <w:tr>
        <w:trPr>
          <w:trHeight w:val="167"/>
        </w:trPr>
        <w:tc>
          <w:tcPr>
            <w:tcW w:w="1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1640" w:type="dxa"/>
            <w:vAlign w:val="bottom"/>
            <w:tcBorders>
              <w:bottom w:val="single" w:sz="8" w:color="005AFF"/>
            </w:tcBorders>
          </w:tcPr>
          <w:p>
            <w:pPr>
              <w:spacing w:after="0"/>
              <w:rPr>
                <w:sz w:val="14"/>
                <w:szCs w:val="14"/>
                <w:color w:val="auto"/>
              </w:rPr>
            </w:pPr>
          </w:p>
        </w:tc>
        <w:tc>
          <w:tcPr>
            <w:tcW w:w="9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color w:val="005AFF"/>
              </w:rPr>
              <w:t>679</w:t>
            </w:r>
          </w:p>
        </w:tc>
        <w:tc>
          <w:tcPr>
            <w:tcW w:w="70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color w:val="0D0D0D"/>
              </w:rPr>
              <w:t>4 259</w:t>
            </w:r>
          </w:p>
        </w:tc>
        <w:tc>
          <w:tcPr>
            <w:tcW w:w="52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1 645</w:t>
            </w:r>
          </w:p>
        </w:tc>
        <w:tc>
          <w:tcPr>
            <w:tcW w:w="0" w:type="dxa"/>
            <w:vAlign w:val="bottom"/>
          </w:tcPr>
          <w:p>
            <w:pPr>
              <w:spacing w:after="0"/>
              <w:rPr>
                <w:sz w:val="1"/>
                <w:szCs w:val="1"/>
                <w:color w:val="auto"/>
              </w:rPr>
            </w:pPr>
          </w:p>
        </w:tc>
      </w:tr>
      <w:tr>
        <w:trPr>
          <w:trHeight w:val="137"/>
        </w:trPr>
        <w:tc>
          <w:tcPr>
            <w:tcW w:w="278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From the consolidated statement of financial position</w:t>
            </w:r>
          </w:p>
        </w:tc>
        <w:tc>
          <w:tcPr>
            <w:tcW w:w="940" w:type="dxa"/>
            <w:vAlign w:val="bottom"/>
          </w:tcPr>
          <w:p>
            <w:pPr>
              <w:spacing w:after="0"/>
              <w:rPr>
                <w:sz w:val="11"/>
                <w:szCs w:val="11"/>
                <w:color w:val="auto"/>
              </w:rPr>
            </w:pPr>
          </w:p>
        </w:tc>
        <w:tc>
          <w:tcPr>
            <w:tcW w:w="70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Non-current assets</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21 694</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22 677</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20 452</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Current assets</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18 087</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20 266</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19 597</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Assets held for sale</w:t>
            </w:r>
          </w:p>
        </w:tc>
        <w:tc>
          <w:tcPr>
            <w:tcW w:w="1640" w:type="dxa"/>
            <w:vAlign w:val="bottom"/>
          </w:tcPr>
          <w:p>
            <w:pPr>
              <w:spacing w:after="0"/>
              <w:rPr>
                <w:sz w:val="14"/>
                <w:szCs w:val="14"/>
                <w:color w:val="auto"/>
              </w:rPr>
            </w:pPr>
          </w:p>
        </w:tc>
        <w:tc>
          <w:tcPr>
            <w:tcW w:w="94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79</w:t>
            </w:r>
          </w:p>
        </w:tc>
        <w:tc>
          <w:tcPr>
            <w:tcW w:w="70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assets</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39 860</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42 943</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40 049</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shareholders' equity</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20 537</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21 333</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17 360</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1640" w:type="dxa"/>
            <w:vAlign w:val="bottom"/>
          </w:tcPr>
          <w:p>
            <w:pPr>
              <w:spacing w:after="0"/>
              <w:rPr>
                <w:sz w:val="14"/>
                <w:szCs w:val="14"/>
                <w:color w:val="auto"/>
              </w:rPr>
            </w:pPr>
          </w:p>
        </w:tc>
        <w:tc>
          <w:tcPr>
            <w:tcW w:w="94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91</w:t>
            </w:r>
          </w:p>
        </w:tc>
        <w:tc>
          <w:tcPr>
            <w:tcW w:w="70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D0D0D"/>
              </w:rPr>
              <w:t>93</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102</w:t>
            </w:r>
          </w:p>
        </w:tc>
        <w:tc>
          <w:tcPr>
            <w:tcW w:w="0" w:type="dxa"/>
            <w:vAlign w:val="bottom"/>
          </w:tcPr>
          <w:p>
            <w:pPr>
              <w:spacing w:after="0"/>
              <w:rPr>
                <w:sz w:val="1"/>
                <w:szCs w:val="1"/>
                <w:color w:val="auto"/>
              </w:rPr>
            </w:pP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equity</w:t>
            </w:r>
          </w:p>
        </w:tc>
        <w:tc>
          <w:tcPr>
            <w:tcW w:w="1640" w:type="dxa"/>
            <w:vAlign w:val="bottom"/>
          </w:tcPr>
          <w:p>
            <w:pPr>
              <w:spacing w:after="0"/>
              <w:rPr>
                <w:sz w:val="14"/>
                <w:szCs w:val="14"/>
                <w:color w:val="auto"/>
              </w:rPr>
            </w:pPr>
          </w:p>
        </w:tc>
        <w:tc>
          <w:tcPr>
            <w:tcW w:w="9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20 628</w:t>
            </w:r>
          </w:p>
        </w:tc>
        <w:tc>
          <w:tcPr>
            <w:tcW w:w="70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21 426</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17 462</w:t>
            </w:r>
          </w:p>
        </w:tc>
        <w:tc>
          <w:tcPr>
            <w:tcW w:w="0" w:type="dxa"/>
            <w:vAlign w:val="bottom"/>
          </w:tcPr>
          <w:p>
            <w:pPr>
              <w:spacing w:after="0"/>
              <w:rPr>
                <w:sz w:val="1"/>
                <w:szCs w:val="1"/>
                <w:color w:val="auto"/>
              </w:rPr>
            </w:pPr>
          </w:p>
        </w:tc>
      </w:tr>
      <w:tr>
        <w:trPr>
          <w:trHeight w:val="111"/>
        </w:trPr>
        <w:tc>
          <w:tcPr>
            <w:tcW w:w="11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Interest-bearing liabilities</w:t>
            </w:r>
          </w:p>
        </w:tc>
        <w:tc>
          <w:tcPr>
            <w:tcW w:w="1640" w:type="dxa"/>
            <w:vAlign w:val="bottom"/>
          </w:tcPr>
          <w:p>
            <w:pPr>
              <w:jc w:val="right"/>
              <w:ind w:right="1487"/>
              <w:spacing w:after="0"/>
              <w:rPr>
                <w:sz w:val="20"/>
                <w:szCs w:val="20"/>
                <w:color w:val="auto"/>
              </w:rPr>
            </w:pPr>
            <w:r>
              <w:rPr>
                <w:rFonts w:ascii="Times New Roman" w:cs="Times New Roman" w:eastAsia="Times New Roman" w:hAnsi="Times New Roman"/>
                <w:sz w:val="7"/>
                <w:szCs w:val="7"/>
                <w:color w:val="0D0D0D"/>
              </w:rPr>
              <w:t>(1)</w:t>
            </w:r>
          </w:p>
        </w:tc>
        <w:tc>
          <w:tcPr>
            <w:tcW w:w="940" w:type="dxa"/>
            <w:vAlign w:val="bottom"/>
            <w:vMerge w:val="restart"/>
          </w:tcPr>
          <w:p>
            <w:pPr>
              <w:jc w:val="right"/>
              <w:ind w:right="149"/>
              <w:spacing w:after="0"/>
              <w:rPr>
                <w:sz w:val="20"/>
                <w:szCs w:val="20"/>
                <w:color w:val="auto"/>
              </w:rPr>
            </w:pPr>
            <w:r>
              <w:rPr>
                <w:rFonts w:ascii="Times New Roman" w:cs="Times New Roman" w:eastAsia="Times New Roman" w:hAnsi="Times New Roman"/>
                <w:sz w:val="10"/>
                <w:szCs w:val="10"/>
                <w:color w:val="005AFF"/>
              </w:rPr>
              <w:t>4 191</w:t>
            </w:r>
          </w:p>
        </w:tc>
        <w:tc>
          <w:tcPr>
            <w:tcW w:w="700" w:type="dxa"/>
            <w:vAlign w:val="bottom"/>
            <w:vMerge w:val="restart"/>
          </w:tcPr>
          <w:p>
            <w:pPr>
              <w:jc w:val="right"/>
              <w:ind w:right="169"/>
              <w:spacing w:after="0"/>
              <w:rPr>
                <w:sz w:val="20"/>
                <w:szCs w:val="20"/>
                <w:color w:val="auto"/>
              </w:rPr>
            </w:pPr>
            <w:r>
              <w:rPr>
                <w:rFonts w:ascii="Times New Roman" w:cs="Times New Roman" w:eastAsia="Times New Roman" w:hAnsi="Times New Roman"/>
                <w:sz w:val="10"/>
                <w:szCs w:val="10"/>
                <w:color w:val="0D0D0D"/>
              </w:rPr>
              <w:t>4 477</w:t>
            </w:r>
          </w:p>
        </w:tc>
        <w:tc>
          <w:tcPr>
            <w:tcW w:w="5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color w:val="0D0D0D"/>
              </w:rPr>
              <w:t>4 653</w:t>
            </w:r>
          </w:p>
        </w:tc>
        <w:tc>
          <w:tcPr>
            <w:tcW w:w="0" w:type="dxa"/>
            <w:vAlign w:val="bottom"/>
          </w:tcPr>
          <w:p>
            <w:pPr>
              <w:spacing w:after="0"/>
              <w:rPr>
                <w:sz w:val="1"/>
                <w:szCs w:val="1"/>
                <w:color w:val="auto"/>
              </w:rPr>
            </w:pPr>
          </w:p>
        </w:tc>
      </w:tr>
      <w:tr>
        <w:trPr>
          <w:trHeight w:val="50"/>
        </w:trPr>
        <w:tc>
          <w:tcPr>
            <w:tcW w:w="1140" w:type="dxa"/>
            <w:vAlign w:val="bottom"/>
            <w:vMerge w:val="continue"/>
          </w:tcPr>
          <w:p>
            <w:pPr>
              <w:spacing w:after="0"/>
              <w:rPr>
                <w:sz w:val="4"/>
                <w:szCs w:val="4"/>
                <w:color w:val="auto"/>
              </w:rPr>
            </w:pPr>
          </w:p>
        </w:tc>
        <w:tc>
          <w:tcPr>
            <w:tcW w:w="1640" w:type="dxa"/>
            <w:vAlign w:val="bottom"/>
          </w:tcPr>
          <w:p>
            <w:pPr>
              <w:spacing w:after="0"/>
              <w:rPr>
                <w:sz w:val="4"/>
                <w:szCs w:val="4"/>
                <w:color w:val="auto"/>
              </w:rPr>
            </w:pPr>
          </w:p>
        </w:tc>
        <w:tc>
          <w:tcPr>
            <w:tcW w:w="940" w:type="dxa"/>
            <w:vAlign w:val="bottom"/>
            <w:vMerge w:val="continue"/>
          </w:tcPr>
          <w:p>
            <w:pPr>
              <w:spacing w:after="0"/>
              <w:rPr>
                <w:sz w:val="4"/>
                <w:szCs w:val="4"/>
                <w:color w:val="auto"/>
              </w:rPr>
            </w:pPr>
          </w:p>
        </w:tc>
        <w:tc>
          <w:tcPr>
            <w:tcW w:w="700" w:type="dxa"/>
            <w:vAlign w:val="bottom"/>
            <w:vMerge w:val="continue"/>
          </w:tcPr>
          <w:p>
            <w:pPr>
              <w:spacing w:after="0"/>
              <w:rPr>
                <w:sz w:val="4"/>
                <w:szCs w:val="4"/>
                <w:color w:val="auto"/>
              </w:rPr>
            </w:pPr>
          </w:p>
        </w:tc>
        <w:tc>
          <w:tcPr>
            <w:tcW w:w="5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95"/>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Lease liabilities </w:t>
            </w:r>
            <w:r>
              <w:rPr>
                <w:rFonts w:ascii="Times New Roman" w:cs="Times New Roman" w:eastAsia="Times New Roman" w:hAnsi="Times New Roman"/>
                <w:sz w:val="13"/>
                <w:szCs w:val="13"/>
                <w:color w:val="0D0D0D"/>
                <w:vertAlign w:val="superscript"/>
              </w:rPr>
              <w:t>(1)</w:t>
            </w:r>
          </w:p>
        </w:tc>
        <w:tc>
          <w:tcPr>
            <w:tcW w:w="1640" w:type="dxa"/>
            <w:vAlign w:val="bottom"/>
          </w:tcPr>
          <w:p>
            <w:pPr>
              <w:spacing w:after="0"/>
              <w:rPr>
                <w:sz w:val="16"/>
                <w:szCs w:val="16"/>
                <w:color w:val="auto"/>
              </w:rPr>
            </w:pPr>
          </w:p>
        </w:tc>
        <w:tc>
          <w:tcPr>
            <w:tcW w:w="94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997</w:t>
            </w:r>
          </w:p>
        </w:tc>
        <w:tc>
          <w:tcPr>
            <w:tcW w:w="70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1 042</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1 009</w:t>
            </w: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b w:val="1"/>
          <w:bCs w:val="1"/>
          <w:color w:val="005AFF"/>
        </w:rPr>
        <w:t>Key financial indicators and ratios</w:t>
      </w:r>
    </w:p>
    <w:p>
      <w:pPr>
        <w:spacing w:after="0" w:line="49" w:lineRule="exact"/>
        <w:rPr>
          <w:sz w:val="20"/>
          <w:szCs w:val="20"/>
          <w:color w:val="auto"/>
        </w:rPr>
      </w:pPr>
    </w:p>
    <w:p>
      <w:pPr>
        <w:jc w:val="center"/>
        <w:spacing w:after="0"/>
        <w:rPr>
          <w:sz w:val="20"/>
          <w:szCs w:val="20"/>
          <w:color w:val="auto"/>
        </w:rPr>
      </w:pPr>
      <w:r>
        <w:rPr>
          <w:rFonts w:ascii="Times New Roman" w:cs="Times New Roman" w:eastAsia="Times New Roman" w:hAnsi="Times New Roman"/>
          <w:sz w:val="10"/>
          <w:szCs w:val="10"/>
          <w:color w:val="0D0D0D"/>
        </w:rPr>
        <w:t>Earnings per share attributable to equity holders of the parent</w:t>
      </w:r>
    </w:p>
    <w:p>
      <w:pPr>
        <w:spacing w:after="0" w:line="47" w:lineRule="exact"/>
        <w:rPr>
          <w:sz w:val="20"/>
          <w:szCs w:val="20"/>
          <w:color w:val="auto"/>
        </w:rPr>
      </w:pPr>
    </w:p>
    <w:p>
      <w:pPr>
        <w:jc w:val="center"/>
        <w:ind w:right="920"/>
        <w:spacing w:after="0"/>
        <w:rPr>
          <w:sz w:val="20"/>
          <w:szCs w:val="20"/>
          <w:color w:val="auto"/>
        </w:rPr>
      </w:pPr>
      <w:r>
        <w:rPr>
          <w:rFonts w:ascii="Times New Roman" w:cs="Times New Roman" w:eastAsia="Times New Roman" w:hAnsi="Times New Roman"/>
          <w:sz w:val="10"/>
          <w:szCs w:val="10"/>
          <w:color w:val="0D0D0D"/>
        </w:rPr>
        <w:t>Basic earnings per share, EUR</w:t>
      </w:r>
    </w:p>
    <w:p>
      <w:pPr>
        <w:spacing w:after="0" w:line="47" w:lineRule="exact"/>
        <w:rPr>
          <w:sz w:val="20"/>
          <w:szCs w:val="20"/>
          <w:color w:val="auto"/>
        </w:rPr>
      </w:pPr>
    </w:p>
    <w:p>
      <w:pPr>
        <w:jc w:val="center"/>
        <w:ind w:right="940"/>
        <w:spacing w:after="0"/>
        <w:rPr>
          <w:sz w:val="20"/>
          <w:szCs w:val="20"/>
          <w:color w:val="auto"/>
        </w:rPr>
      </w:pPr>
      <w:r>
        <w:rPr>
          <w:rFonts w:ascii="Times New Roman" w:cs="Times New Roman" w:eastAsia="Times New Roman" w:hAnsi="Times New Roman"/>
          <w:sz w:val="10"/>
          <w:szCs w:val="10"/>
          <w:color w:val="0D0D0D"/>
        </w:rPr>
        <w:t>Continuing operations</w:t>
      </w:r>
    </w:p>
    <w:p>
      <w:pPr>
        <w:spacing w:after="0" w:line="47" w:lineRule="exact"/>
        <w:rPr>
          <w:sz w:val="20"/>
          <w:szCs w:val="20"/>
          <w:color w:val="auto"/>
        </w:rPr>
      </w:pPr>
    </w:p>
    <w:p>
      <w:pPr>
        <w:ind w:left="320"/>
        <w:spacing w:after="0"/>
        <w:rPr>
          <w:sz w:val="20"/>
          <w:szCs w:val="20"/>
          <w:color w:val="auto"/>
        </w:rPr>
      </w:pPr>
      <w:r>
        <w:rPr>
          <w:rFonts w:ascii="Times New Roman" w:cs="Times New Roman" w:eastAsia="Times New Roman" w:hAnsi="Times New Roman"/>
          <w:sz w:val="10"/>
          <w:szCs w:val="10"/>
          <w:color w:val="0D0D0D"/>
        </w:rPr>
        <w:t>Profit for the year</w:t>
      </w:r>
    </w:p>
    <w:p>
      <w:pPr>
        <w:spacing w:after="0" w:line="4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0"/>
          <w:szCs w:val="10"/>
          <w:color w:val="0D0D0D"/>
        </w:rPr>
        <w:t>Diluted earnings per share, EUR</w:t>
      </w:r>
    </w:p>
    <w:p>
      <w:pPr>
        <w:spacing w:after="0" w:line="47" w:lineRule="exact"/>
        <w:rPr>
          <w:sz w:val="20"/>
          <w:szCs w:val="20"/>
          <w:color w:val="auto"/>
        </w:rPr>
      </w:pPr>
    </w:p>
    <w:p>
      <w:pPr>
        <w:ind w:left="320"/>
        <w:spacing w:after="0"/>
        <w:rPr>
          <w:sz w:val="20"/>
          <w:szCs w:val="20"/>
          <w:color w:val="auto"/>
        </w:rPr>
      </w:pPr>
      <w:r>
        <w:rPr>
          <w:rFonts w:ascii="Times New Roman" w:cs="Times New Roman" w:eastAsia="Times New Roman" w:hAnsi="Times New Roman"/>
          <w:sz w:val="10"/>
          <w:szCs w:val="10"/>
          <w:color w:val="0D0D0D"/>
        </w:rPr>
        <w:t>Continuing operations</w:t>
      </w:r>
    </w:p>
    <w:p>
      <w:pPr>
        <w:spacing w:after="0" w:line="47" w:lineRule="exact"/>
        <w:rPr>
          <w:sz w:val="20"/>
          <w:szCs w:val="20"/>
          <w:color w:val="auto"/>
        </w:rPr>
      </w:pPr>
    </w:p>
    <w:p>
      <w:pPr>
        <w:ind w:left="320"/>
        <w:spacing w:after="0"/>
        <w:rPr>
          <w:sz w:val="20"/>
          <w:szCs w:val="20"/>
          <w:color w:val="auto"/>
        </w:rPr>
      </w:pPr>
      <w:r>
        <w:rPr>
          <w:rFonts w:ascii="Times New Roman" w:cs="Times New Roman" w:eastAsia="Times New Roman" w:hAnsi="Times New Roman"/>
          <w:sz w:val="10"/>
          <w:szCs w:val="10"/>
          <w:color w:val="0D0D0D"/>
        </w:rPr>
        <w:t>Profit for the year</w:t>
      </w:r>
    </w:p>
    <w:p>
      <w:pPr>
        <w:spacing w:after="0" w:line="42" w:lineRule="exact"/>
        <w:rPr>
          <w:sz w:val="20"/>
          <w:szCs w:val="20"/>
          <w:color w:val="auto"/>
        </w:rPr>
      </w:pPr>
    </w:p>
    <w:tbl>
      <w:tblPr>
        <w:tblLayout w:type="fixed"/>
        <w:tblInd w:w="0" w:type="dxa"/>
        <w:tblCellMar>
          <w:top w:w="0" w:type="dxa"/>
          <w:left w:w="0" w:type="dxa"/>
          <w:bottom w:w="0" w:type="dxa"/>
          <w:right w:w="0" w:type="dxa"/>
        </w:tblCellMar>
      </w:tblPr>
      <w:tr>
        <w:trPr>
          <w:trHeight w:val="85"/>
        </w:trPr>
        <w:tc>
          <w:tcPr>
            <w:tcW w:w="1480" w:type="dxa"/>
            <w:vAlign w:val="bottom"/>
            <w:gridSpan w:val="2"/>
            <w:vMerge w:val="restart"/>
          </w:tcPr>
          <w:p>
            <w:pPr>
              <w:spacing w:after="0"/>
              <w:rPr>
                <w:sz w:val="20"/>
                <w:szCs w:val="20"/>
                <w:color w:val="auto"/>
              </w:rPr>
            </w:pPr>
            <w:r>
              <w:rPr>
                <w:rFonts w:ascii="Times New Roman" w:cs="Times New Roman" w:eastAsia="Times New Roman" w:hAnsi="Times New Roman"/>
                <w:sz w:val="10"/>
                <w:szCs w:val="10"/>
                <w:color w:val="0D0D0D"/>
              </w:rPr>
              <w:t>Proposed dividend per share, EUR</w:t>
            </w:r>
          </w:p>
        </w:tc>
        <w:tc>
          <w:tcPr>
            <w:tcW w:w="740" w:type="dxa"/>
            <w:vAlign w:val="bottom"/>
          </w:tcPr>
          <w:p>
            <w:pPr>
              <w:jc w:val="right"/>
              <w:ind w:right="587"/>
              <w:spacing w:after="0"/>
              <w:rPr>
                <w:sz w:val="20"/>
                <w:szCs w:val="20"/>
                <w:color w:val="auto"/>
              </w:rPr>
            </w:pPr>
            <w:r>
              <w:rPr>
                <w:rFonts w:ascii="Times New Roman" w:cs="Times New Roman" w:eastAsia="Times New Roman" w:hAnsi="Times New Roman"/>
                <w:sz w:val="7"/>
                <w:szCs w:val="7"/>
                <w:color w:val="0D0D0D"/>
              </w:rPr>
              <w:t>(3)</w:t>
            </w:r>
          </w:p>
        </w:tc>
        <w:tc>
          <w:tcPr>
            <w:tcW w:w="24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50"/>
        </w:trPr>
        <w:tc>
          <w:tcPr>
            <w:tcW w:w="1480" w:type="dxa"/>
            <w:vAlign w:val="bottom"/>
            <w:gridSpan w:val="2"/>
            <w:vMerge w:val="continue"/>
          </w:tcPr>
          <w:p>
            <w:pPr>
              <w:spacing w:after="0"/>
              <w:rPr>
                <w:sz w:val="4"/>
                <w:szCs w:val="4"/>
                <w:color w:val="auto"/>
              </w:rPr>
            </w:pPr>
          </w:p>
        </w:tc>
        <w:tc>
          <w:tcPr>
            <w:tcW w:w="74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130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Return on capital employed %</w:t>
            </w:r>
          </w:p>
        </w:tc>
        <w:tc>
          <w:tcPr>
            <w:tcW w:w="180" w:type="dxa"/>
            <w:vAlign w:val="bottom"/>
          </w:tcPr>
          <w:p>
            <w:pPr>
              <w:jc w:val="right"/>
              <w:ind w:right="27"/>
              <w:spacing w:after="0"/>
              <w:rPr>
                <w:sz w:val="20"/>
                <w:szCs w:val="20"/>
                <w:color w:val="auto"/>
              </w:rPr>
            </w:pPr>
            <w:r>
              <w:rPr>
                <w:rFonts w:ascii="Times New Roman" w:cs="Times New Roman" w:eastAsia="Times New Roman" w:hAnsi="Times New Roman"/>
                <w:sz w:val="7"/>
                <w:szCs w:val="7"/>
                <w:color w:val="0D0D0D"/>
              </w:rPr>
              <w:t>(2)</w:t>
            </w:r>
          </w:p>
        </w:tc>
        <w:tc>
          <w:tcPr>
            <w:tcW w:w="740" w:type="dxa"/>
            <w:vAlign w:val="bottom"/>
          </w:tcPr>
          <w:p>
            <w:pPr>
              <w:spacing w:after="0"/>
              <w:rPr>
                <w:sz w:val="9"/>
                <w:szCs w:val="9"/>
                <w:color w:val="auto"/>
              </w:rPr>
            </w:pPr>
          </w:p>
        </w:tc>
        <w:tc>
          <w:tcPr>
            <w:tcW w:w="2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1300" w:type="dxa"/>
            <w:vAlign w:val="bottom"/>
            <w:vMerge w:val="continue"/>
          </w:tcPr>
          <w:p>
            <w:pPr>
              <w:spacing w:after="0"/>
              <w:rPr>
                <w:sz w:val="4"/>
                <w:szCs w:val="4"/>
                <w:color w:val="auto"/>
              </w:rPr>
            </w:pPr>
          </w:p>
        </w:tc>
        <w:tc>
          <w:tcPr>
            <w:tcW w:w="180" w:type="dxa"/>
            <w:vAlign w:val="bottom"/>
          </w:tcPr>
          <w:p>
            <w:pPr>
              <w:spacing w:after="0"/>
              <w:rPr>
                <w:sz w:val="4"/>
                <w:szCs w:val="4"/>
                <w:color w:val="auto"/>
              </w:rPr>
            </w:pPr>
          </w:p>
        </w:tc>
        <w:tc>
          <w:tcPr>
            <w:tcW w:w="74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1480" w:type="dxa"/>
            <w:vAlign w:val="bottom"/>
            <w:gridSpan w:val="2"/>
            <w:vMerge w:val="restart"/>
          </w:tcPr>
          <w:p>
            <w:pPr>
              <w:spacing w:after="0"/>
              <w:rPr>
                <w:sz w:val="20"/>
                <w:szCs w:val="20"/>
                <w:color w:val="auto"/>
              </w:rPr>
            </w:pPr>
            <w:r>
              <w:rPr>
                <w:rFonts w:ascii="Times New Roman" w:cs="Times New Roman" w:eastAsia="Times New Roman" w:hAnsi="Times New Roman"/>
                <w:sz w:val="10"/>
                <w:szCs w:val="10"/>
                <w:color w:val="0D0D0D"/>
              </w:rPr>
              <w:t>Return on shareholders’ equity %</w:t>
            </w:r>
          </w:p>
        </w:tc>
        <w:tc>
          <w:tcPr>
            <w:tcW w:w="740" w:type="dxa"/>
            <w:vAlign w:val="bottom"/>
          </w:tcPr>
          <w:p>
            <w:pPr>
              <w:jc w:val="right"/>
              <w:ind w:right="607"/>
              <w:spacing w:after="0"/>
              <w:rPr>
                <w:sz w:val="20"/>
                <w:szCs w:val="20"/>
                <w:color w:val="auto"/>
              </w:rPr>
            </w:pPr>
            <w:r>
              <w:rPr>
                <w:rFonts w:ascii="Times New Roman" w:cs="Times New Roman" w:eastAsia="Times New Roman" w:hAnsi="Times New Roman"/>
                <w:sz w:val="7"/>
                <w:szCs w:val="7"/>
                <w:color w:val="0D0D0D"/>
                <w:w w:val="97"/>
              </w:rPr>
              <w:t>(2)</w:t>
            </w:r>
          </w:p>
        </w:tc>
        <w:tc>
          <w:tcPr>
            <w:tcW w:w="2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1480" w:type="dxa"/>
            <w:vAlign w:val="bottom"/>
            <w:gridSpan w:val="2"/>
            <w:vMerge w:val="continue"/>
          </w:tcPr>
          <w:p>
            <w:pPr>
              <w:spacing w:after="0"/>
              <w:rPr>
                <w:sz w:val="4"/>
                <w:szCs w:val="4"/>
                <w:color w:val="auto"/>
              </w:rPr>
            </w:pPr>
          </w:p>
        </w:tc>
        <w:tc>
          <w:tcPr>
            <w:tcW w:w="74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89"/>
        </w:trPr>
        <w:tc>
          <w:tcPr>
            <w:tcW w:w="1300" w:type="dxa"/>
            <w:vAlign w:val="bottom"/>
          </w:tcPr>
          <w:p>
            <w:pPr>
              <w:spacing w:after="0"/>
              <w:rPr>
                <w:sz w:val="20"/>
                <w:szCs w:val="20"/>
                <w:color w:val="auto"/>
              </w:rPr>
            </w:pPr>
            <w:r>
              <w:rPr>
                <w:rFonts w:ascii="Times New Roman" w:cs="Times New Roman" w:eastAsia="Times New Roman" w:hAnsi="Times New Roman"/>
                <w:sz w:val="10"/>
                <w:szCs w:val="10"/>
                <w:color w:val="0D0D0D"/>
              </w:rPr>
              <w:t xml:space="preserve">Equity ratio % </w:t>
            </w:r>
            <w:r>
              <w:rPr>
                <w:rFonts w:ascii="Times New Roman" w:cs="Times New Roman" w:eastAsia="Times New Roman" w:hAnsi="Times New Roman"/>
                <w:sz w:val="13"/>
                <w:szCs w:val="13"/>
                <w:color w:val="0D0D0D"/>
                <w:vertAlign w:val="superscript"/>
              </w:rPr>
              <w:t>(2)</w:t>
            </w:r>
          </w:p>
        </w:tc>
        <w:tc>
          <w:tcPr>
            <w:tcW w:w="180" w:type="dxa"/>
            <w:vAlign w:val="bottom"/>
          </w:tcPr>
          <w:p>
            <w:pPr>
              <w:spacing w:after="0"/>
              <w:rPr>
                <w:sz w:val="16"/>
                <w:szCs w:val="16"/>
                <w:color w:val="auto"/>
              </w:rPr>
            </w:pPr>
          </w:p>
        </w:tc>
        <w:tc>
          <w:tcPr>
            <w:tcW w:w="740" w:type="dxa"/>
            <w:vAlign w:val="bottom"/>
          </w:tcPr>
          <w:p>
            <w:pPr>
              <w:spacing w:after="0"/>
              <w:rPr>
                <w:sz w:val="16"/>
                <w:szCs w:val="16"/>
                <w:color w:val="auto"/>
              </w:rPr>
            </w:pPr>
          </w:p>
        </w:tc>
        <w:tc>
          <w:tcPr>
            <w:tcW w:w="240" w:type="dxa"/>
            <w:vAlign w:val="bottom"/>
          </w:tcPr>
          <w:p>
            <w:pPr>
              <w:spacing w:after="0"/>
              <w:rPr>
                <w:sz w:val="16"/>
                <w:szCs w:val="16"/>
                <w:color w:val="auto"/>
              </w:rPr>
            </w:pPr>
          </w:p>
        </w:tc>
        <w:tc>
          <w:tcPr>
            <w:tcW w:w="0" w:type="dxa"/>
            <w:vAlign w:val="bottom"/>
          </w:tcPr>
          <w:p>
            <w:pPr>
              <w:spacing w:after="0"/>
              <w:rPr>
                <w:sz w:val="1"/>
                <w:szCs w:val="1"/>
                <w:color w:val="auto"/>
              </w:rPr>
            </w:pPr>
          </w:p>
        </w:tc>
      </w:tr>
      <w:tr>
        <w:trPr>
          <w:trHeight w:val="85"/>
        </w:trPr>
        <w:tc>
          <w:tcPr>
            <w:tcW w:w="130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Net debt to equity (gearing) %</w:t>
            </w:r>
          </w:p>
        </w:tc>
        <w:tc>
          <w:tcPr>
            <w:tcW w:w="180" w:type="dxa"/>
            <w:vAlign w:val="bottom"/>
          </w:tcPr>
          <w:p>
            <w:pPr>
              <w:jc w:val="right"/>
              <w:ind w:right="7"/>
              <w:spacing w:after="0"/>
              <w:rPr>
                <w:sz w:val="20"/>
                <w:szCs w:val="20"/>
                <w:color w:val="auto"/>
              </w:rPr>
            </w:pPr>
            <w:r>
              <w:rPr>
                <w:rFonts w:ascii="Times New Roman" w:cs="Times New Roman" w:eastAsia="Times New Roman" w:hAnsi="Times New Roman"/>
                <w:sz w:val="7"/>
                <w:szCs w:val="7"/>
                <w:color w:val="0D0D0D"/>
              </w:rPr>
              <w:t>(2)</w:t>
            </w:r>
          </w:p>
        </w:tc>
        <w:tc>
          <w:tcPr>
            <w:tcW w:w="740" w:type="dxa"/>
            <w:vAlign w:val="bottom"/>
          </w:tcPr>
          <w:p>
            <w:pPr>
              <w:spacing w:after="0"/>
              <w:rPr>
                <w:sz w:val="7"/>
                <w:szCs w:val="7"/>
                <w:color w:val="auto"/>
              </w:rPr>
            </w:pPr>
          </w:p>
        </w:tc>
        <w:tc>
          <w:tcPr>
            <w:tcW w:w="24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50"/>
        </w:trPr>
        <w:tc>
          <w:tcPr>
            <w:tcW w:w="1300" w:type="dxa"/>
            <w:vAlign w:val="bottom"/>
            <w:vMerge w:val="continue"/>
          </w:tcPr>
          <w:p>
            <w:pPr>
              <w:spacing w:after="0"/>
              <w:rPr>
                <w:sz w:val="4"/>
                <w:szCs w:val="4"/>
                <w:color w:val="auto"/>
              </w:rPr>
            </w:pPr>
          </w:p>
        </w:tc>
        <w:tc>
          <w:tcPr>
            <w:tcW w:w="180" w:type="dxa"/>
            <w:vAlign w:val="bottom"/>
          </w:tcPr>
          <w:p>
            <w:pPr>
              <w:spacing w:after="0"/>
              <w:rPr>
                <w:sz w:val="4"/>
                <w:szCs w:val="4"/>
                <w:color w:val="auto"/>
              </w:rPr>
            </w:pPr>
          </w:p>
        </w:tc>
        <w:tc>
          <w:tcPr>
            <w:tcW w:w="74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1300" w:type="dxa"/>
            <w:vAlign w:val="bottom"/>
          </w:tcPr>
          <w:p>
            <w:pPr>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18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24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11"/>
        </w:trPr>
        <w:tc>
          <w:tcPr>
            <w:tcW w:w="2220" w:type="dxa"/>
            <w:vAlign w:val="bottom"/>
            <w:gridSpan w:val="3"/>
            <w:vMerge w:val="restart"/>
          </w:tcPr>
          <w:p>
            <w:pPr>
              <w:spacing w:after="0"/>
              <w:rPr>
                <w:sz w:val="20"/>
                <w:szCs w:val="20"/>
                <w:color w:val="auto"/>
              </w:rPr>
            </w:pPr>
            <w:r>
              <w:rPr>
                <w:rFonts w:ascii="Times New Roman" w:cs="Times New Roman" w:eastAsia="Times New Roman" w:hAnsi="Times New Roman"/>
                <w:sz w:val="10"/>
                <w:szCs w:val="10"/>
                <w:color w:val="0D0D0D"/>
              </w:rPr>
              <w:t>Total cash and interest-bearing financial investments</w:t>
            </w:r>
          </w:p>
        </w:tc>
        <w:tc>
          <w:tcPr>
            <w:tcW w:w="240" w:type="dxa"/>
            <w:vAlign w:val="bottom"/>
          </w:tcPr>
          <w:p>
            <w:pPr>
              <w:jc w:val="right"/>
              <w:spacing w:after="0"/>
              <w:rPr>
                <w:sz w:val="20"/>
                <w:szCs w:val="20"/>
                <w:color w:val="auto"/>
              </w:rPr>
            </w:pPr>
            <w:r>
              <w:rPr>
                <w:rFonts w:ascii="Times New Roman" w:cs="Times New Roman" w:eastAsia="Times New Roman" w:hAnsi="Times New Roman"/>
                <w:sz w:val="7"/>
                <w:szCs w:val="7"/>
                <w:color w:val="0D0D0D"/>
              </w:rPr>
              <w:t>(2)</w:t>
            </w:r>
          </w:p>
        </w:tc>
        <w:tc>
          <w:tcPr>
            <w:tcW w:w="0" w:type="dxa"/>
            <w:vAlign w:val="bottom"/>
          </w:tcPr>
          <w:p>
            <w:pPr>
              <w:spacing w:after="0"/>
              <w:rPr>
                <w:sz w:val="1"/>
                <w:szCs w:val="1"/>
                <w:color w:val="auto"/>
              </w:rPr>
            </w:pPr>
          </w:p>
        </w:tc>
      </w:tr>
      <w:tr>
        <w:trPr>
          <w:trHeight w:val="50"/>
        </w:trPr>
        <w:tc>
          <w:tcPr>
            <w:tcW w:w="2220" w:type="dxa"/>
            <w:vAlign w:val="bottom"/>
            <w:gridSpan w:val="3"/>
            <w:vMerge w:val="continue"/>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2220" w:type="dxa"/>
            <w:vAlign w:val="bottom"/>
            <w:gridSpan w:val="3"/>
            <w:vMerge w:val="restart"/>
          </w:tcPr>
          <w:p>
            <w:pPr>
              <w:spacing w:after="0"/>
              <w:rPr>
                <w:sz w:val="20"/>
                <w:szCs w:val="20"/>
                <w:color w:val="auto"/>
              </w:rPr>
            </w:pPr>
            <w:r>
              <w:rPr>
                <w:rFonts w:ascii="Times New Roman" w:cs="Times New Roman" w:eastAsia="Times New Roman" w:hAnsi="Times New Roman"/>
                <w:sz w:val="10"/>
                <w:szCs w:val="10"/>
                <w:color w:val="0D0D0D"/>
              </w:rPr>
              <w:t>Net cash and interest-bearing financial investments</w:t>
            </w:r>
          </w:p>
        </w:tc>
        <w:tc>
          <w:tcPr>
            <w:tcW w:w="240" w:type="dxa"/>
            <w:vAlign w:val="bottom"/>
          </w:tcPr>
          <w:p>
            <w:pPr>
              <w:jc w:val="right"/>
              <w:ind w:right="27"/>
              <w:spacing w:after="0"/>
              <w:rPr>
                <w:sz w:val="20"/>
                <w:szCs w:val="20"/>
                <w:color w:val="auto"/>
              </w:rPr>
            </w:pPr>
            <w:r>
              <w:rPr>
                <w:rFonts w:ascii="Times New Roman" w:cs="Times New Roman" w:eastAsia="Times New Roman" w:hAnsi="Times New Roman"/>
                <w:sz w:val="7"/>
                <w:szCs w:val="7"/>
                <w:color w:val="0D0D0D"/>
              </w:rPr>
              <w:t>(2)</w:t>
            </w:r>
          </w:p>
        </w:tc>
        <w:tc>
          <w:tcPr>
            <w:tcW w:w="0" w:type="dxa"/>
            <w:vAlign w:val="bottom"/>
          </w:tcPr>
          <w:p>
            <w:pPr>
              <w:spacing w:after="0"/>
              <w:rPr>
                <w:sz w:val="1"/>
                <w:szCs w:val="1"/>
                <w:color w:val="auto"/>
              </w:rPr>
            </w:pPr>
          </w:p>
        </w:tc>
      </w:tr>
      <w:tr>
        <w:trPr>
          <w:trHeight w:val="50"/>
        </w:trPr>
        <w:tc>
          <w:tcPr>
            <w:tcW w:w="2220" w:type="dxa"/>
            <w:vAlign w:val="bottom"/>
            <w:gridSpan w:val="3"/>
            <w:vMerge w:val="continue"/>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2220" w:type="dxa"/>
            <w:vAlign w:val="bottom"/>
            <w:gridSpan w:val="3"/>
          </w:tcPr>
          <w:p>
            <w:pPr>
              <w:spacing w:after="0"/>
              <w:rPr>
                <w:sz w:val="20"/>
                <w:szCs w:val="20"/>
                <w:color w:val="auto"/>
              </w:rPr>
            </w:pPr>
            <w:r>
              <w:rPr>
                <w:rFonts w:ascii="Times New Roman" w:cs="Times New Roman" w:eastAsia="Times New Roman" w:hAnsi="Times New Roman"/>
                <w:sz w:val="10"/>
                <w:szCs w:val="10"/>
                <w:color w:val="0D0D0D"/>
              </w:rPr>
              <w:t>Net cash flows from operating activities</w:t>
            </w:r>
          </w:p>
        </w:tc>
        <w:tc>
          <w:tcPr>
            <w:tcW w:w="24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95"/>
        </w:trPr>
        <w:tc>
          <w:tcPr>
            <w:tcW w:w="1300" w:type="dxa"/>
            <w:vAlign w:val="bottom"/>
          </w:tcPr>
          <w:p>
            <w:pPr>
              <w:spacing w:after="0"/>
              <w:rPr>
                <w:sz w:val="20"/>
                <w:szCs w:val="20"/>
                <w:color w:val="auto"/>
              </w:rPr>
            </w:pPr>
            <w:r>
              <w:rPr>
                <w:rFonts w:ascii="Times New Roman" w:cs="Times New Roman" w:eastAsia="Times New Roman" w:hAnsi="Times New Roman"/>
                <w:sz w:val="10"/>
                <w:szCs w:val="10"/>
                <w:color w:val="0D0D0D"/>
              </w:rPr>
              <w:t xml:space="preserve">Free cash flow </w:t>
            </w:r>
            <w:r>
              <w:rPr>
                <w:rFonts w:ascii="Times New Roman" w:cs="Times New Roman" w:eastAsia="Times New Roman" w:hAnsi="Times New Roman"/>
                <w:sz w:val="13"/>
                <w:szCs w:val="13"/>
                <w:color w:val="0D0D0D"/>
                <w:vertAlign w:val="superscript"/>
              </w:rPr>
              <w:t>(2)(4)</w:t>
            </w:r>
          </w:p>
        </w:tc>
        <w:tc>
          <w:tcPr>
            <w:tcW w:w="180" w:type="dxa"/>
            <w:vAlign w:val="bottom"/>
          </w:tcPr>
          <w:p>
            <w:pPr>
              <w:spacing w:after="0"/>
              <w:rPr>
                <w:sz w:val="16"/>
                <w:szCs w:val="16"/>
                <w:color w:val="auto"/>
              </w:rPr>
            </w:pPr>
          </w:p>
        </w:tc>
        <w:tc>
          <w:tcPr>
            <w:tcW w:w="740" w:type="dxa"/>
            <w:vAlign w:val="bottom"/>
          </w:tcPr>
          <w:p>
            <w:pPr>
              <w:spacing w:after="0"/>
              <w:rPr>
                <w:sz w:val="16"/>
                <w:szCs w:val="16"/>
                <w:color w:val="auto"/>
              </w:rPr>
            </w:pPr>
          </w:p>
        </w:tc>
        <w:tc>
          <w:tcPr>
            <w:tcW w:w="240" w:type="dxa"/>
            <w:vAlign w:val="bottom"/>
          </w:tcPr>
          <w:p>
            <w:pPr>
              <w:spacing w:after="0"/>
              <w:rPr>
                <w:sz w:val="16"/>
                <w:szCs w:val="16"/>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633"/>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0.12</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0.75</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0.29</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0.12</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0.76</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0.29</w:t>
            </w:r>
          </w:p>
        </w:tc>
      </w:tr>
      <w:tr>
        <w:trPr>
          <w:trHeight w:val="324"/>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0.12</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0.74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0.29</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0.12</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0.75</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0.29</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0.13</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0.12</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0.08</w:t>
            </w:r>
          </w:p>
        </w:tc>
      </w:tr>
      <w:tr>
        <w:trPr>
          <w:trHeight w:val="162"/>
        </w:trPr>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6.7%</w:t>
            </w:r>
          </w:p>
        </w:tc>
        <w:tc>
          <w:tcPr>
            <w:tcW w:w="82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9.5 %</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10.1 %</w:t>
            </w:r>
          </w:p>
        </w:tc>
      </w:tr>
      <w:tr>
        <w:trPr>
          <w:trHeight w:val="162"/>
        </w:trPr>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3.2%</w:t>
            </w:r>
          </w:p>
        </w:tc>
        <w:tc>
          <w:tcPr>
            <w:tcW w:w="82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22.0 %</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10.9 %</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51.8%</w:t>
            </w:r>
          </w:p>
        </w:tc>
        <w:tc>
          <w:tcPr>
            <w:tcW w:w="82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49.9 %</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43.6 %</w:t>
            </w:r>
          </w:p>
        </w:tc>
      </w:tr>
      <w:tr>
        <w:trPr>
          <w:trHeight w:val="162"/>
        </w:trPr>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(21.0)%</w:t>
            </w:r>
          </w:p>
        </w:tc>
        <w:tc>
          <w:tcPr>
            <w:tcW w:w="82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D0D0D"/>
              </w:rPr>
              <w:t>(22.2) %</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(26.4) %</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6 234</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5 467</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6 691</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8 514</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9 244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9 268</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4 323</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4 767</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4 615</w:t>
            </w:r>
          </w:p>
        </w:tc>
      </w:tr>
      <w:tr>
        <w:trPr>
          <w:trHeight w:val="16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1 317</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1 474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2 625</w:t>
            </w:r>
          </w:p>
        </w:tc>
      </w:tr>
      <w:tr>
        <w:trPr>
          <w:trHeight w:val="172"/>
        </w:trPr>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665</w:t>
            </w:r>
          </w:p>
        </w:tc>
        <w:tc>
          <w:tcPr>
            <w:tcW w:w="8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873</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2 065</w:t>
            </w:r>
          </w:p>
        </w:tc>
      </w:tr>
    </w:tbl>
    <w:p>
      <w:pPr>
        <w:spacing w:after="0" w:line="23" w:lineRule="exact"/>
        <w:rPr>
          <w:sz w:val="20"/>
          <w:szCs w:val="20"/>
          <w:color w:val="auto"/>
        </w:rPr>
      </w:pPr>
    </w:p>
    <w:p>
      <w:pPr>
        <w:sectPr>
          <w:pgSz w:w="11900" w:h="16838" w:orient="portrait"/>
          <w:cols w:equalWidth="0" w:num="3">
            <w:col w:w="4940" w:space="200"/>
            <w:col w:w="2480" w:space="400"/>
            <w:col w:w="2000"/>
          </w:cols>
          <w:pgMar w:left="960" w:top="409" w:right="919" w:bottom="1440" w:gutter="0" w:footer="0" w:header="0"/>
          <w:type w:val="continuous"/>
        </w:sectPr>
      </w:pPr>
    </w:p>
    <w:tbl>
      <w:tblPr>
        <w:tblLayout w:type="fixed"/>
        <w:tblInd w:w="0" w:type="dxa"/>
        <w:tblCellMar>
          <w:top w:w="0" w:type="dxa"/>
          <w:left w:w="0" w:type="dxa"/>
          <w:bottom w:w="0" w:type="dxa"/>
          <w:right w:w="0" w:type="dxa"/>
        </w:tblCellMar>
      </w:tblPr>
      <w:tr>
        <w:trPr>
          <w:trHeight w:val="156"/>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Provisions </w:t>
            </w:r>
            <w:r>
              <w:rPr>
                <w:rFonts w:ascii="Times New Roman" w:cs="Times New Roman" w:eastAsia="Times New Roman" w:hAnsi="Times New Roman"/>
                <w:sz w:val="13"/>
                <w:szCs w:val="13"/>
                <w:color w:val="0D0D0D"/>
                <w:vertAlign w:val="superscript"/>
              </w:rPr>
              <w:t>(1)</w:t>
            </w:r>
          </w:p>
        </w:tc>
        <w:tc>
          <w:tcPr>
            <w:tcW w:w="1300" w:type="dxa"/>
            <w:vAlign w:val="bottom"/>
          </w:tcPr>
          <w:p>
            <w:pPr>
              <w:ind w:left="860"/>
              <w:spacing w:after="0"/>
              <w:rPr>
                <w:sz w:val="20"/>
                <w:szCs w:val="20"/>
                <w:color w:val="auto"/>
              </w:rPr>
            </w:pPr>
            <w:r>
              <w:rPr>
                <w:rFonts w:ascii="Times New Roman" w:cs="Times New Roman" w:eastAsia="Times New Roman" w:hAnsi="Times New Roman"/>
                <w:sz w:val="10"/>
                <w:szCs w:val="10"/>
                <w:color w:val="005AFF"/>
              </w:rPr>
              <w:t>1 262</w:t>
            </w:r>
          </w:p>
        </w:tc>
        <w:tc>
          <w:tcPr>
            <w:tcW w:w="68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1 435</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1 569</w:t>
            </w:r>
          </w:p>
        </w:tc>
      </w:tr>
      <w:tr>
        <w:trPr>
          <w:trHeight w:val="167"/>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Other liabilities </w:t>
            </w:r>
            <w:r>
              <w:rPr>
                <w:rFonts w:ascii="Times New Roman" w:cs="Times New Roman" w:eastAsia="Times New Roman" w:hAnsi="Times New Roman"/>
                <w:sz w:val="13"/>
                <w:szCs w:val="13"/>
                <w:color w:val="0D0D0D"/>
                <w:vertAlign w:val="superscript"/>
              </w:rPr>
              <w:t>(1)</w:t>
            </w:r>
          </w:p>
        </w:tc>
        <w:tc>
          <w:tcPr>
            <w:tcW w:w="1300" w:type="dxa"/>
            <w:vAlign w:val="bottom"/>
          </w:tcPr>
          <w:p>
            <w:pPr>
              <w:ind w:left="800"/>
              <w:spacing w:after="0"/>
              <w:rPr>
                <w:sz w:val="20"/>
                <w:szCs w:val="20"/>
                <w:color w:val="auto"/>
              </w:rPr>
            </w:pPr>
            <w:r>
              <w:rPr>
                <w:rFonts w:ascii="Times New Roman" w:cs="Times New Roman" w:eastAsia="Times New Roman" w:hAnsi="Times New Roman"/>
                <w:sz w:val="10"/>
                <w:szCs w:val="10"/>
                <w:color w:val="005AFF"/>
              </w:rPr>
              <w:t>12 782</w:t>
            </w:r>
          </w:p>
        </w:tc>
        <w:tc>
          <w:tcPr>
            <w:tcW w:w="68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14 563</w:t>
            </w:r>
          </w:p>
        </w:tc>
        <w:tc>
          <w:tcPr>
            <w:tcW w:w="52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15 356</w:t>
            </w:r>
          </w:p>
        </w:tc>
      </w:tr>
      <w:tr>
        <w:trPr>
          <w:trHeight w:val="135"/>
        </w:trPr>
        <w:tc>
          <w:tcPr>
            <w:tcW w:w="2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 shareholders’ equity and liabilities</w:t>
            </w:r>
          </w:p>
        </w:tc>
        <w:tc>
          <w:tcPr>
            <w:tcW w:w="1300" w:type="dxa"/>
            <w:vAlign w:val="bottom"/>
            <w:tcBorders>
              <w:bottom w:val="single" w:sz="8" w:color="005AFF"/>
            </w:tcBorders>
          </w:tcPr>
          <w:p>
            <w:pPr>
              <w:ind w:left="800"/>
              <w:spacing w:after="0"/>
              <w:rPr>
                <w:sz w:val="20"/>
                <w:szCs w:val="20"/>
                <w:color w:val="auto"/>
              </w:rPr>
            </w:pPr>
            <w:r>
              <w:rPr>
                <w:rFonts w:ascii="Times New Roman" w:cs="Times New Roman" w:eastAsia="Times New Roman" w:hAnsi="Times New Roman"/>
                <w:sz w:val="10"/>
                <w:szCs w:val="10"/>
                <w:color w:val="005AFF"/>
              </w:rPr>
              <w:t>39 860</w:t>
            </w:r>
          </w:p>
        </w:tc>
        <w:tc>
          <w:tcPr>
            <w:tcW w:w="68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10"/>
                <w:szCs w:val="10"/>
                <w:color w:val="0D0D0D"/>
              </w:rPr>
              <w:t>42 943</w:t>
            </w:r>
          </w:p>
        </w:tc>
        <w:tc>
          <w:tcPr>
            <w:tcW w:w="52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10"/>
                <w:szCs w:val="10"/>
                <w:color w:val="0D0D0D"/>
              </w:rPr>
              <w:t>40 049</w:t>
            </w:r>
          </w:p>
        </w:tc>
      </w:tr>
      <w:tr>
        <w:trPr>
          <w:trHeight w:val="137"/>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Other information</w:t>
            </w:r>
          </w:p>
        </w:tc>
        <w:tc>
          <w:tcPr>
            <w:tcW w:w="130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520" w:type="dxa"/>
            <w:vAlign w:val="bottom"/>
          </w:tcPr>
          <w:p>
            <w:pPr>
              <w:spacing w:after="0"/>
              <w:rPr>
                <w:sz w:val="11"/>
                <w:szCs w:val="11"/>
                <w:color w:val="auto"/>
              </w:rPr>
            </w:pPr>
          </w:p>
        </w:tc>
      </w:tr>
      <w:tr>
        <w:trPr>
          <w:trHeight w:val="162"/>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1300" w:type="dxa"/>
            <w:vAlign w:val="bottom"/>
          </w:tcPr>
          <w:p>
            <w:pPr>
              <w:ind w:left="800"/>
              <w:spacing w:after="0"/>
              <w:rPr>
                <w:sz w:val="20"/>
                <w:szCs w:val="20"/>
                <w:color w:val="auto"/>
              </w:rPr>
            </w:pPr>
            <w:r>
              <w:rPr>
                <w:rFonts w:ascii="Times New Roman" w:cs="Times New Roman" w:eastAsia="Times New Roman" w:hAnsi="Times New Roman"/>
                <w:sz w:val="10"/>
                <w:szCs w:val="10"/>
                <w:color w:val="005AFF"/>
              </w:rPr>
              <w:t>(4 327)</w:t>
            </w:r>
          </w:p>
        </w:tc>
        <w:tc>
          <w:tcPr>
            <w:tcW w:w="680" w:type="dxa"/>
            <w:vAlign w:val="bottom"/>
          </w:tcPr>
          <w:p>
            <w:pPr>
              <w:ind w:left="180"/>
              <w:spacing w:after="0"/>
              <w:rPr>
                <w:sz w:val="20"/>
                <w:szCs w:val="20"/>
                <w:color w:val="auto"/>
              </w:rPr>
            </w:pPr>
            <w:r>
              <w:rPr>
                <w:rFonts w:ascii="Times New Roman" w:cs="Times New Roman" w:eastAsia="Times New Roman" w:hAnsi="Times New Roman"/>
                <w:sz w:val="10"/>
                <w:szCs w:val="10"/>
                <w:color w:val="0D0D0D"/>
              </w:rPr>
              <w:t>(4 550)</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(4 214)</w:t>
            </w:r>
          </w:p>
        </w:tc>
      </w:tr>
      <w:tr>
        <w:trPr>
          <w:trHeight w:val="162"/>
        </w:trPr>
        <w:tc>
          <w:tcPr>
            <w:tcW w:w="24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of net sales</w:t>
            </w:r>
          </w:p>
        </w:tc>
        <w:tc>
          <w:tcPr>
            <w:tcW w:w="1300" w:type="dxa"/>
            <w:vAlign w:val="bottom"/>
          </w:tcPr>
          <w:p>
            <w:pPr>
              <w:ind w:left="780"/>
              <w:spacing w:after="0"/>
              <w:rPr>
                <w:sz w:val="20"/>
                <w:szCs w:val="20"/>
                <w:color w:val="auto"/>
              </w:rPr>
            </w:pPr>
            <w:r>
              <w:rPr>
                <w:rFonts w:ascii="Times New Roman" w:cs="Times New Roman" w:eastAsia="Times New Roman" w:hAnsi="Times New Roman"/>
                <w:sz w:val="10"/>
                <w:szCs w:val="10"/>
                <w:color w:val="005AFF"/>
              </w:rPr>
              <w:t>(19.4) %</w:t>
            </w:r>
          </w:p>
        </w:tc>
        <w:tc>
          <w:tcPr>
            <w:tcW w:w="68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(18.3) %</w:t>
            </w:r>
          </w:p>
        </w:tc>
        <w:tc>
          <w:tcPr>
            <w:tcW w:w="52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7"/>
              </w:rPr>
              <w:t>(19.0) %</w:t>
            </w:r>
          </w:p>
        </w:tc>
      </w:tr>
      <w:tr>
        <w:trPr>
          <w:trHeight w:val="194"/>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Capital expenditure  </w:t>
            </w:r>
            <w:r>
              <w:rPr>
                <w:rFonts w:ascii="Times New Roman" w:cs="Times New Roman" w:eastAsia="Times New Roman" w:hAnsi="Times New Roman"/>
                <w:sz w:val="13"/>
                <w:szCs w:val="13"/>
                <w:color w:val="0D0D0D"/>
                <w:vertAlign w:val="superscript"/>
              </w:rPr>
              <w:t>(2)</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05AFF"/>
              </w:rPr>
              <w:t>(652)</w:t>
            </w:r>
          </w:p>
        </w:tc>
        <w:tc>
          <w:tcPr>
            <w:tcW w:w="68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(601)</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(560)</w:t>
            </w:r>
          </w:p>
        </w:tc>
      </w:tr>
      <w:tr>
        <w:trPr>
          <w:trHeight w:val="130"/>
        </w:trPr>
        <w:tc>
          <w:tcPr>
            <w:tcW w:w="24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of net sales</w:t>
            </w:r>
          </w:p>
        </w:tc>
        <w:tc>
          <w:tcPr>
            <w:tcW w:w="1300" w:type="dxa"/>
            <w:vAlign w:val="bottom"/>
          </w:tcPr>
          <w:p>
            <w:pPr>
              <w:ind w:left="840"/>
              <w:spacing w:after="0"/>
              <w:rPr>
                <w:sz w:val="20"/>
                <w:szCs w:val="20"/>
                <w:color w:val="auto"/>
              </w:rPr>
            </w:pPr>
            <w:r>
              <w:rPr>
                <w:rFonts w:ascii="Times New Roman" w:cs="Times New Roman" w:eastAsia="Times New Roman" w:hAnsi="Times New Roman"/>
                <w:sz w:val="10"/>
                <w:szCs w:val="10"/>
                <w:color w:val="005AFF"/>
              </w:rPr>
              <w:t>(2.9)%</w:t>
            </w:r>
          </w:p>
        </w:tc>
        <w:tc>
          <w:tcPr>
            <w:tcW w:w="68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(2.4)%</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(2.5)%</w:t>
            </w:r>
          </w:p>
        </w:tc>
      </w:tr>
      <w:tr>
        <w:trPr>
          <w:trHeight w:val="162"/>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Personnel expenses</w:t>
            </w:r>
          </w:p>
        </w:tc>
        <w:tc>
          <w:tcPr>
            <w:tcW w:w="1300" w:type="dxa"/>
            <w:vAlign w:val="bottom"/>
          </w:tcPr>
          <w:p>
            <w:pPr>
              <w:ind w:left="800"/>
              <w:spacing w:after="0"/>
              <w:rPr>
                <w:sz w:val="20"/>
                <w:szCs w:val="20"/>
                <w:color w:val="auto"/>
              </w:rPr>
            </w:pPr>
            <w:r>
              <w:rPr>
                <w:rFonts w:ascii="Times New Roman" w:cs="Times New Roman" w:eastAsia="Times New Roman" w:hAnsi="Times New Roman"/>
                <w:sz w:val="10"/>
                <w:szCs w:val="10"/>
                <w:color w:val="005AFF"/>
              </w:rPr>
              <w:t>(7 470)</w:t>
            </w:r>
          </w:p>
        </w:tc>
        <w:tc>
          <w:tcPr>
            <w:tcW w:w="680" w:type="dxa"/>
            <w:vAlign w:val="bottom"/>
          </w:tcPr>
          <w:p>
            <w:pPr>
              <w:ind w:left="180"/>
              <w:spacing w:after="0"/>
              <w:rPr>
                <w:sz w:val="20"/>
                <w:szCs w:val="20"/>
                <w:color w:val="auto"/>
              </w:rPr>
            </w:pPr>
            <w:r>
              <w:rPr>
                <w:rFonts w:ascii="Times New Roman" w:cs="Times New Roman" w:eastAsia="Times New Roman" w:hAnsi="Times New Roman"/>
                <w:sz w:val="10"/>
                <w:szCs w:val="10"/>
                <w:color w:val="0D0D0D"/>
              </w:rPr>
              <w:t>(7 903)</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(7 541)</w:t>
            </w:r>
          </w:p>
        </w:tc>
      </w:tr>
      <w:tr>
        <w:trPr>
          <w:trHeight w:val="162"/>
        </w:trPr>
        <w:tc>
          <w:tcPr>
            <w:tcW w:w="2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Average number of employees</w:t>
            </w:r>
          </w:p>
        </w:tc>
        <w:tc>
          <w:tcPr>
            <w:tcW w:w="1300" w:type="dxa"/>
            <w:vAlign w:val="bottom"/>
          </w:tcPr>
          <w:p>
            <w:pPr>
              <w:ind w:left="800"/>
              <w:spacing w:after="0"/>
              <w:rPr>
                <w:sz w:val="20"/>
                <w:szCs w:val="20"/>
                <w:color w:val="auto"/>
              </w:rPr>
            </w:pPr>
            <w:r>
              <w:rPr>
                <w:rFonts w:ascii="Times New Roman" w:cs="Times New Roman" w:eastAsia="Times New Roman" w:hAnsi="Times New Roman"/>
                <w:sz w:val="10"/>
                <w:szCs w:val="10"/>
                <w:color w:val="005AFF"/>
              </w:rPr>
              <w:t>86 689</w:t>
            </w:r>
          </w:p>
        </w:tc>
        <w:tc>
          <w:tcPr>
            <w:tcW w:w="68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86 896</w:t>
            </w:r>
          </w:p>
        </w:tc>
        <w:tc>
          <w:tcPr>
            <w:tcW w:w="52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87 927</w:t>
            </w:r>
          </w:p>
        </w:tc>
      </w:tr>
      <w:tr>
        <w:trPr>
          <w:trHeight w:val="167"/>
        </w:trPr>
        <w:tc>
          <w:tcPr>
            <w:tcW w:w="2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Order backlog, EUR billion</w:t>
            </w:r>
          </w:p>
        </w:tc>
        <w:tc>
          <w:tcPr>
            <w:tcW w:w="1300" w:type="dxa"/>
            <w:vAlign w:val="bottom"/>
            <w:tcBorders>
              <w:bottom w:val="single" w:sz="8" w:color="005AFF"/>
            </w:tcBorders>
          </w:tcPr>
          <w:p>
            <w:pPr>
              <w:ind w:left="920"/>
              <w:spacing w:after="0"/>
              <w:rPr>
                <w:sz w:val="20"/>
                <w:szCs w:val="20"/>
                <w:color w:val="auto"/>
              </w:rPr>
            </w:pPr>
            <w:r>
              <w:rPr>
                <w:rFonts w:ascii="Times New Roman" w:cs="Times New Roman" w:eastAsia="Times New Roman" w:hAnsi="Times New Roman"/>
                <w:sz w:val="10"/>
                <w:szCs w:val="10"/>
                <w:color w:val="005AFF"/>
              </w:rPr>
              <w:t>22.0</w:t>
            </w:r>
          </w:p>
        </w:tc>
        <w:tc>
          <w:tcPr>
            <w:tcW w:w="680" w:type="dxa"/>
            <w:vAlign w:val="bottom"/>
            <w:tcBorders>
              <w:bottom w:val="single" w:sz="8" w:color="005AFF"/>
            </w:tcBorders>
          </w:tcPr>
          <w:p>
            <w:pPr>
              <w:ind w:left="280"/>
              <w:spacing w:after="0"/>
              <w:rPr>
                <w:sz w:val="20"/>
                <w:szCs w:val="20"/>
                <w:color w:val="auto"/>
              </w:rPr>
            </w:pPr>
            <w:r>
              <w:rPr>
                <w:rFonts w:ascii="Times New Roman" w:cs="Times New Roman" w:eastAsia="Times New Roman" w:hAnsi="Times New Roman"/>
                <w:sz w:val="10"/>
                <w:szCs w:val="10"/>
                <w:color w:val="0D0D0D"/>
              </w:rPr>
              <w:t>19.5</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20.3</w:t>
            </w:r>
          </w:p>
        </w:tc>
      </w:tr>
    </w:tbl>
    <w:p>
      <w:pPr>
        <w:spacing w:after="0" w:line="20" w:lineRule="exact"/>
        <w:rPr>
          <w:sz w:val="20"/>
          <w:szCs w:val="20"/>
          <w:color w:val="auto"/>
        </w:rPr>
      </w:pPr>
      <w:r>
        <w:rPr>
          <w:sz w:val="20"/>
          <w:szCs w:val="20"/>
          <w:color w:val="auto"/>
        </w:rPr>
        <w:br w:type="column"/>
      </w:r>
    </w:p>
    <w:p>
      <w:pPr>
        <w:ind w:left="198" w:hanging="198"/>
        <w:spacing w:after="0"/>
        <w:tabs>
          <w:tab w:leader="none" w:pos="198" w:val="left"/>
        </w:tabs>
        <w:numPr>
          <w:ilvl w:val="0"/>
          <w:numId w:val="5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both current and non-current liabilities in the consolidated statement of financial position.</w:t>
      </w:r>
    </w:p>
    <w:p>
      <w:pPr>
        <w:spacing w:after="0" w:line="12" w:lineRule="exact"/>
        <w:rPr>
          <w:rFonts w:ascii="Times New Roman" w:cs="Times New Roman" w:eastAsia="Times New Roman" w:hAnsi="Times New Roman"/>
          <w:sz w:val="8"/>
          <w:szCs w:val="8"/>
          <w:color w:val="auto"/>
        </w:rPr>
      </w:pPr>
    </w:p>
    <w:p>
      <w:pPr>
        <w:ind w:left="198" w:right="540" w:hanging="198"/>
        <w:spacing w:after="0" w:line="257" w:lineRule="auto"/>
        <w:tabs>
          <w:tab w:leader="none" w:pos="198" w:val="left"/>
        </w:tabs>
        <w:numPr>
          <w:ilvl w:val="0"/>
          <w:numId w:val="5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Non-IFRS measures. For the definition and reconciliation of non-IFRS measures to the most directly comparable IFRS measures, refer to the ”Alternative performance measures” section.</w:t>
      </w:r>
    </w:p>
    <w:p>
      <w:pPr>
        <w:ind w:left="198" w:hanging="198"/>
        <w:spacing w:after="0"/>
        <w:tabs>
          <w:tab w:leader="none" w:pos="198" w:val="left"/>
        </w:tabs>
        <w:numPr>
          <w:ilvl w:val="0"/>
          <w:numId w:val="5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Board of Directors proposes to the Annual General Meeting to be authorized to decide in its discretion on the distribution of</w:t>
      </w:r>
    </w:p>
    <w:p>
      <w:pPr>
        <w:spacing w:after="0" w:line="4" w:lineRule="exact"/>
        <w:rPr>
          <w:sz w:val="20"/>
          <w:szCs w:val="20"/>
          <w:color w:val="auto"/>
        </w:rPr>
      </w:pPr>
    </w:p>
    <w:p>
      <w:pPr>
        <w:ind w:left="198" w:right="660"/>
        <w:spacing w:after="0" w:line="250" w:lineRule="auto"/>
        <w:rPr>
          <w:sz w:val="20"/>
          <w:szCs w:val="20"/>
          <w:color w:val="auto"/>
        </w:rPr>
      </w:pPr>
      <w:r>
        <w:rPr>
          <w:rFonts w:ascii="Times New Roman" w:cs="Times New Roman" w:eastAsia="Times New Roman" w:hAnsi="Times New Roman"/>
          <w:sz w:val="8"/>
          <w:szCs w:val="8"/>
          <w:color w:val="auto"/>
        </w:rPr>
        <w:t>an aggregate maximum of EUR 0.13 per share as dividend from the retained earnings and/or as assets from the reserve for invested unrestricted equity.</w:t>
      </w:r>
    </w:p>
    <w:p>
      <w:pPr>
        <w:ind w:left="198" w:hanging="198"/>
        <w:spacing w:after="0"/>
        <w:tabs>
          <w:tab w:leader="none" w:pos="198" w:val="left"/>
        </w:tabs>
        <w:numPr>
          <w:ilvl w:val="0"/>
          <w:numId w:val="5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Free cash flow is calculated according to the new definition, refer to the “Alternative performance section” for details.</w:t>
      </w:r>
    </w:p>
    <w:p>
      <w:pPr>
        <w:spacing w:after="0" w:line="1267" w:lineRule="exact"/>
        <w:rPr>
          <w:sz w:val="20"/>
          <w:szCs w:val="20"/>
          <w:color w:val="auto"/>
        </w:rPr>
      </w:pPr>
    </w:p>
    <w:p>
      <w:pPr>
        <w:sectPr>
          <w:pgSz w:w="11900" w:h="16838" w:orient="portrait"/>
          <w:cols w:equalWidth="0" w:num="2">
            <w:col w:w="4940" w:space="162"/>
            <w:col w:w="4918"/>
          </w:cols>
          <w:pgMar w:left="960" w:top="409" w:right="919" w:bottom="1440" w:gutter="0" w:footer="0" w:header="0"/>
          <w:type w:val="continuous"/>
        </w:sectPr>
      </w:pPr>
    </w:p>
    <w:p>
      <w:pPr>
        <w:spacing w:after="0" w:line="3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20"/>
          </w:cols>
          <w:pgMar w:left="960" w:top="409" w:right="919" w:bottom="1440" w:gutter="0" w:footer="0" w:header="0"/>
          <w:type w:val="continuous"/>
        </w:sectPr>
      </w:pPr>
    </w:p>
    <w:bookmarkStart w:id="81" w:name="page82"/>
    <w:bookmarkEnd w:id="8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74</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Operating and financial review</w:t>
      </w:r>
    </w:p>
    <w:p>
      <w:pPr>
        <w:spacing w:after="0" w:line="161" w:lineRule="exact"/>
        <w:rPr>
          <w:sz w:val="20"/>
          <w:szCs w:val="20"/>
          <w:color w:val="auto"/>
        </w:rPr>
      </w:pPr>
    </w:p>
    <w:p>
      <w:pPr>
        <w:spacing w:after="0"/>
        <w:tabs>
          <w:tab w:leader="none" w:pos="6400" w:val="left"/>
        </w:tabs>
        <w:rPr>
          <w:sz w:val="20"/>
          <w:szCs w:val="20"/>
          <w:color w:val="auto"/>
        </w:rPr>
      </w:pPr>
      <w:r>
        <w:rPr>
          <w:rFonts w:ascii="Times New Roman" w:cs="Times New Roman" w:eastAsia="Times New Roman" w:hAnsi="Times New Roman"/>
          <w:sz w:val="11"/>
          <w:szCs w:val="11"/>
          <w:color w:val="auto"/>
        </w:rPr>
        <w:t>The financial information included in this “Operating and financial review” section as of and for the years ended 31 December</w:t>
      </w:r>
      <w:r>
        <w:rPr>
          <w:sz w:val="20"/>
          <w:szCs w:val="20"/>
          <w:color w:val="auto"/>
        </w:rPr>
        <w:tab/>
      </w:r>
      <w:r>
        <w:rPr>
          <w:rFonts w:ascii="Times New Roman" w:cs="Times New Roman" w:eastAsia="Times New Roman" w:hAnsi="Times New Roman"/>
          <w:sz w:val="11"/>
          <w:szCs w:val="11"/>
          <w:color w:val="auto"/>
        </w:rPr>
        <w:t>2023 and 2022 has been derived from our audited consolidated</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financial statements included in this report. The financial information should be read in conjunction with, and is qualified in its entirety by reference to, our audited consolidated financial</w:t>
      </w:r>
    </w:p>
    <w:p>
      <w:pPr>
        <w:spacing w:after="0" w:line="10" w:lineRule="exact"/>
        <w:rPr>
          <w:sz w:val="20"/>
          <w:szCs w:val="20"/>
          <w:color w:val="auto"/>
        </w:rPr>
      </w:pPr>
    </w:p>
    <w:p>
      <w:pPr>
        <w:spacing w:after="0"/>
        <w:tabs>
          <w:tab w:leader="none" w:pos="620" w:val="left"/>
          <w:tab w:leader="none" w:pos="3120" w:val="left"/>
          <w:tab w:leader="none" w:pos="5640" w:val="left"/>
        </w:tabs>
        <w:rPr>
          <w:sz w:val="20"/>
          <w:szCs w:val="20"/>
          <w:color w:val="auto"/>
        </w:rPr>
      </w:pPr>
      <w:r>
        <w:rPr>
          <w:rFonts w:ascii="Times New Roman" w:cs="Times New Roman" w:eastAsia="Times New Roman" w:hAnsi="Times New Roman"/>
          <w:sz w:val="11"/>
          <w:szCs w:val="11"/>
          <w:color w:val="auto"/>
        </w:rPr>
        <w:t>statements.</w:t>
        <w:tab/>
        <w:t>For a discussion of the year ended 31 December</w:t>
      </w:r>
      <w:r>
        <w:rPr>
          <w:sz w:val="20"/>
          <w:szCs w:val="20"/>
          <w:color w:val="auto"/>
        </w:rPr>
        <w:tab/>
      </w:r>
      <w:r>
        <w:rPr>
          <w:rFonts w:ascii="Times New Roman" w:cs="Times New Roman" w:eastAsia="Times New Roman" w:hAnsi="Times New Roman"/>
          <w:sz w:val="11"/>
          <w:szCs w:val="11"/>
          <w:color w:val="auto"/>
        </w:rPr>
        <w:t>2022 compared to the year ended 31 December</w:t>
      </w:r>
      <w:r>
        <w:rPr>
          <w:sz w:val="20"/>
          <w:szCs w:val="20"/>
          <w:color w:val="auto"/>
        </w:rPr>
        <w:tab/>
      </w:r>
      <w:r>
        <w:rPr>
          <w:rFonts w:ascii="Times New Roman" w:cs="Times New Roman" w:eastAsia="Times New Roman" w:hAnsi="Times New Roman"/>
          <w:sz w:val="11"/>
          <w:szCs w:val="11"/>
          <w:color w:val="auto"/>
        </w:rPr>
        <w:t>2021 , please refer to the “Operating and financial review” section of our Annual</w:t>
      </w:r>
    </w:p>
    <w:p>
      <w:pPr>
        <w:spacing w:after="0" w:line="15" w:lineRule="exact"/>
        <w:rPr>
          <w:sz w:val="20"/>
          <w:szCs w:val="20"/>
          <w:color w:val="auto"/>
        </w:rPr>
      </w:pPr>
    </w:p>
    <w:p>
      <w:pPr>
        <w:spacing w:after="0"/>
        <w:tabs>
          <w:tab w:leader="none" w:pos="2780" w:val="left"/>
        </w:tabs>
        <w:rPr>
          <w:sz w:val="20"/>
          <w:szCs w:val="20"/>
          <w:color w:val="auto"/>
        </w:rPr>
      </w:pPr>
      <w:r>
        <w:rPr>
          <w:rFonts w:ascii="Times New Roman" w:cs="Times New Roman" w:eastAsia="Times New Roman" w:hAnsi="Times New Roman"/>
          <w:sz w:val="11"/>
          <w:szCs w:val="11"/>
          <w:color w:val="auto"/>
        </w:rPr>
        <w:t>Report on Form 20-F for the year ended 31 December</w:t>
      </w:r>
      <w:r>
        <w:rPr>
          <w:sz w:val="20"/>
          <w:szCs w:val="20"/>
          <w:color w:val="auto"/>
        </w:rPr>
        <w:tab/>
      </w:r>
      <w:r>
        <w:rPr>
          <w:rFonts w:ascii="Times New Roman" w:cs="Times New Roman" w:eastAsia="Times New Roman" w:hAnsi="Times New Roman"/>
          <w:sz w:val="11"/>
          <w:szCs w:val="11"/>
          <w:color w:val="auto"/>
        </w:rPr>
        <w:t>2022 .</w:t>
      </w:r>
    </w:p>
    <w:p>
      <w:pPr>
        <w:spacing w:after="0" w:line="7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Results of operations</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This “Results of operations” section discusses the results of our continuing operations.</w:t>
      </w:r>
    </w:p>
    <w:p>
      <w:pPr>
        <w:sectPr>
          <w:pgSz w:w="11900" w:h="16838" w:orient="portrait"/>
          <w:cols w:equalWidth="0" w:num="1">
            <w:col w:w="9980"/>
          </w:cols>
          <w:pgMar w:left="960" w:top="409" w:right="959" w:bottom="1440" w:gutter="0" w:footer="0" w:header="0"/>
        </w:sectPr>
      </w:pPr>
    </w:p>
    <w:p>
      <w:pPr>
        <w:spacing w:after="0" w:line="9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Cost savings program</w:t>
      </w:r>
    </w:p>
    <w:p>
      <w:pPr>
        <w:spacing w:after="0" w:line="32" w:lineRule="exact"/>
        <w:rPr>
          <w:sz w:val="20"/>
          <w:szCs w:val="20"/>
          <w:color w:val="auto"/>
        </w:rPr>
      </w:pPr>
    </w:p>
    <w:p>
      <w:pPr>
        <w:jc w:val="both"/>
        <w:ind w:right="480"/>
        <w:spacing w:after="0" w:line="275" w:lineRule="auto"/>
        <w:rPr>
          <w:sz w:val="20"/>
          <w:szCs w:val="20"/>
          <w:color w:val="auto"/>
        </w:rPr>
      </w:pPr>
      <w:r>
        <w:rPr>
          <w:rFonts w:ascii="Times New Roman" w:cs="Times New Roman" w:eastAsia="Times New Roman" w:hAnsi="Times New Roman"/>
          <w:sz w:val="11"/>
          <w:szCs w:val="11"/>
          <w:color w:val="auto"/>
        </w:rPr>
        <w:t>On 19 October 2023, Nokia announced actions being taken across business groups to address the increasingly challenging market environment that the Company faces. The Company will reduce its cost base and increase operational efficiency while protecting its R&amp;D capacity and commitment to technology leadership.</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targets to lower its cost base on a gross basis (i.e. before inflation) by between</w:t>
      </w:r>
    </w:p>
    <w:p>
      <w:pPr>
        <w:spacing w:after="0" w:line="22" w:lineRule="exact"/>
        <w:rPr>
          <w:sz w:val="20"/>
          <w:szCs w:val="20"/>
          <w:color w:val="auto"/>
        </w:rPr>
      </w:pPr>
    </w:p>
    <w:p>
      <w:pPr>
        <w:ind w:right="460"/>
        <w:spacing w:after="0" w:line="271" w:lineRule="auto"/>
        <w:rPr>
          <w:sz w:val="20"/>
          <w:szCs w:val="20"/>
          <w:color w:val="auto"/>
        </w:rPr>
      </w:pPr>
      <w:r>
        <w:rPr>
          <w:rFonts w:ascii="Times New Roman" w:cs="Times New Roman" w:eastAsia="Times New Roman" w:hAnsi="Times New Roman"/>
          <w:sz w:val="11"/>
          <w:szCs w:val="11"/>
          <w:color w:val="auto"/>
        </w:rPr>
        <w:t>EUR 800 million and EUR 1 200 million by the end of 2026 compared to 2023, assuming on-target variable pay in both periods. This represents a 10-15% reduction in personnel expenses. The program is expected to lead to a 72 000–77 000 employee organization compared to the 86 000 employees Nokia had when the program was announced.</w:t>
      </w:r>
    </w:p>
    <w:p>
      <w:pPr>
        <w:spacing w:after="0" w:line="49" w:lineRule="exact"/>
        <w:rPr>
          <w:sz w:val="20"/>
          <w:szCs w:val="20"/>
          <w:color w:val="auto"/>
        </w:rPr>
      </w:pPr>
    </w:p>
    <w:p>
      <w:pPr>
        <w:ind w:right="340"/>
        <w:spacing w:after="0" w:line="275" w:lineRule="auto"/>
        <w:rPr>
          <w:sz w:val="20"/>
          <w:szCs w:val="20"/>
          <w:color w:val="auto"/>
        </w:rPr>
      </w:pPr>
      <w:r>
        <w:rPr>
          <w:rFonts w:ascii="Times New Roman" w:cs="Times New Roman" w:eastAsia="Times New Roman" w:hAnsi="Times New Roman"/>
          <w:sz w:val="11"/>
          <w:szCs w:val="11"/>
          <w:color w:val="auto"/>
        </w:rPr>
        <w:t>The program is expected to deliver savings on a net basis but the magnitude will depend on inflation. The cost savings are expected to primarily be achieved in Mobile Networks, Cloud and Network Services and Nokia’s corporate functions. One-time restructuring charges and cash outflows of the program are expected to be similar to the annual cost savings achieved.</w:t>
      </w:r>
    </w:p>
    <w:p>
      <w:pPr>
        <w:spacing w:after="0" w:line="57" w:lineRule="exact"/>
        <w:rPr>
          <w:sz w:val="20"/>
          <w:szCs w:val="20"/>
          <w:color w:val="auto"/>
        </w:rPr>
      </w:pPr>
    </w:p>
    <w:p>
      <w:pPr>
        <w:ind w:right="560"/>
        <w:spacing w:after="0" w:line="266" w:lineRule="auto"/>
        <w:rPr>
          <w:sz w:val="20"/>
          <w:szCs w:val="20"/>
          <w:color w:val="auto"/>
        </w:rPr>
      </w:pPr>
      <w:r>
        <w:rPr>
          <w:rFonts w:ascii="Times New Roman" w:cs="Times New Roman" w:eastAsia="Times New Roman" w:hAnsi="Times New Roman"/>
          <w:sz w:val="11"/>
          <w:szCs w:val="11"/>
          <w:color w:val="auto"/>
        </w:rPr>
        <w:t>The current plan envisages achieving gross cost savings of EUR 1 000 million within the 2024–2026 program although this remains subject to change depending on the evolution of end market demand. This includes the expected gross cost savings along with the associated</w:t>
      </w:r>
    </w:p>
    <w:p>
      <w:pPr>
        <w:spacing w:after="0" w:line="1"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restructuring charges and cash outflows for the program. Nokia expects approximately 70% of the savings to be achieved within operating expenses and 30% within cost of sales. By business group, approximately 60% of the savings are expected to be achieved within Mobile Networks, 30% within Cloud and Network Services and the remaining 10% between Network Infrastructure</w:t>
      </w:r>
    </w:p>
    <w:p>
      <w:pPr>
        <w:spacing w:after="0"/>
        <w:rPr>
          <w:sz w:val="20"/>
          <w:szCs w:val="20"/>
          <w:color w:val="auto"/>
        </w:rPr>
      </w:pPr>
      <w:r>
        <w:rPr>
          <w:rFonts w:ascii="Times New Roman" w:cs="Times New Roman" w:eastAsia="Times New Roman" w:hAnsi="Times New Roman"/>
          <w:sz w:val="11"/>
          <w:szCs w:val="11"/>
          <w:color w:val="auto"/>
        </w:rPr>
        <w:t>and corporate center.</w:t>
      </w:r>
    </w:p>
    <w:p>
      <w:pPr>
        <w:spacing w:after="0" w:line="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prior cost savings program from 2021 to 2023 is now essentially completed.</w:t>
      </w:r>
    </w:p>
    <w:p>
      <w:pPr>
        <w:spacing w:after="0" w:line="20" w:lineRule="exact"/>
        <w:rPr>
          <w:sz w:val="20"/>
          <w:szCs w:val="20"/>
          <w:color w:val="auto"/>
        </w:rPr>
      </w:pPr>
      <w:r>
        <w:rPr>
          <w:sz w:val="20"/>
          <w:szCs w:val="20"/>
          <w:color w:val="auto"/>
        </w:rPr>
        <w:br w:type="column"/>
      </w:r>
    </w:p>
    <w:p>
      <w:pPr>
        <w:spacing w:after="0" w:line="7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Conclusion of smartphone patent license renewal cycle</w:t>
      </w:r>
    </w:p>
    <w:p>
      <w:pPr>
        <w:spacing w:after="0" w:line="32" w:lineRule="exact"/>
        <w:rPr>
          <w:sz w:val="20"/>
          <w:szCs w:val="20"/>
          <w:color w:val="auto"/>
        </w:rPr>
      </w:pPr>
    </w:p>
    <w:p>
      <w:pPr>
        <w:ind w:right="480"/>
        <w:spacing w:after="0" w:line="269" w:lineRule="auto"/>
        <w:rPr>
          <w:sz w:val="20"/>
          <w:szCs w:val="20"/>
          <w:color w:val="auto"/>
        </w:rPr>
      </w:pPr>
      <w:r>
        <w:rPr>
          <w:rFonts w:ascii="Times New Roman" w:cs="Times New Roman" w:eastAsia="Times New Roman" w:hAnsi="Times New Roman"/>
          <w:sz w:val="11"/>
          <w:szCs w:val="11"/>
          <w:color w:val="auto"/>
        </w:rPr>
        <w:t>On 8 February 2024, Nokia announced it had signed its last remaining major smartphone patent license agreement and concluded its smartphone patent license renewal cycle which began in 2021. Nokia Technologies will now enter a period of stability with no major smartphone license agreements expiring for a number of years. In addition to license agreements signed with Apple and Samsung in 2023, and Huawei in December 2022, Nokia Technologies signed agreements with Honor, OPPO and vivo, among others at the beginning of 2024.</w:t>
      </w:r>
    </w:p>
    <w:p>
      <w:pPr>
        <w:spacing w:after="0" w:line="60" w:lineRule="exact"/>
        <w:rPr>
          <w:sz w:val="20"/>
          <w:szCs w:val="20"/>
          <w:color w:val="auto"/>
        </w:rPr>
      </w:pPr>
    </w:p>
    <w:p>
      <w:pPr>
        <w:ind w:right="400"/>
        <w:spacing w:after="0" w:line="269" w:lineRule="auto"/>
        <w:rPr>
          <w:sz w:val="20"/>
          <w:szCs w:val="20"/>
          <w:color w:val="auto"/>
        </w:rPr>
      </w:pPr>
      <w:r>
        <w:rPr>
          <w:rFonts w:ascii="Times New Roman" w:cs="Times New Roman" w:eastAsia="Times New Roman" w:hAnsi="Times New Roman"/>
          <w:sz w:val="11"/>
          <w:szCs w:val="11"/>
          <w:color w:val="auto"/>
        </w:rPr>
        <w:t>As a result, at the conclusion of the smartphone patent license renewal cycle, Nokia Technologies currently has an annual net sales run-rate (contracted recurring net sales) of approximately EUR 1.3 billion, excluding catch-up net sales. In addition to the remaining addressable smartphone market, it will continue to focus on opportunities to grow the annual net sales run-rate through patent licensing in areas such as automotive, consumer electronics, IoT and multimedia, to reach a run-rate of EUR 1.4-1.5 billion in the mid term.</w:t>
      </w:r>
    </w:p>
    <w:p>
      <w:pPr>
        <w:spacing w:after="0" w:line="1781" w:lineRule="exact"/>
        <w:rPr>
          <w:sz w:val="20"/>
          <w:szCs w:val="20"/>
          <w:color w:val="auto"/>
        </w:rPr>
      </w:pPr>
    </w:p>
    <w:p>
      <w:pPr>
        <w:sectPr>
          <w:pgSz w:w="11900" w:h="16838" w:orient="portrait"/>
          <w:cols w:equalWidth="0" w:num="2">
            <w:col w:w="4780" w:space="320"/>
            <w:col w:w="4880"/>
          </w:cols>
          <w:pgMar w:left="960" w:top="409"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82" w:name="page83"/>
    <w:bookmarkEnd w:id="8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75</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10100"/>
          </w:cols>
          <w:pgMar w:left="960" w:top="409" w:right="839" w:bottom="1440" w:gutter="0" w:footer="0" w:header="0"/>
        </w:sectPr>
      </w:pPr>
    </w:p>
    <w:p>
      <w:pPr>
        <w:spacing w:after="0" w:line="326" w:lineRule="exact"/>
        <w:rPr>
          <w:sz w:val="20"/>
          <w:szCs w:val="20"/>
          <w:color w:val="auto"/>
        </w:rPr>
      </w:pPr>
    </w:p>
    <w:p>
      <w:pPr>
        <w:ind w:right="1060"/>
        <w:spacing w:after="0" w:line="299" w:lineRule="auto"/>
        <w:rPr>
          <w:sz w:val="20"/>
          <w:szCs w:val="20"/>
          <w:color w:val="auto"/>
        </w:rPr>
      </w:pPr>
      <w:r>
        <w:rPr>
          <w:rFonts w:ascii="Times New Roman" w:cs="Times New Roman" w:eastAsia="Times New Roman" w:hAnsi="Times New Roman"/>
          <w:sz w:val="13"/>
          <w:szCs w:val="13"/>
          <w:color w:val="auto"/>
        </w:rPr>
        <w:t>For the year ended 31 December 2023 compared to the year ended 31 December 2022</w:t>
      </w:r>
    </w:p>
    <w:p>
      <w:pPr>
        <w:spacing w:after="0" w:line="32" w:lineRule="exact"/>
        <w:rPr>
          <w:sz w:val="20"/>
          <w:szCs w:val="20"/>
          <w:color w:val="auto"/>
        </w:rPr>
      </w:pPr>
    </w:p>
    <w:p>
      <w:pPr>
        <w:ind w:right="540"/>
        <w:spacing w:after="0" w:line="309" w:lineRule="auto"/>
        <w:rPr>
          <w:sz w:val="20"/>
          <w:szCs w:val="20"/>
          <w:color w:val="auto"/>
        </w:rPr>
      </w:pPr>
      <w:r>
        <w:rPr>
          <w:rFonts w:ascii="Times New Roman" w:cs="Times New Roman" w:eastAsia="Times New Roman" w:hAnsi="Times New Roman"/>
          <w:sz w:val="11"/>
          <w:szCs w:val="11"/>
          <w:color w:val="auto"/>
        </w:rPr>
        <w:t>The following table sets forth the results of Nokia’s continuing operations and the percentage of net sales for the years indicated.</w:t>
      </w:r>
    </w:p>
    <w:p>
      <w:pPr>
        <w:spacing w:after="0" w:line="9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040" w:type="dxa"/>
            <w:vAlign w:val="bottom"/>
          </w:tcPr>
          <w:p>
            <w:pPr>
              <w:spacing w:after="0"/>
              <w:rPr>
                <w:sz w:val="9"/>
                <w:szCs w:val="9"/>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420" w:type="dxa"/>
            <w:vAlign w:val="bottom"/>
            <w:tcBorders>
              <w:bottom w:val="single" w:sz="8" w:color="005AFF"/>
            </w:tcBorders>
          </w:tcPr>
          <w:p>
            <w:pPr>
              <w:spacing w:after="0"/>
              <w:rPr>
                <w:sz w:val="9"/>
                <w:szCs w:val="9"/>
                <w:color w:val="auto"/>
              </w:rPr>
            </w:pPr>
          </w:p>
        </w:tc>
        <w:tc>
          <w:tcPr>
            <w:tcW w:w="140" w:type="dxa"/>
            <w:vAlign w:val="bottom"/>
          </w:tcPr>
          <w:p>
            <w:pPr>
              <w:spacing w:after="0"/>
              <w:rPr>
                <w:sz w:val="9"/>
                <w:szCs w:val="9"/>
                <w:color w:val="auto"/>
              </w:rPr>
            </w:pPr>
          </w:p>
        </w:tc>
        <w:tc>
          <w:tcPr>
            <w:tcW w:w="66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spacing w:after="0"/>
              <w:rPr>
                <w:sz w:val="9"/>
                <w:szCs w:val="9"/>
                <w:color w:val="auto"/>
              </w:rPr>
            </w:pPr>
          </w:p>
        </w:tc>
        <w:tc>
          <w:tcPr>
            <w:tcW w:w="6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08"/>
        </w:trPr>
        <w:tc>
          <w:tcPr>
            <w:tcW w:w="2040" w:type="dxa"/>
            <w:vAlign w:val="bottom"/>
          </w:tcPr>
          <w:p>
            <w:pPr>
              <w:spacing w:after="0"/>
              <w:rPr>
                <w:sz w:val="9"/>
                <w:szCs w:val="9"/>
                <w:color w:val="auto"/>
              </w:rPr>
            </w:pPr>
          </w:p>
        </w:tc>
        <w:tc>
          <w:tcPr>
            <w:tcW w:w="640" w:type="dxa"/>
            <w:vAlign w:val="bottom"/>
          </w:tcPr>
          <w:p>
            <w:pPr>
              <w:spacing w:after="0"/>
              <w:rPr>
                <w:sz w:val="9"/>
                <w:szCs w:val="9"/>
                <w:color w:val="auto"/>
              </w:rPr>
            </w:pPr>
          </w:p>
        </w:tc>
        <w:tc>
          <w:tcPr>
            <w:tcW w:w="4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of</w:t>
            </w:r>
          </w:p>
        </w:tc>
        <w:tc>
          <w:tcPr>
            <w:tcW w:w="140" w:type="dxa"/>
            <w:vAlign w:val="bottom"/>
          </w:tcPr>
          <w:p>
            <w:pPr>
              <w:spacing w:after="0"/>
              <w:rPr>
                <w:sz w:val="9"/>
                <w:szCs w:val="9"/>
                <w:color w:val="auto"/>
              </w:rPr>
            </w:pPr>
          </w:p>
        </w:tc>
        <w:tc>
          <w:tcPr>
            <w:tcW w:w="660" w:type="dxa"/>
            <w:vAlign w:val="bottom"/>
          </w:tcPr>
          <w:p>
            <w:pPr>
              <w:spacing w:after="0"/>
              <w:rPr>
                <w:sz w:val="9"/>
                <w:szCs w:val="9"/>
                <w:color w:val="auto"/>
              </w:rPr>
            </w:pPr>
          </w:p>
        </w:tc>
        <w:tc>
          <w:tcPr>
            <w:tcW w:w="1040" w:type="dxa"/>
            <w:vAlign w:val="bottom"/>
            <w:gridSpan w:val="2"/>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 of    Year-on-year</w:t>
            </w:r>
          </w:p>
        </w:tc>
        <w:tc>
          <w:tcPr>
            <w:tcW w:w="0" w:type="dxa"/>
            <w:vAlign w:val="bottom"/>
          </w:tcPr>
          <w:p>
            <w:pPr>
              <w:spacing w:after="0"/>
              <w:rPr>
                <w:sz w:val="1"/>
                <w:szCs w:val="1"/>
                <w:color w:val="auto"/>
              </w:rPr>
            </w:pPr>
          </w:p>
        </w:tc>
      </w:tr>
      <w:tr>
        <w:trPr>
          <w:trHeight w:val="114"/>
        </w:trPr>
        <w:tc>
          <w:tcPr>
            <w:tcW w:w="204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center"/>
              <w:ind w:left="112"/>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net sales</w:t>
            </w:r>
          </w:p>
        </w:tc>
        <w:tc>
          <w:tcPr>
            <w:tcW w:w="14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jc w:val="right"/>
              <w:ind w:right="10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00" w:type="dxa"/>
            <w:vAlign w:val="bottom"/>
            <w:tcBorders>
              <w:bottom w:val="single" w:sz="8" w:color="005AFF"/>
            </w:tcBorders>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net sales</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change %</w:t>
            </w:r>
          </w:p>
        </w:tc>
        <w:tc>
          <w:tcPr>
            <w:tcW w:w="0" w:type="dxa"/>
            <w:vAlign w:val="bottom"/>
          </w:tcPr>
          <w:p>
            <w:pPr>
              <w:spacing w:after="0"/>
              <w:rPr>
                <w:sz w:val="1"/>
                <w:szCs w:val="1"/>
                <w:color w:val="auto"/>
              </w:rPr>
            </w:pPr>
          </w:p>
        </w:tc>
      </w:tr>
      <w:tr>
        <w:trPr>
          <w:trHeight w:val="150"/>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64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800" w:type="dxa"/>
            <w:vAlign w:val="bottom"/>
            <w:gridSpan w:val="2"/>
          </w:tcPr>
          <w:p>
            <w:pPr>
              <w:ind w:left="300"/>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400" w:type="dxa"/>
            <w:vAlign w:val="bottom"/>
          </w:tcPr>
          <w:p>
            <w:pPr>
              <w:jc w:val="right"/>
              <w:ind w:right="34"/>
              <w:spacing w:after="0"/>
              <w:rPr>
                <w:sz w:val="20"/>
                <w:szCs w:val="20"/>
                <w:color w:val="auto"/>
              </w:rPr>
            </w:pPr>
            <w:r>
              <w:rPr>
                <w:rFonts w:ascii="Times New Roman" w:cs="Times New Roman" w:eastAsia="Times New Roman" w:hAnsi="Times New Roman"/>
                <w:sz w:val="10"/>
                <w:szCs w:val="10"/>
                <w:b w:val="1"/>
                <w:bCs w:val="1"/>
                <w:color w:val="auto"/>
              </w:rPr>
              <w:t>100.0</w:t>
            </w:r>
          </w:p>
        </w:tc>
        <w:tc>
          <w:tcPr>
            <w:tcW w:w="6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(11)</w:t>
            </w:r>
          </w:p>
        </w:tc>
        <w:tc>
          <w:tcPr>
            <w:tcW w:w="0" w:type="dxa"/>
            <w:vAlign w:val="bottom"/>
          </w:tcPr>
          <w:p>
            <w:pPr>
              <w:spacing w:after="0"/>
              <w:rPr>
                <w:sz w:val="1"/>
                <w:szCs w:val="1"/>
                <w:color w:val="auto"/>
              </w:rPr>
            </w:pPr>
          </w:p>
        </w:tc>
      </w:tr>
      <w:tr>
        <w:trPr>
          <w:trHeight w:val="157"/>
        </w:trPr>
        <w:tc>
          <w:tcPr>
            <w:tcW w:w="20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640" w:type="dxa"/>
            <w:vAlign w:val="bottom"/>
            <w:tcBorders>
              <w:bottom w:val="single" w:sz="8" w:color="005AFF"/>
            </w:tcBorders>
          </w:tcPr>
          <w:p>
            <w:pPr>
              <w:jc w:val="right"/>
              <w:ind w:right="112"/>
              <w:spacing w:after="0"/>
              <w:rPr>
                <w:sz w:val="20"/>
                <w:szCs w:val="20"/>
                <w:color w:val="auto"/>
              </w:rPr>
            </w:pPr>
            <w:r>
              <w:rPr>
                <w:rFonts w:ascii="Times New Roman" w:cs="Times New Roman" w:eastAsia="Times New Roman" w:hAnsi="Times New Roman"/>
                <w:sz w:val="10"/>
                <w:szCs w:val="10"/>
                <w:color w:val="005AFF"/>
              </w:rPr>
              <w:t>(13 571)</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05AFF"/>
              </w:rPr>
              <w:t>(61.0)</w:t>
            </w:r>
          </w:p>
        </w:tc>
        <w:tc>
          <w:tcPr>
            <w:tcW w:w="800" w:type="dxa"/>
            <w:vAlign w:val="bottom"/>
            <w:tcBorders>
              <w:bottom w:val="single" w:sz="8" w:color="005AFF"/>
            </w:tcBorders>
            <w:gridSpan w:val="2"/>
          </w:tcPr>
          <w:p>
            <w:pPr>
              <w:jc w:val="right"/>
              <w:ind w:right="140"/>
              <w:spacing w:after="0"/>
              <w:rPr>
                <w:sz w:val="20"/>
                <w:szCs w:val="20"/>
                <w:color w:val="auto"/>
              </w:rPr>
            </w:pPr>
            <w:r>
              <w:rPr>
                <w:rFonts w:ascii="Times New Roman" w:cs="Times New Roman" w:eastAsia="Times New Roman" w:hAnsi="Times New Roman"/>
                <w:sz w:val="9"/>
                <w:szCs w:val="9"/>
                <w:color w:val="0D0D0D"/>
              </w:rPr>
              <w:t>(14 689)</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9"/>
                <w:szCs w:val="9"/>
                <w:color w:val="0D0D0D"/>
              </w:rPr>
              <w:t>(59.0)</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9"/>
                <w:szCs w:val="9"/>
                <w:color w:val="0D0D0D"/>
              </w:rPr>
              <w:t>(8)</w:t>
            </w:r>
          </w:p>
        </w:tc>
        <w:tc>
          <w:tcPr>
            <w:tcW w:w="0" w:type="dxa"/>
            <w:vAlign w:val="bottom"/>
          </w:tcPr>
          <w:p>
            <w:pPr>
              <w:spacing w:after="0"/>
              <w:rPr>
                <w:sz w:val="1"/>
                <w:szCs w:val="1"/>
                <w:color w:val="auto"/>
              </w:rPr>
            </w:pPr>
          </w:p>
        </w:tc>
      </w:tr>
      <w:tr>
        <w:trPr>
          <w:trHeight w:val="137"/>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640" w:type="dxa"/>
            <w:vAlign w:val="bottom"/>
          </w:tcPr>
          <w:p>
            <w:pPr>
              <w:jc w:val="right"/>
              <w:ind w:right="112"/>
              <w:spacing w:after="0"/>
              <w:rPr>
                <w:sz w:val="20"/>
                <w:szCs w:val="20"/>
                <w:color w:val="auto"/>
              </w:rPr>
            </w:pPr>
            <w:r>
              <w:rPr>
                <w:rFonts w:ascii="Times New Roman" w:cs="Times New Roman" w:eastAsia="Times New Roman" w:hAnsi="Times New Roman"/>
                <w:sz w:val="10"/>
                <w:szCs w:val="10"/>
                <w:b w:val="1"/>
                <w:bCs w:val="1"/>
                <w:color w:val="005AFF"/>
              </w:rPr>
              <w:t>8 687</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005AFF"/>
              </w:rPr>
              <w:t>39.0</w:t>
            </w:r>
          </w:p>
        </w:tc>
        <w:tc>
          <w:tcPr>
            <w:tcW w:w="800" w:type="dxa"/>
            <w:vAlign w:val="bottom"/>
            <w:gridSpan w:val="2"/>
          </w:tcPr>
          <w:p>
            <w:pPr>
              <w:ind w:left="300"/>
              <w:spacing w:after="0"/>
              <w:rPr>
                <w:sz w:val="20"/>
                <w:szCs w:val="20"/>
                <w:color w:val="auto"/>
              </w:rPr>
            </w:pPr>
            <w:r>
              <w:rPr>
                <w:rFonts w:ascii="Times New Roman" w:cs="Times New Roman" w:eastAsia="Times New Roman" w:hAnsi="Times New Roman"/>
                <w:sz w:val="10"/>
                <w:szCs w:val="10"/>
                <w:b w:val="1"/>
                <w:bCs w:val="1"/>
                <w:color w:val="auto"/>
              </w:rPr>
              <w:t>10 222</w:t>
            </w:r>
          </w:p>
        </w:tc>
        <w:tc>
          <w:tcPr>
            <w:tcW w:w="400" w:type="dxa"/>
            <w:vAlign w:val="bottom"/>
          </w:tcPr>
          <w:p>
            <w:pPr>
              <w:jc w:val="right"/>
              <w:ind w:right="14"/>
              <w:spacing w:after="0"/>
              <w:rPr>
                <w:sz w:val="20"/>
                <w:szCs w:val="20"/>
                <w:color w:val="auto"/>
              </w:rPr>
            </w:pPr>
            <w:r>
              <w:rPr>
                <w:rFonts w:ascii="Times New Roman" w:cs="Times New Roman" w:eastAsia="Times New Roman" w:hAnsi="Times New Roman"/>
                <w:sz w:val="10"/>
                <w:szCs w:val="10"/>
                <w:b w:val="1"/>
                <w:bCs w:val="1"/>
                <w:color w:val="auto"/>
              </w:rPr>
              <w:t>41.0</w:t>
            </w:r>
          </w:p>
        </w:tc>
        <w:tc>
          <w:tcPr>
            <w:tcW w:w="6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(15)</w:t>
            </w:r>
          </w:p>
        </w:tc>
        <w:tc>
          <w:tcPr>
            <w:tcW w:w="0" w:type="dxa"/>
            <w:vAlign w:val="bottom"/>
          </w:tcPr>
          <w:p>
            <w:pPr>
              <w:spacing w:after="0"/>
              <w:rPr>
                <w:sz w:val="1"/>
                <w:szCs w:val="1"/>
                <w:color w:val="auto"/>
              </w:rPr>
            </w:pPr>
          </w:p>
        </w:tc>
      </w:tr>
      <w:tr>
        <w:trPr>
          <w:trHeight w:val="162"/>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640" w:type="dxa"/>
            <w:vAlign w:val="bottom"/>
          </w:tcPr>
          <w:p>
            <w:pPr>
              <w:ind w:left="200"/>
              <w:spacing w:after="0"/>
              <w:rPr>
                <w:sz w:val="20"/>
                <w:szCs w:val="20"/>
                <w:color w:val="auto"/>
              </w:rPr>
            </w:pPr>
            <w:r>
              <w:rPr>
                <w:rFonts w:ascii="Times New Roman" w:cs="Times New Roman" w:eastAsia="Times New Roman" w:hAnsi="Times New Roman"/>
                <w:sz w:val="10"/>
                <w:szCs w:val="10"/>
                <w:color w:val="005AFF"/>
              </w:rPr>
              <w:t>(4 327)</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05AFF"/>
              </w:rPr>
              <w:t>(19.4)</w:t>
            </w:r>
          </w:p>
        </w:tc>
        <w:tc>
          <w:tcPr>
            <w:tcW w:w="800" w:type="dxa"/>
            <w:vAlign w:val="bottom"/>
            <w:gridSpan w:val="2"/>
          </w:tcPr>
          <w:p>
            <w:pPr>
              <w:jc w:val="right"/>
              <w:ind w:right="120"/>
              <w:spacing w:after="0"/>
              <w:rPr>
                <w:sz w:val="20"/>
                <w:szCs w:val="20"/>
                <w:color w:val="auto"/>
              </w:rPr>
            </w:pPr>
            <w:r>
              <w:rPr>
                <w:rFonts w:ascii="Times New Roman" w:cs="Times New Roman" w:eastAsia="Times New Roman" w:hAnsi="Times New Roman"/>
                <w:sz w:val="9"/>
                <w:szCs w:val="9"/>
                <w:color w:val="0D0D0D"/>
              </w:rPr>
              <w:t>(4 550)</w:t>
            </w:r>
          </w:p>
        </w:tc>
        <w:tc>
          <w:tcPr>
            <w:tcW w:w="400" w:type="dxa"/>
            <w:vAlign w:val="bottom"/>
          </w:tcPr>
          <w:p>
            <w:pPr>
              <w:jc w:val="right"/>
              <w:spacing w:after="0"/>
              <w:rPr>
                <w:sz w:val="20"/>
                <w:szCs w:val="20"/>
                <w:color w:val="auto"/>
              </w:rPr>
            </w:pPr>
            <w:r>
              <w:rPr>
                <w:rFonts w:ascii="Times New Roman" w:cs="Times New Roman" w:eastAsia="Times New Roman" w:hAnsi="Times New Roman"/>
                <w:sz w:val="9"/>
                <w:szCs w:val="9"/>
                <w:color w:val="0D0D0D"/>
              </w:rPr>
              <w:t>(18.3)</w:t>
            </w:r>
          </w:p>
        </w:tc>
        <w:tc>
          <w:tcPr>
            <w:tcW w:w="640" w:type="dxa"/>
            <w:vAlign w:val="bottom"/>
          </w:tcPr>
          <w:p>
            <w:pPr>
              <w:jc w:val="right"/>
              <w:spacing w:after="0"/>
              <w:rPr>
                <w:sz w:val="20"/>
                <w:szCs w:val="20"/>
                <w:color w:val="auto"/>
              </w:rPr>
            </w:pPr>
            <w:r>
              <w:rPr>
                <w:rFonts w:ascii="Times New Roman" w:cs="Times New Roman" w:eastAsia="Times New Roman" w:hAnsi="Times New Roman"/>
                <w:sz w:val="9"/>
                <w:szCs w:val="9"/>
                <w:color w:val="0D0D0D"/>
              </w:rPr>
              <w:t>(5)</w:t>
            </w:r>
          </w:p>
        </w:tc>
        <w:tc>
          <w:tcPr>
            <w:tcW w:w="0" w:type="dxa"/>
            <w:vAlign w:val="bottom"/>
          </w:tcPr>
          <w:p>
            <w:pPr>
              <w:spacing w:after="0"/>
              <w:rPr>
                <w:sz w:val="1"/>
                <w:szCs w:val="1"/>
                <w:color w:val="auto"/>
              </w:rPr>
            </w:pPr>
          </w:p>
        </w:tc>
      </w:tr>
      <w:tr>
        <w:trPr>
          <w:trHeight w:val="153"/>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640" w:type="dxa"/>
            <w:vAlign w:val="bottom"/>
          </w:tcPr>
          <w:p>
            <w:pPr>
              <w:spacing w:after="0"/>
              <w:rPr>
                <w:sz w:val="13"/>
                <w:szCs w:val="13"/>
                <w:color w:val="auto"/>
              </w:rPr>
            </w:pPr>
          </w:p>
        </w:tc>
        <w:tc>
          <w:tcPr>
            <w:tcW w:w="420" w:type="dxa"/>
            <w:vAlign w:val="bottom"/>
          </w:tcPr>
          <w:p>
            <w:pPr>
              <w:spacing w:after="0"/>
              <w:rPr>
                <w:sz w:val="13"/>
                <w:szCs w:val="13"/>
                <w:color w:val="auto"/>
              </w:rPr>
            </w:pPr>
          </w:p>
        </w:tc>
        <w:tc>
          <w:tcPr>
            <w:tcW w:w="800" w:type="dxa"/>
            <w:vAlign w:val="bottom"/>
            <w:gridSpan w:val="2"/>
            <w:vMerge w:val="restart"/>
          </w:tcPr>
          <w:p>
            <w:pPr>
              <w:jc w:val="right"/>
              <w:ind w:right="120"/>
              <w:spacing w:after="0"/>
              <w:rPr>
                <w:sz w:val="20"/>
                <w:szCs w:val="20"/>
                <w:color w:val="auto"/>
              </w:rPr>
            </w:pPr>
            <w:r>
              <w:rPr>
                <w:rFonts w:ascii="Times New Roman" w:cs="Times New Roman" w:eastAsia="Times New Roman" w:hAnsi="Times New Roman"/>
                <w:sz w:val="9"/>
                <w:szCs w:val="9"/>
                <w:color w:val="0D0D0D"/>
              </w:rPr>
              <w:t>(3 013)</w:t>
            </w:r>
          </w:p>
        </w:tc>
        <w:tc>
          <w:tcPr>
            <w:tcW w:w="400" w:type="dxa"/>
            <w:vAlign w:val="bottom"/>
            <w:vMerge w:val="restart"/>
          </w:tcPr>
          <w:p>
            <w:pPr>
              <w:jc w:val="right"/>
              <w:spacing w:after="0"/>
              <w:rPr>
                <w:sz w:val="20"/>
                <w:szCs w:val="20"/>
                <w:color w:val="auto"/>
              </w:rPr>
            </w:pPr>
            <w:r>
              <w:rPr>
                <w:rFonts w:ascii="Times New Roman" w:cs="Times New Roman" w:eastAsia="Times New Roman" w:hAnsi="Times New Roman"/>
                <w:sz w:val="9"/>
                <w:szCs w:val="9"/>
                <w:color w:val="0D0D0D"/>
              </w:rPr>
              <w:t>(12.1)</w:t>
            </w:r>
          </w:p>
        </w:tc>
        <w:tc>
          <w:tcPr>
            <w:tcW w:w="640" w:type="dxa"/>
            <w:vAlign w:val="bottom"/>
            <w:vMerge w:val="restart"/>
          </w:tcPr>
          <w:p>
            <w:pPr>
              <w:jc w:val="right"/>
              <w:spacing w:after="0"/>
              <w:rPr>
                <w:sz w:val="20"/>
                <w:szCs w:val="20"/>
                <w:color w:val="auto"/>
              </w:rPr>
            </w:pPr>
            <w:r>
              <w:rPr>
                <w:rFonts w:ascii="Times New Roman" w:cs="Times New Roman" w:eastAsia="Times New Roman" w:hAnsi="Times New Roman"/>
                <w:sz w:val="9"/>
                <w:szCs w:val="9"/>
                <w:color w:val="0D0D0D"/>
              </w:rPr>
              <w:t>(3)</w:t>
            </w:r>
          </w:p>
        </w:tc>
        <w:tc>
          <w:tcPr>
            <w:tcW w:w="0" w:type="dxa"/>
            <w:vAlign w:val="bottom"/>
          </w:tcPr>
          <w:p>
            <w:pPr>
              <w:spacing w:after="0"/>
              <w:rPr>
                <w:sz w:val="1"/>
                <w:szCs w:val="1"/>
                <w:color w:val="auto"/>
              </w:rPr>
            </w:pPr>
          </w:p>
        </w:tc>
      </w:tr>
      <w:tr>
        <w:trPr>
          <w:trHeight w:val="130"/>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640" w:type="dxa"/>
            <w:vAlign w:val="bottom"/>
          </w:tcPr>
          <w:p>
            <w:pPr>
              <w:ind w:left="200"/>
              <w:spacing w:after="0"/>
              <w:rPr>
                <w:sz w:val="20"/>
                <w:szCs w:val="20"/>
                <w:color w:val="auto"/>
              </w:rPr>
            </w:pPr>
            <w:r>
              <w:rPr>
                <w:rFonts w:ascii="Times New Roman" w:cs="Times New Roman" w:eastAsia="Times New Roman" w:hAnsi="Times New Roman"/>
                <w:sz w:val="10"/>
                <w:szCs w:val="10"/>
                <w:color w:val="005AFF"/>
              </w:rPr>
              <w:t>(2 929)</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05AFF"/>
              </w:rPr>
              <w:t>(13.2)</w:t>
            </w:r>
          </w:p>
        </w:tc>
        <w:tc>
          <w:tcPr>
            <w:tcW w:w="800" w:type="dxa"/>
            <w:vAlign w:val="bottom"/>
            <w:gridSpan w:val="2"/>
            <w:vMerge w:val="continue"/>
          </w:tcPr>
          <w:p>
            <w:pPr>
              <w:spacing w:after="0"/>
              <w:rPr>
                <w:sz w:val="11"/>
                <w:szCs w:val="11"/>
                <w:color w:val="auto"/>
              </w:rPr>
            </w:pPr>
          </w:p>
        </w:tc>
        <w:tc>
          <w:tcPr>
            <w:tcW w:w="400" w:type="dxa"/>
            <w:vAlign w:val="bottom"/>
            <w:vMerge w:val="continue"/>
          </w:tcPr>
          <w:p>
            <w:pPr>
              <w:spacing w:after="0"/>
              <w:rPr>
                <w:sz w:val="11"/>
                <w:szCs w:val="11"/>
                <w:color w:val="auto"/>
              </w:rPr>
            </w:pPr>
          </w:p>
        </w:tc>
        <w:tc>
          <w:tcPr>
            <w:tcW w:w="6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640" w:type="dxa"/>
            <w:vAlign w:val="bottom"/>
          </w:tcPr>
          <w:p>
            <w:pPr>
              <w:jc w:val="right"/>
              <w:ind w:right="132"/>
              <w:spacing w:after="0"/>
              <w:rPr>
                <w:sz w:val="20"/>
                <w:szCs w:val="20"/>
                <w:color w:val="auto"/>
              </w:rPr>
            </w:pPr>
            <w:r>
              <w:rPr>
                <w:rFonts w:ascii="Times New Roman" w:cs="Times New Roman" w:eastAsia="Times New Roman" w:hAnsi="Times New Roman"/>
                <w:sz w:val="10"/>
                <w:szCs w:val="10"/>
                <w:color w:val="005AFF"/>
              </w:rPr>
              <w:t>257</w:t>
            </w:r>
          </w:p>
        </w:tc>
        <w:tc>
          <w:tcPr>
            <w:tcW w:w="4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05AFF"/>
              </w:rPr>
              <w:t>1.2</w:t>
            </w:r>
          </w:p>
        </w:tc>
        <w:tc>
          <w:tcPr>
            <w:tcW w:w="800" w:type="dxa"/>
            <w:vAlign w:val="bottom"/>
            <w:gridSpan w:val="2"/>
          </w:tcPr>
          <w:p>
            <w:pPr>
              <w:jc w:val="right"/>
              <w:ind w:right="120"/>
              <w:spacing w:after="0"/>
              <w:rPr>
                <w:sz w:val="20"/>
                <w:szCs w:val="20"/>
                <w:color w:val="auto"/>
              </w:rPr>
            </w:pPr>
            <w:r>
              <w:rPr>
                <w:rFonts w:ascii="Times New Roman" w:cs="Times New Roman" w:eastAsia="Times New Roman" w:hAnsi="Times New Roman"/>
                <w:sz w:val="9"/>
                <w:szCs w:val="9"/>
                <w:color w:val="0D0D0D"/>
              </w:rPr>
              <w:t>(341)</w:t>
            </w:r>
          </w:p>
        </w:tc>
        <w:tc>
          <w:tcPr>
            <w:tcW w:w="400" w:type="dxa"/>
            <w:vAlign w:val="bottom"/>
          </w:tcPr>
          <w:p>
            <w:pPr>
              <w:jc w:val="right"/>
              <w:spacing w:after="0"/>
              <w:rPr>
                <w:sz w:val="20"/>
                <w:szCs w:val="20"/>
                <w:color w:val="auto"/>
              </w:rPr>
            </w:pPr>
            <w:r>
              <w:rPr>
                <w:rFonts w:ascii="Times New Roman" w:cs="Times New Roman" w:eastAsia="Times New Roman" w:hAnsi="Times New Roman"/>
                <w:sz w:val="9"/>
                <w:szCs w:val="9"/>
                <w:color w:val="0D0D0D"/>
              </w:rPr>
              <w:t>(1.4)</w:t>
            </w:r>
          </w:p>
        </w:tc>
        <w:tc>
          <w:tcPr>
            <w:tcW w:w="640" w:type="dxa"/>
            <w:vAlign w:val="bottom"/>
          </w:tcPr>
          <w:p>
            <w:pPr>
              <w:jc w:val="right"/>
              <w:spacing w:after="0"/>
              <w:rPr>
                <w:sz w:val="20"/>
                <w:szCs w:val="20"/>
                <w:color w:val="auto"/>
              </w:rPr>
            </w:pPr>
            <w:r>
              <w:rPr>
                <w:rFonts w:ascii="Times New Roman" w:cs="Times New Roman" w:eastAsia="Times New Roman" w:hAnsi="Times New Roman"/>
                <w:sz w:val="9"/>
                <w:szCs w:val="9"/>
                <w:color w:val="0D0D0D"/>
              </w:rPr>
              <w:t>(175)</w:t>
            </w: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305"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96"/>
        </w:trPr>
        <w:tc>
          <w:tcPr>
            <w:tcW w:w="4320" w:type="dxa"/>
            <w:vAlign w:val="bottom"/>
            <w:gridSpan w:val="3"/>
            <w:vMerge w:val="restart"/>
          </w:tcPr>
          <w:p>
            <w:pPr>
              <w:spacing w:after="0"/>
              <w:rPr>
                <w:sz w:val="20"/>
                <w:szCs w:val="20"/>
                <w:color w:val="auto"/>
              </w:rPr>
            </w:pPr>
            <w:r>
              <w:rPr>
                <w:rFonts w:ascii="Times New Roman" w:cs="Times New Roman" w:eastAsia="Times New Roman" w:hAnsi="Times New Roman"/>
                <w:sz w:val="11"/>
                <w:szCs w:val="11"/>
                <w:color w:val="auto"/>
              </w:rPr>
              <w:t>The following table sets forth distribution of net sales by region for the years indicated.</w:t>
            </w:r>
          </w:p>
        </w:tc>
        <w:tc>
          <w:tcPr>
            <w:tcW w:w="680" w:type="dxa"/>
            <w:vAlign w:val="bottom"/>
          </w:tcPr>
          <w:p>
            <w:pPr>
              <w:ind w:left="140"/>
              <w:spacing w:after="0"/>
              <w:rPr>
                <w:sz w:val="20"/>
                <w:szCs w:val="20"/>
                <w:color w:val="auto"/>
              </w:rPr>
            </w:pPr>
            <w:r>
              <w:rPr>
                <w:rFonts w:ascii="Times New Roman" w:cs="Times New Roman" w:eastAsia="Times New Roman" w:hAnsi="Times New Roman"/>
                <w:sz w:val="7"/>
                <w:szCs w:val="7"/>
                <w:color w:val="auto"/>
              </w:rPr>
              <w:t>(1)</w:t>
            </w:r>
          </w:p>
        </w:tc>
        <w:tc>
          <w:tcPr>
            <w:tcW w:w="0" w:type="dxa"/>
            <w:vAlign w:val="bottom"/>
          </w:tcPr>
          <w:p>
            <w:pPr>
              <w:spacing w:after="0"/>
              <w:rPr>
                <w:sz w:val="1"/>
                <w:szCs w:val="1"/>
                <w:color w:val="auto"/>
              </w:rPr>
            </w:pPr>
          </w:p>
        </w:tc>
      </w:tr>
      <w:tr>
        <w:trPr>
          <w:trHeight w:val="52"/>
        </w:trPr>
        <w:tc>
          <w:tcPr>
            <w:tcW w:w="4320" w:type="dxa"/>
            <w:vAlign w:val="bottom"/>
            <w:gridSpan w:val="3"/>
            <w:vMerge w:val="continue"/>
          </w:tcPr>
          <w:p>
            <w:pPr>
              <w:spacing w:after="0"/>
              <w:rPr>
                <w:sz w:val="4"/>
                <w:szCs w:val="4"/>
                <w:color w:val="auto"/>
              </w:rPr>
            </w:pPr>
          </w:p>
        </w:tc>
        <w:tc>
          <w:tcPr>
            <w:tcW w:w="68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218"/>
        </w:trPr>
        <w:tc>
          <w:tcPr>
            <w:tcW w:w="2780" w:type="dxa"/>
            <w:vAlign w:val="bottom"/>
          </w:tcPr>
          <w:p>
            <w:pPr>
              <w:spacing w:after="0"/>
              <w:rPr>
                <w:sz w:val="18"/>
                <w:szCs w:val="18"/>
                <w:color w:val="auto"/>
              </w:rPr>
            </w:pPr>
          </w:p>
        </w:tc>
        <w:tc>
          <w:tcPr>
            <w:tcW w:w="740" w:type="dxa"/>
            <w:vAlign w:val="bottom"/>
          </w:tcPr>
          <w:p>
            <w:pPr>
              <w:spacing w:after="0"/>
              <w:rPr>
                <w:sz w:val="18"/>
                <w:szCs w:val="18"/>
                <w:color w:val="auto"/>
              </w:rPr>
            </w:pPr>
          </w:p>
        </w:tc>
        <w:tc>
          <w:tcPr>
            <w:tcW w:w="800" w:type="dxa"/>
            <w:vAlign w:val="bottom"/>
          </w:tcPr>
          <w:p>
            <w:pPr>
              <w:spacing w:after="0"/>
              <w:rPr>
                <w:sz w:val="18"/>
                <w:szCs w:val="18"/>
                <w:color w:val="auto"/>
              </w:rPr>
            </w:pPr>
          </w:p>
        </w:tc>
        <w:tc>
          <w:tcPr>
            <w:tcW w:w="6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Year-on-year</w:t>
            </w:r>
          </w:p>
        </w:tc>
        <w:tc>
          <w:tcPr>
            <w:tcW w:w="0" w:type="dxa"/>
            <w:vAlign w:val="bottom"/>
          </w:tcPr>
          <w:p>
            <w:pPr>
              <w:spacing w:after="0"/>
              <w:rPr>
                <w:sz w:val="1"/>
                <w:szCs w:val="1"/>
                <w:color w:val="auto"/>
              </w:rPr>
            </w:pPr>
          </w:p>
        </w:tc>
      </w:tr>
      <w:tr>
        <w:trPr>
          <w:trHeight w:val="114"/>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2022</w:t>
            </w:r>
          </w:p>
        </w:tc>
        <w:tc>
          <w:tcPr>
            <w:tcW w:w="6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change %</w:t>
            </w:r>
          </w:p>
        </w:tc>
        <w:tc>
          <w:tcPr>
            <w:tcW w:w="0" w:type="dxa"/>
            <w:vAlign w:val="bottom"/>
          </w:tcPr>
          <w:p>
            <w:pPr>
              <w:spacing w:after="0"/>
              <w:rPr>
                <w:sz w:val="1"/>
                <w:szCs w:val="1"/>
                <w:color w:val="auto"/>
              </w:rPr>
            </w:pPr>
          </w:p>
        </w:tc>
      </w:tr>
      <w:tr>
        <w:trPr>
          <w:trHeight w:val="14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Asia Pacific</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2 291</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2 648</w:t>
            </w:r>
          </w:p>
        </w:tc>
        <w:tc>
          <w:tcPr>
            <w:tcW w:w="68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(13)</w:t>
            </w:r>
          </w:p>
        </w:tc>
        <w:tc>
          <w:tcPr>
            <w:tcW w:w="0" w:type="dxa"/>
            <w:vAlign w:val="bottom"/>
          </w:tcPr>
          <w:p>
            <w:pPr>
              <w:spacing w:after="0"/>
              <w:rPr>
                <w:sz w:val="1"/>
                <w:szCs w:val="1"/>
                <w:color w:val="auto"/>
              </w:rPr>
            </w:pPr>
          </w:p>
        </w:tc>
      </w:tr>
      <w:tr>
        <w:trPr>
          <w:trHeight w:val="194"/>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Europe </w:t>
            </w:r>
            <w:r>
              <w:rPr>
                <w:rFonts w:ascii="Times New Roman" w:cs="Times New Roman" w:eastAsia="Times New Roman" w:hAnsi="Times New Roman"/>
                <w:sz w:val="13"/>
                <w:szCs w:val="13"/>
                <w:color w:val="0D0D0D"/>
                <w:vertAlign w:val="superscript"/>
              </w:rPr>
              <w:t>(1)</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5 873</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6 662</w:t>
            </w:r>
          </w:p>
        </w:tc>
        <w:tc>
          <w:tcPr>
            <w:tcW w:w="68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(12)</w:t>
            </w:r>
          </w:p>
        </w:tc>
        <w:tc>
          <w:tcPr>
            <w:tcW w:w="0" w:type="dxa"/>
            <w:vAlign w:val="bottom"/>
          </w:tcPr>
          <w:p>
            <w:pPr>
              <w:spacing w:after="0"/>
              <w:rPr>
                <w:sz w:val="1"/>
                <w:szCs w:val="1"/>
                <w:color w:val="auto"/>
              </w:rPr>
            </w:pPr>
          </w:p>
        </w:tc>
      </w:tr>
      <w:tr>
        <w:trPr>
          <w:trHeight w:val="13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Greater China</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1 303</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1 581</w:t>
            </w:r>
          </w:p>
        </w:tc>
        <w:tc>
          <w:tcPr>
            <w:tcW w:w="68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(18)</w:t>
            </w:r>
          </w:p>
        </w:tc>
        <w:tc>
          <w:tcPr>
            <w:tcW w:w="0" w:type="dxa"/>
            <w:vAlign w:val="bottom"/>
          </w:tcPr>
          <w:p>
            <w:pPr>
              <w:spacing w:after="0"/>
              <w:rPr>
                <w:sz w:val="1"/>
                <w:szCs w:val="1"/>
                <w:color w:val="auto"/>
              </w:rPr>
            </w:pP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India</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2 842</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1 290</w:t>
            </w:r>
          </w:p>
        </w:tc>
        <w:tc>
          <w:tcPr>
            <w:tcW w:w="680" w:type="dxa"/>
            <w:vAlign w:val="bottom"/>
          </w:tcPr>
          <w:p>
            <w:pPr>
              <w:ind w:left="460"/>
              <w:spacing w:after="0"/>
              <w:rPr>
                <w:sz w:val="20"/>
                <w:szCs w:val="20"/>
                <w:color w:val="auto"/>
              </w:rPr>
            </w:pPr>
            <w:r>
              <w:rPr>
                <w:rFonts w:ascii="Times New Roman" w:cs="Times New Roman" w:eastAsia="Times New Roman" w:hAnsi="Times New Roman"/>
                <w:sz w:val="10"/>
                <w:szCs w:val="10"/>
                <w:color w:val="0D0D0D"/>
              </w:rPr>
              <w:t>120</w:t>
            </w:r>
          </w:p>
        </w:tc>
        <w:tc>
          <w:tcPr>
            <w:tcW w:w="0" w:type="dxa"/>
            <w:vAlign w:val="bottom"/>
          </w:tcPr>
          <w:p>
            <w:pPr>
              <w:spacing w:after="0"/>
              <w:rPr>
                <w:sz w:val="1"/>
                <w:szCs w:val="1"/>
                <w:color w:val="auto"/>
              </w:rPr>
            </w:pP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Latin America</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1 046</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1 223</w:t>
            </w:r>
          </w:p>
        </w:tc>
        <w:tc>
          <w:tcPr>
            <w:tcW w:w="68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(14)</w:t>
            </w:r>
          </w:p>
        </w:tc>
        <w:tc>
          <w:tcPr>
            <w:tcW w:w="0" w:type="dxa"/>
            <w:vAlign w:val="bottom"/>
          </w:tcPr>
          <w:p>
            <w:pPr>
              <w:spacing w:after="0"/>
              <w:rPr>
                <w:sz w:val="1"/>
                <w:szCs w:val="1"/>
                <w:color w:val="auto"/>
              </w:rPr>
            </w:pP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Middle East &amp; Africa</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2 050</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1 969</w:t>
            </w: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4</w:t>
            </w:r>
          </w:p>
        </w:tc>
        <w:tc>
          <w:tcPr>
            <w:tcW w:w="0" w:type="dxa"/>
            <w:vAlign w:val="bottom"/>
          </w:tcPr>
          <w:p>
            <w:pPr>
              <w:spacing w:after="0"/>
              <w:rPr>
                <w:sz w:val="1"/>
                <w:szCs w:val="1"/>
                <w:color w:val="auto"/>
              </w:rPr>
            </w:pP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North America</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5 733</w:t>
            </w:r>
          </w:p>
        </w:tc>
        <w:tc>
          <w:tcPr>
            <w:tcW w:w="8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8 388</w:t>
            </w:r>
          </w:p>
        </w:tc>
        <w:tc>
          <w:tcPr>
            <w:tcW w:w="68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(32)</w:t>
            </w:r>
          </w:p>
        </w:tc>
        <w:tc>
          <w:tcPr>
            <w:tcW w:w="0" w:type="dxa"/>
            <w:vAlign w:val="bottom"/>
          </w:tcPr>
          <w:p>
            <w:pPr>
              <w:spacing w:after="0"/>
              <w:rPr>
                <w:sz w:val="1"/>
                <w:szCs w:val="1"/>
                <w:color w:val="auto"/>
              </w:rPr>
            </w:pPr>
          </w:p>
        </w:tc>
      </w:tr>
      <w:tr>
        <w:trPr>
          <w:trHeight w:val="167"/>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Submarine Networks</w:t>
            </w:r>
          </w:p>
        </w:tc>
        <w:tc>
          <w:tcPr>
            <w:tcW w:w="7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1 120</w:t>
            </w:r>
          </w:p>
        </w:tc>
        <w:tc>
          <w:tcPr>
            <w:tcW w:w="80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10"/>
                <w:szCs w:val="10"/>
                <w:color w:val="0D0D0D"/>
              </w:rPr>
              <w:t>1 150</w:t>
            </w:r>
          </w:p>
        </w:tc>
        <w:tc>
          <w:tcPr>
            <w:tcW w:w="68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color w:val="0D0D0D"/>
              </w:rPr>
              <w:t>(3)</w:t>
            </w:r>
          </w:p>
        </w:tc>
        <w:tc>
          <w:tcPr>
            <w:tcW w:w="0" w:type="dxa"/>
            <w:vAlign w:val="bottom"/>
          </w:tcPr>
          <w:p>
            <w:pPr>
              <w:spacing w:after="0"/>
              <w:rPr>
                <w:sz w:val="1"/>
                <w:szCs w:val="1"/>
                <w:color w:val="auto"/>
              </w:rPr>
            </w:pPr>
          </w:p>
        </w:tc>
      </w:tr>
      <w:tr>
        <w:trPr>
          <w:trHeight w:val="14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80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680" w:type="dxa"/>
            <w:vAlign w:val="bottom"/>
            <w:tcBorders>
              <w:bottom w:val="single" w:sz="8" w:color="005AFF"/>
            </w:tcBorders>
          </w:tcPr>
          <w:p>
            <w:pPr>
              <w:ind w:left="480"/>
              <w:spacing w:after="0"/>
              <w:rPr>
                <w:sz w:val="20"/>
                <w:szCs w:val="20"/>
                <w:color w:val="auto"/>
              </w:rPr>
            </w:pPr>
            <w:r>
              <w:rPr>
                <w:rFonts w:ascii="Times New Roman" w:cs="Times New Roman" w:eastAsia="Times New Roman" w:hAnsi="Times New Roman"/>
                <w:sz w:val="10"/>
                <w:szCs w:val="10"/>
                <w:b w:val="1"/>
                <w:bCs w:val="1"/>
                <w:color w:val="auto"/>
              </w:rPr>
              <w:t>(11)</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hanging="198"/>
        <w:spacing w:after="0"/>
        <w:tabs>
          <w:tab w:leader="none" w:pos="200" w:val="left"/>
        </w:tabs>
        <w:numPr>
          <w:ilvl w:val="0"/>
          <w:numId w:val="5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All Nokia Technologies IPR and licensing net sales are allocated to Finland.</w:t>
      </w:r>
    </w:p>
    <w:p>
      <w:pPr>
        <w:spacing w:after="0" w:line="7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following table sets forth distribution of net sales by customer type for the years indicated.</w:t>
      </w:r>
    </w:p>
    <w:p>
      <w:pPr>
        <w:spacing w:after="0" w:line="19" w:lineRule="exact"/>
        <w:rPr>
          <w:sz w:val="20"/>
          <w:szCs w:val="20"/>
          <w:color w:val="auto"/>
        </w:rPr>
      </w:pPr>
    </w:p>
    <w:p>
      <w:pPr>
        <w:sectPr>
          <w:pgSz w:w="11900" w:h="16838" w:orient="portrait"/>
          <w:cols w:equalWidth="0" w:num="2">
            <w:col w:w="4940" w:space="160"/>
            <w:col w:w="5000"/>
          </w:cols>
          <w:pgMar w:left="960" w:top="409" w:right="839" w:bottom="1440" w:gutter="0" w:footer="0" w:header="0"/>
          <w:type w:val="continuous"/>
        </w:sectPr>
      </w:pPr>
    </w:p>
    <w:tbl>
      <w:tblPr>
        <w:tblLayout w:type="fixed"/>
        <w:tblInd w:w="0" w:type="dxa"/>
        <w:tblCellMar>
          <w:top w:w="0" w:type="dxa"/>
          <w:left w:w="0" w:type="dxa"/>
          <w:bottom w:w="0" w:type="dxa"/>
          <w:right w:w="0" w:type="dxa"/>
        </w:tblCellMar>
      </w:tblPr>
      <w:tr>
        <w:trPr>
          <w:trHeight w:val="131"/>
        </w:trPr>
        <w:tc>
          <w:tcPr>
            <w:tcW w:w="19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7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1 688</w:t>
            </w:r>
          </w:p>
        </w:tc>
        <w:tc>
          <w:tcPr>
            <w:tcW w:w="56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7.6</w:t>
            </w:r>
          </w:p>
        </w:tc>
        <w:tc>
          <w:tcPr>
            <w:tcW w:w="6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2 318</w:t>
            </w:r>
          </w:p>
        </w:tc>
        <w:tc>
          <w:tcPr>
            <w:tcW w:w="60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9.3</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(27)</w:t>
            </w:r>
          </w:p>
        </w:tc>
        <w:tc>
          <w:tcPr>
            <w:tcW w:w="0" w:type="dxa"/>
            <w:vAlign w:val="bottom"/>
          </w:tcPr>
          <w:p>
            <w:pPr>
              <w:spacing w:after="0"/>
              <w:rPr>
                <w:sz w:val="1"/>
                <w:szCs w:val="1"/>
                <w:color w:val="auto"/>
              </w:rPr>
            </w:pPr>
          </w:p>
        </w:tc>
      </w:tr>
      <w:tr>
        <w:trPr>
          <w:trHeight w:val="123"/>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 of results of associated companies</w:t>
            </w:r>
          </w:p>
        </w:tc>
        <w:tc>
          <w:tcPr>
            <w:tcW w:w="740" w:type="dxa"/>
            <w:vAlign w:val="bottom"/>
          </w:tcPr>
          <w:p>
            <w:pPr>
              <w:spacing w:after="0"/>
              <w:rPr>
                <w:sz w:val="10"/>
                <w:szCs w:val="10"/>
                <w:color w:val="auto"/>
              </w:rPr>
            </w:pPr>
          </w:p>
        </w:tc>
        <w:tc>
          <w:tcPr>
            <w:tcW w:w="560" w:type="dxa"/>
            <w:vAlign w:val="bottom"/>
          </w:tcPr>
          <w:p>
            <w:pPr>
              <w:spacing w:after="0"/>
              <w:rPr>
                <w:sz w:val="10"/>
                <w:szCs w:val="10"/>
                <w:color w:val="auto"/>
              </w:rPr>
            </w:pPr>
          </w:p>
        </w:tc>
        <w:tc>
          <w:tcPr>
            <w:tcW w:w="620" w:type="dxa"/>
            <w:vAlign w:val="bottom"/>
            <w:vMerge w:val="restart"/>
          </w:tcPr>
          <w:p>
            <w:pPr>
              <w:jc w:val="right"/>
              <w:ind w:right="91"/>
              <w:spacing w:after="0"/>
              <w:rPr>
                <w:sz w:val="20"/>
                <w:szCs w:val="20"/>
                <w:color w:val="auto"/>
              </w:rPr>
            </w:pPr>
            <w:r>
              <w:rPr>
                <w:rFonts w:ascii="Times New Roman" w:cs="Times New Roman" w:eastAsia="Times New Roman" w:hAnsi="Times New Roman"/>
                <w:sz w:val="9"/>
                <w:szCs w:val="9"/>
                <w:color w:val="0D0D0D"/>
              </w:rPr>
              <w:t>(26)</w:t>
            </w:r>
          </w:p>
        </w:tc>
        <w:tc>
          <w:tcPr>
            <w:tcW w:w="600" w:type="dxa"/>
            <w:vAlign w:val="bottom"/>
            <w:vMerge w:val="restart"/>
          </w:tcPr>
          <w:p>
            <w:pPr>
              <w:jc w:val="right"/>
              <w:ind w:right="171"/>
              <w:spacing w:after="0"/>
              <w:rPr>
                <w:sz w:val="20"/>
                <w:szCs w:val="20"/>
                <w:color w:val="auto"/>
              </w:rPr>
            </w:pPr>
            <w:r>
              <w:rPr>
                <w:rFonts w:ascii="Times New Roman" w:cs="Times New Roman" w:eastAsia="Times New Roman" w:hAnsi="Times New Roman"/>
                <w:sz w:val="9"/>
                <w:szCs w:val="9"/>
                <w:color w:val="0D0D0D"/>
              </w:rPr>
              <w:t>(0.1)</w:t>
            </w:r>
          </w:p>
        </w:tc>
        <w:tc>
          <w:tcPr>
            <w:tcW w:w="440" w:type="dxa"/>
            <w:vAlign w:val="bottom"/>
            <w:vMerge w:val="restart"/>
          </w:tcPr>
          <w:p>
            <w:pPr>
              <w:jc w:val="right"/>
              <w:ind w:right="11"/>
              <w:spacing w:after="0"/>
              <w:rPr>
                <w:sz w:val="20"/>
                <w:szCs w:val="20"/>
                <w:color w:val="auto"/>
              </w:rPr>
            </w:pPr>
            <w:r>
              <w:rPr>
                <w:rFonts w:ascii="Times New Roman" w:cs="Times New Roman" w:eastAsia="Times New Roman" w:hAnsi="Times New Roman"/>
                <w:sz w:val="9"/>
                <w:szCs w:val="9"/>
                <w:color w:val="0D0D0D"/>
              </w:rPr>
              <w:t>50</w:t>
            </w:r>
          </w:p>
        </w:tc>
        <w:tc>
          <w:tcPr>
            <w:tcW w:w="0" w:type="dxa"/>
            <w:vAlign w:val="bottom"/>
          </w:tcPr>
          <w:p>
            <w:pPr>
              <w:spacing w:after="0"/>
              <w:rPr>
                <w:sz w:val="1"/>
                <w:szCs w:val="1"/>
                <w:color w:val="auto"/>
              </w:rPr>
            </w:pPr>
          </w:p>
        </w:tc>
      </w:tr>
      <w:tr>
        <w:trPr>
          <w:trHeight w:val="130"/>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and joint ventures</w:t>
            </w:r>
          </w:p>
        </w:tc>
        <w:tc>
          <w:tcPr>
            <w:tcW w:w="74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05AFF"/>
              </w:rPr>
              <w:t>(39)</w:t>
            </w:r>
          </w:p>
        </w:tc>
        <w:tc>
          <w:tcPr>
            <w:tcW w:w="56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(0.2)</w:t>
            </w:r>
          </w:p>
        </w:tc>
        <w:tc>
          <w:tcPr>
            <w:tcW w:w="620" w:type="dxa"/>
            <w:vAlign w:val="bottom"/>
            <w:vMerge w:val="continue"/>
          </w:tcPr>
          <w:p>
            <w:pPr>
              <w:spacing w:after="0"/>
              <w:rPr>
                <w:sz w:val="11"/>
                <w:szCs w:val="11"/>
                <w:color w:val="auto"/>
              </w:rPr>
            </w:pPr>
          </w:p>
        </w:tc>
        <w:tc>
          <w:tcPr>
            <w:tcW w:w="600" w:type="dxa"/>
            <w:vAlign w:val="bottom"/>
            <w:vMerge w:val="continue"/>
          </w:tcPr>
          <w:p>
            <w:pPr>
              <w:spacing w:after="0"/>
              <w:rPr>
                <w:sz w:val="11"/>
                <w:szCs w:val="11"/>
                <w:color w:val="auto"/>
              </w:rPr>
            </w:pPr>
          </w:p>
        </w:tc>
        <w:tc>
          <w:tcPr>
            <w:tcW w:w="4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67"/>
        </w:trPr>
        <w:tc>
          <w:tcPr>
            <w:tcW w:w="19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Financial income and expenses</w:t>
            </w:r>
          </w:p>
        </w:tc>
        <w:tc>
          <w:tcPr>
            <w:tcW w:w="740" w:type="dxa"/>
            <w:vAlign w:val="bottom"/>
            <w:tcBorders>
              <w:bottom w:val="single" w:sz="8" w:color="005AFF"/>
            </w:tcBorders>
          </w:tcPr>
          <w:p>
            <w:pPr>
              <w:jc w:val="right"/>
              <w:ind w:right="129"/>
              <w:spacing w:after="0"/>
              <w:rPr>
                <w:sz w:val="20"/>
                <w:szCs w:val="20"/>
                <w:color w:val="auto"/>
              </w:rPr>
            </w:pPr>
            <w:r>
              <w:rPr>
                <w:rFonts w:ascii="Times New Roman" w:cs="Times New Roman" w:eastAsia="Times New Roman" w:hAnsi="Times New Roman"/>
                <w:sz w:val="10"/>
                <w:szCs w:val="10"/>
                <w:color w:val="005AFF"/>
              </w:rPr>
              <w:t>(150)</w:t>
            </w:r>
          </w:p>
        </w:tc>
        <w:tc>
          <w:tcPr>
            <w:tcW w:w="56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color w:val="005AFF"/>
              </w:rPr>
              <w:t>(0.7)</w:t>
            </w:r>
          </w:p>
        </w:tc>
        <w:tc>
          <w:tcPr>
            <w:tcW w:w="6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9"/>
                <w:szCs w:val="9"/>
                <w:color w:val="0D0D0D"/>
              </w:rPr>
              <w:t>(108)</w:t>
            </w:r>
          </w:p>
        </w:tc>
        <w:tc>
          <w:tcPr>
            <w:tcW w:w="60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9"/>
                <w:szCs w:val="9"/>
                <w:color w:val="0D0D0D"/>
              </w:rPr>
              <w:t>(0.4)</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9"/>
                <w:szCs w:val="9"/>
                <w:color w:val="0D0D0D"/>
              </w:rPr>
              <w:t>39</w:t>
            </w:r>
          </w:p>
        </w:tc>
        <w:tc>
          <w:tcPr>
            <w:tcW w:w="0" w:type="dxa"/>
            <w:vAlign w:val="bottom"/>
          </w:tcPr>
          <w:p>
            <w:pPr>
              <w:spacing w:after="0"/>
              <w:rPr>
                <w:sz w:val="1"/>
                <w:szCs w:val="1"/>
                <w:color w:val="auto"/>
              </w:rPr>
            </w:pPr>
          </w:p>
        </w:tc>
      </w:tr>
      <w:tr>
        <w:trPr>
          <w:trHeight w:val="142"/>
        </w:trPr>
        <w:tc>
          <w:tcPr>
            <w:tcW w:w="19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before tax</w:t>
            </w:r>
          </w:p>
        </w:tc>
        <w:tc>
          <w:tcPr>
            <w:tcW w:w="7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1 499</w:t>
            </w:r>
          </w:p>
        </w:tc>
        <w:tc>
          <w:tcPr>
            <w:tcW w:w="56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6.7</w:t>
            </w:r>
          </w:p>
        </w:tc>
        <w:tc>
          <w:tcPr>
            <w:tcW w:w="6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2 184</w:t>
            </w:r>
          </w:p>
        </w:tc>
        <w:tc>
          <w:tcPr>
            <w:tcW w:w="60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8.8</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(31)</w:t>
            </w:r>
          </w:p>
        </w:tc>
        <w:tc>
          <w:tcPr>
            <w:tcW w:w="0" w:type="dxa"/>
            <w:vAlign w:val="bottom"/>
          </w:tcPr>
          <w:p>
            <w:pPr>
              <w:spacing w:after="0"/>
              <w:rPr>
                <w:sz w:val="1"/>
                <w:szCs w:val="1"/>
                <w:color w:val="auto"/>
              </w:rPr>
            </w:pPr>
          </w:p>
        </w:tc>
      </w:tr>
      <w:tr>
        <w:trPr>
          <w:trHeight w:val="142"/>
        </w:trPr>
        <w:tc>
          <w:tcPr>
            <w:tcW w:w="19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Income tax (expense)/benefit</w:t>
            </w:r>
          </w:p>
        </w:tc>
        <w:tc>
          <w:tcPr>
            <w:tcW w:w="740" w:type="dxa"/>
            <w:vAlign w:val="bottom"/>
            <w:tcBorders>
              <w:bottom w:val="single" w:sz="8" w:color="005AFF"/>
            </w:tcBorders>
          </w:tcPr>
          <w:p>
            <w:pPr>
              <w:jc w:val="right"/>
              <w:ind w:right="129"/>
              <w:spacing w:after="0"/>
              <w:rPr>
                <w:sz w:val="20"/>
                <w:szCs w:val="20"/>
                <w:color w:val="auto"/>
              </w:rPr>
            </w:pPr>
            <w:r>
              <w:rPr>
                <w:rFonts w:ascii="Times New Roman" w:cs="Times New Roman" w:eastAsia="Times New Roman" w:hAnsi="Times New Roman"/>
                <w:sz w:val="10"/>
                <w:szCs w:val="10"/>
                <w:color w:val="005AFF"/>
              </w:rPr>
              <w:t>(825)</w:t>
            </w:r>
          </w:p>
        </w:tc>
        <w:tc>
          <w:tcPr>
            <w:tcW w:w="56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color w:val="005AFF"/>
              </w:rPr>
              <w:t>(3.7)</w:t>
            </w:r>
          </w:p>
        </w:tc>
        <w:tc>
          <w:tcPr>
            <w:tcW w:w="6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9"/>
                <w:szCs w:val="9"/>
                <w:color w:val="0D0D0D"/>
              </w:rPr>
              <w:t>2 026</w:t>
            </w:r>
          </w:p>
        </w:tc>
        <w:tc>
          <w:tcPr>
            <w:tcW w:w="60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9"/>
                <w:szCs w:val="9"/>
                <w:color w:val="0D0D0D"/>
              </w:rPr>
              <w:t>8.1</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9"/>
                <w:szCs w:val="9"/>
                <w:color w:val="0D0D0D"/>
              </w:rPr>
              <w:t>(141)</w:t>
            </w:r>
          </w:p>
        </w:tc>
        <w:tc>
          <w:tcPr>
            <w:tcW w:w="0" w:type="dxa"/>
            <w:vAlign w:val="bottom"/>
          </w:tcPr>
          <w:p>
            <w:pPr>
              <w:spacing w:after="0"/>
              <w:rPr>
                <w:sz w:val="1"/>
                <w:szCs w:val="1"/>
                <w:color w:val="auto"/>
              </w:rPr>
            </w:pPr>
          </w:p>
        </w:tc>
      </w:tr>
      <w:tr>
        <w:trPr>
          <w:trHeight w:val="126"/>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for the year from continuing</w:t>
            </w:r>
          </w:p>
        </w:tc>
        <w:tc>
          <w:tcPr>
            <w:tcW w:w="740" w:type="dxa"/>
            <w:vAlign w:val="bottom"/>
          </w:tcPr>
          <w:p>
            <w:pPr>
              <w:spacing w:after="0"/>
              <w:rPr>
                <w:sz w:val="10"/>
                <w:szCs w:val="10"/>
                <w:color w:val="auto"/>
              </w:rPr>
            </w:pPr>
          </w:p>
        </w:tc>
        <w:tc>
          <w:tcPr>
            <w:tcW w:w="56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44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32"/>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operations</w:t>
            </w:r>
          </w:p>
        </w:tc>
        <w:tc>
          <w:tcPr>
            <w:tcW w:w="740" w:type="dxa"/>
            <w:vAlign w:val="bottom"/>
          </w:tcPr>
          <w:p>
            <w:pPr>
              <w:jc w:val="right"/>
              <w:ind w:right="129"/>
              <w:spacing w:after="0"/>
              <w:rPr>
                <w:sz w:val="20"/>
                <w:szCs w:val="20"/>
                <w:color w:val="auto"/>
              </w:rPr>
            </w:pPr>
            <w:r>
              <w:rPr>
                <w:rFonts w:ascii="Times New Roman" w:cs="Times New Roman" w:eastAsia="Times New Roman" w:hAnsi="Times New Roman"/>
                <w:sz w:val="10"/>
                <w:szCs w:val="10"/>
                <w:b w:val="1"/>
                <w:bCs w:val="1"/>
                <w:color w:val="005AFF"/>
              </w:rPr>
              <w:t>674</w:t>
            </w:r>
          </w:p>
        </w:tc>
        <w:tc>
          <w:tcPr>
            <w:tcW w:w="560" w:type="dxa"/>
            <w:vAlign w:val="bottom"/>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3.0</w:t>
            </w:r>
          </w:p>
        </w:tc>
        <w:tc>
          <w:tcPr>
            <w:tcW w:w="620" w:type="dxa"/>
            <w:vAlign w:val="bottom"/>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4 210</w:t>
            </w:r>
          </w:p>
        </w:tc>
        <w:tc>
          <w:tcPr>
            <w:tcW w:w="600" w:type="dxa"/>
            <w:vAlign w:val="bottom"/>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16.9</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(84)</w:t>
            </w: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38"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1"/>
        </w:trPr>
        <w:tc>
          <w:tcPr>
            <w:tcW w:w="2740" w:type="dxa"/>
            <w:vAlign w:val="bottom"/>
          </w:tcPr>
          <w:p>
            <w:pPr>
              <w:spacing w:after="0"/>
              <w:rPr>
                <w:sz w:val="8"/>
                <w:szCs w:val="8"/>
                <w:color w:val="auto"/>
              </w:rPr>
            </w:pPr>
          </w:p>
        </w:tc>
        <w:tc>
          <w:tcPr>
            <w:tcW w:w="740" w:type="dxa"/>
            <w:vAlign w:val="bottom"/>
          </w:tcPr>
          <w:p>
            <w:pPr>
              <w:spacing w:after="0"/>
              <w:rPr>
                <w:sz w:val="8"/>
                <w:szCs w:val="8"/>
                <w:color w:val="auto"/>
              </w:rPr>
            </w:pPr>
          </w:p>
        </w:tc>
        <w:tc>
          <w:tcPr>
            <w:tcW w:w="800" w:type="dxa"/>
            <w:vAlign w:val="bottom"/>
          </w:tcPr>
          <w:p>
            <w:pPr>
              <w:spacing w:after="0"/>
              <w:rPr>
                <w:sz w:val="8"/>
                <w:szCs w:val="8"/>
                <w:color w:val="auto"/>
              </w:rPr>
            </w:pPr>
          </w:p>
        </w:tc>
        <w:tc>
          <w:tcPr>
            <w:tcW w:w="680" w:type="dxa"/>
            <w:vAlign w:val="bottom"/>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Year-on-year</w:t>
            </w:r>
          </w:p>
        </w:tc>
      </w:tr>
      <w:tr>
        <w:trPr>
          <w:trHeight w:val="109"/>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change %</w:t>
            </w:r>
          </w:p>
        </w:tc>
      </w:tr>
      <w:tr>
        <w:trPr>
          <w:trHeight w:val="135"/>
        </w:trPr>
        <w:tc>
          <w:tcPr>
            <w:tcW w:w="2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Communications service providers</w:t>
            </w:r>
          </w:p>
        </w:tc>
        <w:tc>
          <w:tcPr>
            <w:tcW w:w="7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17 652</w:t>
            </w:r>
          </w:p>
        </w:tc>
        <w:tc>
          <w:tcPr>
            <w:tcW w:w="80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19 921</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(11)</w:t>
            </w:r>
          </w:p>
        </w:tc>
      </w:tr>
      <w:tr>
        <w:trPr>
          <w:trHeight w:val="162"/>
        </w:trPr>
        <w:tc>
          <w:tcPr>
            <w:tcW w:w="2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Enterprise</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2 282</w:t>
            </w:r>
          </w:p>
        </w:tc>
        <w:tc>
          <w:tcPr>
            <w:tcW w:w="80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1 997</w:t>
            </w:r>
          </w:p>
        </w:tc>
        <w:tc>
          <w:tcPr>
            <w:tcW w:w="68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14</w:t>
            </w:r>
          </w:p>
        </w:tc>
      </w:tr>
      <w:tr>
        <w:trPr>
          <w:trHeight w:val="162"/>
        </w:trPr>
        <w:tc>
          <w:tcPr>
            <w:tcW w:w="2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Licensees</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1 085</w:t>
            </w:r>
          </w:p>
        </w:tc>
        <w:tc>
          <w:tcPr>
            <w:tcW w:w="80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1 595</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(32)</w:t>
            </w:r>
          </w:p>
        </w:tc>
      </w:tr>
      <w:tr>
        <w:trPr>
          <w:trHeight w:val="172"/>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Other </w:t>
            </w:r>
            <w:r>
              <w:rPr>
                <w:rFonts w:ascii="Times New Roman" w:cs="Times New Roman" w:eastAsia="Times New Roman" w:hAnsi="Times New Roman"/>
                <w:sz w:val="13"/>
                <w:szCs w:val="13"/>
                <w:color w:val="0D0D0D"/>
                <w:vertAlign w:val="superscript"/>
              </w:rPr>
              <w:t>(1)</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1 239</w:t>
            </w:r>
          </w:p>
        </w:tc>
        <w:tc>
          <w:tcPr>
            <w:tcW w:w="80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1 398</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(11)</w:t>
            </w:r>
          </w:p>
        </w:tc>
      </w:tr>
      <w:tr>
        <w:trPr>
          <w:trHeight w:val="137"/>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80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(11)</w:t>
            </w:r>
          </w:p>
        </w:tc>
      </w:tr>
    </w:tbl>
    <w:p>
      <w:pPr>
        <w:spacing w:after="0" w:line="30" w:lineRule="exact"/>
        <w:rPr>
          <w:sz w:val="20"/>
          <w:szCs w:val="20"/>
          <w:color w:val="auto"/>
        </w:rPr>
      </w:pPr>
    </w:p>
    <w:p>
      <w:pPr>
        <w:ind w:left="200" w:hanging="198"/>
        <w:spacing w:after="0"/>
        <w:tabs>
          <w:tab w:leader="none" w:pos="200" w:val="left"/>
        </w:tabs>
        <w:numPr>
          <w:ilvl w:val="0"/>
          <w:numId w:val="5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net sales of Submarine Networks which operates in a different market, and Radio Frequency Systems (RFS), which is being</w:t>
      </w:r>
    </w:p>
    <w:p>
      <w:pPr>
        <w:spacing w:after="0" w:line="1" w:lineRule="exact"/>
        <w:rPr>
          <w:sz w:val="20"/>
          <w:szCs w:val="20"/>
          <w:color w:val="auto"/>
        </w:rPr>
      </w:pPr>
    </w:p>
    <w:p>
      <w:pPr>
        <w:sectPr>
          <w:pgSz w:w="11900" w:h="16838" w:orient="portrait"/>
          <w:cols w:equalWidth="0" w:num="2">
            <w:col w:w="4940" w:space="160"/>
            <w:col w:w="5000"/>
          </w:cols>
          <w:pgMar w:left="960" w:top="409" w:right="839" w:bottom="1440" w:gutter="0" w:footer="0" w:header="0"/>
          <w:type w:val="continuous"/>
        </w:sectPr>
      </w:pPr>
    </w:p>
    <w:tbl>
      <w:tblPr>
        <w:tblLayout w:type="fixed"/>
        <w:tblInd w:w="40" w:type="dxa"/>
        <w:tblCellMar>
          <w:top w:w="0" w:type="dxa"/>
          <w:left w:w="0" w:type="dxa"/>
          <w:bottom w:w="0" w:type="dxa"/>
          <w:right w:w="0" w:type="dxa"/>
        </w:tblCellMar>
      </w:tblPr>
      <w:tr>
        <w:trPr>
          <w:trHeight w:val="121"/>
        </w:trPr>
        <w:tc>
          <w:tcPr>
            <w:tcW w:w="1720" w:type="dxa"/>
            <w:vAlign w:val="bottom"/>
          </w:tcPr>
          <w:p>
            <w:pPr>
              <w:spacing w:after="0"/>
              <w:rPr>
                <w:sz w:val="20"/>
                <w:szCs w:val="20"/>
                <w:color w:val="auto"/>
              </w:rPr>
            </w:pPr>
            <w:r>
              <w:rPr>
                <w:rFonts w:ascii="Times New Roman" w:cs="Times New Roman" w:eastAsia="Times New Roman" w:hAnsi="Times New Roman"/>
                <w:sz w:val="10"/>
                <w:szCs w:val="10"/>
                <w:b w:val="1"/>
                <w:bCs w:val="1"/>
                <w:color w:val="005AFF"/>
              </w:rPr>
              <w:t>Attributable to:</w:t>
            </w:r>
          </w:p>
        </w:tc>
        <w:tc>
          <w:tcPr>
            <w:tcW w:w="960" w:type="dxa"/>
            <w:vAlign w:val="bottom"/>
          </w:tcPr>
          <w:p>
            <w:pPr>
              <w:spacing w:after="0"/>
              <w:rPr>
                <w:sz w:val="10"/>
                <w:szCs w:val="10"/>
                <w:color w:val="auto"/>
              </w:rPr>
            </w:pPr>
          </w:p>
        </w:tc>
        <w:tc>
          <w:tcPr>
            <w:tcW w:w="54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62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4460" w:type="dxa"/>
            <w:vAlign w:val="bottom"/>
          </w:tcPr>
          <w:p>
            <w:pPr>
              <w:ind w:left="200"/>
              <w:spacing w:after="0"/>
              <w:rPr>
                <w:sz w:val="20"/>
                <w:szCs w:val="20"/>
                <w:color w:val="auto"/>
              </w:rPr>
            </w:pPr>
            <w:r>
              <w:rPr>
                <w:rFonts w:ascii="Times New Roman" w:cs="Times New Roman" w:eastAsia="Times New Roman" w:hAnsi="Times New Roman"/>
                <w:sz w:val="8"/>
                <w:szCs w:val="8"/>
                <w:color w:val="auto"/>
              </w:rPr>
              <w:t>managed as a separate entity, and certain other items, such as elimination of inter-segment revenues and certain items related to</w:t>
            </w:r>
          </w:p>
        </w:tc>
        <w:tc>
          <w:tcPr>
            <w:tcW w:w="0" w:type="dxa"/>
            <w:vAlign w:val="bottom"/>
          </w:tcPr>
          <w:p>
            <w:pPr>
              <w:spacing w:after="0"/>
              <w:rPr>
                <w:sz w:val="1"/>
                <w:szCs w:val="1"/>
                <w:color w:val="auto"/>
              </w:rPr>
            </w:pPr>
          </w:p>
        </w:tc>
      </w:tr>
      <w:tr>
        <w:trPr>
          <w:trHeight w:val="91"/>
        </w:trPr>
        <w:tc>
          <w:tcPr>
            <w:tcW w:w="172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Equity holders of the parent</w:t>
            </w:r>
          </w:p>
        </w:tc>
        <w:tc>
          <w:tcPr>
            <w:tcW w:w="960" w:type="dxa"/>
            <w:vAlign w:val="bottom"/>
            <w:vMerge w:val="restart"/>
          </w:tcPr>
          <w:p>
            <w:pPr>
              <w:jc w:val="right"/>
              <w:ind w:right="169"/>
              <w:spacing w:after="0"/>
              <w:rPr>
                <w:sz w:val="20"/>
                <w:szCs w:val="20"/>
                <w:color w:val="auto"/>
              </w:rPr>
            </w:pPr>
            <w:r>
              <w:rPr>
                <w:rFonts w:ascii="Times New Roman" w:cs="Times New Roman" w:eastAsia="Times New Roman" w:hAnsi="Times New Roman"/>
                <w:sz w:val="10"/>
                <w:szCs w:val="10"/>
                <w:color w:val="005AFF"/>
              </w:rPr>
              <w:t>660</w:t>
            </w:r>
          </w:p>
        </w:tc>
        <w:tc>
          <w:tcPr>
            <w:tcW w:w="540" w:type="dxa"/>
            <w:vAlign w:val="bottom"/>
            <w:vMerge w:val="restart"/>
          </w:tcPr>
          <w:p>
            <w:pPr>
              <w:jc w:val="right"/>
              <w:ind w:right="169"/>
              <w:spacing w:after="0"/>
              <w:rPr>
                <w:sz w:val="20"/>
                <w:szCs w:val="20"/>
                <w:color w:val="auto"/>
              </w:rPr>
            </w:pPr>
            <w:r>
              <w:rPr>
                <w:rFonts w:ascii="Times New Roman" w:cs="Times New Roman" w:eastAsia="Times New Roman" w:hAnsi="Times New Roman"/>
                <w:sz w:val="10"/>
                <w:szCs w:val="10"/>
                <w:color w:val="005AFF"/>
              </w:rPr>
              <w:t>3.0</w:t>
            </w:r>
          </w:p>
        </w:tc>
        <w:tc>
          <w:tcPr>
            <w:tcW w:w="620" w:type="dxa"/>
            <w:vAlign w:val="bottom"/>
            <w:vMerge w:val="restart"/>
          </w:tcPr>
          <w:p>
            <w:pPr>
              <w:jc w:val="right"/>
              <w:ind w:right="129"/>
              <w:spacing w:after="0"/>
              <w:rPr>
                <w:sz w:val="20"/>
                <w:szCs w:val="20"/>
                <w:color w:val="auto"/>
              </w:rPr>
            </w:pPr>
            <w:r>
              <w:rPr>
                <w:rFonts w:ascii="Times New Roman" w:cs="Times New Roman" w:eastAsia="Times New Roman" w:hAnsi="Times New Roman"/>
                <w:sz w:val="10"/>
                <w:szCs w:val="10"/>
                <w:color w:val="0D0D0D"/>
              </w:rPr>
              <w:t>4 201</w:t>
            </w:r>
          </w:p>
        </w:tc>
        <w:tc>
          <w:tcPr>
            <w:tcW w:w="620" w:type="dxa"/>
            <w:vAlign w:val="bottom"/>
            <w:vMerge w:val="restart"/>
          </w:tcPr>
          <w:p>
            <w:pPr>
              <w:jc w:val="right"/>
              <w:ind w:right="209"/>
              <w:spacing w:after="0"/>
              <w:rPr>
                <w:sz w:val="20"/>
                <w:szCs w:val="20"/>
                <w:color w:val="auto"/>
              </w:rPr>
            </w:pPr>
            <w:r>
              <w:rPr>
                <w:rFonts w:ascii="Times New Roman" w:cs="Times New Roman" w:eastAsia="Times New Roman" w:hAnsi="Times New Roman"/>
                <w:sz w:val="10"/>
                <w:szCs w:val="10"/>
                <w:color w:val="0D0D0D"/>
              </w:rPr>
              <w:t>16.9</w:t>
            </w:r>
          </w:p>
        </w:tc>
        <w:tc>
          <w:tcPr>
            <w:tcW w:w="600" w:type="dxa"/>
            <w:vAlign w:val="bottom"/>
            <w:vMerge w:val="restart"/>
          </w:tcPr>
          <w:p>
            <w:pPr>
              <w:jc w:val="right"/>
              <w:ind w:right="129"/>
              <w:spacing w:after="0"/>
              <w:rPr>
                <w:sz w:val="20"/>
                <w:szCs w:val="20"/>
                <w:color w:val="auto"/>
              </w:rPr>
            </w:pPr>
            <w:r>
              <w:rPr>
                <w:rFonts w:ascii="Times New Roman" w:cs="Times New Roman" w:eastAsia="Times New Roman" w:hAnsi="Times New Roman"/>
                <w:sz w:val="10"/>
                <w:szCs w:val="10"/>
                <w:color w:val="0D0D0D"/>
              </w:rPr>
              <w:t>(84)</w:t>
            </w:r>
          </w:p>
        </w:tc>
        <w:tc>
          <w:tcPr>
            <w:tcW w:w="4460" w:type="dxa"/>
            <w:vAlign w:val="bottom"/>
          </w:tcPr>
          <w:p>
            <w:pPr>
              <w:ind w:left="200"/>
              <w:spacing w:after="0"/>
              <w:rPr>
                <w:sz w:val="20"/>
                <w:szCs w:val="20"/>
                <w:color w:val="auto"/>
              </w:rPr>
            </w:pPr>
            <w:r>
              <w:rPr>
                <w:rFonts w:ascii="Times New Roman" w:cs="Times New Roman" w:eastAsia="Times New Roman" w:hAnsi="Times New Roman"/>
                <w:sz w:val="8"/>
                <w:szCs w:val="8"/>
                <w:color w:val="auto"/>
              </w:rPr>
              <w:t>purchase price allocation. Submarine Networks and RFS net sales also include revenue from communications service providers and</w:t>
            </w:r>
          </w:p>
        </w:tc>
        <w:tc>
          <w:tcPr>
            <w:tcW w:w="0" w:type="dxa"/>
            <w:vAlign w:val="bottom"/>
          </w:tcPr>
          <w:p>
            <w:pPr>
              <w:spacing w:after="0"/>
              <w:rPr>
                <w:sz w:val="1"/>
                <w:szCs w:val="1"/>
                <w:color w:val="auto"/>
              </w:rPr>
            </w:pPr>
          </w:p>
        </w:tc>
      </w:tr>
      <w:tr>
        <w:trPr>
          <w:trHeight w:val="70"/>
        </w:trPr>
        <w:tc>
          <w:tcPr>
            <w:tcW w:w="1720" w:type="dxa"/>
            <w:vAlign w:val="bottom"/>
            <w:vMerge w:val="continue"/>
          </w:tcPr>
          <w:p>
            <w:pPr>
              <w:spacing w:after="0"/>
              <w:rPr>
                <w:sz w:val="6"/>
                <w:szCs w:val="6"/>
                <w:color w:val="auto"/>
              </w:rPr>
            </w:pPr>
          </w:p>
        </w:tc>
        <w:tc>
          <w:tcPr>
            <w:tcW w:w="960" w:type="dxa"/>
            <w:vAlign w:val="bottom"/>
            <w:vMerge w:val="continue"/>
          </w:tcPr>
          <w:p>
            <w:pPr>
              <w:spacing w:after="0"/>
              <w:rPr>
                <w:sz w:val="6"/>
                <w:szCs w:val="6"/>
                <w:color w:val="auto"/>
              </w:rPr>
            </w:pPr>
          </w:p>
        </w:tc>
        <w:tc>
          <w:tcPr>
            <w:tcW w:w="540" w:type="dxa"/>
            <w:vAlign w:val="bottom"/>
            <w:vMerge w:val="continue"/>
          </w:tcPr>
          <w:p>
            <w:pPr>
              <w:spacing w:after="0"/>
              <w:rPr>
                <w:sz w:val="6"/>
                <w:szCs w:val="6"/>
                <w:color w:val="auto"/>
              </w:rPr>
            </w:pPr>
          </w:p>
        </w:tc>
        <w:tc>
          <w:tcPr>
            <w:tcW w:w="620" w:type="dxa"/>
            <w:vAlign w:val="bottom"/>
            <w:vMerge w:val="continue"/>
          </w:tcPr>
          <w:p>
            <w:pPr>
              <w:spacing w:after="0"/>
              <w:rPr>
                <w:sz w:val="6"/>
                <w:szCs w:val="6"/>
                <w:color w:val="auto"/>
              </w:rPr>
            </w:pPr>
          </w:p>
        </w:tc>
        <w:tc>
          <w:tcPr>
            <w:tcW w:w="620" w:type="dxa"/>
            <w:vAlign w:val="bottom"/>
            <w:vMerge w:val="continue"/>
          </w:tcPr>
          <w:p>
            <w:pPr>
              <w:spacing w:after="0"/>
              <w:rPr>
                <w:sz w:val="6"/>
                <w:szCs w:val="6"/>
                <w:color w:val="auto"/>
              </w:rPr>
            </w:pPr>
          </w:p>
        </w:tc>
        <w:tc>
          <w:tcPr>
            <w:tcW w:w="600" w:type="dxa"/>
            <w:vAlign w:val="bottom"/>
            <w:vMerge w:val="continue"/>
          </w:tcPr>
          <w:p>
            <w:pPr>
              <w:spacing w:after="0"/>
              <w:rPr>
                <w:sz w:val="6"/>
                <w:szCs w:val="6"/>
                <w:color w:val="auto"/>
              </w:rPr>
            </w:pPr>
          </w:p>
        </w:tc>
        <w:tc>
          <w:tcPr>
            <w:tcW w:w="4460" w:type="dxa"/>
            <w:vAlign w:val="bottom"/>
            <w:vMerge w:val="restart"/>
          </w:tcPr>
          <w:p>
            <w:pPr>
              <w:ind w:left="200"/>
              <w:spacing w:after="0"/>
              <w:rPr>
                <w:sz w:val="20"/>
                <w:szCs w:val="20"/>
                <w:color w:val="auto"/>
              </w:rPr>
            </w:pPr>
            <w:r>
              <w:rPr>
                <w:rFonts w:ascii="Times New Roman" w:cs="Times New Roman" w:eastAsia="Times New Roman" w:hAnsi="Times New Roman"/>
                <w:sz w:val="8"/>
                <w:szCs w:val="8"/>
                <w:color w:val="auto"/>
              </w:rPr>
              <w:t>enterprise customers.</w:t>
            </w:r>
          </w:p>
        </w:tc>
        <w:tc>
          <w:tcPr>
            <w:tcW w:w="0" w:type="dxa"/>
            <w:vAlign w:val="bottom"/>
          </w:tcPr>
          <w:p>
            <w:pPr>
              <w:spacing w:after="0"/>
              <w:rPr>
                <w:sz w:val="1"/>
                <w:szCs w:val="1"/>
                <w:color w:val="auto"/>
              </w:rPr>
            </w:pPr>
          </w:p>
        </w:tc>
      </w:tr>
      <w:tr>
        <w:trPr>
          <w:trHeight w:val="34"/>
        </w:trPr>
        <w:tc>
          <w:tcPr>
            <w:tcW w:w="1720" w:type="dxa"/>
            <w:vAlign w:val="bottom"/>
          </w:tcPr>
          <w:p>
            <w:pPr>
              <w:spacing w:after="0"/>
              <w:rPr>
                <w:sz w:val="2"/>
                <w:szCs w:val="2"/>
                <w:color w:val="auto"/>
              </w:rPr>
            </w:pPr>
          </w:p>
        </w:tc>
        <w:tc>
          <w:tcPr>
            <w:tcW w:w="960" w:type="dxa"/>
            <w:vAlign w:val="bottom"/>
          </w:tcPr>
          <w:p>
            <w:pPr>
              <w:spacing w:after="0"/>
              <w:rPr>
                <w:sz w:val="2"/>
                <w:szCs w:val="2"/>
                <w:color w:val="auto"/>
              </w:rPr>
            </w:pPr>
          </w:p>
        </w:tc>
        <w:tc>
          <w:tcPr>
            <w:tcW w:w="540" w:type="dxa"/>
            <w:vAlign w:val="bottom"/>
          </w:tcPr>
          <w:p>
            <w:pPr>
              <w:spacing w:after="0"/>
              <w:rPr>
                <w:sz w:val="2"/>
                <w:szCs w:val="2"/>
                <w:color w:val="auto"/>
              </w:rPr>
            </w:pPr>
          </w:p>
        </w:tc>
        <w:tc>
          <w:tcPr>
            <w:tcW w:w="620" w:type="dxa"/>
            <w:vAlign w:val="bottom"/>
          </w:tcPr>
          <w:p>
            <w:pPr>
              <w:spacing w:after="0"/>
              <w:rPr>
                <w:sz w:val="2"/>
                <w:szCs w:val="2"/>
                <w:color w:val="auto"/>
              </w:rPr>
            </w:pPr>
          </w:p>
        </w:tc>
        <w:tc>
          <w:tcPr>
            <w:tcW w:w="620" w:type="dxa"/>
            <w:vAlign w:val="bottom"/>
          </w:tcPr>
          <w:p>
            <w:pPr>
              <w:spacing w:after="0"/>
              <w:rPr>
                <w:sz w:val="2"/>
                <w:szCs w:val="2"/>
                <w:color w:val="auto"/>
              </w:rPr>
            </w:pPr>
          </w:p>
        </w:tc>
        <w:tc>
          <w:tcPr>
            <w:tcW w:w="600" w:type="dxa"/>
            <w:vAlign w:val="bottom"/>
          </w:tcPr>
          <w:p>
            <w:pPr>
              <w:spacing w:after="0"/>
              <w:rPr>
                <w:sz w:val="2"/>
                <w:szCs w:val="2"/>
                <w:color w:val="auto"/>
              </w:rPr>
            </w:pPr>
          </w:p>
        </w:tc>
        <w:tc>
          <w:tcPr>
            <w:tcW w:w="4460" w:type="dxa"/>
            <w:vAlign w:val="bottom"/>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bl>
    <w:p>
      <w:pPr>
        <w:spacing w:after="0" w:line="1" w:lineRule="exact"/>
        <w:rPr>
          <w:sz w:val="20"/>
          <w:szCs w:val="20"/>
          <w:color w:val="auto"/>
        </w:rPr>
      </w:pPr>
    </w:p>
    <w:p>
      <w:pPr>
        <w:sectPr>
          <w:pgSz w:w="11900" w:h="16838" w:orient="portrait"/>
          <w:cols w:equalWidth="0" w:num="1">
            <w:col w:w="10100"/>
          </w:cols>
          <w:pgMar w:left="960" w:top="409" w:right="839" w:bottom="1440" w:gutter="0" w:footer="0" w:header="0"/>
          <w:type w:val="continuous"/>
        </w:sectPr>
      </w:pPr>
    </w:p>
    <w:tbl>
      <w:tblPr>
        <w:tblLayout w:type="fixed"/>
        <w:tblInd w:w="0" w:type="dxa"/>
        <w:tblCellMar>
          <w:top w:w="0" w:type="dxa"/>
          <w:left w:w="0" w:type="dxa"/>
          <w:bottom w:w="0" w:type="dxa"/>
          <w:right w:w="0" w:type="dxa"/>
        </w:tblCellMar>
      </w:tblPr>
      <w:tr>
        <w:trPr>
          <w:trHeight w:val="134"/>
        </w:trPr>
        <w:tc>
          <w:tcPr>
            <w:tcW w:w="1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960" w:type="dxa"/>
            <w:vAlign w:val="bottom"/>
            <w:tcBorders>
              <w:bottom w:val="single" w:sz="8" w:color="005AFF"/>
            </w:tcBorders>
          </w:tcPr>
          <w:p>
            <w:pPr>
              <w:jc w:val="right"/>
              <w:ind w:right="166"/>
              <w:spacing w:after="0"/>
              <w:rPr>
                <w:sz w:val="20"/>
                <w:szCs w:val="20"/>
                <w:color w:val="auto"/>
              </w:rPr>
            </w:pPr>
            <w:r>
              <w:rPr>
                <w:rFonts w:ascii="Times New Roman" w:cs="Times New Roman" w:eastAsia="Times New Roman" w:hAnsi="Times New Roman"/>
                <w:sz w:val="10"/>
                <w:szCs w:val="10"/>
                <w:color w:val="005AFF"/>
              </w:rPr>
              <w:t>14</w:t>
            </w:r>
          </w:p>
        </w:tc>
        <w:tc>
          <w:tcPr>
            <w:tcW w:w="700" w:type="dxa"/>
            <w:vAlign w:val="bottom"/>
            <w:tcBorders>
              <w:bottom w:val="single" w:sz="8" w:color="005AFF"/>
            </w:tcBorders>
          </w:tcPr>
          <w:p>
            <w:pPr>
              <w:jc w:val="right"/>
              <w:ind w:right="346"/>
              <w:spacing w:after="0"/>
              <w:rPr>
                <w:sz w:val="20"/>
                <w:szCs w:val="20"/>
                <w:color w:val="auto"/>
              </w:rPr>
            </w:pPr>
            <w:r>
              <w:rPr>
                <w:rFonts w:ascii="Times New Roman" w:cs="Times New Roman" w:eastAsia="Times New Roman" w:hAnsi="Times New Roman"/>
                <w:sz w:val="10"/>
                <w:szCs w:val="10"/>
                <w:color w:val="005AFF"/>
              </w:rPr>
              <w:t>0.1</w:t>
            </w:r>
          </w:p>
        </w:tc>
        <w:tc>
          <w:tcPr>
            <w:tcW w:w="620" w:type="dxa"/>
            <w:vAlign w:val="bottom"/>
            <w:tcBorders>
              <w:bottom w:val="single" w:sz="8" w:color="005AFF"/>
            </w:tcBorders>
          </w:tcPr>
          <w:p>
            <w:pPr>
              <w:jc w:val="right"/>
              <w:ind w:right="286"/>
              <w:spacing w:after="0"/>
              <w:rPr>
                <w:sz w:val="20"/>
                <w:szCs w:val="20"/>
                <w:color w:val="auto"/>
              </w:rPr>
            </w:pPr>
            <w:r>
              <w:rPr>
                <w:rFonts w:ascii="Times New Roman" w:cs="Times New Roman" w:eastAsia="Times New Roman" w:hAnsi="Times New Roman"/>
                <w:sz w:val="10"/>
                <w:szCs w:val="10"/>
                <w:color w:val="0D0D0D"/>
              </w:rPr>
              <w:t>9</w:t>
            </w:r>
          </w:p>
        </w:tc>
        <w:tc>
          <w:tcPr>
            <w:tcW w:w="320" w:type="dxa"/>
            <w:vAlign w:val="bottom"/>
            <w:tcBorders>
              <w:bottom w:val="single" w:sz="8" w:color="005AFF"/>
            </w:tcBorders>
          </w:tcPr>
          <w:p>
            <w:pPr>
              <w:ind w:left="120"/>
              <w:spacing w:after="0"/>
              <w:rPr>
                <w:sz w:val="20"/>
                <w:szCs w:val="20"/>
                <w:color w:val="auto"/>
              </w:rPr>
            </w:pPr>
            <w:r>
              <w:rPr>
                <w:rFonts w:ascii="Times New Roman" w:cs="Times New Roman" w:eastAsia="Times New Roman" w:hAnsi="Times New Roman"/>
                <w:sz w:val="10"/>
                <w:szCs w:val="10"/>
                <w:color w:val="0D0D0D"/>
              </w:rPr>
              <w:t>—</w:t>
            </w:r>
          </w:p>
        </w:tc>
        <w:tc>
          <w:tcPr>
            <w:tcW w:w="560" w:type="dxa"/>
            <w:vAlign w:val="bottom"/>
            <w:tcBorders>
              <w:bottom w:val="single" w:sz="8" w:color="005AFF"/>
            </w:tcBorders>
          </w:tcPr>
          <w:p>
            <w:pPr>
              <w:jc w:val="right"/>
              <w:ind w:right="6"/>
              <w:spacing w:after="0"/>
              <w:rPr>
                <w:sz w:val="20"/>
                <w:szCs w:val="20"/>
                <w:color w:val="auto"/>
              </w:rPr>
            </w:pPr>
            <w:r>
              <w:rPr>
                <w:rFonts w:ascii="Times New Roman" w:cs="Times New Roman" w:eastAsia="Times New Roman" w:hAnsi="Times New Roman"/>
                <w:sz w:val="10"/>
                <w:szCs w:val="10"/>
                <w:color w:val="0D0D0D"/>
              </w:rPr>
              <w:t>56</w:t>
            </w:r>
          </w:p>
        </w:tc>
      </w:tr>
      <w:tr>
        <w:trPr>
          <w:trHeight w:val="244"/>
        </w:trPr>
        <w:tc>
          <w:tcPr>
            <w:tcW w:w="17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Net sales</w:t>
            </w:r>
          </w:p>
        </w:tc>
        <w:tc>
          <w:tcPr>
            <w:tcW w:w="960" w:type="dxa"/>
            <w:vAlign w:val="bottom"/>
          </w:tcPr>
          <w:p>
            <w:pPr>
              <w:spacing w:after="0"/>
              <w:rPr>
                <w:sz w:val="21"/>
                <w:szCs w:val="21"/>
                <w:color w:val="auto"/>
              </w:rPr>
            </w:pPr>
          </w:p>
        </w:tc>
        <w:tc>
          <w:tcPr>
            <w:tcW w:w="700" w:type="dxa"/>
            <w:vAlign w:val="bottom"/>
          </w:tcPr>
          <w:p>
            <w:pPr>
              <w:spacing w:after="0"/>
              <w:rPr>
                <w:sz w:val="21"/>
                <w:szCs w:val="21"/>
                <w:color w:val="auto"/>
              </w:rPr>
            </w:pPr>
          </w:p>
        </w:tc>
        <w:tc>
          <w:tcPr>
            <w:tcW w:w="620" w:type="dxa"/>
            <w:vAlign w:val="bottom"/>
          </w:tcPr>
          <w:p>
            <w:pPr>
              <w:spacing w:after="0"/>
              <w:rPr>
                <w:sz w:val="21"/>
                <w:szCs w:val="21"/>
                <w:color w:val="auto"/>
              </w:rPr>
            </w:pPr>
          </w:p>
        </w:tc>
        <w:tc>
          <w:tcPr>
            <w:tcW w:w="320" w:type="dxa"/>
            <w:vAlign w:val="bottom"/>
          </w:tcPr>
          <w:p>
            <w:pPr>
              <w:spacing w:after="0"/>
              <w:rPr>
                <w:sz w:val="21"/>
                <w:szCs w:val="21"/>
                <w:color w:val="auto"/>
              </w:rPr>
            </w:pPr>
          </w:p>
        </w:tc>
        <w:tc>
          <w:tcPr>
            <w:tcW w:w="560" w:type="dxa"/>
            <w:vAlign w:val="bottom"/>
          </w:tcPr>
          <w:p>
            <w:pPr>
              <w:spacing w:after="0"/>
              <w:rPr>
                <w:sz w:val="21"/>
                <w:szCs w:val="21"/>
                <w:color w:val="auto"/>
              </w:rPr>
            </w:pPr>
          </w:p>
        </w:tc>
      </w:tr>
      <w:tr>
        <w:trPr>
          <w:trHeight w:val="131"/>
        </w:trPr>
        <w:tc>
          <w:tcPr>
            <w:tcW w:w="1780" w:type="dxa"/>
            <w:vAlign w:val="bottom"/>
          </w:tcPr>
          <w:p>
            <w:pPr>
              <w:spacing w:after="0"/>
              <w:rPr>
                <w:sz w:val="20"/>
                <w:szCs w:val="20"/>
                <w:color w:val="auto"/>
              </w:rPr>
            </w:pPr>
            <w:r>
              <w:rPr>
                <w:rFonts w:ascii="Times New Roman" w:cs="Times New Roman" w:eastAsia="Times New Roman" w:hAnsi="Times New Roman"/>
                <w:sz w:val="11"/>
                <w:szCs w:val="11"/>
                <w:color w:val="auto"/>
              </w:rPr>
              <w:t>Net sales in  2023 were EUR 22 258</w:t>
            </w:r>
          </w:p>
        </w:tc>
        <w:tc>
          <w:tcPr>
            <w:tcW w:w="960" w:type="dxa"/>
            <w:vAlign w:val="bottom"/>
          </w:tcPr>
          <w:p>
            <w:pPr>
              <w:jc w:val="right"/>
              <w:ind w:right="6"/>
              <w:spacing w:after="0"/>
              <w:rPr>
                <w:sz w:val="20"/>
                <w:szCs w:val="20"/>
                <w:color w:val="auto"/>
              </w:rPr>
            </w:pPr>
            <w:r>
              <w:rPr>
                <w:rFonts w:ascii="Times New Roman" w:cs="Times New Roman" w:eastAsia="Times New Roman" w:hAnsi="Times New Roman"/>
                <w:sz w:val="11"/>
                <w:szCs w:val="11"/>
                <w:color w:val="auto"/>
              </w:rPr>
              <w:t>million, a decrease</w:t>
            </w:r>
          </w:p>
        </w:tc>
        <w:tc>
          <w:tcPr>
            <w:tcW w:w="7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of EUR 2 653</w:t>
            </w:r>
          </w:p>
        </w:tc>
        <w:tc>
          <w:tcPr>
            <w:tcW w:w="1500" w:type="dxa"/>
            <w:vAlign w:val="bottom"/>
            <w:gridSpan w:val="3"/>
          </w:tcPr>
          <w:p>
            <w:pPr>
              <w:jc w:val="right"/>
              <w:ind w:right="126"/>
              <w:spacing w:after="0"/>
              <w:rPr>
                <w:sz w:val="20"/>
                <w:szCs w:val="20"/>
                <w:color w:val="auto"/>
              </w:rPr>
            </w:pPr>
            <w:r>
              <w:rPr>
                <w:rFonts w:ascii="Times New Roman" w:cs="Times New Roman" w:eastAsia="Times New Roman" w:hAnsi="Times New Roman"/>
                <w:sz w:val="11"/>
                <w:szCs w:val="11"/>
                <w:color w:val="auto"/>
              </w:rPr>
              <w:t>million, or 11 %, compared</w:t>
            </w:r>
          </w:p>
        </w:tc>
      </w:tr>
      <w:tr>
        <w:trPr>
          <w:trHeight w:val="142"/>
        </w:trPr>
        <w:tc>
          <w:tcPr>
            <w:tcW w:w="438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 xml:space="preserve">to EUR 24 911  million in 2022 . In </w:t>
            </w:r>
            <w:r>
              <w:rPr>
                <w:rFonts w:ascii="Times New Roman" w:cs="Times New Roman" w:eastAsia="Times New Roman" w:hAnsi="Times New Roman"/>
                <w:sz w:val="11"/>
                <w:szCs w:val="11"/>
                <w:color w:val="auto"/>
                <w:highlight w:val="white"/>
              </w:rPr>
              <w:t>2023, our industry was impacted by a meaningful shift in</w:t>
            </w:r>
          </w:p>
        </w:tc>
        <w:tc>
          <w:tcPr>
            <w:tcW w:w="560" w:type="dxa"/>
            <w:vAlign w:val="bottom"/>
          </w:tcPr>
          <w:p>
            <w:pPr>
              <w:spacing w:after="0"/>
              <w:rPr>
                <w:sz w:val="12"/>
                <w:szCs w:val="12"/>
                <w:color w:val="auto"/>
              </w:rPr>
            </w:pPr>
          </w:p>
        </w:tc>
      </w:tr>
      <w:tr>
        <w:trPr>
          <w:trHeight w:val="148"/>
        </w:trPr>
        <w:tc>
          <w:tcPr>
            <w:tcW w:w="4060" w:type="dxa"/>
            <w:vAlign w:val="bottom"/>
            <w:gridSpan w:val="4"/>
          </w:tcPr>
          <w:p>
            <w:pPr>
              <w:spacing w:after="0"/>
              <w:rPr>
                <w:sz w:val="20"/>
                <w:szCs w:val="20"/>
                <w:color w:val="auto"/>
              </w:rPr>
            </w:pPr>
            <w:r>
              <w:rPr>
                <w:rFonts w:ascii="Times New Roman" w:cs="Times New Roman" w:eastAsia="Times New Roman" w:hAnsi="Times New Roman"/>
                <w:sz w:val="11"/>
                <w:szCs w:val="11"/>
                <w:color w:val="auto"/>
                <w:highlight w:val="white"/>
              </w:rPr>
              <w:t>customer behavior driven by the macroeconomic environment, high interest rates and</w:t>
            </w:r>
          </w:p>
        </w:tc>
        <w:tc>
          <w:tcPr>
            <w:tcW w:w="320" w:type="dxa"/>
            <w:vAlign w:val="bottom"/>
          </w:tcPr>
          <w:p>
            <w:pPr>
              <w:spacing w:after="0"/>
              <w:rPr>
                <w:sz w:val="12"/>
                <w:szCs w:val="12"/>
                <w:color w:val="auto"/>
              </w:rPr>
            </w:pPr>
          </w:p>
        </w:tc>
        <w:tc>
          <w:tcPr>
            <w:tcW w:w="560" w:type="dxa"/>
            <w:vAlign w:val="bottom"/>
          </w:tcPr>
          <w:p>
            <w:pPr>
              <w:jc w:val="right"/>
              <w:ind w:right="46"/>
              <w:spacing w:after="0"/>
              <w:rPr>
                <w:sz w:val="20"/>
                <w:szCs w:val="20"/>
                <w:color w:val="auto"/>
              </w:rPr>
            </w:pPr>
            <w:r>
              <w:rPr>
                <w:rFonts w:ascii="Times New Roman" w:cs="Times New Roman" w:eastAsia="Times New Roman" w:hAnsi="Times New Roman"/>
                <w:sz w:val="11"/>
                <w:szCs w:val="11"/>
                <w:color w:val="auto"/>
              </w:rPr>
              <w:t>customer</w:t>
            </w:r>
          </w:p>
        </w:tc>
      </w:tr>
    </w:tbl>
    <w:p>
      <w:pPr>
        <w:ind w:right="500"/>
        <w:spacing w:after="0" w:line="259" w:lineRule="auto"/>
        <w:rPr>
          <w:sz w:val="20"/>
          <w:szCs w:val="20"/>
          <w:color w:val="auto"/>
        </w:rPr>
      </w:pPr>
      <w:r>
        <w:rPr>
          <w:rFonts w:ascii="Times New Roman" w:cs="Times New Roman" w:eastAsia="Times New Roman" w:hAnsi="Times New Roman"/>
          <w:sz w:val="11"/>
          <w:szCs w:val="11"/>
          <w:color w:val="auto"/>
        </w:rPr>
        <w:t>inventory digestion. In addition to a negative impact from foreign exchange rate fluctuations, performance was driven by declines across all four business groups, with particular weakness in Network Infrastructure, Mobile Networks and Nokia Technologies. Net sales declined 3% due to</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1800" w:type="dxa"/>
            <w:vAlign w:val="bottom"/>
          </w:tcPr>
          <w:p>
            <w:pPr>
              <w:spacing w:after="0"/>
              <w:rPr>
                <w:sz w:val="20"/>
                <w:szCs w:val="20"/>
                <w:color w:val="auto"/>
              </w:rPr>
            </w:pPr>
            <w:r>
              <w:rPr>
                <w:rFonts w:ascii="Times New Roman" w:cs="Times New Roman" w:eastAsia="Times New Roman" w:hAnsi="Times New Roman"/>
                <w:sz w:val="11"/>
                <w:szCs w:val="11"/>
                <w:color w:val="auto"/>
              </w:rPr>
              <w:t>foreign exchange rate fluctuations in</w:t>
            </w:r>
          </w:p>
        </w:tc>
        <w:tc>
          <w:tcPr>
            <w:tcW w:w="4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r>
    </w:tbl>
    <w:p>
      <w:pPr>
        <w:spacing w:after="0" w:line="20" w:lineRule="exact"/>
        <w:rPr>
          <w:sz w:val="20"/>
          <w:szCs w:val="20"/>
          <w:color w:val="auto"/>
        </w:rPr>
      </w:pPr>
      <w:r>
        <w:rPr>
          <w:sz w:val="20"/>
          <w:szCs w:val="20"/>
          <w:color w:val="auto"/>
        </w:rPr>
        <w:br w:type="column"/>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Gross profit</w:t>
      </w:r>
    </w:p>
    <w:p>
      <w:pPr>
        <w:spacing w:after="0" w:line="19" w:lineRule="exact"/>
        <w:rPr>
          <w:sz w:val="20"/>
          <w:szCs w:val="20"/>
          <w:color w:val="auto"/>
        </w:rPr>
      </w:pPr>
    </w:p>
    <w:p>
      <w:pPr>
        <w:ind w:right="220"/>
        <w:spacing w:after="0" w:line="258" w:lineRule="auto"/>
        <w:rPr>
          <w:sz w:val="20"/>
          <w:szCs w:val="20"/>
          <w:color w:val="auto"/>
        </w:rPr>
      </w:pPr>
      <w:r>
        <w:rPr>
          <w:rFonts w:ascii="Times New Roman" w:cs="Times New Roman" w:eastAsia="Times New Roman" w:hAnsi="Times New Roman"/>
          <w:sz w:val="11"/>
          <w:szCs w:val="11"/>
          <w:color w:val="auto"/>
        </w:rPr>
        <w:t>Gross profit in 2023 was EUR 8 687 million, a decrease of EUR 1 535 million, or 15 %, compared to EUR 10 222 million in 2022 . The decrease in gross profit was attributable to all four business groups, particularly to unfavorable regional mix in Mobile Networks and a lower contribution</w:t>
      </w:r>
    </w:p>
    <w:p>
      <w:pPr>
        <w:spacing w:after="0" w:line="1" w:lineRule="exact"/>
        <w:rPr>
          <w:sz w:val="20"/>
          <w:szCs w:val="20"/>
          <w:color w:val="auto"/>
        </w:rPr>
      </w:pPr>
    </w:p>
    <w:p>
      <w:pPr>
        <w:spacing w:after="0"/>
        <w:tabs>
          <w:tab w:leader="none" w:pos="2060" w:val="left"/>
        </w:tabs>
        <w:rPr>
          <w:sz w:val="20"/>
          <w:szCs w:val="20"/>
          <w:color w:val="auto"/>
        </w:rPr>
      </w:pPr>
      <w:r>
        <w:rPr>
          <w:rFonts w:ascii="Times New Roman" w:cs="Times New Roman" w:eastAsia="Times New Roman" w:hAnsi="Times New Roman"/>
          <w:sz w:val="11"/>
          <w:szCs w:val="11"/>
          <w:color w:val="auto"/>
        </w:rPr>
        <w:t>from Nokia Technologies. Gross profit in</w:t>
      </w:r>
      <w:r>
        <w:rPr>
          <w:sz w:val="20"/>
          <w:szCs w:val="20"/>
          <w:color w:val="auto"/>
        </w:rPr>
        <w:tab/>
      </w:r>
      <w:r>
        <w:rPr>
          <w:rFonts w:ascii="Times New Roman" w:cs="Times New Roman" w:eastAsia="Times New Roman" w:hAnsi="Times New Roman"/>
          <w:sz w:val="11"/>
          <w:szCs w:val="11"/>
          <w:color w:val="auto"/>
        </w:rPr>
        <w:t>2023 also reflected higher restructuring and associated</w:t>
      </w:r>
    </w:p>
    <w:p>
      <w:pPr>
        <w:spacing w:after="0" w:line="15" w:lineRule="exact"/>
        <w:rPr>
          <w:sz w:val="20"/>
          <w:szCs w:val="20"/>
          <w:color w:val="auto"/>
        </w:rPr>
      </w:pPr>
    </w:p>
    <w:p>
      <w:pPr>
        <w:spacing w:after="0"/>
        <w:tabs>
          <w:tab w:leader="none" w:pos="2400" w:val="left"/>
          <w:tab w:leader="none" w:pos="4280" w:val="left"/>
        </w:tabs>
        <w:rPr>
          <w:sz w:val="20"/>
          <w:szCs w:val="20"/>
          <w:color w:val="auto"/>
        </w:rPr>
      </w:pPr>
      <w:r>
        <w:rPr>
          <w:rFonts w:ascii="Times New Roman" w:cs="Times New Roman" w:eastAsia="Times New Roman" w:hAnsi="Times New Roman"/>
          <w:sz w:val="11"/>
          <w:szCs w:val="11"/>
          <w:color w:val="auto"/>
        </w:rPr>
        <w:t>charges, which amounted to EUR 151 million in</w:t>
      </w:r>
      <w:r>
        <w:rPr>
          <w:sz w:val="20"/>
          <w:szCs w:val="20"/>
          <w:color w:val="auto"/>
        </w:rPr>
        <w:tab/>
      </w:r>
      <w:r>
        <w:rPr>
          <w:rFonts w:ascii="Times New Roman" w:cs="Times New Roman" w:eastAsia="Times New Roman" w:hAnsi="Times New Roman"/>
          <w:sz w:val="11"/>
          <w:szCs w:val="11"/>
          <w:color w:val="auto"/>
        </w:rPr>
        <w:t>2023 , compared to EUR 84 million in</w:t>
        <w:tab/>
        <w:t>2022 .</w:t>
      </w:r>
    </w:p>
    <w:p>
      <w:pPr>
        <w:spacing w:after="0" w:line="10" w:lineRule="exact"/>
        <w:rPr>
          <w:sz w:val="20"/>
          <w:szCs w:val="20"/>
          <w:color w:val="auto"/>
        </w:rPr>
      </w:pPr>
    </w:p>
    <w:p>
      <w:pPr>
        <w:spacing w:after="0"/>
        <w:tabs>
          <w:tab w:leader="none" w:pos="3800" w:val="left"/>
        </w:tabs>
        <w:rPr>
          <w:sz w:val="20"/>
          <w:szCs w:val="20"/>
          <w:color w:val="auto"/>
        </w:rPr>
      </w:pPr>
      <w:r>
        <w:rPr>
          <w:rFonts w:ascii="Times New Roman" w:cs="Times New Roman" w:eastAsia="Times New Roman" w:hAnsi="Times New Roman"/>
          <w:sz w:val="11"/>
          <w:szCs w:val="11"/>
          <w:color w:val="auto"/>
        </w:rPr>
        <w:t>In 2023 , variable pay accruals within cost of sales were lower, compared to</w:t>
      </w:r>
      <w:r>
        <w:rPr>
          <w:sz w:val="20"/>
          <w:szCs w:val="20"/>
          <w:color w:val="auto"/>
        </w:rPr>
        <w:tab/>
      </w:r>
      <w:r>
        <w:rPr>
          <w:rFonts w:ascii="Times New Roman" w:cs="Times New Roman" w:eastAsia="Times New Roman" w:hAnsi="Times New Roman"/>
          <w:sz w:val="11"/>
          <w:szCs w:val="11"/>
          <w:color w:val="auto"/>
        </w:rPr>
        <w:t>2022 . Gross margin</w:t>
      </w:r>
    </w:p>
    <w:p>
      <w:pPr>
        <w:spacing w:after="0" w:line="10" w:lineRule="exact"/>
        <w:rPr>
          <w:sz w:val="20"/>
          <w:szCs w:val="20"/>
          <w:color w:val="auto"/>
        </w:rPr>
      </w:pPr>
    </w:p>
    <w:p>
      <w:pPr>
        <w:spacing w:after="0"/>
        <w:tabs>
          <w:tab w:leader="none" w:pos="1700" w:val="left"/>
        </w:tabs>
        <w:rPr>
          <w:sz w:val="20"/>
          <w:szCs w:val="20"/>
          <w:color w:val="auto"/>
        </w:rPr>
      </w:pPr>
      <w:r>
        <w:rPr>
          <w:rFonts w:ascii="Times New Roman" w:cs="Times New Roman" w:eastAsia="Times New Roman" w:hAnsi="Times New Roman"/>
          <w:sz w:val="11"/>
          <w:szCs w:val="11"/>
          <w:color w:val="auto"/>
        </w:rPr>
        <w:t>in 2023 was 39.0 %, compared to</w:t>
        <w:tab/>
        <w:t>41.0 % in 2022 .</w:t>
      </w:r>
    </w:p>
    <w:p>
      <w:pPr>
        <w:spacing w:after="0" w:line="409" w:lineRule="exact"/>
        <w:rPr>
          <w:sz w:val="20"/>
          <w:szCs w:val="20"/>
          <w:color w:val="auto"/>
        </w:rPr>
      </w:pPr>
    </w:p>
    <w:p>
      <w:pPr>
        <w:sectPr>
          <w:pgSz w:w="11900" w:h="16838" w:orient="portrait"/>
          <w:cols w:equalWidth="0" w:num="2">
            <w:col w:w="4940" w:space="160"/>
            <w:col w:w="5000"/>
          </w:cols>
          <w:pgMar w:left="960" w:top="409" w:right="83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100"/>
          </w:cols>
          <w:pgMar w:left="960" w:top="409" w:right="839" w:bottom="1440" w:gutter="0" w:footer="0" w:header="0"/>
          <w:type w:val="continuous"/>
        </w:sectPr>
      </w:pPr>
    </w:p>
    <w:bookmarkStart w:id="83" w:name="page84"/>
    <w:bookmarkEnd w:id="83"/>
    <w:tbl>
      <w:tblPr>
        <w:tblLayout w:type="fixed"/>
        <w:tblInd w:w="0" w:type="dxa"/>
        <w:tblCellMar>
          <w:top w:w="0" w:type="dxa"/>
          <w:left w:w="0" w:type="dxa"/>
          <w:bottom w:w="0" w:type="dxa"/>
          <w:right w:w="0" w:type="dxa"/>
        </w:tblCellMar>
      </w:tblPr>
      <w:tr>
        <w:trPr>
          <w:trHeight w:val="111"/>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480" w:type="dxa"/>
            <w:vAlign w:val="bottom"/>
            <w:gridSpan w:val="2"/>
          </w:tcPr>
          <w:p>
            <w:pPr>
              <w:ind w:left="480"/>
              <w:spacing w:after="0"/>
              <w:rPr>
                <w:sz w:val="20"/>
                <w:szCs w:val="20"/>
                <w:color w:val="auto"/>
              </w:rPr>
            </w:pPr>
            <w:r>
              <w:rPr>
                <w:rFonts w:ascii="Times New Roman" w:cs="Times New Roman" w:eastAsia="Times New Roman" w:hAnsi="Times New Roman"/>
                <w:sz w:val="9"/>
                <w:szCs w:val="9"/>
                <w:color w:val="auto"/>
              </w:rPr>
              <w:t>Corporate</w:t>
            </w:r>
          </w:p>
        </w:tc>
        <w:tc>
          <w:tcPr>
            <w:tcW w:w="144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940" w:type="dxa"/>
            <w:vAlign w:val="bottom"/>
          </w:tcPr>
          <w:p>
            <w:pPr>
              <w:ind w:left="40"/>
              <w:spacing w:after="0"/>
              <w:rPr>
                <w:sz w:val="20"/>
                <w:szCs w:val="20"/>
                <w:color w:val="auto"/>
              </w:rPr>
            </w:pPr>
            <w:r>
              <w:rPr>
                <w:rFonts w:ascii="Times New Roman" w:cs="Times New Roman" w:eastAsia="Times New Roman" w:hAnsi="Times New Roman"/>
                <w:sz w:val="9"/>
                <w:szCs w:val="9"/>
                <w:color w:val="auto"/>
              </w:rPr>
              <w:t>General facts</w:t>
            </w:r>
          </w:p>
        </w:tc>
        <w:tc>
          <w:tcPr>
            <w:tcW w:w="580" w:type="dxa"/>
            <w:vAlign w:val="bottom"/>
          </w:tcPr>
          <w:p>
            <w:pPr>
              <w:ind w:left="18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480" w:type="dxa"/>
            <w:vAlign w:val="bottom"/>
            <w:gridSpan w:val="2"/>
          </w:tcPr>
          <w:p>
            <w:pPr>
              <w:ind w:left="480"/>
              <w:spacing w:after="0"/>
              <w:rPr>
                <w:sz w:val="20"/>
                <w:szCs w:val="20"/>
                <w:color w:val="auto"/>
              </w:rPr>
            </w:pPr>
            <w:r>
              <w:rPr>
                <w:rFonts w:ascii="Times New Roman" w:cs="Times New Roman" w:eastAsia="Times New Roman" w:hAnsi="Times New Roman"/>
                <w:sz w:val="9"/>
                <w:szCs w:val="9"/>
                <w:color w:val="auto"/>
              </w:rPr>
              <w:t>governance</w:t>
            </w:r>
          </w:p>
        </w:tc>
        <w:tc>
          <w:tcPr>
            <w:tcW w:w="1440" w:type="dxa"/>
            <w:vAlign w:val="bottom"/>
            <w:gridSpan w:val="4"/>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940" w:type="dxa"/>
            <w:vAlign w:val="bottom"/>
          </w:tcPr>
          <w:p>
            <w:pPr>
              <w:ind w:left="40"/>
              <w:spacing w:after="0"/>
              <w:rPr>
                <w:sz w:val="20"/>
                <w:szCs w:val="20"/>
                <w:color w:val="auto"/>
              </w:rPr>
            </w:pPr>
            <w:r>
              <w:rPr>
                <w:rFonts w:ascii="Times New Roman" w:cs="Times New Roman" w:eastAsia="Times New Roman" w:hAnsi="Times New Roman"/>
                <w:sz w:val="9"/>
                <w:szCs w:val="9"/>
                <w:color w:val="auto"/>
              </w:rPr>
              <w:t>on Nokia</w:t>
            </w:r>
          </w:p>
        </w:tc>
        <w:tc>
          <w:tcPr>
            <w:tcW w:w="580" w:type="dxa"/>
            <w:vAlign w:val="bottom"/>
          </w:tcPr>
          <w:p>
            <w:pPr>
              <w:ind w:left="18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1920" w:type="dxa"/>
            <w:vAlign w:val="bottom"/>
            <w:gridSpan w:val="3"/>
          </w:tcPr>
          <w:p>
            <w:pPr>
              <w:spacing w:after="0"/>
              <w:rPr>
                <w:sz w:val="4"/>
                <w:szCs w:val="4"/>
                <w:color w:val="auto"/>
              </w:rPr>
            </w:pPr>
          </w:p>
        </w:tc>
        <w:tc>
          <w:tcPr>
            <w:tcW w:w="500" w:type="dxa"/>
            <w:vAlign w:val="bottom"/>
            <w:tcBorders>
              <w:bottom w:val="single" w:sz="8" w:color="005AFF"/>
            </w:tcBorders>
            <w:gridSpan w:val="2"/>
          </w:tcPr>
          <w:p>
            <w:pPr>
              <w:spacing w:after="0"/>
              <w:rPr>
                <w:sz w:val="4"/>
                <w:szCs w:val="4"/>
                <w:color w:val="auto"/>
              </w:rPr>
            </w:pPr>
          </w:p>
        </w:tc>
        <w:tc>
          <w:tcPr>
            <w:tcW w:w="500" w:type="dxa"/>
            <w:vAlign w:val="bottom"/>
            <w:tcBorders>
              <w:bottom w:val="single" w:sz="8" w:color="005AFF"/>
            </w:tcBorders>
          </w:tcPr>
          <w:p>
            <w:pPr>
              <w:spacing w:after="0"/>
              <w:rPr>
                <w:sz w:val="4"/>
                <w:szCs w:val="4"/>
                <w:color w:val="auto"/>
              </w:rPr>
            </w:pPr>
          </w:p>
        </w:tc>
        <w:tc>
          <w:tcPr>
            <w:tcW w:w="440" w:type="dxa"/>
            <w:vAlign w:val="bottom"/>
          </w:tcPr>
          <w:p>
            <w:pPr>
              <w:spacing w:after="0"/>
              <w:rPr>
                <w:sz w:val="4"/>
                <w:szCs w:val="4"/>
                <w:color w:val="auto"/>
              </w:rPr>
            </w:pPr>
          </w:p>
        </w:tc>
        <w:tc>
          <w:tcPr>
            <w:tcW w:w="940" w:type="dxa"/>
            <w:vAlign w:val="bottom"/>
          </w:tcPr>
          <w:p>
            <w:pPr>
              <w:spacing w:after="0"/>
              <w:rPr>
                <w:sz w:val="4"/>
                <w:szCs w:val="4"/>
                <w:color w:val="auto"/>
              </w:rPr>
            </w:pPr>
          </w:p>
        </w:tc>
        <w:tc>
          <w:tcPr>
            <w:tcW w:w="580" w:type="dxa"/>
            <w:vAlign w:val="bottom"/>
          </w:tcPr>
          <w:p>
            <w:pPr>
              <w:spacing w:after="0"/>
              <w:rPr>
                <w:sz w:val="4"/>
                <w:szCs w:val="4"/>
                <w:color w:val="auto"/>
              </w:rPr>
            </w:pPr>
          </w:p>
        </w:tc>
      </w:tr>
      <w:tr>
        <w:trPr>
          <w:trHeight w:val="354"/>
        </w:trPr>
        <w:tc>
          <w:tcPr>
            <w:tcW w:w="2420" w:type="dxa"/>
            <w:vAlign w:val="bottom"/>
            <w:gridSpan w:val="5"/>
          </w:tcPr>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tc>
        <w:tc>
          <w:tcPr>
            <w:tcW w:w="50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940" w:type="dxa"/>
            <w:vAlign w:val="bottom"/>
          </w:tcPr>
          <w:p>
            <w:pPr>
              <w:spacing w:after="0"/>
              <w:rPr>
                <w:sz w:val="24"/>
                <w:szCs w:val="24"/>
                <w:color w:val="auto"/>
              </w:rPr>
            </w:pPr>
          </w:p>
        </w:tc>
        <w:tc>
          <w:tcPr>
            <w:tcW w:w="580" w:type="dxa"/>
            <w:vAlign w:val="bottom"/>
          </w:tcPr>
          <w:p>
            <w:pPr>
              <w:spacing w:after="0"/>
              <w:rPr>
                <w:sz w:val="24"/>
                <w:szCs w:val="24"/>
                <w:color w:val="auto"/>
              </w:rPr>
            </w:pPr>
          </w:p>
        </w:tc>
      </w:tr>
      <w:tr>
        <w:trPr>
          <w:trHeight w:val="443"/>
        </w:trPr>
        <w:tc>
          <w:tcPr>
            <w:tcW w:w="106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Operating expenses</w:t>
            </w:r>
          </w:p>
        </w:tc>
        <w:tc>
          <w:tcPr>
            <w:tcW w:w="860" w:type="dxa"/>
            <w:vAlign w:val="bottom"/>
          </w:tcPr>
          <w:p>
            <w:pPr>
              <w:spacing w:after="0"/>
              <w:rPr>
                <w:sz w:val="24"/>
                <w:szCs w:val="24"/>
                <w:color w:val="auto"/>
              </w:rPr>
            </w:pPr>
          </w:p>
        </w:tc>
        <w:tc>
          <w:tcPr>
            <w:tcW w:w="160" w:type="dxa"/>
            <w:vAlign w:val="bottom"/>
          </w:tcPr>
          <w:p>
            <w:pPr>
              <w:spacing w:after="0"/>
              <w:rPr>
                <w:sz w:val="24"/>
                <w:szCs w:val="24"/>
                <w:color w:val="auto"/>
              </w:rPr>
            </w:pPr>
          </w:p>
        </w:tc>
        <w:tc>
          <w:tcPr>
            <w:tcW w:w="34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940" w:type="dxa"/>
            <w:vAlign w:val="bottom"/>
          </w:tcPr>
          <w:p>
            <w:pPr>
              <w:spacing w:after="0"/>
              <w:rPr>
                <w:sz w:val="24"/>
                <w:szCs w:val="24"/>
                <w:color w:val="auto"/>
              </w:rPr>
            </w:pPr>
          </w:p>
        </w:tc>
        <w:tc>
          <w:tcPr>
            <w:tcW w:w="580" w:type="dxa"/>
            <w:vAlign w:val="bottom"/>
          </w:tcPr>
          <w:p>
            <w:pPr>
              <w:spacing w:after="0"/>
              <w:rPr>
                <w:sz w:val="24"/>
                <w:szCs w:val="24"/>
                <w:color w:val="auto"/>
              </w:rPr>
            </w:pPr>
          </w:p>
        </w:tc>
      </w:tr>
      <w:tr>
        <w:trPr>
          <w:trHeight w:val="142"/>
        </w:trPr>
        <w:tc>
          <w:tcPr>
            <w:tcW w:w="20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Our research and development expenses in</w:t>
            </w:r>
          </w:p>
        </w:tc>
        <w:tc>
          <w:tcPr>
            <w:tcW w:w="128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2023 were EUR 4 327</w:t>
            </w:r>
          </w:p>
        </w:tc>
        <w:tc>
          <w:tcPr>
            <w:tcW w:w="94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million, a decrease</w:t>
            </w:r>
          </w:p>
        </w:tc>
        <w:tc>
          <w:tcPr>
            <w:tcW w:w="5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of</w:t>
            </w:r>
          </w:p>
        </w:tc>
      </w:tr>
      <w:tr>
        <w:trPr>
          <w:trHeight w:val="131"/>
        </w:trPr>
        <w:tc>
          <w:tcPr>
            <w:tcW w:w="440" w:type="dxa"/>
            <w:vAlign w:val="bottom"/>
          </w:tcPr>
          <w:p>
            <w:pPr>
              <w:spacing w:after="0"/>
              <w:rPr>
                <w:sz w:val="20"/>
                <w:szCs w:val="20"/>
                <w:color w:val="auto"/>
              </w:rPr>
            </w:pPr>
            <w:r>
              <w:rPr>
                <w:rFonts w:ascii="Times New Roman" w:cs="Times New Roman" w:eastAsia="Times New Roman" w:hAnsi="Times New Roman"/>
                <w:sz w:val="11"/>
                <w:szCs w:val="11"/>
                <w:color w:val="auto"/>
              </w:rPr>
              <w:t>EUR223</w:t>
            </w:r>
          </w:p>
        </w:tc>
        <w:tc>
          <w:tcPr>
            <w:tcW w:w="164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million, or 5%, compared to EUR</w:t>
            </w:r>
          </w:p>
        </w:tc>
        <w:tc>
          <w:tcPr>
            <w:tcW w:w="34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4 550</w:t>
            </w:r>
          </w:p>
        </w:tc>
        <w:tc>
          <w:tcPr>
            <w:tcW w:w="2460" w:type="dxa"/>
            <w:vAlign w:val="bottom"/>
            <w:gridSpan w:val="4"/>
          </w:tcPr>
          <w:p>
            <w:pPr>
              <w:ind w:left="40"/>
              <w:spacing w:after="0"/>
              <w:rPr>
                <w:sz w:val="20"/>
                <w:szCs w:val="20"/>
                <w:color w:val="auto"/>
              </w:rPr>
            </w:pPr>
            <w:r>
              <w:rPr>
                <w:rFonts w:ascii="Times New Roman" w:cs="Times New Roman" w:eastAsia="Times New Roman" w:hAnsi="Times New Roman"/>
                <w:sz w:val="11"/>
                <w:szCs w:val="11"/>
                <w:color w:val="auto"/>
              </w:rPr>
              <w:t>million in 2022 . Research and development</w:t>
            </w:r>
          </w:p>
        </w:tc>
      </w:tr>
      <w:tr>
        <w:trPr>
          <w:trHeight w:val="148"/>
        </w:trPr>
        <w:tc>
          <w:tcPr>
            <w:tcW w:w="10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expenses represented</w:t>
            </w:r>
          </w:p>
        </w:tc>
        <w:tc>
          <w:tcPr>
            <w:tcW w:w="1360" w:type="dxa"/>
            <w:vAlign w:val="bottom"/>
            <w:gridSpan w:val="3"/>
          </w:tcPr>
          <w:p>
            <w:pPr>
              <w:jc w:val="right"/>
              <w:ind w:right="23"/>
              <w:spacing w:after="0"/>
              <w:rPr>
                <w:sz w:val="20"/>
                <w:szCs w:val="20"/>
                <w:color w:val="auto"/>
              </w:rPr>
            </w:pPr>
            <w:r>
              <w:rPr>
                <w:rFonts w:ascii="Times New Roman" w:cs="Times New Roman" w:eastAsia="Times New Roman" w:hAnsi="Times New Roman"/>
                <w:sz w:val="11"/>
                <w:szCs w:val="11"/>
                <w:color w:val="auto"/>
              </w:rPr>
              <w:t>19.4 % of our net sales in</w:t>
            </w:r>
          </w:p>
        </w:tc>
        <w:tc>
          <w:tcPr>
            <w:tcW w:w="94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2023 compared to</w:t>
            </w:r>
          </w:p>
        </w:tc>
        <w:tc>
          <w:tcPr>
            <w:tcW w:w="152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18.3 % in 2022 . While</w:t>
            </w:r>
          </w:p>
        </w:tc>
      </w:tr>
    </w:tbl>
    <w:p>
      <w:pPr>
        <w:ind w:right="680"/>
        <w:spacing w:after="0" w:line="260" w:lineRule="auto"/>
        <w:rPr>
          <w:sz w:val="20"/>
          <w:szCs w:val="20"/>
          <w:color w:val="auto"/>
        </w:rPr>
      </w:pPr>
      <w:r>
        <w:rPr>
          <w:rFonts w:ascii="Times New Roman" w:cs="Times New Roman" w:eastAsia="Times New Roman" w:hAnsi="Times New Roman"/>
          <w:sz w:val="11"/>
          <w:szCs w:val="11"/>
          <w:color w:val="auto"/>
        </w:rPr>
        <w:t>research and development expenses declined in 2023, they declined at a slower rate than net sales, reflecting the impact of inflation in addition to our commitment to build and maintain technology leadership across our portfolio. Research and development expenses were also positively impacted by foreign exchange rate fluctuations. By business, the decrease was primarily related to both Mobile Networks and Network Infrastructure. Research and</w:t>
      </w:r>
    </w:p>
    <w:p>
      <w:pPr>
        <w:spacing w:after="0" w:line="3" w:lineRule="exact"/>
        <w:rPr>
          <w:sz w:val="20"/>
          <w:szCs w:val="20"/>
          <w:color w:val="auto"/>
        </w:rPr>
      </w:pPr>
    </w:p>
    <w:p>
      <w:pPr>
        <w:ind w:right="380"/>
        <w:spacing w:after="0" w:line="259" w:lineRule="auto"/>
        <w:rPr>
          <w:sz w:val="20"/>
          <w:szCs w:val="20"/>
          <w:color w:val="auto"/>
        </w:rPr>
      </w:pPr>
      <w:r>
        <w:rPr>
          <w:rFonts w:ascii="Times New Roman" w:cs="Times New Roman" w:eastAsia="Times New Roman" w:hAnsi="Times New Roman"/>
          <w:sz w:val="11"/>
          <w:szCs w:val="11"/>
          <w:color w:val="auto"/>
        </w:rPr>
        <w:t>development expenses in 2023 also reflected higher restructuring and associated charges, which amounted to EUR 61 million in 2023 , compared to EUR 37 million in 2022 . In 2023 ,</w:t>
      </w:r>
    </w:p>
    <w:p>
      <w:pPr>
        <w:spacing w:after="0"/>
        <w:tabs>
          <w:tab w:leader="none" w:pos="4580" w:val="left"/>
        </w:tabs>
        <w:rPr>
          <w:sz w:val="20"/>
          <w:szCs w:val="20"/>
          <w:color w:val="auto"/>
        </w:rPr>
      </w:pPr>
      <w:r>
        <w:rPr>
          <w:rFonts w:ascii="Times New Roman" w:cs="Times New Roman" w:eastAsia="Times New Roman" w:hAnsi="Times New Roman"/>
          <w:sz w:val="11"/>
          <w:szCs w:val="11"/>
          <w:color w:val="auto"/>
        </w:rPr>
        <w:t>variable pay accruals within research and development expenses were lower, compared to</w:t>
      </w:r>
      <w:r>
        <w:rPr>
          <w:sz w:val="20"/>
          <w:szCs w:val="20"/>
          <w:color w:val="auto"/>
        </w:rPr>
        <w:tab/>
      </w:r>
      <w:r>
        <w:rPr>
          <w:rFonts w:ascii="Times New Roman" w:cs="Times New Roman" w:eastAsia="Times New Roman" w:hAnsi="Times New Roman"/>
          <w:sz w:val="11"/>
          <w:szCs w:val="11"/>
          <w:color w:val="auto"/>
        </w:rPr>
        <w:t>2022 .</w:t>
      </w:r>
    </w:p>
    <w:p>
      <w:pPr>
        <w:spacing w:after="0" w:line="89" w:lineRule="exact"/>
        <w:rPr>
          <w:sz w:val="20"/>
          <w:szCs w:val="20"/>
          <w:color w:val="auto"/>
        </w:rPr>
      </w:pPr>
    </w:p>
    <w:p>
      <w:pPr>
        <w:spacing w:after="0"/>
        <w:tabs>
          <w:tab w:leader="none" w:pos="2600" w:val="left"/>
        </w:tabs>
        <w:rPr>
          <w:sz w:val="20"/>
          <w:szCs w:val="20"/>
          <w:color w:val="auto"/>
        </w:rPr>
      </w:pPr>
      <w:r>
        <w:rPr>
          <w:rFonts w:ascii="Times New Roman" w:cs="Times New Roman" w:eastAsia="Times New Roman" w:hAnsi="Times New Roman"/>
          <w:sz w:val="11"/>
          <w:szCs w:val="11"/>
          <w:color w:val="auto"/>
        </w:rPr>
        <w:t>Our selling, general and administrative expenses in</w:t>
      </w:r>
      <w:r>
        <w:rPr>
          <w:sz w:val="20"/>
          <w:szCs w:val="20"/>
          <w:color w:val="auto"/>
        </w:rPr>
        <w:tab/>
      </w:r>
      <w:r>
        <w:rPr>
          <w:rFonts w:ascii="Times New Roman" w:cs="Times New Roman" w:eastAsia="Times New Roman" w:hAnsi="Times New Roman"/>
          <w:sz w:val="11"/>
          <w:szCs w:val="11"/>
          <w:color w:val="auto"/>
        </w:rPr>
        <w:t>2023 were EUR 2 929 million, a decrease</w:t>
      </w:r>
    </w:p>
    <w:p>
      <w:pPr>
        <w:spacing w:after="0" w:line="17" w:lineRule="exact"/>
        <w:rPr>
          <w:sz w:val="20"/>
          <w:szCs w:val="20"/>
          <w:color w:val="auto"/>
        </w:rPr>
      </w:pPr>
    </w:p>
    <w:p>
      <w:pPr>
        <w:ind w:right="80"/>
        <w:spacing w:after="0" w:line="259" w:lineRule="auto"/>
        <w:rPr>
          <w:sz w:val="20"/>
          <w:szCs w:val="20"/>
          <w:color w:val="auto"/>
        </w:rPr>
      </w:pPr>
      <w:r>
        <w:rPr>
          <w:rFonts w:ascii="Times New Roman" w:cs="Times New Roman" w:eastAsia="Times New Roman" w:hAnsi="Times New Roman"/>
          <w:sz w:val="11"/>
          <w:szCs w:val="11"/>
          <w:color w:val="auto"/>
        </w:rPr>
        <w:t>of EUR 84 million compared to EUR 3 013 million in 2022 . Selling, general and administrative expenses represented 13.2 % of our net sales in 2023 compared to 12.1 % in 2022 . The modest</w:t>
      </w:r>
    </w:p>
    <w:p>
      <w:pPr>
        <w:ind w:right="580"/>
        <w:spacing w:after="0" w:line="260" w:lineRule="auto"/>
        <w:rPr>
          <w:sz w:val="20"/>
          <w:szCs w:val="20"/>
          <w:color w:val="auto"/>
        </w:rPr>
      </w:pPr>
      <w:r>
        <w:rPr>
          <w:rFonts w:ascii="Times New Roman" w:cs="Times New Roman" w:eastAsia="Times New Roman" w:hAnsi="Times New Roman"/>
          <w:sz w:val="11"/>
          <w:szCs w:val="11"/>
          <w:color w:val="auto"/>
        </w:rPr>
        <w:t>decrease in selling, general and administrative expenses was driven by the impact of inflation, which was broad-based across businesses and reflected higher salary expenses, but was somewhat offset by cost savings actions and the positive impact from foreign exchange rate fluctuations. Additionally, the lower selling, general and administrative expenses in 2023 reflected higher restructuring and associated charges, partially offset by lower amortization of acquired intangible assets. 2023 included restructuring and associated charges of</w:t>
      </w:r>
    </w:p>
    <w:p>
      <w:pPr>
        <w:spacing w:after="0" w:line="2"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EUR 138 million, compared to EUR 52 million in 2022 . In 2023 , selling, general and administrative expenses included amortization of acquired intangible assets of EUR 301 million, compared to</w:t>
      </w:r>
    </w:p>
    <w:p>
      <w:pPr>
        <w:spacing w:after="0"/>
        <w:rPr>
          <w:sz w:val="20"/>
          <w:szCs w:val="20"/>
          <w:color w:val="auto"/>
        </w:rPr>
      </w:pPr>
      <w:r>
        <w:rPr>
          <w:rFonts w:ascii="Times New Roman" w:cs="Times New Roman" w:eastAsia="Times New Roman" w:hAnsi="Times New Roman"/>
          <w:sz w:val="11"/>
          <w:szCs w:val="11"/>
          <w:color w:val="auto"/>
        </w:rPr>
        <w:t>EUR 356 million in 2022 . In 2023 , variable pay accruals within selling, general and administrative</w:t>
      </w:r>
    </w:p>
    <w:p>
      <w:pPr>
        <w:spacing w:after="0" w:line="10"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1680" w:type="dxa"/>
            <w:vAlign w:val="bottom"/>
          </w:tcPr>
          <w:p>
            <w:pPr>
              <w:spacing w:after="0"/>
              <w:rPr>
                <w:sz w:val="20"/>
                <w:szCs w:val="20"/>
                <w:color w:val="auto"/>
              </w:rPr>
            </w:pPr>
            <w:r>
              <w:rPr>
                <w:rFonts w:ascii="Times New Roman" w:cs="Times New Roman" w:eastAsia="Times New Roman" w:hAnsi="Times New Roman"/>
                <w:sz w:val="11"/>
                <w:szCs w:val="11"/>
                <w:color w:val="auto"/>
              </w:rPr>
              <w:t>expenses were lower, compared to</w:t>
            </w:r>
          </w:p>
        </w:tc>
        <w:tc>
          <w:tcPr>
            <w:tcW w:w="680" w:type="dxa"/>
            <w:vAlign w:val="bottom"/>
            <w:gridSpan w:val="2"/>
          </w:tcPr>
          <w:p>
            <w:pPr>
              <w:jc w:val="right"/>
              <w:ind w:right="203"/>
              <w:spacing w:after="0"/>
              <w:rPr>
                <w:sz w:val="20"/>
                <w:szCs w:val="20"/>
                <w:color w:val="auto"/>
              </w:rPr>
            </w:pPr>
            <w:r>
              <w:rPr>
                <w:rFonts w:ascii="Times New Roman" w:cs="Times New Roman" w:eastAsia="Times New Roman" w:hAnsi="Times New Roman"/>
                <w:sz w:val="11"/>
                <w:szCs w:val="11"/>
                <w:color w:val="auto"/>
              </w:rPr>
              <w:t>2022 .</w:t>
            </w:r>
          </w:p>
        </w:tc>
        <w:tc>
          <w:tcPr>
            <w:tcW w:w="2160" w:type="dxa"/>
            <w:vAlign w:val="bottom"/>
          </w:tcPr>
          <w:p>
            <w:pPr>
              <w:spacing w:after="0"/>
              <w:rPr>
                <w:sz w:val="12"/>
                <w:szCs w:val="12"/>
                <w:color w:val="auto"/>
              </w:rPr>
            </w:pPr>
          </w:p>
        </w:tc>
      </w:tr>
      <w:tr>
        <w:trPr>
          <w:trHeight w:val="199"/>
        </w:trPr>
        <w:tc>
          <w:tcPr>
            <w:tcW w:w="19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Other operating income and expenses in</w:t>
            </w:r>
          </w:p>
        </w:tc>
        <w:tc>
          <w:tcPr>
            <w:tcW w:w="3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w:t>
            </w:r>
          </w:p>
        </w:tc>
        <w:tc>
          <w:tcPr>
            <w:tcW w:w="21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was a net income  of EUR 257 million, an</w:t>
            </w:r>
          </w:p>
        </w:tc>
      </w:tr>
      <w:tr>
        <w:trPr>
          <w:trHeight w:val="148"/>
        </w:trPr>
        <w:tc>
          <w:tcPr>
            <w:tcW w:w="23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improvement of EUR 598 million, compared to a</w:t>
            </w:r>
          </w:p>
        </w:tc>
        <w:tc>
          <w:tcPr>
            <w:tcW w:w="2160" w:type="dxa"/>
            <w:vAlign w:val="bottom"/>
          </w:tcPr>
          <w:p>
            <w:pPr>
              <w:ind w:left="120"/>
              <w:spacing w:after="0"/>
              <w:rPr>
                <w:sz w:val="20"/>
                <w:szCs w:val="20"/>
                <w:color w:val="auto"/>
              </w:rPr>
            </w:pPr>
            <w:r>
              <w:rPr>
                <w:rFonts w:ascii="Times New Roman" w:cs="Times New Roman" w:eastAsia="Times New Roman" w:hAnsi="Times New Roman"/>
                <w:sz w:val="11"/>
                <w:szCs w:val="11"/>
                <w:color w:val="auto"/>
              </w:rPr>
              <w:t>net expense  of EUR 341 million in 2022 .</w:t>
            </w:r>
          </w:p>
        </w:tc>
      </w:tr>
    </w:tbl>
    <w:p>
      <w:pPr>
        <w:ind w:right="540"/>
        <w:spacing w:after="0" w:line="259" w:lineRule="auto"/>
        <w:rPr>
          <w:sz w:val="20"/>
          <w:szCs w:val="20"/>
          <w:color w:val="auto"/>
        </w:rPr>
      </w:pPr>
      <w:r>
        <w:rPr>
          <w:rFonts w:ascii="Times New Roman" w:cs="Times New Roman" w:eastAsia="Times New Roman" w:hAnsi="Times New Roman"/>
          <w:sz w:val="11"/>
          <w:szCs w:val="11"/>
          <w:color w:val="auto"/>
        </w:rPr>
        <w:t>The improvement in other operating income and expenses was primarily related to the positive impact from foreign exchange hedging, a net positive fluctuation related to provisions associated with a country exit, the sale of digital assets, a net positive fluctuation in the amount of loss allowances on trade receivables, partly offset by a net negative impact from Nokia’s</w:t>
      </w:r>
    </w:p>
    <w:p>
      <w:pPr>
        <w:ind w:right="40"/>
        <w:spacing w:after="0" w:line="261" w:lineRule="auto"/>
        <w:rPr>
          <w:sz w:val="20"/>
          <w:szCs w:val="20"/>
          <w:color w:val="auto"/>
        </w:rPr>
      </w:pPr>
      <w:r>
        <w:rPr>
          <w:rFonts w:ascii="Times New Roman" w:cs="Times New Roman" w:eastAsia="Times New Roman" w:hAnsi="Times New Roman"/>
          <w:sz w:val="11"/>
          <w:szCs w:val="11"/>
          <w:color w:val="auto"/>
        </w:rPr>
        <w:t>venture fund investments. The impact of hedging was positive EUR 80 million in 2023 , compared to a negative impact of EUR 107 million in 2022 . In 2022, a provision associated with a country exit amounting to EUR 98 million was booked, of which EUR 49 million was reversed in 2023. Additionally, the net loss related to Nokia’s venture fund investments in 2023 was approximately</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EUR 70 million, compared to a net benefit of approximately EUR 20 million in 2022.</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Operating profit</w:t>
      </w:r>
    </w:p>
    <w:p>
      <w:pPr>
        <w:spacing w:after="0" w:line="24" w:lineRule="exact"/>
        <w:rPr>
          <w:sz w:val="20"/>
          <w:szCs w:val="20"/>
          <w:color w:val="auto"/>
        </w:rPr>
      </w:pPr>
    </w:p>
    <w:p>
      <w:pPr>
        <w:ind w:right="220"/>
        <w:spacing w:after="0" w:line="259" w:lineRule="auto"/>
        <w:rPr>
          <w:sz w:val="20"/>
          <w:szCs w:val="20"/>
          <w:color w:val="auto"/>
        </w:rPr>
      </w:pPr>
      <w:r>
        <w:rPr>
          <w:rFonts w:ascii="Times New Roman" w:cs="Times New Roman" w:eastAsia="Times New Roman" w:hAnsi="Times New Roman"/>
          <w:sz w:val="11"/>
          <w:szCs w:val="11"/>
          <w:color w:val="auto"/>
        </w:rPr>
        <w:t>Our operating profit in 2023 was EUR 1 688 million, a decrease of EUR 630 million, compared to an operating profit of EUR 2 318 million in 2022 . The decrease in operating profit was due</w:t>
      </w:r>
    </w:p>
    <w:p>
      <w:pPr>
        <w:ind w:right="620"/>
        <w:spacing w:after="0" w:line="259" w:lineRule="auto"/>
        <w:rPr>
          <w:sz w:val="20"/>
          <w:szCs w:val="20"/>
          <w:color w:val="auto"/>
        </w:rPr>
      </w:pPr>
      <w:r>
        <w:rPr>
          <w:rFonts w:ascii="Times New Roman" w:cs="Times New Roman" w:eastAsia="Times New Roman" w:hAnsi="Times New Roman"/>
          <w:sz w:val="11"/>
          <w:szCs w:val="11"/>
          <w:color w:val="auto"/>
        </w:rPr>
        <w:t>to lower gross profit, partially offset by a net positive fluctuation in other operating income and expenses , lower research and development expenses and lower selling, general and</w:t>
      </w:r>
    </w:p>
    <w:p>
      <w:pPr>
        <w:spacing w:after="0"/>
        <w:tabs>
          <w:tab w:leader="none" w:pos="2520" w:val="left"/>
          <w:tab w:leader="none" w:pos="4060" w:val="left"/>
        </w:tabs>
        <w:rPr>
          <w:sz w:val="20"/>
          <w:szCs w:val="20"/>
          <w:color w:val="auto"/>
        </w:rPr>
      </w:pPr>
      <w:r>
        <w:rPr>
          <w:rFonts w:ascii="Times New Roman" w:cs="Times New Roman" w:eastAsia="Times New Roman" w:hAnsi="Times New Roman"/>
          <w:sz w:val="11"/>
          <w:szCs w:val="11"/>
          <w:color w:val="auto"/>
        </w:rPr>
        <w:t>administrative expenses. Our operating margin in</w:t>
      </w:r>
      <w:r>
        <w:rPr>
          <w:sz w:val="20"/>
          <w:szCs w:val="20"/>
          <w:color w:val="auto"/>
        </w:rPr>
        <w:tab/>
      </w:r>
      <w:r>
        <w:rPr>
          <w:rFonts w:ascii="Times New Roman" w:cs="Times New Roman" w:eastAsia="Times New Roman" w:hAnsi="Times New Roman"/>
          <w:sz w:val="11"/>
          <w:szCs w:val="11"/>
          <w:color w:val="auto"/>
        </w:rPr>
        <w:t>2023 was 7.6 %, compared to</w:t>
        <w:tab/>
        <w:t>9.3 % in 2022 .</w:t>
      </w:r>
    </w:p>
    <w:p>
      <w:pPr>
        <w:spacing w:after="0" w:line="200" w:lineRule="exact"/>
        <w:rPr>
          <w:sz w:val="20"/>
          <w:szCs w:val="20"/>
          <w:color w:val="auto"/>
        </w:rPr>
      </w:pPr>
    </w:p>
    <w:p>
      <w:pPr>
        <w:spacing w:after="0" w:line="3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400" w:type="dxa"/>
        <w:tblCellMar>
          <w:top w:w="0" w:type="dxa"/>
          <w:left w:w="0" w:type="dxa"/>
          <w:bottom w:w="0" w:type="dxa"/>
          <w:right w:w="0" w:type="dxa"/>
        </w:tblCellMar>
      </w:tblPr>
      <w:tr>
        <w:trPr>
          <w:trHeight w:val="111"/>
        </w:trPr>
        <w:tc>
          <w:tcPr>
            <w:tcW w:w="240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76</w:t>
            </w:r>
          </w:p>
        </w:tc>
        <w:tc>
          <w:tcPr>
            <w:tcW w:w="0" w:type="dxa"/>
            <w:vAlign w:val="bottom"/>
          </w:tcPr>
          <w:p>
            <w:pPr>
              <w:spacing w:after="0"/>
              <w:rPr>
                <w:sz w:val="1"/>
                <w:szCs w:val="1"/>
                <w:color w:val="auto"/>
              </w:rPr>
            </w:pPr>
          </w:p>
        </w:tc>
      </w:tr>
      <w:tr>
        <w:trPr>
          <w:trHeight w:val="130"/>
        </w:trPr>
        <w:tc>
          <w:tcPr>
            <w:tcW w:w="240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-3659505</wp:posOffset>
            </wp:positionH>
            <wp:positionV relativeFrom="paragraph">
              <wp:posOffset>-262890</wp:posOffset>
            </wp:positionV>
            <wp:extent cx="7216140" cy="511810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9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Financial income and expenses</w:t>
      </w:r>
    </w:p>
    <w:p>
      <w:pPr>
        <w:spacing w:after="0" w:line="24" w:lineRule="exact"/>
        <w:rPr>
          <w:sz w:val="20"/>
          <w:szCs w:val="20"/>
          <w:color w:val="auto"/>
        </w:rPr>
      </w:pPr>
    </w:p>
    <w:p>
      <w:pPr>
        <w:ind w:right="520"/>
        <w:spacing w:after="0" w:line="262" w:lineRule="auto"/>
        <w:rPr>
          <w:sz w:val="20"/>
          <w:szCs w:val="20"/>
          <w:color w:val="auto"/>
        </w:rPr>
      </w:pPr>
      <w:r>
        <w:rPr>
          <w:rFonts w:ascii="Times New Roman" w:cs="Times New Roman" w:eastAsia="Times New Roman" w:hAnsi="Times New Roman"/>
          <w:sz w:val="11"/>
          <w:szCs w:val="11"/>
          <w:color w:val="auto"/>
        </w:rPr>
        <w:t>Financial income and expenses were a net expense of EUR 150 million in 2023, an increase of EUR 42 million, compared to a net expense of EUR 108 million in 2022. The net negative fluctuation in financial income and expenses mainly resulted from a EUR 207 million negative</w:t>
      </w:r>
    </w:p>
    <w:p>
      <w:pPr>
        <w:spacing w:after="0"/>
        <w:tabs>
          <w:tab w:leader="none" w:pos="3100" w:val="left"/>
        </w:tabs>
        <w:rPr>
          <w:sz w:val="20"/>
          <w:szCs w:val="20"/>
          <w:color w:val="auto"/>
        </w:rPr>
      </w:pPr>
      <w:r>
        <w:rPr>
          <w:rFonts w:ascii="Times New Roman" w:cs="Times New Roman" w:eastAsia="Times New Roman" w:hAnsi="Times New Roman"/>
          <w:sz w:val="11"/>
          <w:szCs w:val="11"/>
          <w:color w:val="auto"/>
        </w:rPr>
        <w:t>fluctuation in net foreign exchange gains and losses and EUR</w:t>
      </w:r>
      <w:r>
        <w:rPr>
          <w:sz w:val="20"/>
          <w:szCs w:val="20"/>
          <w:color w:val="auto"/>
        </w:rPr>
        <w:tab/>
      </w:r>
      <w:r>
        <w:rPr>
          <w:rFonts w:ascii="Times New Roman" w:cs="Times New Roman" w:eastAsia="Times New Roman" w:hAnsi="Times New Roman"/>
          <w:sz w:val="11"/>
          <w:szCs w:val="11"/>
          <w:color w:val="auto"/>
        </w:rPr>
        <w:t>136 million of higher interest</w:t>
      </w:r>
    </w:p>
    <w:p>
      <w:pPr>
        <w:spacing w:after="0" w:line="10" w:lineRule="exact"/>
        <w:rPr>
          <w:sz w:val="20"/>
          <w:szCs w:val="20"/>
          <w:color w:val="auto"/>
        </w:rPr>
      </w:pPr>
    </w:p>
    <w:p>
      <w:pPr>
        <w:ind w:right="600"/>
        <w:spacing w:after="0" w:line="262" w:lineRule="auto"/>
        <w:rPr>
          <w:sz w:val="20"/>
          <w:szCs w:val="20"/>
          <w:color w:val="auto"/>
        </w:rPr>
      </w:pPr>
      <w:r>
        <w:rPr>
          <w:rFonts w:ascii="Times New Roman" w:cs="Times New Roman" w:eastAsia="Times New Roman" w:hAnsi="Times New Roman"/>
          <w:sz w:val="11"/>
          <w:szCs w:val="11"/>
          <w:color w:val="auto"/>
        </w:rPr>
        <w:t>expenses which were partly offset by EUR 233 million of higher interest income and a EUR61 million impairment in 2022 related to loans extended to a customer. The higher interest income was primarily driven by EUR 130 million higher interest income on financial</w:t>
      </w:r>
    </w:p>
    <w:p>
      <w:pPr>
        <w:spacing w:after="0"/>
        <w:tabs>
          <w:tab w:leader="none" w:pos="4340" w:val="left"/>
        </w:tabs>
        <w:rPr>
          <w:sz w:val="20"/>
          <w:szCs w:val="20"/>
          <w:color w:val="auto"/>
        </w:rPr>
      </w:pPr>
      <w:r>
        <w:rPr>
          <w:rFonts w:ascii="Times New Roman" w:cs="Times New Roman" w:eastAsia="Times New Roman" w:hAnsi="Times New Roman"/>
          <w:sz w:val="11"/>
          <w:szCs w:val="11"/>
          <w:color w:val="auto"/>
        </w:rPr>
        <w:t>investments and EUR 95 million higher net interest income on deferred pension plans</w:t>
      </w:r>
      <w:r>
        <w:rPr>
          <w:sz w:val="20"/>
          <w:szCs w:val="20"/>
          <w:color w:val="auto"/>
        </w:rPr>
        <w:tab/>
      </w:r>
      <w:r>
        <w:rPr>
          <w:rFonts w:ascii="Times New Roman" w:cs="Times New Roman" w:eastAsia="Times New Roman" w:hAnsi="Times New Roman"/>
          <w:sz w:val="8"/>
          <w:szCs w:val="8"/>
          <w:color w:val="auto"/>
        </w:rPr>
        <w:t>.</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Profit before tax</w:t>
      </w:r>
    </w:p>
    <w:p>
      <w:pPr>
        <w:spacing w:after="0" w:line="19" w:lineRule="exact"/>
        <w:rPr>
          <w:sz w:val="20"/>
          <w:szCs w:val="20"/>
          <w:color w:val="auto"/>
        </w:rPr>
      </w:pPr>
    </w:p>
    <w:p>
      <w:pPr>
        <w:ind w:right="200"/>
        <w:spacing w:after="0" w:line="286" w:lineRule="auto"/>
        <w:rPr>
          <w:sz w:val="20"/>
          <w:szCs w:val="20"/>
          <w:color w:val="auto"/>
        </w:rPr>
      </w:pPr>
      <w:r>
        <w:rPr>
          <w:rFonts w:ascii="Times New Roman" w:cs="Times New Roman" w:eastAsia="Times New Roman" w:hAnsi="Times New Roman"/>
          <w:sz w:val="11"/>
          <w:szCs w:val="11"/>
          <w:color w:val="auto"/>
        </w:rPr>
        <w:t>Our profit before tax in 2023 was EUR 1 499 million, a decrease of EUR 685 million compared to EUR 2 184 million in 2022 .</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Income tax</w:t>
      </w:r>
    </w:p>
    <w:p>
      <w:pPr>
        <w:spacing w:after="0" w:line="19" w:lineRule="exact"/>
        <w:rPr>
          <w:sz w:val="20"/>
          <w:szCs w:val="20"/>
          <w:color w:val="auto"/>
        </w:rPr>
      </w:pPr>
    </w:p>
    <w:p>
      <w:pPr>
        <w:spacing w:after="0"/>
        <w:tabs>
          <w:tab w:leader="none" w:pos="1060" w:val="left"/>
          <w:tab w:leader="none" w:pos="1700" w:val="left"/>
        </w:tabs>
        <w:rPr>
          <w:sz w:val="20"/>
          <w:szCs w:val="20"/>
          <w:color w:val="auto"/>
        </w:rPr>
      </w:pPr>
      <w:r>
        <w:rPr>
          <w:rFonts w:ascii="Times New Roman" w:cs="Times New Roman" w:eastAsia="Times New Roman" w:hAnsi="Times New Roman"/>
          <w:sz w:val="11"/>
          <w:szCs w:val="11"/>
          <w:color w:val="auto"/>
        </w:rPr>
        <w:t>Income taxes were a</w:t>
        <w:tab/>
        <w:t>net expense</w:t>
        <w:tab/>
        <w:t>of EUR 825 million in 2023 , a net negative  fluctuation of</w:t>
      </w:r>
    </w:p>
    <w:p>
      <w:pPr>
        <w:spacing w:after="0" w:line="10" w:lineRule="exact"/>
        <w:rPr>
          <w:sz w:val="20"/>
          <w:szCs w:val="20"/>
          <w:color w:val="auto"/>
        </w:rPr>
      </w:pPr>
    </w:p>
    <w:p>
      <w:pPr>
        <w:spacing w:after="0"/>
        <w:tabs>
          <w:tab w:leader="none" w:pos="1680" w:val="left"/>
          <w:tab w:leader="none" w:pos="2280" w:val="left"/>
        </w:tabs>
        <w:rPr>
          <w:sz w:val="20"/>
          <w:szCs w:val="20"/>
          <w:color w:val="auto"/>
        </w:rPr>
      </w:pPr>
      <w:r>
        <w:rPr>
          <w:rFonts w:ascii="Times New Roman" w:cs="Times New Roman" w:eastAsia="Times New Roman" w:hAnsi="Times New Roman"/>
          <w:sz w:val="11"/>
          <w:szCs w:val="11"/>
          <w:color w:val="auto"/>
        </w:rPr>
        <w:t>EUR 2 851 million compared to a</w:t>
        <w:tab/>
        <w:t>net benefit</w:t>
        <w:tab/>
        <w:t>of EUR 2 026 million in 2022 . The fluctuation</w:t>
      </w:r>
    </w:p>
    <w:p>
      <w:pPr>
        <w:spacing w:after="0" w:line="10" w:lineRule="exact"/>
        <w:rPr>
          <w:sz w:val="20"/>
          <w:szCs w:val="20"/>
          <w:color w:val="auto"/>
        </w:rPr>
      </w:pPr>
    </w:p>
    <w:p>
      <w:pPr>
        <w:ind w:right="580"/>
        <w:spacing w:after="0" w:line="268" w:lineRule="auto"/>
        <w:rPr>
          <w:sz w:val="20"/>
          <w:szCs w:val="20"/>
          <w:color w:val="auto"/>
        </w:rPr>
      </w:pPr>
      <w:r>
        <w:rPr>
          <w:rFonts w:ascii="Times New Roman" w:cs="Times New Roman" w:eastAsia="Times New Roman" w:hAnsi="Times New Roman"/>
          <w:sz w:val="11"/>
          <w:szCs w:val="11"/>
          <w:color w:val="auto"/>
        </w:rPr>
        <w:t>in net income taxes was primarily attributable to the recognition of Finnish deferred tax assets of EUR 2.5 billion that positively impacted 2022, as well as a non-recurring tax expense of EUR 392 million related to an internal operating model change that led to a remeasurement of a deferred tax asset that negatively impacted 2023. For more details on these items, please refer to Note 2.5. Income taxes in our consolidated financial statements.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Profit attributable to equity holders of the parent and earnings per share</w:t>
      </w:r>
    </w:p>
    <w:p>
      <w:pPr>
        <w:spacing w:after="0" w:line="24" w:lineRule="exact"/>
        <w:rPr>
          <w:sz w:val="20"/>
          <w:szCs w:val="20"/>
          <w:color w:val="auto"/>
        </w:rPr>
      </w:pPr>
    </w:p>
    <w:tbl>
      <w:tblPr>
        <w:tblLayout w:type="fixed"/>
        <w:tblInd w:w="0" w:type="dxa"/>
        <w:tblCellMar>
          <w:top w:w="0" w:type="dxa"/>
          <w:left w:w="0" w:type="dxa"/>
          <w:bottom w:w="0" w:type="dxa"/>
          <w:right w:w="0" w:type="dxa"/>
        </w:tblCellMar>
      </w:tblPr>
      <w:tr>
        <w:trPr>
          <w:trHeight w:val="135"/>
        </w:trPr>
        <w:tc>
          <w:tcPr>
            <w:tcW w:w="25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profit attributable to equity holders of the parent in</w:t>
            </w:r>
          </w:p>
        </w:tc>
        <w:tc>
          <w:tcPr>
            <w:tcW w:w="2200" w:type="dxa"/>
            <w:vAlign w:val="bottom"/>
          </w:tcPr>
          <w:p>
            <w:pPr>
              <w:ind w:left="360"/>
              <w:spacing w:after="0"/>
              <w:rPr>
                <w:sz w:val="20"/>
                <w:szCs w:val="20"/>
                <w:color w:val="auto"/>
              </w:rPr>
            </w:pPr>
            <w:r>
              <w:rPr>
                <w:rFonts w:ascii="Times New Roman" w:cs="Times New Roman" w:eastAsia="Times New Roman" w:hAnsi="Times New Roman"/>
                <w:sz w:val="11"/>
                <w:szCs w:val="11"/>
                <w:color w:val="auto"/>
              </w:rPr>
              <w:t>2023 was EUR 660 million, a decrease</w:t>
            </w:r>
          </w:p>
        </w:tc>
      </w:tr>
      <w:tr>
        <w:trPr>
          <w:trHeight w:val="131"/>
        </w:trPr>
        <w:tc>
          <w:tcPr>
            <w:tcW w:w="25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of EUR 3 541 million, compared to a profit of EUR</w:t>
            </w:r>
          </w:p>
        </w:tc>
        <w:tc>
          <w:tcPr>
            <w:tcW w:w="2200" w:type="dxa"/>
            <w:vAlign w:val="bottom"/>
          </w:tcPr>
          <w:p>
            <w:pPr>
              <w:spacing w:after="0"/>
              <w:rPr>
                <w:sz w:val="20"/>
                <w:szCs w:val="20"/>
                <w:color w:val="auto"/>
              </w:rPr>
            </w:pPr>
            <w:r>
              <w:rPr>
                <w:rFonts w:ascii="Times New Roman" w:cs="Times New Roman" w:eastAsia="Times New Roman" w:hAnsi="Times New Roman"/>
                <w:sz w:val="11"/>
                <w:szCs w:val="11"/>
                <w:color w:val="auto"/>
              </w:rPr>
              <w:t>4 201 million in 2022 . The change in profit</w:t>
            </w:r>
          </w:p>
        </w:tc>
      </w:tr>
      <w:tr>
        <w:trPr>
          <w:trHeight w:val="142"/>
        </w:trPr>
        <w:tc>
          <w:tcPr>
            <w:tcW w:w="4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attributable to equity holders of the parent was primarily due to the net negative fluctuation in</w:t>
            </w:r>
          </w:p>
        </w:tc>
      </w:tr>
      <w:tr>
        <w:trPr>
          <w:trHeight w:val="131"/>
        </w:trPr>
        <w:tc>
          <w:tcPr>
            <w:tcW w:w="4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income taxes, the lower operating profit and, to a lesser extent, a net negative fluctuation in</w:t>
            </w:r>
          </w:p>
        </w:tc>
      </w:tr>
      <w:tr>
        <w:trPr>
          <w:trHeight w:val="148"/>
        </w:trPr>
        <w:tc>
          <w:tcPr>
            <w:tcW w:w="1900" w:type="dxa"/>
            <w:vAlign w:val="bottom"/>
          </w:tcPr>
          <w:p>
            <w:pPr>
              <w:spacing w:after="0"/>
              <w:rPr>
                <w:sz w:val="20"/>
                <w:szCs w:val="20"/>
                <w:color w:val="auto"/>
              </w:rPr>
            </w:pPr>
            <w:r>
              <w:rPr>
                <w:rFonts w:ascii="Times New Roman" w:cs="Times New Roman" w:eastAsia="Times New Roman" w:hAnsi="Times New Roman"/>
                <w:sz w:val="11"/>
                <w:szCs w:val="11"/>
                <w:color w:val="auto"/>
              </w:rPr>
              <w:t>financial income and expenses.</w:t>
            </w:r>
          </w:p>
        </w:tc>
        <w:tc>
          <w:tcPr>
            <w:tcW w:w="3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2200" w:type="dxa"/>
            <w:vAlign w:val="bottom"/>
          </w:tcPr>
          <w:p>
            <w:pPr>
              <w:spacing w:after="0"/>
              <w:rPr>
                <w:sz w:val="12"/>
                <w:szCs w:val="12"/>
                <w:color w:val="auto"/>
              </w:rPr>
            </w:pPr>
          </w:p>
        </w:tc>
      </w:tr>
      <w:tr>
        <w:trPr>
          <w:trHeight w:val="216"/>
        </w:trPr>
        <w:tc>
          <w:tcPr>
            <w:tcW w:w="1900" w:type="dxa"/>
            <w:vAlign w:val="bottom"/>
          </w:tcPr>
          <w:p>
            <w:pPr>
              <w:spacing w:after="0"/>
              <w:rPr>
                <w:sz w:val="20"/>
                <w:szCs w:val="20"/>
                <w:color w:val="auto"/>
              </w:rPr>
            </w:pPr>
            <w:r>
              <w:rPr>
                <w:rFonts w:ascii="Times New Roman" w:cs="Times New Roman" w:eastAsia="Times New Roman" w:hAnsi="Times New Roman"/>
                <w:sz w:val="11"/>
                <w:szCs w:val="11"/>
                <w:color w:val="auto"/>
              </w:rPr>
              <w:t>Our EPS from continuing operations in</w:t>
            </w:r>
          </w:p>
        </w:tc>
        <w:tc>
          <w:tcPr>
            <w:tcW w:w="32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w:t>
            </w:r>
          </w:p>
        </w:tc>
        <w:tc>
          <w:tcPr>
            <w:tcW w:w="252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was EUR 0.12 (basic) and EUR 0.12 (diluted)</w:t>
            </w:r>
          </w:p>
        </w:tc>
      </w:tr>
      <w:tr>
        <w:trPr>
          <w:trHeight w:val="148"/>
        </w:trPr>
        <w:tc>
          <w:tcPr>
            <w:tcW w:w="222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compared to EUR  0.75 (basic) and EUR 0.74</w:t>
            </w:r>
          </w:p>
        </w:tc>
        <w:tc>
          <w:tcPr>
            <w:tcW w:w="252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(diluted) in 2022 .</w:t>
            </w:r>
          </w:p>
        </w:tc>
      </w:tr>
    </w:tbl>
    <w:p>
      <w:pPr>
        <w:sectPr>
          <w:pgSz w:w="11900" w:h="16838" w:orient="portrait"/>
          <w:cols w:equalWidth="0" w:num="2">
            <w:col w:w="4900" w:space="200"/>
            <w:col w:w="4880"/>
          </w:cols>
          <w:pgMar w:left="960" w:top="409" w:right="959" w:bottom="1440" w:gutter="0" w:footer="0" w:header="0"/>
        </w:sectPr>
      </w:pPr>
    </w:p>
    <w:bookmarkStart w:id="84" w:name="page85"/>
    <w:bookmarkEnd w:id="84"/>
    <w:p>
      <w:pPr>
        <w:spacing w:after="0" w:line="1" w:lineRule="exact"/>
        <w:rPr>
          <w:sz w:val="20"/>
          <w:szCs w:val="20"/>
          <w:color w:val="auto"/>
        </w:rPr>
      </w:pP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6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Results of segments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 we had four operating and reportable segments for financial reporting purposes:</w:t>
      </w:r>
    </w:p>
    <w:p>
      <w:pPr>
        <w:spacing w:after="0" w:line="17" w:lineRule="exact"/>
        <w:rPr>
          <w:sz w:val="20"/>
          <w:szCs w:val="20"/>
          <w:color w:val="auto"/>
        </w:rPr>
      </w:pPr>
    </w:p>
    <w:p>
      <w:pPr>
        <w:ind w:right="480" w:firstLine="1"/>
        <w:spacing w:after="0" w:line="260" w:lineRule="auto"/>
        <w:tabs>
          <w:tab w:leader="none" w:pos="162" w:val="left"/>
        </w:tabs>
        <w:numPr>
          <w:ilvl w:val="0"/>
          <w:numId w:val="59"/>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Network Infrastructure, (2) Mobile Networks, (3) Cloud and Network Services and (4) Nokia Technologies. We also present segment-level information for Group Common and Other. The amounts presented in this “Results of segments” section for each reportable segment and Group Common and Other represent the amounts reported to the management for the purpose of assessing performance and making decisions about resource allocation. Certain costs and revenue adjustments are not allocated to the segments for this purpose. For more information on our operational and reporting structure as well as the reconciliation of reportable segment</w:t>
      </w:r>
    </w:p>
    <w:p>
      <w:pPr>
        <w:spacing w:after="0" w:line="2" w:lineRule="exact"/>
        <w:rPr>
          <w:sz w:val="20"/>
          <w:szCs w:val="20"/>
          <w:color w:val="auto"/>
        </w:rPr>
      </w:pPr>
    </w:p>
    <w:p>
      <w:pPr>
        <w:spacing w:after="0"/>
        <w:tabs>
          <w:tab w:leader="none" w:pos="2680" w:val="left"/>
          <w:tab w:leader="none" w:pos="4000" w:val="left"/>
        </w:tabs>
        <w:rPr>
          <w:sz w:val="20"/>
          <w:szCs w:val="20"/>
          <w:color w:val="auto"/>
        </w:rPr>
      </w:pPr>
      <w:r>
        <w:rPr>
          <w:rFonts w:ascii="Times New Roman" w:cs="Times New Roman" w:eastAsia="Times New Roman" w:hAnsi="Times New Roman"/>
          <w:sz w:val="11"/>
          <w:szCs w:val="11"/>
          <w:color w:val="auto"/>
        </w:rPr>
        <w:t>measures to those of the Nokia Group, refer to Note</w:t>
      </w:r>
      <w:r>
        <w:rPr>
          <w:sz w:val="20"/>
          <w:szCs w:val="20"/>
          <w:color w:val="auto"/>
        </w:rPr>
        <w:tab/>
      </w:r>
      <w:r>
        <w:rPr>
          <w:rFonts w:ascii="Times New Roman" w:cs="Times New Roman" w:eastAsia="Times New Roman" w:hAnsi="Times New Roman"/>
          <w:sz w:val="11"/>
          <w:szCs w:val="11"/>
          <w:color w:val="auto"/>
        </w:rPr>
        <w:t>2.2. Segment information</w:t>
        <w:tab/>
        <w:t>, in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consolidated financial statements.</w:t>
      </w:r>
    </w:p>
    <w:p>
      <w:pPr>
        <w:spacing w:after="0" w:line="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Network Infrastructure</w:t>
      </w:r>
    </w:p>
    <w:p>
      <w:pPr>
        <w:spacing w:after="0" w:line="26" w:lineRule="exact"/>
        <w:rPr>
          <w:sz w:val="20"/>
          <w:szCs w:val="20"/>
          <w:color w:val="auto"/>
        </w:rPr>
      </w:pPr>
    </w:p>
    <w:p>
      <w:pPr>
        <w:spacing w:after="0"/>
        <w:tabs>
          <w:tab w:leader="none" w:pos="940" w:val="left"/>
          <w:tab w:leader="none" w:pos="1900" w:val="left"/>
          <w:tab w:leader="none" w:pos="3340" w:val="left"/>
        </w:tabs>
        <w:rPr>
          <w:sz w:val="20"/>
          <w:szCs w:val="20"/>
          <w:color w:val="auto"/>
        </w:rPr>
      </w:pPr>
      <w:r>
        <w:rPr>
          <w:rFonts w:ascii="Times New Roman" w:cs="Times New Roman" w:eastAsia="Times New Roman" w:hAnsi="Times New Roman"/>
          <w:sz w:val="11"/>
          <w:szCs w:val="11"/>
          <w:b w:val="1"/>
          <w:bCs w:val="1"/>
          <w:color w:val="auto"/>
        </w:rPr>
        <w:t>For the year ended</w:t>
        <w:tab/>
        <w:t>31 December 2023</w:t>
        <w:tab/>
        <w:t>compared to the year ended</w:t>
      </w:r>
      <w:r>
        <w:rPr>
          <w:sz w:val="20"/>
          <w:szCs w:val="20"/>
          <w:color w:val="auto"/>
        </w:rPr>
        <w:tab/>
      </w:r>
      <w:r>
        <w:rPr>
          <w:rFonts w:ascii="Times New Roman" w:cs="Times New Roman" w:eastAsia="Times New Roman" w:hAnsi="Times New Roman"/>
          <w:sz w:val="10"/>
          <w:szCs w:val="10"/>
          <w:b w:val="1"/>
          <w:bCs w:val="1"/>
          <w:color w:val="auto"/>
        </w:rPr>
        <w:t>31 December 2022</w:t>
      </w:r>
    </w:p>
    <w:p>
      <w:pPr>
        <w:spacing w:after="0" w:line="21" w:lineRule="exact"/>
        <w:rPr>
          <w:sz w:val="20"/>
          <w:szCs w:val="20"/>
          <w:color w:val="auto"/>
        </w:rPr>
      </w:pPr>
    </w:p>
    <w:p>
      <w:pPr>
        <w:ind w:right="600"/>
        <w:spacing w:after="0" w:line="290" w:lineRule="auto"/>
        <w:rPr>
          <w:sz w:val="20"/>
          <w:szCs w:val="20"/>
          <w:color w:val="auto"/>
        </w:rPr>
      </w:pPr>
      <w:r>
        <w:rPr>
          <w:rFonts w:ascii="Times New Roman" w:cs="Times New Roman" w:eastAsia="Times New Roman" w:hAnsi="Times New Roman"/>
          <w:sz w:val="11"/>
          <w:szCs w:val="11"/>
          <w:color w:val="auto"/>
        </w:rPr>
        <w:t>The following table sets forth the segment operating results and the percentage of net sales for the years indicated.</w:t>
      </w:r>
    </w:p>
    <w:p>
      <w:pPr>
        <w:spacing w:after="0" w:line="10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120" w:type="dxa"/>
            <w:vAlign w:val="bottom"/>
          </w:tcPr>
          <w:p>
            <w:pPr>
              <w:spacing w:after="0"/>
              <w:rPr>
                <w:sz w:val="9"/>
                <w:szCs w:val="9"/>
                <w:color w:val="auto"/>
              </w:rPr>
            </w:pPr>
          </w:p>
        </w:tc>
        <w:tc>
          <w:tcPr>
            <w:tcW w:w="220" w:type="dxa"/>
            <w:vAlign w:val="bottom"/>
          </w:tcPr>
          <w:p>
            <w:pPr>
              <w:spacing w:after="0"/>
              <w:rPr>
                <w:sz w:val="9"/>
                <w:szCs w:val="9"/>
                <w:color w:val="auto"/>
              </w:rPr>
            </w:pPr>
          </w:p>
        </w:tc>
        <w:tc>
          <w:tcPr>
            <w:tcW w:w="300" w:type="dxa"/>
            <w:vAlign w:val="bottom"/>
          </w:tcPr>
          <w:p>
            <w:pPr>
              <w:spacing w:after="0"/>
              <w:rPr>
                <w:sz w:val="9"/>
                <w:szCs w:val="9"/>
                <w:color w:val="auto"/>
              </w:rPr>
            </w:pPr>
          </w:p>
        </w:tc>
        <w:tc>
          <w:tcPr>
            <w:tcW w:w="400" w:type="dxa"/>
            <w:vAlign w:val="bottom"/>
          </w:tcPr>
          <w:p>
            <w:pPr>
              <w:spacing w:after="0"/>
              <w:rPr>
                <w:sz w:val="9"/>
                <w:szCs w:val="9"/>
                <w:color w:val="auto"/>
              </w:rPr>
            </w:pPr>
          </w:p>
        </w:tc>
        <w:tc>
          <w:tcPr>
            <w:tcW w:w="140" w:type="dxa"/>
            <w:vAlign w:val="bottom"/>
            <w:tcBorders>
              <w:bottom w:val="single" w:sz="8" w:color="005AFF"/>
            </w:tcBorders>
          </w:tcPr>
          <w:p>
            <w:pPr>
              <w:spacing w:after="0"/>
              <w:rPr>
                <w:sz w:val="9"/>
                <w:szCs w:val="9"/>
                <w:color w:val="auto"/>
              </w:rPr>
            </w:pP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160" w:type="dxa"/>
            <w:vAlign w:val="bottom"/>
            <w:tcBorders>
              <w:bottom w:val="single" w:sz="8" w:color="005AFF"/>
            </w:tcBorders>
          </w:tcPr>
          <w:p>
            <w:pPr>
              <w:spacing w:after="0"/>
              <w:rPr>
                <w:sz w:val="9"/>
                <w:szCs w:val="9"/>
                <w:color w:val="auto"/>
              </w:rPr>
            </w:pPr>
          </w:p>
        </w:tc>
        <w:tc>
          <w:tcPr>
            <w:tcW w:w="260" w:type="dxa"/>
            <w:vAlign w:val="bottom"/>
            <w:tcBorders>
              <w:bottom w:val="single" w:sz="8" w:color="005AFF"/>
            </w:tcBorders>
          </w:tcPr>
          <w:p>
            <w:pPr>
              <w:spacing w:after="0"/>
              <w:rPr>
                <w:sz w:val="9"/>
                <w:szCs w:val="9"/>
                <w:color w:val="auto"/>
              </w:rPr>
            </w:pPr>
          </w:p>
        </w:tc>
        <w:tc>
          <w:tcPr>
            <w:tcW w:w="20" w:type="dxa"/>
            <w:vAlign w:val="bottom"/>
          </w:tcPr>
          <w:p>
            <w:pPr>
              <w:spacing w:after="0"/>
              <w:rPr>
                <w:sz w:val="9"/>
                <w:szCs w:val="9"/>
                <w:color w:val="auto"/>
              </w:rPr>
            </w:pPr>
          </w:p>
        </w:tc>
        <w:tc>
          <w:tcPr>
            <w:tcW w:w="60" w:type="dxa"/>
            <w:vAlign w:val="bottom"/>
          </w:tcPr>
          <w:p>
            <w:pPr>
              <w:spacing w:after="0"/>
              <w:rPr>
                <w:sz w:val="9"/>
                <w:szCs w:val="9"/>
                <w:color w:val="auto"/>
              </w:rPr>
            </w:pPr>
          </w:p>
        </w:tc>
        <w:tc>
          <w:tcPr>
            <w:tcW w:w="680" w:type="dxa"/>
            <w:vAlign w:val="bottom"/>
            <w:tcBorders>
              <w:bottom w:val="single" w:sz="8" w:color="005AFF"/>
            </w:tcBorders>
          </w:tcPr>
          <w:p>
            <w:pPr>
              <w:jc w:val="right"/>
              <w:ind w:right="40"/>
              <w:spacing w:after="0"/>
              <w:rPr>
                <w:sz w:val="20"/>
                <w:szCs w:val="20"/>
                <w:color w:val="auto"/>
              </w:rPr>
            </w:pPr>
            <w:r>
              <w:rPr>
                <w:rFonts w:ascii="Times New Roman" w:cs="Times New Roman" w:eastAsia="Times New Roman" w:hAnsi="Times New Roman"/>
                <w:sz w:val="8"/>
                <w:szCs w:val="8"/>
                <w:b w:val="1"/>
                <w:bCs w:val="1"/>
                <w:color w:val="005AFF"/>
              </w:rPr>
              <w:t>2022</w:t>
            </w:r>
          </w:p>
        </w:tc>
        <w:tc>
          <w:tcPr>
            <w:tcW w:w="320" w:type="dxa"/>
            <w:vAlign w:val="bottom"/>
            <w:tcBorders>
              <w:bottom w:val="single" w:sz="8" w:color="005AFF"/>
            </w:tcBorders>
          </w:tcPr>
          <w:p>
            <w:pPr>
              <w:spacing w:after="0"/>
              <w:rPr>
                <w:sz w:val="9"/>
                <w:szCs w:val="9"/>
                <w:color w:val="auto"/>
              </w:rPr>
            </w:pPr>
          </w:p>
        </w:tc>
        <w:tc>
          <w:tcPr>
            <w:tcW w:w="60" w:type="dxa"/>
            <w:vAlign w:val="bottom"/>
            <w:tcBorders>
              <w:bottom w:val="single" w:sz="8" w:color="005AFF"/>
            </w:tcBorders>
          </w:tcPr>
          <w:p>
            <w:pPr>
              <w:spacing w:after="0"/>
              <w:rPr>
                <w:sz w:val="9"/>
                <w:szCs w:val="9"/>
                <w:color w:val="auto"/>
              </w:rPr>
            </w:pPr>
          </w:p>
        </w:tc>
        <w:tc>
          <w:tcPr>
            <w:tcW w:w="280" w:type="dxa"/>
            <w:vAlign w:val="bottom"/>
          </w:tcPr>
          <w:p>
            <w:pPr>
              <w:spacing w:after="0"/>
              <w:rPr>
                <w:sz w:val="9"/>
                <w:szCs w:val="9"/>
                <w:color w:val="auto"/>
              </w:rPr>
            </w:pPr>
          </w:p>
        </w:tc>
        <w:tc>
          <w:tcPr>
            <w:tcW w:w="400" w:type="dxa"/>
            <w:vAlign w:val="bottom"/>
          </w:tcPr>
          <w:p>
            <w:pPr>
              <w:spacing w:after="0"/>
              <w:rPr>
                <w:sz w:val="9"/>
                <w:szCs w:val="9"/>
                <w:color w:val="auto"/>
              </w:rPr>
            </w:pPr>
          </w:p>
        </w:tc>
      </w:tr>
      <w:tr>
        <w:trPr>
          <w:trHeight w:val="108"/>
        </w:trPr>
        <w:tc>
          <w:tcPr>
            <w:tcW w:w="1120" w:type="dxa"/>
            <w:vAlign w:val="bottom"/>
          </w:tcPr>
          <w:p>
            <w:pPr>
              <w:spacing w:after="0"/>
              <w:rPr>
                <w:sz w:val="9"/>
                <w:szCs w:val="9"/>
                <w:color w:val="auto"/>
              </w:rPr>
            </w:pPr>
          </w:p>
        </w:tc>
        <w:tc>
          <w:tcPr>
            <w:tcW w:w="220" w:type="dxa"/>
            <w:vAlign w:val="bottom"/>
          </w:tcPr>
          <w:p>
            <w:pPr>
              <w:spacing w:after="0"/>
              <w:rPr>
                <w:sz w:val="9"/>
                <w:szCs w:val="9"/>
                <w:color w:val="auto"/>
              </w:rPr>
            </w:pPr>
          </w:p>
        </w:tc>
        <w:tc>
          <w:tcPr>
            <w:tcW w:w="300" w:type="dxa"/>
            <w:vAlign w:val="bottom"/>
          </w:tcPr>
          <w:p>
            <w:pPr>
              <w:spacing w:after="0"/>
              <w:rPr>
                <w:sz w:val="9"/>
                <w:szCs w:val="9"/>
                <w:color w:val="auto"/>
              </w:rPr>
            </w:pPr>
          </w:p>
        </w:tc>
        <w:tc>
          <w:tcPr>
            <w:tcW w:w="400" w:type="dxa"/>
            <w:vAlign w:val="bottom"/>
          </w:tcPr>
          <w:p>
            <w:pPr>
              <w:spacing w:after="0"/>
              <w:rPr>
                <w:sz w:val="9"/>
                <w:szCs w:val="9"/>
                <w:color w:val="auto"/>
              </w:rPr>
            </w:pPr>
          </w:p>
        </w:tc>
        <w:tc>
          <w:tcPr>
            <w:tcW w:w="140" w:type="dxa"/>
            <w:vAlign w:val="bottom"/>
          </w:tcPr>
          <w:p>
            <w:pPr>
              <w:spacing w:after="0"/>
              <w:rPr>
                <w:sz w:val="9"/>
                <w:szCs w:val="9"/>
                <w:color w:val="auto"/>
              </w:rPr>
            </w:pPr>
          </w:p>
        </w:tc>
        <w:tc>
          <w:tcPr>
            <w:tcW w:w="500" w:type="dxa"/>
            <w:vAlign w:val="bottom"/>
          </w:tcPr>
          <w:p>
            <w:pPr>
              <w:spacing w:after="0"/>
              <w:rPr>
                <w:sz w:val="9"/>
                <w:szCs w:val="9"/>
                <w:color w:val="auto"/>
              </w:rPr>
            </w:pPr>
          </w:p>
        </w:tc>
        <w:tc>
          <w:tcPr>
            <w:tcW w:w="440" w:type="dxa"/>
            <w:vAlign w:val="bottom"/>
            <w:gridSpan w:val="3"/>
          </w:tcPr>
          <w:p>
            <w:pPr>
              <w:jc w:val="right"/>
              <w:ind w:right="100"/>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0" w:type="dxa"/>
            <w:vAlign w:val="bottom"/>
          </w:tcPr>
          <w:p>
            <w:pPr>
              <w:spacing w:after="0"/>
              <w:rPr>
                <w:sz w:val="9"/>
                <w:szCs w:val="9"/>
                <w:color w:val="auto"/>
              </w:rPr>
            </w:pPr>
          </w:p>
        </w:tc>
        <w:tc>
          <w:tcPr>
            <w:tcW w:w="680" w:type="dxa"/>
            <w:vAlign w:val="bottom"/>
          </w:tcPr>
          <w:p>
            <w:pPr>
              <w:spacing w:after="0"/>
              <w:rPr>
                <w:sz w:val="9"/>
                <w:szCs w:val="9"/>
                <w:color w:val="auto"/>
              </w:rPr>
            </w:pPr>
          </w:p>
        </w:tc>
        <w:tc>
          <w:tcPr>
            <w:tcW w:w="3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0" w:type="dxa"/>
            <w:vAlign w:val="bottom"/>
          </w:tcPr>
          <w:p>
            <w:pPr>
              <w:spacing w:after="0"/>
              <w:rPr>
                <w:sz w:val="9"/>
                <w:szCs w:val="9"/>
                <w:color w:val="auto"/>
              </w:rPr>
            </w:pPr>
          </w:p>
        </w:tc>
        <w:tc>
          <w:tcPr>
            <w:tcW w:w="680" w:type="dxa"/>
            <w:vAlign w:val="bottom"/>
            <w:gridSpan w:val="2"/>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Year-on-year</w:t>
            </w:r>
          </w:p>
        </w:tc>
      </w:tr>
      <w:tr>
        <w:trPr>
          <w:trHeight w:val="114"/>
        </w:trPr>
        <w:tc>
          <w:tcPr>
            <w:tcW w:w="1120" w:type="dxa"/>
            <w:vAlign w:val="bottom"/>
            <w:tcBorders>
              <w:bottom w:val="single" w:sz="8" w:color="005AFF"/>
            </w:tcBorders>
          </w:tcPr>
          <w:p>
            <w:pPr>
              <w:spacing w:after="0"/>
              <w:rPr>
                <w:sz w:val="9"/>
                <w:szCs w:val="9"/>
                <w:color w:val="auto"/>
              </w:rPr>
            </w:pPr>
          </w:p>
        </w:tc>
        <w:tc>
          <w:tcPr>
            <w:tcW w:w="220" w:type="dxa"/>
            <w:vAlign w:val="bottom"/>
            <w:tcBorders>
              <w:bottom w:val="single" w:sz="8" w:color="005AFF"/>
            </w:tcBorders>
          </w:tcPr>
          <w:p>
            <w:pPr>
              <w:spacing w:after="0"/>
              <w:rPr>
                <w:sz w:val="9"/>
                <w:szCs w:val="9"/>
                <w:color w:val="auto"/>
              </w:rPr>
            </w:pPr>
          </w:p>
        </w:tc>
        <w:tc>
          <w:tcPr>
            <w:tcW w:w="30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spacing w:after="0"/>
              <w:rPr>
                <w:sz w:val="9"/>
                <w:szCs w:val="9"/>
                <w:color w:val="auto"/>
              </w:rPr>
            </w:pPr>
          </w:p>
        </w:tc>
        <w:tc>
          <w:tcPr>
            <w:tcW w:w="140" w:type="dxa"/>
            <w:vAlign w:val="bottom"/>
            <w:tcBorders>
              <w:bottom w:val="single" w:sz="8" w:color="005AFF"/>
            </w:tcBorders>
          </w:tcPr>
          <w:p>
            <w:pPr>
              <w:spacing w:after="0"/>
              <w:rPr>
                <w:sz w:val="9"/>
                <w:szCs w:val="9"/>
                <w:color w:val="auto"/>
              </w:rPr>
            </w:pPr>
          </w:p>
        </w:tc>
        <w:tc>
          <w:tcPr>
            <w:tcW w:w="50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EURm</w:t>
            </w:r>
          </w:p>
        </w:tc>
        <w:tc>
          <w:tcPr>
            <w:tcW w:w="160" w:type="dxa"/>
            <w:vAlign w:val="bottom"/>
            <w:tcBorders>
              <w:bottom w:val="single" w:sz="8" w:color="005AFF"/>
            </w:tcBorders>
          </w:tcPr>
          <w:p>
            <w:pPr>
              <w:spacing w:after="0"/>
              <w:rPr>
                <w:sz w:val="9"/>
                <w:szCs w:val="9"/>
                <w:color w:val="auto"/>
              </w:rPr>
            </w:pPr>
          </w:p>
        </w:tc>
        <w:tc>
          <w:tcPr>
            <w:tcW w:w="280" w:type="dxa"/>
            <w:vAlign w:val="bottom"/>
            <w:tcBorders>
              <w:bottom w:val="single" w:sz="8" w:color="005AFF"/>
            </w:tcBorders>
            <w:gridSpan w:val="2"/>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sales</w:t>
            </w:r>
          </w:p>
        </w:tc>
        <w:tc>
          <w:tcPr>
            <w:tcW w:w="6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jc w:val="right"/>
              <w:ind w:right="120"/>
              <w:spacing w:after="0"/>
              <w:rPr>
                <w:sz w:val="20"/>
                <w:szCs w:val="20"/>
                <w:color w:val="auto"/>
              </w:rPr>
            </w:pPr>
            <w:r>
              <w:rPr>
                <w:rFonts w:ascii="Times New Roman" w:cs="Times New Roman" w:eastAsia="Times New Roman" w:hAnsi="Times New Roman"/>
                <w:sz w:val="8"/>
                <w:szCs w:val="8"/>
                <w:b w:val="1"/>
                <w:bCs w:val="1"/>
                <w:color w:val="005AFF"/>
              </w:rPr>
              <w:t>EURm</w:t>
            </w:r>
          </w:p>
        </w:tc>
        <w:tc>
          <w:tcPr>
            <w:tcW w:w="320" w:type="dxa"/>
            <w:vAlign w:val="bottom"/>
            <w:tcBorders>
              <w:bottom w:val="single" w:sz="8" w:color="005AFF"/>
            </w:tcBorders>
          </w:tcPr>
          <w:p>
            <w:pPr>
              <w:jc w:val="center"/>
              <w:ind w:left="111"/>
              <w:spacing w:after="0"/>
              <w:rPr>
                <w:sz w:val="20"/>
                <w:szCs w:val="20"/>
                <w:color w:val="auto"/>
              </w:rPr>
            </w:pPr>
            <w:r>
              <w:rPr>
                <w:rFonts w:ascii="Times New Roman" w:cs="Times New Roman" w:eastAsia="Times New Roman" w:hAnsi="Times New Roman"/>
                <w:sz w:val="8"/>
                <w:szCs w:val="8"/>
                <w:b w:val="1"/>
                <w:bCs w:val="1"/>
                <w:color w:val="005AFF"/>
                <w:w w:val="99"/>
              </w:rPr>
              <w:t>sales</w:t>
            </w:r>
          </w:p>
        </w:tc>
        <w:tc>
          <w:tcPr>
            <w:tcW w:w="60" w:type="dxa"/>
            <w:vAlign w:val="bottom"/>
            <w:tcBorders>
              <w:bottom w:val="single" w:sz="8" w:color="005AFF"/>
            </w:tcBorders>
          </w:tcPr>
          <w:p>
            <w:pPr>
              <w:spacing w:after="0"/>
              <w:rPr>
                <w:sz w:val="9"/>
                <w:szCs w:val="9"/>
                <w:color w:val="auto"/>
              </w:rPr>
            </w:pPr>
          </w:p>
        </w:tc>
        <w:tc>
          <w:tcPr>
            <w:tcW w:w="28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w w:val="99"/>
              </w:rPr>
              <w:t>change %</w:t>
            </w:r>
          </w:p>
        </w:tc>
      </w:tr>
      <w:tr>
        <w:trPr>
          <w:trHeight w:val="150"/>
        </w:trPr>
        <w:tc>
          <w:tcPr>
            <w:tcW w:w="11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 xml:space="preserve">Net sales </w:t>
            </w:r>
            <w:r>
              <w:rPr>
                <w:rFonts w:ascii="Times New Roman" w:cs="Times New Roman" w:eastAsia="Times New Roman" w:hAnsi="Times New Roman"/>
                <w:sz w:val="13"/>
                <w:szCs w:val="13"/>
                <w:b w:val="1"/>
                <w:bCs w:val="1"/>
                <w:color w:val="005AFF"/>
                <w:vertAlign w:val="superscript"/>
              </w:rPr>
              <w:t>(1)</w:t>
            </w:r>
          </w:p>
        </w:tc>
        <w:tc>
          <w:tcPr>
            <w:tcW w:w="2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400" w:type="dxa"/>
            <w:vAlign w:val="bottom"/>
          </w:tcPr>
          <w:p>
            <w:pPr>
              <w:spacing w:after="0"/>
              <w:rPr>
                <w:sz w:val="13"/>
                <w:szCs w:val="13"/>
                <w:color w:val="auto"/>
              </w:rPr>
            </w:pPr>
          </w:p>
        </w:tc>
        <w:tc>
          <w:tcPr>
            <w:tcW w:w="140" w:type="dxa"/>
            <w:vAlign w:val="bottom"/>
            <w:shd w:val="clear" w:color="auto" w:fill="F0F5FF"/>
          </w:tcPr>
          <w:p>
            <w:pPr>
              <w:spacing w:after="0"/>
              <w:rPr>
                <w:sz w:val="13"/>
                <w:szCs w:val="13"/>
                <w:color w:val="auto"/>
              </w:rPr>
            </w:pPr>
          </w:p>
        </w:tc>
        <w:tc>
          <w:tcPr>
            <w:tcW w:w="50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8 037</w:t>
            </w:r>
          </w:p>
        </w:tc>
        <w:tc>
          <w:tcPr>
            <w:tcW w:w="420" w:type="dxa"/>
            <w:vAlign w:val="bottom"/>
            <w:gridSpan w:val="2"/>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20" w:type="dxa"/>
            <w:vAlign w:val="bottom"/>
          </w:tcPr>
          <w:p>
            <w:pPr>
              <w:spacing w:after="0"/>
              <w:rPr>
                <w:sz w:val="13"/>
                <w:szCs w:val="13"/>
                <w:color w:val="auto"/>
              </w:rPr>
            </w:pPr>
          </w:p>
        </w:tc>
        <w:tc>
          <w:tcPr>
            <w:tcW w:w="740" w:type="dxa"/>
            <w:vAlign w:val="bottom"/>
            <w:gridSpan w:val="2"/>
          </w:tcPr>
          <w:p>
            <w:pPr>
              <w:jc w:val="right"/>
              <w:ind w:right="180"/>
              <w:spacing w:after="0"/>
              <w:rPr>
                <w:sz w:val="20"/>
                <w:szCs w:val="20"/>
                <w:color w:val="auto"/>
              </w:rPr>
            </w:pPr>
            <w:r>
              <w:rPr>
                <w:rFonts w:ascii="Times New Roman" w:cs="Times New Roman" w:eastAsia="Times New Roman" w:hAnsi="Times New Roman"/>
                <w:sz w:val="10"/>
                <w:szCs w:val="10"/>
                <w:b w:val="1"/>
                <w:bCs w:val="1"/>
                <w:color w:val="auto"/>
              </w:rPr>
              <w:t>9 047</w:t>
            </w:r>
          </w:p>
        </w:tc>
        <w:tc>
          <w:tcPr>
            <w:tcW w:w="32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100.0</w:t>
            </w:r>
          </w:p>
        </w:tc>
        <w:tc>
          <w:tcPr>
            <w:tcW w:w="60" w:type="dxa"/>
            <w:vAlign w:val="bottom"/>
          </w:tcPr>
          <w:p>
            <w:pPr>
              <w:spacing w:after="0"/>
              <w:rPr>
                <w:sz w:val="13"/>
                <w:szCs w:val="13"/>
                <w:color w:val="auto"/>
              </w:rPr>
            </w:pPr>
          </w:p>
        </w:tc>
        <w:tc>
          <w:tcPr>
            <w:tcW w:w="280" w:type="dxa"/>
            <w:vAlign w:val="bottom"/>
          </w:tcPr>
          <w:p>
            <w:pPr>
              <w:spacing w:after="0"/>
              <w:rPr>
                <w:sz w:val="13"/>
                <w:szCs w:val="13"/>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(11)</w:t>
            </w:r>
          </w:p>
        </w:tc>
      </w:tr>
      <w:tr>
        <w:trPr>
          <w:trHeight w:val="157"/>
        </w:trPr>
        <w:tc>
          <w:tcPr>
            <w:tcW w:w="11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220" w:type="dxa"/>
            <w:vAlign w:val="bottom"/>
            <w:tcBorders>
              <w:bottom w:val="single" w:sz="8" w:color="005AFF"/>
            </w:tcBorders>
          </w:tcPr>
          <w:p>
            <w:pPr>
              <w:spacing w:after="0"/>
              <w:rPr>
                <w:sz w:val="13"/>
                <w:szCs w:val="13"/>
                <w:color w:val="auto"/>
              </w:rPr>
            </w:pPr>
          </w:p>
        </w:tc>
        <w:tc>
          <w:tcPr>
            <w:tcW w:w="300" w:type="dxa"/>
            <w:vAlign w:val="bottom"/>
            <w:tcBorders>
              <w:bottom w:val="single" w:sz="8" w:color="005AFF"/>
            </w:tcBorders>
          </w:tcPr>
          <w:p>
            <w:pPr>
              <w:spacing w:after="0"/>
              <w:rPr>
                <w:sz w:val="13"/>
                <w:szCs w:val="13"/>
                <w:color w:val="auto"/>
              </w:rPr>
            </w:pPr>
          </w:p>
        </w:tc>
        <w:tc>
          <w:tcPr>
            <w:tcW w:w="400" w:type="dxa"/>
            <w:vAlign w:val="bottom"/>
            <w:tcBorders>
              <w:bottom w:val="single" w:sz="8" w:color="005AFF"/>
            </w:tcBorders>
          </w:tcPr>
          <w:p>
            <w:pPr>
              <w:spacing w:after="0"/>
              <w:rPr>
                <w:sz w:val="13"/>
                <w:szCs w:val="13"/>
                <w:color w:val="auto"/>
              </w:rPr>
            </w:pPr>
          </w:p>
        </w:tc>
        <w:tc>
          <w:tcPr>
            <w:tcW w:w="140" w:type="dxa"/>
            <w:vAlign w:val="bottom"/>
            <w:tcBorders>
              <w:bottom w:val="single" w:sz="8" w:color="005AFF"/>
            </w:tcBorders>
            <w:shd w:val="clear" w:color="auto" w:fill="F0F5FF"/>
          </w:tcPr>
          <w:p>
            <w:pPr>
              <w:spacing w:after="0"/>
              <w:rPr>
                <w:sz w:val="13"/>
                <w:szCs w:val="13"/>
                <w:color w:val="auto"/>
              </w:rPr>
            </w:pPr>
          </w:p>
        </w:tc>
        <w:tc>
          <w:tcPr>
            <w:tcW w:w="500" w:type="dxa"/>
            <w:vAlign w:val="bottom"/>
            <w:tcBorders>
              <w:bottom w:val="single" w:sz="8" w:color="005AFF"/>
            </w:tcBorders>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(4 987)</w:t>
            </w:r>
          </w:p>
        </w:tc>
        <w:tc>
          <w:tcPr>
            <w:tcW w:w="42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(62.1)</w:t>
            </w:r>
          </w:p>
        </w:tc>
        <w:tc>
          <w:tcPr>
            <w:tcW w:w="2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gridSpan w:val="2"/>
          </w:tcPr>
          <w:p>
            <w:pPr>
              <w:jc w:val="right"/>
              <w:ind w:right="140"/>
              <w:spacing w:after="0"/>
              <w:rPr>
                <w:sz w:val="20"/>
                <w:szCs w:val="20"/>
                <w:color w:val="auto"/>
              </w:rPr>
            </w:pPr>
            <w:r>
              <w:rPr>
                <w:rFonts w:ascii="Times New Roman" w:cs="Times New Roman" w:eastAsia="Times New Roman" w:hAnsi="Times New Roman"/>
                <w:sz w:val="10"/>
                <w:szCs w:val="10"/>
                <w:color w:val="0D0D0D"/>
              </w:rPr>
              <w:t>(5 739)</w:t>
            </w:r>
          </w:p>
        </w:tc>
        <w:tc>
          <w:tcPr>
            <w:tcW w:w="380" w:type="dxa"/>
            <w:vAlign w:val="bottom"/>
            <w:tcBorders>
              <w:bottom w:val="single" w:sz="8" w:color="005AFF"/>
            </w:tcBorders>
            <w:gridSpan w:val="2"/>
          </w:tcPr>
          <w:p>
            <w:pPr>
              <w:jc w:val="center"/>
              <w:ind w:left="51"/>
              <w:spacing w:after="0"/>
              <w:rPr>
                <w:sz w:val="20"/>
                <w:szCs w:val="20"/>
                <w:color w:val="auto"/>
              </w:rPr>
            </w:pPr>
            <w:r>
              <w:rPr>
                <w:rFonts w:ascii="Times New Roman" w:cs="Times New Roman" w:eastAsia="Times New Roman" w:hAnsi="Times New Roman"/>
                <w:sz w:val="10"/>
                <w:szCs w:val="10"/>
                <w:color w:val="0D0D0D"/>
                <w:w w:val="99"/>
              </w:rPr>
              <w:t>(63.4)</w:t>
            </w:r>
          </w:p>
        </w:tc>
        <w:tc>
          <w:tcPr>
            <w:tcW w:w="280" w:type="dxa"/>
            <w:vAlign w:val="bottom"/>
            <w:tcBorders>
              <w:bottom w:val="single" w:sz="8" w:color="005AFF"/>
            </w:tcBorders>
          </w:tcPr>
          <w:p>
            <w:pPr>
              <w:spacing w:after="0"/>
              <w:rPr>
                <w:sz w:val="13"/>
                <w:szCs w:val="13"/>
                <w:color w:val="auto"/>
              </w:rPr>
            </w:pP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(13)</w:t>
            </w:r>
          </w:p>
        </w:tc>
      </w:tr>
      <w:tr>
        <w:trPr>
          <w:trHeight w:val="137"/>
        </w:trPr>
        <w:tc>
          <w:tcPr>
            <w:tcW w:w="11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22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400" w:type="dxa"/>
            <w:vAlign w:val="bottom"/>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50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3 050</w:t>
            </w:r>
          </w:p>
        </w:tc>
        <w:tc>
          <w:tcPr>
            <w:tcW w:w="160" w:type="dxa"/>
            <w:vAlign w:val="bottom"/>
            <w:shd w:val="clear" w:color="auto" w:fill="F0F5FF"/>
          </w:tcPr>
          <w:p>
            <w:pPr>
              <w:spacing w:after="0"/>
              <w:rPr>
                <w:sz w:val="11"/>
                <w:szCs w:val="11"/>
                <w:color w:val="auto"/>
              </w:rPr>
            </w:pPr>
          </w:p>
        </w:tc>
        <w:tc>
          <w:tcPr>
            <w:tcW w:w="2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37.9</w:t>
            </w:r>
          </w:p>
        </w:tc>
        <w:tc>
          <w:tcPr>
            <w:tcW w:w="20" w:type="dxa"/>
            <w:vAlign w:val="bottom"/>
          </w:tcPr>
          <w:p>
            <w:pPr>
              <w:spacing w:after="0"/>
              <w:rPr>
                <w:sz w:val="11"/>
                <w:szCs w:val="11"/>
                <w:color w:val="auto"/>
              </w:rPr>
            </w:pPr>
          </w:p>
        </w:tc>
        <w:tc>
          <w:tcPr>
            <w:tcW w:w="740" w:type="dxa"/>
            <w:vAlign w:val="bottom"/>
            <w:gridSpan w:val="2"/>
          </w:tcPr>
          <w:p>
            <w:pPr>
              <w:jc w:val="right"/>
              <w:ind w:right="180"/>
              <w:spacing w:after="0"/>
              <w:rPr>
                <w:sz w:val="20"/>
                <w:szCs w:val="20"/>
                <w:color w:val="auto"/>
              </w:rPr>
            </w:pPr>
            <w:r>
              <w:rPr>
                <w:rFonts w:ascii="Times New Roman" w:cs="Times New Roman" w:eastAsia="Times New Roman" w:hAnsi="Times New Roman"/>
                <w:sz w:val="10"/>
                <w:szCs w:val="10"/>
                <w:b w:val="1"/>
                <w:bCs w:val="1"/>
                <w:color w:val="auto"/>
              </w:rPr>
              <w:t>3 308</w:t>
            </w:r>
          </w:p>
        </w:tc>
        <w:tc>
          <w:tcPr>
            <w:tcW w:w="320" w:type="dxa"/>
            <w:vAlign w:val="bottom"/>
          </w:tcPr>
          <w:p>
            <w:pPr>
              <w:jc w:val="center"/>
              <w:ind w:left="91"/>
              <w:spacing w:after="0"/>
              <w:rPr>
                <w:sz w:val="20"/>
                <w:szCs w:val="20"/>
                <w:color w:val="auto"/>
              </w:rPr>
            </w:pPr>
            <w:r>
              <w:rPr>
                <w:rFonts w:ascii="Times New Roman" w:cs="Times New Roman" w:eastAsia="Times New Roman" w:hAnsi="Times New Roman"/>
                <w:sz w:val="10"/>
                <w:szCs w:val="10"/>
                <w:b w:val="1"/>
                <w:bCs w:val="1"/>
                <w:color w:val="auto"/>
              </w:rPr>
              <w:t>36.6</w:t>
            </w:r>
          </w:p>
        </w:tc>
        <w:tc>
          <w:tcPr>
            <w:tcW w:w="60" w:type="dxa"/>
            <w:vAlign w:val="bottom"/>
          </w:tcPr>
          <w:p>
            <w:pPr>
              <w:spacing w:after="0"/>
              <w:rPr>
                <w:sz w:val="11"/>
                <w:szCs w:val="11"/>
                <w:color w:val="auto"/>
              </w:rPr>
            </w:pPr>
          </w:p>
        </w:tc>
        <w:tc>
          <w:tcPr>
            <w:tcW w:w="280" w:type="dxa"/>
            <w:vAlign w:val="bottom"/>
          </w:tcPr>
          <w:p>
            <w:pPr>
              <w:spacing w:after="0"/>
              <w:rPr>
                <w:sz w:val="11"/>
                <w:szCs w:val="11"/>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(8)</w:t>
            </w:r>
          </w:p>
        </w:tc>
      </w:tr>
      <w:tr>
        <w:trPr>
          <w:trHeight w:val="162"/>
        </w:trPr>
        <w:tc>
          <w:tcPr>
            <w:tcW w:w="16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400" w:type="dxa"/>
            <w:vAlign w:val="bottom"/>
          </w:tcPr>
          <w:p>
            <w:pPr>
              <w:spacing w:after="0"/>
              <w:rPr>
                <w:sz w:val="14"/>
                <w:szCs w:val="14"/>
                <w:color w:val="auto"/>
              </w:rPr>
            </w:pPr>
          </w:p>
        </w:tc>
        <w:tc>
          <w:tcPr>
            <w:tcW w:w="140" w:type="dxa"/>
            <w:vAlign w:val="bottom"/>
            <w:shd w:val="clear" w:color="auto" w:fill="F0F5FF"/>
          </w:tcPr>
          <w:p>
            <w:pPr>
              <w:spacing w:after="0"/>
              <w:rPr>
                <w:sz w:val="14"/>
                <w:szCs w:val="14"/>
                <w:color w:val="auto"/>
              </w:rPr>
            </w:pPr>
          </w:p>
        </w:tc>
        <w:tc>
          <w:tcPr>
            <w:tcW w:w="50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(1 259)</w:t>
            </w:r>
          </w:p>
        </w:tc>
        <w:tc>
          <w:tcPr>
            <w:tcW w:w="42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(15.7)</w:t>
            </w:r>
          </w:p>
        </w:tc>
        <w:tc>
          <w:tcPr>
            <w:tcW w:w="20" w:type="dxa"/>
            <w:vAlign w:val="bottom"/>
          </w:tcPr>
          <w:p>
            <w:pPr>
              <w:spacing w:after="0"/>
              <w:rPr>
                <w:sz w:val="14"/>
                <w:szCs w:val="14"/>
                <w:color w:val="auto"/>
              </w:rPr>
            </w:pPr>
          </w:p>
        </w:tc>
        <w:tc>
          <w:tcPr>
            <w:tcW w:w="74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color w:val="0D0D0D"/>
              </w:rPr>
              <w:t>(1 307)</w:t>
            </w:r>
          </w:p>
        </w:tc>
        <w:tc>
          <w:tcPr>
            <w:tcW w:w="380" w:type="dxa"/>
            <w:vAlign w:val="bottom"/>
            <w:gridSpan w:val="2"/>
          </w:tcPr>
          <w:p>
            <w:pPr>
              <w:jc w:val="center"/>
              <w:ind w:left="51"/>
              <w:spacing w:after="0"/>
              <w:rPr>
                <w:sz w:val="20"/>
                <w:szCs w:val="20"/>
                <w:color w:val="auto"/>
              </w:rPr>
            </w:pPr>
            <w:r>
              <w:rPr>
                <w:rFonts w:ascii="Times New Roman" w:cs="Times New Roman" w:eastAsia="Times New Roman" w:hAnsi="Times New Roman"/>
                <w:sz w:val="10"/>
                <w:szCs w:val="10"/>
                <w:color w:val="0D0D0D"/>
                <w:w w:val="99"/>
              </w:rPr>
              <w:t>(14.4)</w:t>
            </w:r>
          </w:p>
        </w:tc>
        <w:tc>
          <w:tcPr>
            <w:tcW w:w="280" w:type="dxa"/>
            <w:vAlign w:val="bottom"/>
          </w:tcPr>
          <w:p>
            <w:pPr>
              <w:spacing w:after="0"/>
              <w:rPr>
                <w:sz w:val="14"/>
                <w:szCs w:val="14"/>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w:t>
            </w:r>
          </w:p>
        </w:tc>
      </w:tr>
      <w:tr>
        <w:trPr>
          <w:trHeight w:val="153"/>
        </w:trPr>
        <w:tc>
          <w:tcPr>
            <w:tcW w:w="16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400" w:type="dxa"/>
            <w:vAlign w:val="bottom"/>
          </w:tcPr>
          <w:p>
            <w:pPr>
              <w:spacing w:after="0"/>
              <w:rPr>
                <w:sz w:val="13"/>
                <w:szCs w:val="13"/>
                <w:color w:val="auto"/>
              </w:rPr>
            </w:pPr>
          </w:p>
        </w:tc>
        <w:tc>
          <w:tcPr>
            <w:tcW w:w="14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160" w:type="dxa"/>
            <w:vAlign w:val="bottom"/>
            <w:shd w:val="clear" w:color="auto" w:fill="F0F5FF"/>
          </w:tcPr>
          <w:p>
            <w:pPr>
              <w:spacing w:after="0"/>
              <w:rPr>
                <w:sz w:val="13"/>
                <w:szCs w:val="13"/>
                <w:color w:val="auto"/>
              </w:rPr>
            </w:pPr>
          </w:p>
        </w:tc>
        <w:tc>
          <w:tcPr>
            <w:tcW w:w="260" w:type="dxa"/>
            <w:vAlign w:val="bottom"/>
            <w:shd w:val="clear" w:color="auto" w:fill="F0F5FF"/>
          </w:tcPr>
          <w:p>
            <w:pPr>
              <w:spacing w:after="0"/>
              <w:rPr>
                <w:sz w:val="13"/>
                <w:szCs w:val="13"/>
                <w:color w:val="auto"/>
              </w:rPr>
            </w:pPr>
          </w:p>
        </w:tc>
        <w:tc>
          <w:tcPr>
            <w:tcW w:w="20" w:type="dxa"/>
            <w:vAlign w:val="bottom"/>
          </w:tcPr>
          <w:p>
            <w:pPr>
              <w:spacing w:after="0"/>
              <w:rPr>
                <w:sz w:val="13"/>
                <w:szCs w:val="13"/>
                <w:color w:val="auto"/>
              </w:rPr>
            </w:pPr>
          </w:p>
        </w:tc>
        <w:tc>
          <w:tcPr>
            <w:tcW w:w="60" w:type="dxa"/>
            <w:vAlign w:val="bottom"/>
          </w:tcPr>
          <w:p>
            <w:pPr>
              <w:spacing w:after="0"/>
              <w:rPr>
                <w:sz w:val="13"/>
                <w:szCs w:val="13"/>
                <w:color w:val="auto"/>
              </w:rPr>
            </w:pPr>
          </w:p>
        </w:tc>
        <w:tc>
          <w:tcPr>
            <w:tcW w:w="680" w:type="dxa"/>
            <w:vAlign w:val="bottom"/>
          </w:tcPr>
          <w:p>
            <w:pPr>
              <w:spacing w:after="0"/>
              <w:rPr>
                <w:sz w:val="13"/>
                <w:szCs w:val="13"/>
                <w:color w:val="auto"/>
              </w:rPr>
            </w:pPr>
          </w:p>
        </w:tc>
        <w:tc>
          <w:tcPr>
            <w:tcW w:w="320" w:type="dxa"/>
            <w:vAlign w:val="bottom"/>
          </w:tcPr>
          <w:p>
            <w:pPr>
              <w:spacing w:after="0"/>
              <w:rPr>
                <w:sz w:val="13"/>
                <w:szCs w:val="13"/>
                <w:color w:val="auto"/>
              </w:rPr>
            </w:pPr>
          </w:p>
        </w:tc>
        <w:tc>
          <w:tcPr>
            <w:tcW w:w="60" w:type="dxa"/>
            <w:vAlign w:val="bottom"/>
          </w:tcPr>
          <w:p>
            <w:pPr>
              <w:spacing w:after="0"/>
              <w:rPr>
                <w:sz w:val="13"/>
                <w:szCs w:val="13"/>
                <w:color w:val="auto"/>
              </w:rPr>
            </w:pPr>
          </w:p>
        </w:tc>
        <w:tc>
          <w:tcPr>
            <w:tcW w:w="280" w:type="dxa"/>
            <w:vAlign w:val="bottom"/>
          </w:tcPr>
          <w:p>
            <w:pPr>
              <w:spacing w:after="0"/>
              <w:rPr>
                <w:sz w:val="13"/>
                <w:szCs w:val="13"/>
                <w:color w:val="auto"/>
              </w:rPr>
            </w:pPr>
          </w:p>
        </w:tc>
        <w:tc>
          <w:tcPr>
            <w:tcW w:w="400" w:type="dxa"/>
            <w:vAlign w:val="bottom"/>
          </w:tcPr>
          <w:p>
            <w:pPr>
              <w:spacing w:after="0"/>
              <w:rPr>
                <w:sz w:val="13"/>
                <w:szCs w:val="13"/>
                <w:color w:val="auto"/>
              </w:rPr>
            </w:pPr>
          </w:p>
        </w:tc>
      </w:tr>
      <w:tr>
        <w:trPr>
          <w:trHeight w:val="130"/>
        </w:trPr>
        <w:tc>
          <w:tcPr>
            <w:tcW w:w="11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22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400" w:type="dxa"/>
            <w:vAlign w:val="bottom"/>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50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(818)</w:t>
            </w:r>
          </w:p>
        </w:tc>
        <w:tc>
          <w:tcPr>
            <w:tcW w:w="42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(10.2)</w:t>
            </w:r>
          </w:p>
        </w:tc>
        <w:tc>
          <w:tcPr>
            <w:tcW w:w="20" w:type="dxa"/>
            <w:vAlign w:val="bottom"/>
          </w:tcPr>
          <w:p>
            <w:pPr>
              <w:spacing w:after="0"/>
              <w:rPr>
                <w:sz w:val="11"/>
                <w:szCs w:val="11"/>
                <w:color w:val="auto"/>
              </w:rPr>
            </w:pPr>
          </w:p>
        </w:tc>
        <w:tc>
          <w:tcPr>
            <w:tcW w:w="74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color w:val="0D0D0D"/>
              </w:rPr>
              <w:t>(833)</w:t>
            </w:r>
          </w:p>
        </w:tc>
        <w:tc>
          <w:tcPr>
            <w:tcW w:w="38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(9.2)</w:t>
            </w:r>
          </w:p>
        </w:tc>
        <w:tc>
          <w:tcPr>
            <w:tcW w:w="280" w:type="dxa"/>
            <w:vAlign w:val="bottom"/>
          </w:tcPr>
          <w:p>
            <w:pPr>
              <w:spacing w:after="0"/>
              <w:rPr>
                <w:sz w:val="11"/>
                <w:szCs w:val="11"/>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w:t>
            </w:r>
          </w:p>
        </w:tc>
      </w:tr>
      <w:tr>
        <w:trPr>
          <w:trHeight w:val="167"/>
        </w:trPr>
        <w:tc>
          <w:tcPr>
            <w:tcW w:w="164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400" w:type="dxa"/>
            <w:vAlign w:val="bottom"/>
            <w:tcBorders>
              <w:bottom w:val="single" w:sz="8" w:color="005AFF"/>
            </w:tcBorders>
          </w:tcPr>
          <w:p>
            <w:pPr>
              <w:spacing w:after="0"/>
              <w:rPr>
                <w:sz w:val="14"/>
                <w:szCs w:val="14"/>
                <w:color w:val="auto"/>
              </w:rPr>
            </w:pPr>
          </w:p>
        </w:tc>
        <w:tc>
          <w:tcPr>
            <w:tcW w:w="140" w:type="dxa"/>
            <w:vAlign w:val="bottom"/>
            <w:tcBorders>
              <w:bottom w:val="single" w:sz="8" w:color="005AFF"/>
            </w:tcBorders>
            <w:shd w:val="clear" w:color="auto" w:fill="F0F5FF"/>
          </w:tcPr>
          <w:p>
            <w:pPr>
              <w:spacing w:after="0"/>
              <w:rPr>
                <w:sz w:val="14"/>
                <w:szCs w:val="14"/>
                <w:color w:val="auto"/>
              </w:rPr>
            </w:pPr>
          </w:p>
        </w:tc>
        <w:tc>
          <w:tcPr>
            <w:tcW w:w="500" w:type="dxa"/>
            <w:vAlign w:val="bottom"/>
            <w:tcBorders>
              <w:bottom w:val="single" w:sz="8" w:color="005AFF"/>
            </w:tcBorders>
            <w:shd w:val="clear" w:color="auto" w:fill="F0F5FF"/>
          </w:tcPr>
          <w:p>
            <w:pPr>
              <w:jc w:val="right"/>
              <w:ind w:right="112"/>
              <w:spacing w:after="0"/>
              <w:rPr>
                <w:sz w:val="20"/>
                <w:szCs w:val="20"/>
                <w:color w:val="auto"/>
              </w:rPr>
            </w:pPr>
            <w:r>
              <w:rPr>
                <w:rFonts w:ascii="Times New Roman" w:cs="Times New Roman" w:eastAsia="Times New Roman" w:hAnsi="Times New Roman"/>
                <w:sz w:val="10"/>
                <w:szCs w:val="10"/>
                <w:color w:val="005AFF"/>
              </w:rPr>
              <w:t>81</w:t>
            </w:r>
          </w:p>
        </w:tc>
        <w:tc>
          <w:tcPr>
            <w:tcW w:w="160" w:type="dxa"/>
            <w:vAlign w:val="bottom"/>
            <w:tcBorders>
              <w:bottom w:val="single" w:sz="8" w:color="005AFF"/>
            </w:tcBorders>
            <w:shd w:val="clear" w:color="auto" w:fill="F0F5FF"/>
          </w:tcPr>
          <w:p>
            <w:pPr>
              <w:spacing w:after="0"/>
              <w:rPr>
                <w:sz w:val="14"/>
                <w:szCs w:val="14"/>
                <w:color w:val="auto"/>
              </w:rPr>
            </w:pPr>
          </w:p>
        </w:tc>
        <w:tc>
          <w:tcPr>
            <w:tcW w:w="2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1.0</w:t>
            </w:r>
          </w:p>
        </w:tc>
        <w:tc>
          <w:tcPr>
            <w:tcW w:w="2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(66)</w:t>
            </w:r>
          </w:p>
        </w:tc>
        <w:tc>
          <w:tcPr>
            <w:tcW w:w="38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color w:val="0D0D0D"/>
              </w:rPr>
              <w:t>(0.7)</w:t>
            </w:r>
          </w:p>
        </w:tc>
        <w:tc>
          <w:tcPr>
            <w:tcW w:w="280" w:type="dxa"/>
            <w:vAlign w:val="bottom"/>
            <w:tcBorders>
              <w:bottom w:val="single" w:sz="8" w:color="005AFF"/>
            </w:tcBorders>
          </w:tcPr>
          <w:p>
            <w:pPr>
              <w:spacing w:after="0"/>
              <w:rPr>
                <w:sz w:val="14"/>
                <w:szCs w:val="14"/>
                <w:color w:val="auto"/>
              </w:rPr>
            </w:pP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(223)</w:t>
            </w:r>
          </w:p>
        </w:tc>
      </w:tr>
      <w:tr>
        <w:trPr>
          <w:trHeight w:val="142"/>
        </w:trPr>
        <w:tc>
          <w:tcPr>
            <w:tcW w:w="11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220" w:type="dxa"/>
            <w:vAlign w:val="bottom"/>
            <w:tcBorders>
              <w:bottom w:val="single" w:sz="8" w:color="005AFF"/>
            </w:tcBorders>
          </w:tcPr>
          <w:p>
            <w:pPr>
              <w:spacing w:after="0"/>
              <w:rPr>
                <w:sz w:val="12"/>
                <w:szCs w:val="12"/>
                <w:color w:val="auto"/>
              </w:rPr>
            </w:pPr>
          </w:p>
        </w:tc>
        <w:tc>
          <w:tcPr>
            <w:tcW w:w="300" w:type="dxa"/>
            <w:vAlign w:val="bottom"/>
            <w:tcBorders>
              <w:bottom w:val="single" w:sz="8" w:color="005AFF"/>
            </w:tcBorders>
          </w:tcPr>
          <w:p>
            <w:pPr>
              <w:spacing w:after="0"/>
              <w:rPr>
                <w:sz w:val="12"/>
                <w:szCs w:val="12"/>
                <w:color w:val="auto"/>
              </w:rPr>
            </w:pPr>
          </w:p>
        </w:tc>
        <w:tc>
          <w:tcPr>
            <w:tcW w:w="400" w:type="dxa"/>
            <w:vAlign w:val="bottom"/>
            <w:tcBorders>
              <w:bottom w:val="single" w:sz="8" w:color="005AFF"/>
            </w:tcBorders>
          </w:tcPr>
          <w:p>
            <w:pPr>
              <w:spacing w:after="0"/>
              <w:rPr>
                <w:sz w:val="12"/>
                <w:szCs w:val="12"/>
                <w:color w:val="auto"/>
              </w:rPr>
            </w:pPr>
          </w:p>
        </w:tc>
        <w:tc>
          <w:tcPr>
            <w:tcW w:w="140" w:type="dxa"/>
            <w:vAlign w:val="bottom"/>
            <w:tcBorders>
              <w:bottom w:val="single" w:sz="8" w:color="005AFF"/>
            </w:tcBorders>
            <w:shd w:val="clear" w:color="auto" w:fill="F0F5FF"/>
          </w:tcPr>
          <w:p>
            <w:pPr>
              <w:spacing w:after="0"/>
              <w:rPr>
                <w:sz w:val="12"/>
                <w:szCs w:val="12"/>
                <w:color w:val="auto"/>
              </w:rPr>
            </w:pPr>
          </w:p>
        </w:tc>
        <w:tc>
          <w:tcPr>
            <w:tcW w:w="500" w:type="dxa"/>
            <w:vAlign w:val="bottom"/>
            <w:tcBorders>
              <w:bottom w:val="single" w:sz="8" w:color="005AFF"/>
            </w:tcBorders>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1 054</w:t>
            </w:r>
          </w:p>
        </w:tc>
        <w:tc>
          <w:tcPr>
            <w:tcW w:w="160" w:type="dxa"/>
            <w:vAlign w:val="bottom"/>
            <w:tcBorders>
              <w:bottom w:val="single" w:sz="8" w:color="005AFF"/>
            </w:tcBorders>
            <w:shd w:val="clear" w:color="auto" w:fill="F0F5FF"/>
          </w:tcPr>
          <w:p>
            <w:pPr>
              <w:spacing w:after="0"/>
              <w:rPr>
                <w:sz w:val="12"/>
                <w:szCs w:val="12"/>
                <w:color w:val="auto"/>
              </w:rPr>
            </w:pPr>
          </w:p>
        </w:tc>
        <w:tc>
          <w:tcPr>
            <w:tcW w:w="2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13.1</w:t>
            </w:r>
          </w:p>
        </w:tc>
        <w:tc>
          <w:tcPr>
            <w:tcW w:w="2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gridSpan w:val="2"/>
          </w:tcPr>
          <w:p>
            <w:pPr>
              <w:jc w:val="right"/>
              <w:ind w:right="180"/>
              <w:spacing w:after="0"/>
              <w:rPr>
                <w:sz w:val="20"/>
                <w:szCs w:val="20"/>
                <w:color w:val="auto"/>
              </w:rPr>
            </w:pPr>
            <w:r>
              <w:rPr>
                <w:rFonts w:ascii="Times New Roman" w:cs="Times New Roman" w:eastAsia="Times New Roman" w:hAnsi="Times New Roman"/>
                <w:sz w:val="10"/>
                <w:szCs w:val="10"/>
                <w:b w:val="1"/>
                <w:bCs w:val="1"/>
                <w:color w:val="auto"/>
              </w:rPr>
              <w:t>1 102</w:t>
            </w:r>
          </w:p>
        </w:tc>
        <w:tc>
          <w:tcPr>
            <w:tcW w:w="320" w:type="dxa"/>
            <w:vAlign w:val="bottom"/>
            <w:tcBorders>
              <w:bottom w:val="single" w:sz="8" w:color="005AFF"/>
            </w:tcBorders>
          </w:tcPr>
          <w:p>
            <w:pPr>
              <w:jc w:val="center"/>
              <w:ind w:left="91"/>
              <w:spacing w:after="0"/>
              <w:rPr>
                <w:sz w:val="20"/>
                <w:szCs w:val="20"/>
                <w:color w:val="auto"/>
              </w:rPr>
            </w:pPr>
            <w:r>
              <w:rPr>
                <w:rFonts w:ascii="Times New Roman" w:cs="Times New Roman" w:eastAsia="Times New Roman" w:hAnsi="Times New Roman"/>
                <w:sz w:val="10"/>
                <w:szCs w:val="10"/>
                <w:b w:val="1"/>
                <w:bCs w:val="1"/>
                <w:color w:val="auto"/>
              </w:rPr>
              <w:t>12.2</w:t>
            </w:r>
          </w:p>
        </w:tc>
        <w:tc>
          <w:tcPr>
            <w:tcW w:w="60" w:type="dxa"/>
            <w:vAlign w:val="bottom"/>
            <w:tcBorders>
              <w:bottom w:val="single" w:sz="8" w:color="005AFF"/>
            </w:tcBorders>
          </w:tcPr>
          <w:p>
            <w:pPr>
              <w:spacing w:after="0"/>
              <w:rPr>
                <w:sz w:val="12"/>
                <w:szCs w:val="12"/>
                <w:color w:val="auto"/>
              </w:rPr>
            </w:pPr>
          </w:p>
        </w:tc>
        <w:tc>
          <w:tcPr>
            <w:tcW w:w="280" w:type="dxa"/>
            <w:vAlign w:val="bottom"/>
            <w:tcBorders>
              <w:bottom w:val="single" w:sz="8" w:color="005AFF"/>
            </w:tcBorders>
          </w:tcPr>
          <w:p>
            <w:pPr>
              <w:spacing w:after="0"/>
              <w:rPr>
                <w:sz w:val="12"/>
                <w:szCs w:val="12"/>
                <w:color w:val="auto"/>
              </w:rPr>
            </w:pP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w:t>
            </w:r>
          </w:p>
        </w:tc>
      </w:tr>
      <w:tr>
        <w:trPr>
          <w:trHeight w:val="128"/>
        </w:trPr>
        <w:tc>
          <w:tcPr>
            <w:tcW w:w="2180" w:type="dxa"/>
            <w:vAlign w:val="bottom"/>
            <w:gridSpan w:val="5"/>
          </w:tcPr>
          <w:p>
            <w:pPr>
              <w:spacing w:after="0"/>
              <w:rPr>
                <w:sz w:val="20"/>
                <w:szCs w:val="20"/>
                <w:color w:val="auto"/>
              </w:rPr>
            </w:pPr>
            <w:r>
              <w:rPr>
                <w:rFonts w:ascii="Times New Roman" w:cs="Times New Roman" w:eastAsia="Times New Roman" w:hAnsi="Times New Roman"/>
                <w:sz w:val="8"/>
                <w:szCs w:val="8"/>
                <w:color w:val="auto"/>
              </w:rPr>
              <w:t>(1)   In 2023 , net sales include IP Networks net sales of EUR</w:t>
            </w:r>
          </w:p>
        </w:tc>
        <w:tc>
          <w:tcPr>
            <w:tcW w:w="1680" w:type="dxa"/>
            <w:vAlign w:val="bottom"/>
            <w:gridSpan w:val="6"/>
          </w:tcPr>
          <w:p>
            <w:pPr>
              <w:jc w:val="center"/>
              <w:spacing w:after="0"/>
              <w:rPr>
                <w:sz w:val="20"/>
                <w:szCs w:val="20"/>
                <w:color w:val="auto"/>
              </w:rPr>
            </w:pPr>
            <w:r>
              <w:rPr>
                <w:rFonts w:ascii="Times New Roman" w:cs="Times New Roman" w:eastAsia="Times New Roman" w:hAnsi="Times New Roman"/>
                <w:sz w:val="8"/>
                <w:szCs w:val="8"/>
                <w:color w:val="auto"/>
              </w:rPr>
              <w:t>2 606 million, Optical Networks net sales of EUR</w:t>
            </w:r>
          </w:p>
        </w:tc>
        <w:tc>
          <w:tcPr>
            <w:tcW w:w="320" w:type="dxa"/>
            <w:vAlign w:val="bottom"/>
          </w:tcPr>
          <w:p>
            <w:pPr>
              <w:jc w:val="right"/>
              <w:spacing w:after="0"/>
              <w:rPr>
                <w:sz w:val="20"/>
                <w:szCs w:val="20"/>
                <w:color w:val="auto"/>
              </w:rPr>
            </w:pPr>
            <w:r>
              <w:rPr>
                <w:rFonts w:ascii="Times New Roman" w:cs="Times New Roman" w:eastAsia="Times New Roman" w:hAnsi="Times New Roman"/>
                <w:sz w:val="8"/>
                <w:szCs w:val="8"/>
                <w:color w:val="auto"/>
              </w:rPr>
              <w:t>1 942</w:t>
            </w:r>
          </w:p>
        </w:tc>
        <w:tc>
          <w:tcPr>
            <w:tcW w:w="740" w:type="dxa"/>
            <w:vAlign w:val="bottom"/>
            <w:gridSpan w:val="3"/>
          </w:tcPr>
          <w:p>
            <w:pPr>
              <w:jc w:val="right"/>
              <w:ind w:right="231"/>
              <w:spacing w:after="0"/>
              <w:rPr>
                <w:sz w:val="20"/>
                <w:szCs w:val="20"/>
                <w:color w:val="auto"/>
              </w:rPr>
            </w:pPr>
            <w:r>
              <w:rPr>
                <w:rFonts w:ascii="Times New Roman" w:cs="Times New Roman" w:eastAsia="Times New Roman" w:hAnsi="Times New Roman"/>
                <w:sz w:val="8"/>
                <w:szCs w:val="8"/>
                <w:color w:val="auto"/>
                <w:w w:val="96"/>
              </w:rPr>
              <w:t>million, Fixed</w:t>
            </w:r>
          </w:p>
        </w:tc>
      </w:tr>
      <w:tr>
        <w:trPr>
          <w:trHeight w:val="101"/>
        </w:trPr>
        <w:tc>
          <w:tcPr>
            <w:tcW w:w="1120" w:type="dxa"/>
            <w:vAlign w:val="bottom"/>
          </w:tcPr>
          <w:p>
            <w:pPr>
              <w:ind w:left="200"/>
              <w:spacing w:after="0"/>
              <w:rPr>
                <w:sz w:val="20"/>
                <w:szCs w:val="20"/>
                <w:color w:val="auto"/>
              </w:rPr>
            </w:pPr>
            <w:r>
              <w:rPr>
                <w:rFonts w:ascii="Times New Roman" w:cs="Times New Roman" w:eastAsia="Times New Roman" w:hAnsi="Times New Roman"/>
                <w:sz w:val="8"/>
                <w:szCs w:val="8"/>
                <w:color w:val="auto"/>
              </w:rPr>
              <w:t>Networks net sales of EUR</w:t>
            </w:r>
          </w:p>
        </w:tc>
        <w:tc>
          <w:tcPr>
            <w:tcW w:w="220" w:type="dxa"/>
            <w:vAlign w:val="bottom"/>
          </w:tcPr>
          <w:p>
            <w:pPr>
              <w:jc w:val="right"/>
              <w:spacing w:after="0"/>
              <w:rPr>
                <w:sz w:val="20"/>
                <w:szCs w:val="20"/>
                <w:color w:val="auto"/>
              </w:rPr>
            </w:pPr>
            <w:r>
              <w:rPr>
                <w:rFonts w:ascii="Times New Roman" w:cs="Times New Roman" w:eastAsia="Times New Roman" w:hAnsi="Times New Roman"/>
                <w:sz w:val="8"/>
                <w:szCs w:val="8"/>
                <w:color w:val="auto"/>
              </w:rPr>
              <w:t>2 369</w:t>
            </w:r>
          </w:p>
        </w:tc>
        <w:tc>
          <w:tcPr>
            <w:tcW w:w="1780" w:type="dxa"/>
            <w:vAlign w:val="bottom"/>
            <w:gridSpan w:val="7"/>
          </w:tcPr>
          <w:p>
            <w:pPr>
              <w:jc w:val="right"/>
              <w:ind w:right="80"/>
              <w:spacing w:after="0"/>
              <w:rPr>
                <w:sz w:val="20"/>
                <w:szCs w:val="20"/>
                <w:color w:val="auto"/>
              </w:rPr>
            </w:pPr>
            <w:r>
              <w:rPr>
                <w:rFonts w:ascii="Times New Roman" w:cs="Times New Roman" w:eastAsia="Times New Roman" w:hAnsi="Times New Roman"/>
                <w:sz w:val="8"/>
                <w:szCs w:val="8"/>
                <w:color w:val="auto"/>
              </w:rPr>
              <w:t>million and Submarine Networks net sales of EUR</w:t>
            </w:r>
          </w:p>
        </w:tc>
        <w:tc>
          <w:tcPr>
            <w:tcW w:w="60" w:type="dxa"/>
            <w:vAlign w:val="bottom"/>
          </w:tcPr>
          <w:p>
            <w:pPr>
              <w:spacing w:after="0"/>
              <w:rPr>
                <w:sz w:val="8"/>
                <w:szCs w:val="8"/>
                <w:color w:val="auto"/>
              </w:rPr>
            </w:pPr>
          </w:p>
        </w:tc>
        <w:tc>
          <w:tcPr>
            <w:tcW w:w="1740" w:type="dxa"/>
            <w:vAlign w:val="bottom"/>
            <w:gridSpan w:val="5"/>
          </w:tcPr>
          <w:p>
            <w:pPr>
              <w:jc w:val="right"/>
              <w:ind w:right="211"/>
              <w:spacing w:after="0"/>
              <w:rPr>
                <w:sz w:val="20"/>
                <w:szCs w:val="20"/>
                <w:color w:val="auto"/>
              </w:rPr>
            </w:pPr>
            <w:r>
              <w:rPr>
                <w:rFonts w:ascii="Times New Roman" w:cs="Times New Roman" w:eastAsia="Times New Roman" w:hAnsi="Times New Roman"/>
                <w:sz w:val="8"/>
                <w:szCs w:val="8"/>
                <w:color w:val="auto"/>
              </w:rPr>
              <w:t>1 120 million. In 2022 , net sales include IP</w:t>
            </w:r>
          </w:p>
        </w:tc>
      </w:tr>
      <w:tr>
        <w:trPr>
          <w:trHeight w:val="91"/>
        </w:trPr>
        <w:tc>
          <w:tcPr>
            <w:tcW w:w="1120" w:type="dxa"/>
            <w:vAlign w:val="bottom"/>
          </w:tcPr>
          <w:p>
            <w:pPr>
              <w:ind w:left="200"/>
              <w:spacing w:after="0"/>
              <w:rPr>
                <w:sz w:val="20"/>
                <w:szCs w:val="20"/>
                <w:color w:val="auto"/>
              </w:rPr>
            </w:pPr>
            <w:r>
              <w:rPr>
                <w:rFonts w:ascii="Times New Roman" w:cs="Times New Roman" w:eastAsia="Times New Roman" w:hAnsi="Times New Roman"/>
                <w:sz w:val="8"/>
                <w:szCs w:val="8"/>
                <w:color w:val="auto"/>
              </w:rPr>
              <w:t>Networks net sales of EUR</w:t>
            </w:r>
          </w:p>
        </w:tc>
        <w:tc>
          <w:tcPr>
            <w:tcW w:w="220" w:type="dxa"/>
            <w:vAlign w:val="bottom"/>
          </w:tcPr>
          <w:p>
            <w:pPr>
              <w:jc w:val="right"/>
              <w:spacing w:after="0"/>
              <w:rPr>
                <w:sz w:val="20"/>
                <w:szCs w:val="20"/>
                <w:color w:val="auto"/>
              </w:rPr>
            </w:pPr>
            <w:r>
              <w:rPr>
                <w:rFonts w:ascii="Times New Roman" w:cs="Times New Roman" w:eastAsia="Times New Roman" w:hAnsi="Times New Roman"/>
                <w:sz w:val="8"/>
                <w:szCs w:val="8"/>
                <w:color w:val="auto"/>
              </w:rPr>
              <w:t>3 063</w:t>
            </w:r>
          </w:p>
        </w:tc>
        <w:tc>
          <w:tcPr>
            <w:tcW w:w="1500" w:type="dxa"/>
            <w:vAlign w:val="bottom"/>
            <w:gridSpan w:val="5"/>
          </w:tcPr>
          <w:p>
            <w:pPr>
              <w:ind w:left="60"/>
              <w:spacing w:after="0"/>
              <w:rPr>
                <w:sz w:val="20"/>
                <w:szCs w:val="20"/>
                <w:color w:val="auto"/>
              </w:rPr>
            </w:pPr>
            <w:r>
              <w:rPr>
                <w:rFonts w:ascii="Times New Roman" w:cs="Times New Roman" w:eastAsia="Times New Roman" w:hAnsi="Times New Roman"/>
                <w:sz w:val="8"/>
                <w:szCs w:val="8"/>
                <w:color w:val="auto"/>
              </w:rPr>
              <w:t>million, Optical Networks net sales of EUR</w:t>
            </w:r>
          </w:p>
        </w:tc>
        <w:tc>
          <w:tcPr>
            <w:tcW w:w="280" w:type="dxa"/>
            <w:vAlign w:val="bottom"/>
            <w:gridSpan w:val="2"/>
          </w:tcPr>
          <w:p>
            <w:pPr>
              <w:jc w:val="right"/>
              <w:spacing w:after="0"/>
              <w:rPr>
                <w:sz w:val="20"/>
                <w:szCs w:val="20"/>
                <w:color w:val="auto"/>
              </w:rPr>
            </w:pPr>
            <w:r>
              <w:rPr>
                <w:rFonts w:ascii="Times New Roman" w:cs="Times New Roman" w:eastAsia="Times New Roman" w:hAnsi="Times New Roman"/>
                <w:sz w:val="8"/>
                <w:szCs w:val="8"/>
                <w:color w:val="auto"/>
              </w:rPr>
              <w:t>1 891</w:t>
            </w:r>
          </w:p>
        </w:tc>
        <w:tc>
          <w:tcPr>
            <w:tcW w:w="1400" w:type="dxa"/>
            <w:vAlign w:val="bottom"/>
            <w:gridSpan w:val="5"/>
          </w:tcPr>
          <w:p>
            <w:pPr>
              <w:ind w:left="40"/>
              <w:spacing w:after="0"/>
              <w:rPr>
                <w:sz w:val="20"/>
                <w:szCs w:val="20"/>
                <w:color w:val="auto"/>
              </w:rPr>
            </w:pPr>
            <w:r>
              <w:rPr>
                <w:rFonts w:ascii="Times New Roman" w:cs="Times New Roman" w:eastAsia="Times New Roman" w:hAnsi="Times New Roman"/>
                <w:sz w:val="8"/>
                <w:szCs w:val="8"/>
                <w:color w:val="auto"/>
                <w:w w:val="99"/>
              </w:rPr>
              <w:t>million, Fixed Networks net sales of EUR</w:t>
            </w:r>
          </w:p>
        </w:tc>
        <w:tc>
          <w:tcPr>
            <w:tcW w:w="400" w:type="dxa"/>
            <w:vAlign w:val="bottom"/>
          </w:tcPr>
          <w:p>
            <w:pPr>
              <w:jc w:val="right"/>
              <w:ind w:right="71"/>
              <w:spacing w:after="0"/>
              <w:rPr>
                <w:sz w:val="20"/>
                <w:szCs w:val="20"/>
                <w:color w:val="auto"/>
              </w:rPr>
            </w:pPr>
            <w:r>
              <w:rPr>
                <w:rFonts w:ascii="Times New Roman" w:cs="Times New Roman" w:eastAsia="Times New Roman" w:hAnsi="Times New Roman"/>
                <w:sz w:val="8"/>
                <w:szCs w:val="8"/>
                <w:color w:val="auto"/>
              </w:rPr>
              <w:t>2 943</w:t>
            </w:r>
          </w:p>
        </w:tc>
      </w:tr>
      <w:tr>
        <w:trPr>
          <w:trHeight w:val="104"/>
        </w:trPr>
        <w:tc>
          <w:tcPr>
            <w:tcW w:w="2180" w:type="dxa"/>
            <w:vAlign w:val="bottom"/>
            <w:gridSpan w:val="5"/>
          </w:tcPr>
          <w:p>
            <w:pPr>
              <w:ind w:left="200"/>
              <w:spacing w:after="0"/>
              <w:rPr>
                <w:sz w:val="20"/>
                <w:szCs w:val="20"/>
                <w:color w:val="auto"/>
              </w:rPr>
            </w:pPr>
            <w:r>
              <w:rPr>
                <w:rFonts w:ascii="Times New Roman" w:cs="Times New Roman" w:eastAsia="Times New Roman" w:hAnsi="Times New Roman"/>
                <w:sz w:val="8"/>
                <w:szCs w:val="8"/>
                <w:color w:val="auto"/>
              </w:rPr>
              <w:t>million and Submarine Networks net sales of EUR1 150</w:t>
            </w:r>
          </w:p>
        </w:tc>
        <w:tc>
          <w:tcPr>
            <w:tcW w:w="500" w:type="dxa"/>
            <w:vAlign w:val="bottom"/>
          </w:tcPr>
          <w:p>
            <w:pPr>
              <w:jc w:val="right"/>
              <w:ind w:right="152"/>
              <w:spacing w:after="0"/>
              <w:rPr>
                <w:sz w:val="20"/>
                <w:szCs w:val="20"/>
                <w:color w:val="auto"/>
              </w:rPr>
            </w:pPr>
            <w:r>
              <w:rPr>
                <w:rFonts w:ascii="Times New Roman" w:cs="Times New Roman" w:eastAsia="Times New Roman" w:hAnsi="Times New Roman"/>
                <w:sz w:val="8"/>
                <w:szCs w:val="8"/>
                <w:color w:val="auto"/>
              </w:rPr>
              <w:t>million.</w:t>
            </w:r>
          </w:p>
        </w:tc>
        <w:tc>
          <w:tcPr>
            <w:tcW w:w="160" w:type="dxa"/>
            <w:vAlign w:val="bottom"/>
          </w:tcPr>
          <w:p>
            <w:pPr>
              <w:spacing w:after="0"/>
              <w:rPr>
                <w:sz w:val="9"/>
                <w:szCs w:val="9"/>
                <w:color w:val="auto"/>
              </w:rPr>
            </w:pPr>
          </w:p>
        </w:tc>
        <w:tc>
          <w:tcPr>
            <w:tcW w:w="260" w:type="dxa"/>
            <w:vAlign w:val="bottom"/>
          </w:tcPr>
          <w:p>
            <w:pPr>
              <w:spacing w:after="0"/>
              <w:rPr>
                <w:sz w:val="9"/>
                <w:szCs w:val="9"/>
                <w:color w:val="auto"/>
              </w:rPr>
            </w:pPr>
          </w:p>
        </w:tc>
        <w:tc>
          <w:tcPr>
            <w:tcW w:w="20" w:type="dxa"/>
            <w:vAlign w:val="bottom"/>
          </w:tcPr>
          <w:p>
            <w:pPr>
              <w:spacing w:after="0"/>
              <w:rPr>
                <w:sz w:val="9"/>
                <w:szCs w:val="9"/>
                <w:color w:val="auto"/>
              </w:rPr>
            </w:pPr>
          </w:p>
        </w:tc>
        <w:tc>
          <w:tcPr>
            <w:tcW w:w="60" w:type="dxa"/>
            <w:vAlign w:val="bottom"/>
          </w:tcPr>
          <w:p>
            <w:pPr>
              <w:spacing w:after="0"/>
              <w:rPr>
                <w:sz w:val="9"/>
                <w:szCs w:val="9"/>
                <w:color w:val="auto"/>
              </w:rPr>
            </w:pPr>
          </w:p>
        </w:tc>
        <w:tc>
          <w:tcPr>
            <w:tcW w:w="680" w:type="dxa"/>
            <w:vAlign w:val="bottom"/>
          </w:tcPr>
          <w:p>
            <w:pPr>
              <w:spacing w:after="0"/>
              <w:rPr>
                <w:sz w:val="9"/>
                <w:szCs w:val="9"/>
                <w:color w:val="auto"/>
              </w:rPr>
            </w:pPr>
          </w:p>
        </w:tc>
        <w:tc>
          <w:tcPr>
            <w:tcW w:w="320" w:type="dxa"/>
            <w:vAlign w:val="bottom"/>
          </w:tcPr>
          <w:p>
            <w:pPr>
              <w:spacing w:after="0"/>
              <w:rPr>
                <w:sz w:val="9"/>
                <w:szCs w:val="9"/>
                <w:color w:val="auto"/>
              </w:rPr>
            </w:pPr>
          </w:p>
        </w:tc>
        <w:tc>
          <w:tcPr>
            <w:tcW w:w="60" w:type="dxa"/>
            <w:vAlign w:val="bottom"/>
          </w:tcPr>
          <w:p>
            <w:pPr>
              <w:spacing w:after="0"/>
              <w:rPr>
                <w:sz w:val="9"/>
                <w:szCs w:val="9"/>
                <w:color w:val="auto"/>
              </w:rPr>
            </w:pPr>
          </w:p>
        </w:tc>
        <w:tc>
          <w:tcPr>
            <w:tcW w:w="280" w:type="dxa"/>
            <w:vAlign w:val="bottom"/>
          </w:tcPr>
          <w:p>
            <w:pPr>
              <w:spacing w:after="0"/>
              <w:rPr>
                <w:sz w:val="9"/>
                <w:szCs w:val="9"/>
                <w:color w:val="auto"/>
              </w:rPr>
            </w:pPr>
          </w:p>
        </w:tc>
        <w:tc>
          <w:tcPr>
            <w:tcW w:w="400" w:type="dxa"/>
            <w:vAlign w:val="bottom"/>
          </w:tcPr>
          <w:p>
            <w:pPr>
              <w:spacing w:after="0"/>
              <w:rPr>
                <w:sz w:val="9"/>
                <w:szCs w:val="9"/>
                <w:color w:val="auto"/>
              </w:rPr>
            </w:pPr>
          </w:p>
        </w:tc>
      </w:tr>
      <w:tr>
        <w:trPr>
          <w:trHeight w:val="206"/>
        </w:trPr>
        <w:tc>
          <w:tcPr>
            <w:tcW w:w="112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Net sales</w:t>
            </w:r>
          </w:p>
        </w:tc>
        <w:tc>
          <w:tcPr>
            <w:tcW w:w="220" w:type="dxa"/>
            <w:vAlign w:val="bottom"/>
          </w:tcPr>
          <w:p>
            <w:pPr>
              <w:spacing w:after="0"/>
              <w:rPr>
                <w:sz w:val="17"/>
                <w:szCs w:val="17"/>
                <w:color w:val="auto"/>
              </w:rPr>
            </w:pPr>
          </w:p>
        </w:tc>
        <w:tc>
          <w:tcPr>
            <w:tcW w:w="300" w:type="dxa"/>
            <w:vAlign w:val="bottom"/>
          </w:tcPr>
          <w:p>
            <w:pPr>
              <w:spacing w:after="0"/>
              <w:rPr>
                <w:sz w:val="17"/>
                <w:szCs w:val="17"/>
                <w:color w:val="auto"/>
              </w:rPr>
            </w:pPr>
          </w:p>
        </w:tc>
        <w:tc>
          <w:tcPr>
            <w:tcW w:w="400" w:type="dxa"/>
            <w:vAlign w:val="bottom"/>
          </w:tcPr>
          <w:p>
            <w:pPr>
              <w:spacing w:after="0"/>
              <w:rPr>
                <w:sz w:val="17"/>
                <w:szCs w:val="17"/>
                <w:color w:val="auto"/>
              </w:rPr>
            </w:pPr>
          </w:p>
        </w:tc>
        <w:tc>
          <w:tcPr>
            <w:tcW w:w="140" w:type="dxa"/>
            <w:vAlign w:val="bottom"/>
          </w:tcPr>
          <w:p>
            <w:pPr>
              <w:spacing w:after="0"/>
              <w:rPr>
                <w:sz w:val="17"/>
                <w:szCs w:val="17"/>
                <w:color w:val="auto"/>
              </w:rPr>
            </w:pPr>
          </w:p>
        </w:tc>
        <w:tc>
          <w:tcPr>
            <w:tcW w:w="500" w:type="dxa"/>
            <w:vAlign w:val="bottom"/>
          </w:tcPr>
          <w:p>
            <w:pPr>
              <w:spacing w:after="0"/>
              <w:rPr>
                <w:sz w:val="17"/>
                <w:szCs w:val="17"/>
                <w:color w:val="auto"/>
              </w:rPr>
            </w:pPr>
          </w:p>
        </w:tc>
        <w:tc>
          <w:tcPr>
            <w:tcW w:w="160" w:type="dxa"/>
            <w:vAlign w:val="bottom"/>
          </w:tcPr>
          <w:p>
            <w:pPr>
              <w:spacing w:after="0"/>
              <w:rPr>
                <w:sz w:val="17"/>
                <w:szCs w:val="17"/>
                <w:color w:val="auto"/>
              </w:rPr>
            </w:pPr>
          </w:p>
        </w:tc>
        <w:tc>
          <w:tcPr>
            <w:tcW w:w="260" w:type="dxa"/>
            <w:vAlign w:val="bottom"/>
          </w:tcPr>
          <w:p>
            <w:pPr>
              <w:spacing w:after="0"/>
              <w:rPr>
                <w:sz w:val="17"/>
                <w:szCs w:val="17"/>
                <w:color w:val="auto"/>
              </w:rPr>
            </w:pPr>
          </w:p>
        </w:tc>
        <w:tc>
          <w:tcPr>
            <w:tcW w:w="20" w:type="dxa"/>
            <w:vAlign w:val="bottom"/>
          </w:tcPr>
          <w:p>
            <w:pPr>
              <w:spacing w:after="0"/>
              <w:rPr>
                <w:sz w:val="17"/>
                <w:szCs w:val="17"/>
                <w:color w:val="auto"/>
              </w:rPr>
            </w:pPr>
          </w:p>
        </w:tc>
        <w:tc>
          <w:tcPr>
            <w:tcW w:w="60" w:type="dxa"/>
            <w:vAlign w:val="bottom"/>
          </w:tcPr>
          <w:p>
            <w:pPr>
              <w:spacing w:after="0"/>
              <w:rPr>
                <w:sz w:val="17"/>
                <w:szCs w:val="17"/>
                <w:color w:val="auto"/>
              </w:rPr>
            </w:pPr>
          </w:p>
        </w:tc>
        <w:tc>
          <w:tcPr>
            <w:tcW w:w="680" w:type="dxa"/>
            <w:vAlign w:val="bottom"/>
          </w:tcPr>
          <w:p>
            <w:pPr>
              <w:spacing w:after="0"/>
              <w:rPr>
                <w:sz w:val="17"/>
                <w:szCs w:val="17"/>
                <w:color w:val="auto"/>
              </w:rPr>
            </w:pPr>
          </w:p>
        </w:tc>
        <w:tc>
          <w:tcPr>
            <w:tcW w:w="320" w:type="dxa"/>
            <w:vAlign w:val="bottom"/>
          </w:tcPr>
          <w:p>
            <w:pPr>
              <w:spacing w:after="0"/>
              <w:rPr>
                <w:sz w:val="17"/>
                <w:szCs w:val="17"/>
                <w:color w:val="auto"/>
              </w:rPr>
            </w:pPr>
          </w:p>
        </w:tc>
        <w:tc>
          <w:tcPr>
            <w:tcW w:w="60" w:type="dxa"/>
            <w:vAlign w:val="bottom"/>
          </w:tcPr>
          <w:p>
            <w:pPr>
              <w:spacing w:after="0"/>
              <w:rPr>
                <w:sz w:val="17"/>
                <w:szCs w:val="17"/>
                <w:color w:val="auto"/>
              </w:rPr>
            </w:pPr>
          </w:p>
        </w:tc>
        <w:tc>
          <w:tcPr>
            <w:tcW w:w="280" w:type="dxa"/>
            <w:vAlign w:val="bottom"/>
          </w:tcPr>
          <w:p>
            <w:pPr>
              <w:spacing w:after="0"/>
              <w:rPr>
                <w:sz w:val="17"/>
                <w:szCs w:val="17"/>
                <w:color w:val="auto"/>
              </w:rPr>
            </w:pPr>
          </w:p>
        </w:tc>
        <w:tc>
          <w:tcPr>
            <w:tcW w:w="400" w:type="dxa"/>
            <w:vAlign w:val="bottom"/>
          </w:tcPr>
          <w:p>
            <w:pPr>
              <w:spacing w:after="0"/>
              <w:rPr>
                <w:sz w:val="17"/>
                <w:szCs w:val="17"/>
                <w:color w:val="auto"/>
              </w:rPr>
            </w:pPr>
          </w:p>
        </w:tc>
      </w:tr>
      <w:tr>
        <w:trPr>
          <w:trHeight w:val="142"/>
        </w:trPr>
        <w:tc>
          <w:tcPr>
            <w:tcW w:w="16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Network Infrastructure net sales in</w:t>
            </w:r>
          </w:p>
        </w:tc>
        <w:tc>
          <w:tcPr>
            <w:tcW w:w="1200" w:type="dxa"/>
            <w:vAlign w:val="bottom"/>
            <w:gridSpan w:val="4"/>
          </w:tcPr>
          <w:p>
            <w:pPr>
              <w:ind w:left="140"/>
              <w:spacing w:after="0"/>
              <w:rPr>
                <w:sz w:val="20"/>
                <w:szCs w:val="20"/>
                <w:color w:val="auto"/>
              </w:rPr>
            </w:pPr>
            <w:r>
              <w:rPr>
                <w:rFonts w:ascii="Times New Roman" w:cs="Times New Roman" w:eastAsia="Times New Roman" w:hAnsi="Times New Roman"/>
                <w:sz w:val="11"/>
                <w:szCs w:val="11"/>
                <w:color w:val="auto"/>
              </w:rPr>
              <w:t>2023 were EUR 8 037</w:t>
            </w:r>
          </w:p>
        </w:tc>
        <w:tc>
          <w:tcPr>
            <w:tcW w:w="1020" w:type="dxa"/>
            <w:vAlign w:val="bottom"/>
            <w:gridSpan w:val="4"/>
          </w:tcPr>
          <w:p>
            <w:pPr>
              <w:jc w:val="right"/>
              <w:ind w:right="60"/>
              <w:spacing w:after="0"/>
              <w:rPr>
                <w:sz w:val="20"/>
                <w:szCs w:val="20"/>
                <w:color w:val="auto"/>
              </w:rPr>
            </w:pPr>
            <w:r>
              <w:rPr>
                <w:rFonts w:ascii="Times New Roman" w:cs="Times New Roman" w:eastAsia="Times New Roman" w:hAnsi="Times New Roman"/>
                <w:sz w:val="11"/>
                <w:szCs w:val="11"/>
                <w:color w:val="auto"/>
              </w:rPr>
              <w:t>million, a decrease</w:t>
            </w:r>
          </w:p>
        </w:tc>
        <w:tc>
          <w:tcPr>
            <w:tcW w:w="6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of EUR 1 010</w:t>
            </w:r>
          </w:p>
        </w:tc>
        <w:tc>
          <w:tcPr>
            <w:tcW w:w="4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million,</w:t>
            </w:r>
          </w:p>
        </w:tc>
      </w:tr>
      <w:tr>
        <w:trPr>
          <w:trHeight w:val="131"/>
        </w:trPr>
        <w:tc>
          <w:tcPr>
            <w:tcW w:w="13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or 11 %, compared to EUR</w:t>
            </w:r>
          </w:p>
        </w:tc>
        <w:tc>
          <w:tcPr>
            <w:tcW w:w="300" w:type="dxa"/>
            <w:vAlign w:val="bottom"/>
          </w:tcPr>
          <w:p>
            <w:pPr>
              <w:jc w:val="right"/>
              <w:spacing w:after="0"/>
              <w:rPr>
                <w:sz w:val="20"/>
                <w:szCs w:val="20"/>
                <w:color w:val="auto"/>
              </w:rPr>
            </w:pPr>
            <w:r>
              <w:rPr>
                <w:rFonts w:ascii="Times New Roman" w:cs="Times New Roman" w:eastAsia="Times New Roman" w:hAnsi="Times New Roman"/>
                <w:sz w:val="11"/>
                <w:szCs w:val="11"/>
                <w:color w:val="auto"/>
                <w:w w:val="96"/>
              </w:rPr>
              <w:t>9 047</w:t>
            </w:r>
          </w:p>
        </w:tc>
        <w:tc>
          <w:tcPr>
            <w:tcW w:w="3280" w:type="dxa"/>
            <w:vAlign w:val="bottom"/>
            <w:gridSpan w:val="12"/>
          </w:tcPr>
          <w:p>
            <w:pPr>
              <w:jc w:val="right"/>
              <w:ind w:right="231"/>
              <w:spacing w:after="0"/>
              <w:rPr>
                <w:sz w:val="20"/>
                <w:szCs w:val="20"/>
                <w:color w:val="auto"/>
              </w:rPr>
            </w:pPr>
            <w:r>
              <w:rPr>
                <w:rFonts w:ascii="Times New Roman" w:cs="Times New Roman" w:eastAsia="Times New Roman" w:hAnsi="Times New Roman"/>
                <w:sz w:val="11"/>
                <w:szCs w:val="11"/>
                <w:color w:val="auto"/>
              </w:rPr>
              <w:t>million in 2022 . While net sales in Network Infrastructure were</w:t>
            </w:r>
          </w:p>
        </w:tc>
      </w:tr>
      <w:tr>
        <w:trPr>
          <w:trHeight w:val="142"/>
        </w:trPr>
        <w:tc>
          <w:tcPr>
            <w:tcW w:w="28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negatively impacted by foreign exchange rate fluctuations in</w:t>
            </w:r>
          </w:p>
        </w:tc>
        <w:tc>
          <w:tcPr>
            <w:tcW w:w="260" w:type="dxa"/>
            <w:vAlign w:val="bottom"/>
          </w:tcPr>
          <w:p>
            <w:pPr>
              <w:spacing w:after="0"/>
              <w:rPr>
                <w:sz w:val="12"/>
                <w:szCs w:val="12"/>
                <w:color w:val="auto"/>
              </w:rPr>
            </w:pPr>
          </w:p>
        </w:tc>
        <w:tc>
          <w:tcPr>
            <w:tcW w:w="20" w:type="dxa"/>
            <w:vAlign w:val="bottom"/>
          </w:tcPr>
          <w:p>
            <w:pPr>
              <w:spacing w:after="0"/>
              <w:rPr>
                <w:sz w:val="12"/>
                <w:szCs w:val="12"/>
                <w:color w:val="auto"/>
              </w:rPr>
            </w:pPr>
          </w:p>
        </w:tc>
        <w:tc>
          <w:tcPr>
            <w:tcW w:w="140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2023 , the decrease reflected</w:t>
            </w:r>
          </w:p>
        </w:tc>
        <w:tc>
          <w:tcPr>
            <w:tcW w:w="400" w:type="dxa"/>
            <w:vAlign w:val="bottom"/>
          </w:tcPr>
          <w:p>
            <w:pPr>
              <w:spacing w:after="0"/>
              <w:rPr>
                <w:sz w:val="12"/>
                <w:szCs w:val="12"/>
                <w:color w:val="auto"/>
              </w:rPr>
            </w:pPr>
          </w:p>
        </w:tc>
      </w:tr>
      <w:tr>
        <w:trPr>
          <w:trHeight w:val="142"/>
        </w:trPr>
        <w:tc>
          <w:tcPr>
            <w:tcW w:w="4520" w:type="dxa"/>
            <w:vAlign w:val="bottom"/>
            <w:gridSpan w:val="14"/>
          </w:tcPr>
          <w:p>
            <w:pPr>
              <w:spacing w:after="0"/>
              <w:rPr>
                <w:sz w:val="20"/>
                <w:szCs w:val="20"/>
                <w:color w:val="auto"/>
              </w:rPr>
            </w:pPr>
            <w:r>
              <w:rPr>
                <w:rFonts w:ascii="Times New Roman" w:cs="Times New Roman" w:eastAsia="Times New Roman" w:hAnsi="Times New Roman"/>
                <w:sz w:val="11"/>
                <w:szCs w:val="11"/>
                <w:color w:val="auto"/>
              </w:rPr>
              <w:t>declines across all businesses, with the exception of Optical Networks. Net sales declined 2%</w:t>
            </w:r>
          </w:p>
        </w:tc>
        <w:tc>
          <w:tcPr>
            <w:tcW w:w="400" w:type="dxa"/>
            <w:vAlign w:val="bottom"/>
          </w:tcPr>
          <w:p>
            <w:pPr>
              <w:spacing w:after="0"/>
              <w:rPr>
                <w:sz w:val="12"/>
                <w:szCs w:val="12"/>
                <w:color w:val="auto"/>
              </w:rPr>
            </w:pPr>
          </w:p>
        </w:tc>
      </w:tr>
      <w:tr>
        <w:trPr>
          <w:trHeight w:val="148"/>
        </w:trPr>
        <w:tc>
          <w:tcPr>
            <w:tcW w:w="218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due to foreign exchange rate fluctuations in</w:t>
            </w:r>
          </w:p>
        </w:tc>
        <w:tc>
          <w:tcPr>
            <w:tcW w:w="500" w:type="dxa"/>
            <w:vAlign w:val="bottom"/>
          </w:tcPr>
          <w:p>
            <w:pPr>
              <w:jc w:val="right"/>
              <w:ind w:right="72"/>
              <w:spacing w:after="0"/>
              <w:rPr>
                <w:sz w:val="20"/>
                <w:szCs w:val="20"/>
                <w:color w:val="auto"/>
              </w:rPr>
            </w:pPr>
            <w:r>
              <w:rPr>
                <w:rFonts w:ascii="Times New Roman" w:cs="Times New Roman" w:eastAsia="Times New Roman" w:hAnsi="Times New Roman"/>
                <w:sz w:val="11"/>
                <w:szCs w:val="11"/>
                <w:color w:val="auto"/>
              </w:rPr>
              <w:t>2023 .</w:t>
            </w:r>
          </w:p>
        </w:tc>
        <w:tc>
          <w:tcPr>
            <w:tcW w:w="16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400" w:type="dxa"/>
            <w:vAlign w:val="bottom"/>
          </w:tcPr>
          <w:p>
            <w:pPr>
              <w:spacing w:after="0"/>
              <w:rPr>
                <w:sz w:val="12"/>
                <w:szCs w:val="12"/>
                <w:color w:val="auto"/>
              </w:rPr>
            </w:pPr>
          </w:p>
        </w:tc>
      </w:tr>
      <w:tr>
        <w:trPr>
          <w:trHeight w:val="206"/>
        </w:trPr>
        <w:tc>
          <w:tcPr>
            <w:tcW w:w="4920" w:type="dxa"/>
            <w:vAlign w:val="bottom"/>
            <w:gridSpan w:val="15"/>
          </w:tcPr>
          <w:p>
            <w:pPr>
              <w:spacing w:after="0"/>
              <w:rPr>
                <w:sz w:val="20"/>
                <w:szCs w:val="20"/>
                <w:color w:val="auto"/>
              </w:rPr>
            </w:pPr>
            <w:r>
              <w:rPr>
                <w:rFonts w:ascii="Times New Roman" w:cs="Times New Roman" w:eastAsia="Times New Roman" w:hAnsi="Times New Roman"/>
                <w:sz w:val="11"/>
                <w:szCs w:val="11"/>
                <w:color w:val="auto"/>
              </w:rPr>
              <w:t>IP Networks net sales were EUR 2 606 million in   2023 , a decrease of EUR 457 million, or 15%,</w:t>
            </w:r>
          </w:p>
        </w:tc>
      </w:tr>
      <w:tr>
        <w:trPr>
          <w:trHeight w:val="131"/>
        </w:trPr>
        <w:tc>
          <w:tcPr>
            <w:tcW w:w="16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compared to EUR 3 063 million in</w:t>
            </w:r>
          </w:p>
        </w:tc>
        <w:tc>
          <w:tcPr>
            <w:tcW w:w="2220" w:type="dxa"/>
            <w:vAlign w:val="bottom"/>
            <w:gridSpan w:val="8"/>
          </w:tcPr>
          <w:p>
            <w:pPr>
              <w:jc w:val="right"/>
              <w:ind w:right="20"/>
              <w:spacing w:after="0"/>
              <w:rPr>
                <w:sz w:val="20"/>
                <w:szCs w:val="20"/>
                <w:color w:val="auto"/>
              </w:rPr>
            </w:pPr>
            <w:r>
              <w:rPr>
                <w:rFonts w:ascii="Times New Roman" w:cs="Times New Roman" w:eastAsia="Times New Roman" w:hAnsi="Times New Roman"/>
                <w:sz w:val="11"/>
                <w:szCs w:val="11"/>
                <w:color w:val="auto"/>
              </w:rPr>
              <w:t>2022 . Net sales in IP Networks decreased in</w:t>
            </w:r>
          </w:p>
        </w:tc>
        <w:tc>
          <w:tcPr>
            <w:tcW w:w="660" w:type="dxa"/>
            <w:vAlign w:val="bottom"/>
            <w:gridSpan w:val="3"/>
          </w:tcPr>
          <w:p>
            <w:pPr>
              <w:ind w:left="120"/>
              <w:spacing w:after="0"/>
              <w:rPr>
                <w:sz w:val="20"/>
                <w:szCs w:val="20"/>
                <w:color w:val="auto"/>
              </w:rPr>
            </w:pPr>
            <w:r>
              <w:rPr>
                <w:rFonts w:ascii="Times New Roman" w:cs="Times New Roman" w:eastAsia="Times New Roman" w:hAnsi="Times New Roman"/>
                <w:sz w:val="11"/>
                <w:szCs w:val="11"/>
                <w:color w:val="auto"/>
              </w:rPr>
              <w:t>2023 , with</w:t>
            </w:r>
          </w:p>
        </w:tc>
        <w:tc>
          <w:tcPr>
            <w:tcW w:w="400" w:type="dxa"/>
            <w:vAlign w:val="bottom"/>
          </w:tcPr>
          <w:p>
            <w:pPr>
              <w:spacing w:after="0"/>
              <w:rPr>
                <w:sz w:val="11"/>
                <w:szCs w:val="11"/>
                <w:color w:val="auto"/>
              </w:rPr>
            </w:pPr>
          </w:p>
        </w:tc>
      </w:tr>
      <w:tr>
        <w:trPr>
          <w:trHeight w:val="142"/>
        </w:trPr>
        <w:tc>
          <w:tcPr>
            <w:tcW w:w="4520" w:type="dxa"/>
            <w:vAlign w:val="bottom"/>
            <w:gridSpan w:val="14"/>
          </w:tcPr>
          <w:p>
            <w:pPr>
              <w:spacing w:after="0"/>
              <w:rPr>
                <w:sz w:val="20"/>
                <w:szCs w:val="20"/>
                <w:color w:val="auto"/>
              </w:rPr>
            </w:pPr>
            <w:r>
              <w:rPr>
                <w:rFonts w:ascii="Times New Roman" w:cs="Times New Roman" w:eastAsia="Times New Roman" w:hAnsi="Times New Roman"/>
                <w:sz w:val="11"/>
                <w:szCs w:val="11"/>
                <w:color w:val="auto"/>
              </w:rPr>
              <w:t>particular weakness in North America as CSP customers evaluated their spending through most</w:t>
            </w:r>
          </w:p>
        </w:tc>
        <w:tc>
          <w:tcPr>
            <w:tcW w:w="400" w:type="dxa"/>
            <w:vAlign w:val="bottom"/>
          </w:tcPr>
          <w:p>
            <w:pPr>
              <w:spacing w:after="0"/>
              <w:rPr>
                <w:sz w:val="12"/>
                <w:szCs w:val="12"/>
                <w:color w:val="auto"/>
              </w:rPr>
            </w:pPr>
          </w:p>
        </w:tc>
      </w:tr>
      <w:tr>
        <w:trPr>
          <w:trHeight w:val="148"/>
        </w:trPr>
        <w:tc>
          <w:tcPr>
            <w:tcW w:w="268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of the year, with smaller variations across other regions.</w:t>
            </w:r>
          </w:p>
        </w:tc>
        <w:tc>
          <w:tcPr>
            <w:tcW w:w="16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400" w:type="dxa"/>
            <w:vAlign w:val="bottom"/>
          </w:tcPr>
          <w:p>
            <w:pPr>
              <w:spacing w:after="0"/>
              <w:rPr>
                <w:sz w:val="12"/>
                <w:szCs w:val="12"/>
                <w:color w:val="auto"/>
              </w:rPr>
            </w:pPr>
          </w:p>
        </w:tc>
      </w:tr>
    </w:tbl>
    <w:p>
      <w:pPr>
        <w:spacing w:after="0" w:line="200" w:lineRule="exact"/>
        <w:rPr>
          <w:sz w:val="20"/>
          <w:szCs w:val="20"/>
          <w:color w:val="auto"/>
        </w:rPr>
      </w:pPr>
    </w:p>
    <w:p>
      <w:pPr>
        <w:spacing w:after="0" w:line="3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20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Other</w:t>
            </w:r>
          </w:p>
        </w:tc>
        <w:tc>
          <w:tcPr>
            <w:tcW w:w="540" w:type="dxa"/>
            <w:vAlign w:val="bottom"/>
          </w:tcPr>
          <w:p>
            <w:pPr>
              <w:spacing w:after="0"/>
              <w:rPr>
                <w:sz w:val="9"/>
                <w:szCs w:val="9"/>
                <w:color w:val="auto"/>
              </w:rPr>
            </w:pPr>
          </w:p>
        </w:tc>
        <w:tc>
          <w:tcPr>
            <w:tcW w:w="23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77</w:t>
            </w:r>
          </w:p>
        </w:tc>
        <w:tc>
          <w:tcPr>
            <w:tcW w:w="0" w:type="dxa"/>
            <w:vAlign w:val="bottom"/>
          </w:tcPr>
          <w:p>
            <w:pPr>
              <w:spacing w:after="0"/>
              <w:rPr>
                <w:sz w:val="1"/>
                <w:szCs w:val="1"/>
                <w:color w:val="auto"/>
              </w:rPr>
            </w:pPr>
          </w:p>
        </w:tc>
      </w:tr>
      <w:tr>
        <w:trPr>
          <w:trHeight w:val="130"/>
        </w:trPr>
        <w:tc>
          <w:tcPr>
            <w:tcW w:w="20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information</w:t>
            </w:r>
          </w:p>
        </w:tc>
        <w:tc>
          <w:tcPr>
            <w:tcW w:w="540" w:type="dxa"/>
            <w:vAlign w:val="bottom"/>
          </w:tcPr>
          <w:p>
            <w:pPr>
              <w:spacing w:after="0"/>
              <w:rPr>
                <w:sz w:val="11"/>
                <w:szCs w:val="11"/>
                <w:color w:val="auto"/>
              </w:rPr>
            </w:pPr>
          </w:p>
        </w:tc>
        <w:tc>
          <w:tcPr>
            <w:tcW w:w="23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1"/>
        </w:trPr>
        <w:tc>
          <w:tcPr>
            <w:tcW w:w="25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Optical Networks net sales were EUR 1 942 million in</w:t>
            </w:r>
          </w:p>
        </w:tc>
        <w:tc>
          <w:tcPr>
            <w:tcW w:w="2320" w:type="dxa"/>
            <w:vAlign w:val="bottom"/>
          </w:tcPr>
          <w:p>
            <w:pPr>
              <w:jc w:val="right"/>
              <w:ind w:right="382"/>
              <w:spacing w:after="0"/>
              <w:rPr>
                <w:sz w:val="20"/>
                <w:szCs w:val="20"/>
                <w:color w:val="auto"/>
              </w:rPr>
            </w:pPr>
            <w:r>
              <w:rPr>
                <w:rFonts w:ascii="Times New Roman" w:cs="Times New Roman" w:eastAsia="Times New Roman" w:hAnsi="Times New Roman"/>
                <w:sz w:val="11"/>
                <w:szCs w:val="11"/>
                <w:color w:val="auto"/>
              </w:rPr>
              <w:t>2023 , an increase of EUR 51 million,</w:t>
            </w:r>
          </w:p>
        </w:tc>
        <w:tc>
          <w:tcPr>
            <w:tcW w:w="0" w:type="dxa"/>
            <w:vAlign w:val="bottom"/>
          </w:tcPr>
          <w:p>
            <w:pPr>
              <w:spacing w:after="0"/>
              <w:rPr>
                <w:sz w:val="1"/>
                <w:szCs w:val="1"/>
                <w:color w:val="auto"/>
              </w:rPr>
            </w:pPr>
          </w:p>
        </w:tc>
      </w:tr>
      <w:tr>
        <w:trPr>
          <w:trHeight w:val="142"/>
        </w:trPr>
        <w:tc>
          <w:tcPr>
            <w:tcW w:w="2020" w:type="dxa"/>
            <w:vAlign w:val="bottom"/>
          </w:tcPr>
          <w:p>
            <w:pPr>
              <w:spacing w:after="0"/>
              <w:rPr>
                <w:sz w:val="20"/>
                <w:szCs w:val="20"/>
                <w:color w:val="auto"/>
              </w:rPr>
            </w:pPr>
            <w:r>
              <w:rPr>
                <w:rFonts w:ascii="Times New Roman" w:cs="Times New Roman" w:eastAsia="Times New Roman" w:hAnsi="Times New Roman"/>
                <w:sz w:val="11"/>
                <w:szCs w:val="11"/>
                <w:color w:val="auto"/>
              </w:rPr>
              <w:t>or 3%, compared to EUR 1 891 million in</w:t>
            </w:r>
          </w:p>
        </w:tc>
        <w:tc>
          <w:tcPr>
            <w:tcW w:w="2860" w:type="dxa"/>
            <w:vAlign w:val="bottom"/>
            <w:gridSpan w:val="2"/>
          </w:tcPr>
          <w:p>
            <w:pPr>
              <w:jc w:val="right"/>
              <w:ind w:right="442"/>
              <w:spacing w:after="0"/>
              <w:rPr>
                <w:sz w:val="20"/>
                <w:szCs w:val="20"/>
                <w:color w:val="auto"/>
              </w:rPr>
            </w:pPr>
            <w:r>
              <w:rPr>
                <w:rFonts w:ascii="Times New Roman" w:cs="Times New Roman" w:eastAsia="Times New Roman" w:hAnsi="Times New Roman"/>
                <w:sz w:val="11"/>
                <w:szCs w:val="11"/>
                <w:color w:val="auto"/>
              </w:rPr>
              <w:t>2022 . The increase in Optical Networks net sales</w:t>
            </w:r>
          </w:p>
        </w:tc>
        <w:tc>
          <w:tcPr>
            <w:tcW w:w="0" w:type="dxa"/>
            <w:vAlign w:val="bottom"/>
          </w:tcPr>
          <w:p>
            <w:pPr>
              <w:spacing w:after="0"/>
              <w:rPr>
                <w:sz w:val="1"/>
                <w:szCs w:val="1"/>
                <w:color w:val="auto"/>
              </w:rPr>
            </w:pPr>
          </w:p>
        </w:tc>
      </w:tr>
      <w:tr>
        <w:trPr>
          <w:trHeight w:val="131"/>
        </w:trPr>
        <w:tc>
          <w:tcPr>
            <w:tcW w:w="488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primarily reflected the strong momentum of and customer engagement with our PSE-V</w:t>
            </w:r>
          </w:p>
        </w:tc>
        <w:tc>
          <w:tcPr>
            <w:tcW w:w="0" w:type="dxa"/>
            <w:vAlign w:val="bottom"/>
          </w:tcPr>
          <w:p>
            <w:pPr>
              <w:spacing w:after="0"/>
              <w:rPr>
                <w:sz w:val="1"/>
                <w:szCs w:val="1"/>
                <w:color w:val="auto"/>
              </w:rPr>
            </w:pPr>
          </w:p>
        </w:tc>
      </w:tr>
      <w:tr>
        <w:trPr>
          <w:trHeight w:val="142"/>
        </w:trPr>
        <w:tc>
          <w:tcPr>
            <w:tcW w:w="2020" w:type="dxa"/>
            <w:vAlign w:val="bottom"/>
          </w:tcPr>
          <w:p>
            <w:pPr>
              <w:spacing w:after="0"/>
              <w:rPr>
                <w:sz w:val="20"/>
                <w:szCs w:val="20"/>
                <w:color w:val="auto"/>
              </w:rPr>
            </w:pPr>
            <w:r>
              <w:rPr>
                <w:rFonts w:ascii="Times New Roman" w:cs="Times New Roman" w:eastAsia="Times New Roman" w:hAnsi="Times New Roman"/>
                <w:sz w:val="11"/>
                <w:szCs w:val="11"/>
                <w:color w:val="auto"/>
              </w:rPr>
              <w:t>solutions. From a regional perspective, the</w:t>
            </w:r>
          </w:p>
        </w:tc>
        <w:tc>
          <w:tcPr>
            <w:tcW w:w="2860" w:type="dxa"/>
            <w:vAlign w:val="bottom"/>
            <w:gridSpan w:val="2"/>
          </w:tcPr>
          <w:p>
            <w:pPr>
              <w:jc w:val="right"/>
              <w:ind w:right="302"/>
              <w:spacing w:after="0"/>
              <w:rPr>
                <w:sz w:val="20"/>
                <w:szCs w:val="20"/>
                <w:color w:val="auto"/>
              </w:rPr>
            </w:pPr>
            <w:r>
              <w:rPr>
                <w:rFonts w:ascii="Times New Roman" w:cs="Times New Roman" w:eastAsia="Times New Roman" w:hAnsi="Times New Roman"/>
                <w:sz w:val="11"/>
                <w:szCs w:val="11"/>
                <w:color w:val="auto"/>
              </w:rPr>
              <w:t>net sales increase   was primarily driven by India,</w:t>
            </w:r>
          </w:p>
        </w:tc>
        <w:tc>
          <w:tcPr>
            <w:tcW w:w="0" w:type="dxa"/>
            <w:vAlign w:val="bottom"/>
          </w:tcPr>
          <w:p>
            <w:pPr>
              <w:spacing w:after="0"/>
              <w:rPr>
                <w:sz w:val="1"/>
                <w:szCs w:val="1"/>
                <w:color w:val="auto"/>
              </w:rPr>
            </w:pPr>
          </w:p>
        </w:tc>
      </w:tr>
      <w:tr>
        <w:trPr>
          <w:trHeight w:val="148"/>
        </w:trPr>
        <w:tc>
          <w:tcPr>
            <w:tcW w:w="2020" w:type="dxa"/>
            <w:vAlign w:val="bottom"/>
          </w:tcPr>
          <w:p>
            <w:pPr>
              <w:spacing w:after="0"/>
              <w:rPr>
                <w:sz w:val="20"/>
                <w:szCs w:val="20"/>
                <w:color w:val="auto"/>
              </w:rPr>
            </w:pPr>
            <w:r>
              <w:rPr>
                <w:rFonts w:ascii="Times New Roman" w:cs="Times New Roman" w:eastAsia="Times New Roman" w:hAnsi="Times New Roman"/>
                <w:sz w:val="11"/>
                <w:szCs w:val="11"/>
                <w:color w:val="auto"/>
              </w:rPr>
              <w:t>with smaller variations in other regions.</w:t>
            </w:r>
          </w:p>
        </w:tc>
        <w:tc>
          <w:tcPr>
            <w:tcW w:w="540" w:type="dxa"/>
            <w:vAlign w:val="bottom"/>
          </w:tcPr>
          <w:p>
            <w:pPr>
              <w:spacing w:after="0"/>
              <w:rPr>
                <w:sz w:val="12"/>
                <w:szCs w:val="12"/>
                <w:color w:val="auto"/>
              </w:rPr>
            </w:pPr>
          </w:p>
        </w:tc>
        <w:tc>
          <w:tcPr>
            <w:tcW w:w="23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12"/>
        </w:trPr>
        <w:tc>
          <w:tcPr>
            <w:tcW w:w="25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Fixed Networks net sales were EUR 2 369 million in</w:t>
            </w:r>
          </w:p>
        </w:tc>
        <w:tc>
          <w:tcPr>
            <w:tcW w:w="2320" w:type="dxa"/>
            <w:vAlign w:val="bottom"/>
          </w:tcPr>
          <w:p>
            <w:pPr>
              <w:jc w:val="right"/>
              <w:ind w:right="62"/>
              <w:spacing w:after="0"/>
              <w:rPr>
                <w:sz w:val="20"/>
                <w:szCs w:val="20"/>
                <w:color w:val="auto"/>
              </w:rPr>
            </w:pPr>
            <w:r>
              <w:rPr>
                <w:rFonts w:ascii="Times New Roman" w:cs="Times New Roman" w:eastAsia="Times New Roman" w:hAnsi="Times New Roman"/>
                <w:sz w:val="11"/>
                <w:szCs w:val="11"/>
                <w:color w:val="auto"/>
              </w:rPr>
              <w:t>2023 , a decrease of EUR 574 million, or 20%,</w:t>
            </w: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-3659505</wp:posOffset>
            </wp:positionH>
            <wp:positionV relativeFrom="paragraph">
              <wp:posOffset>-1301750</wp:posOffset>
            </wp:positionV>
            <wp:extent cx="7216140" cy="511810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jc w:val="both"/>
        <w:ind w:right="380"/>
        <w:spacing w:after="0" w:line="273" w:lineRule="auto"/>
        <w:rPr>
          <w:sz w:val="20"/>
          <w:szCs w:val="20"/>
          <w:color w:val="auto"/>
        </w:rPr>
      </w:pPr>
      <w:r>
        <w:rPr>
          <w:rFonts w:ascii="Times New Roman" w:cs="Times New Roman" w:eastAsia="Times New Roman" w:hAnsi="Times New Roman"/>
          <w:sz w:val="11"/>
          <w:szCs w:val="11"/>
          <w:color w:val="auto"/>
        </w:rPr>
        <w:t>compared to EUR 2 943 million in 2022 . The decline in Fixed Networks net sales was primarily driven by weakness in North America with a slowdown in fixed wireless access, as well as in fiber where customers evaluated their spending and digested inventories.</w:t>
      </w:r>
    </w:p>
    <w:p>
      <w:pPr>
        <w:spacing w:after="0" w:line="57"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Submarine Networks net sales were EUR 1 120 million in</w:t>
            </w:r>
          </w:p>
        </w:tc>
        <w:tc>
          <w:tcPr>
            <w:tcW w:w="2200" w:type="dxa"/>
            <w:vAlign w:val="bottom"/>
            <w:gridSpan w:val="5"/>
          </w:tcPr>
          <w:p>
            <w:pPr>
              <w:jc w:val="right"/>
              <w:ind w:right="283"/>
              <w:spacing w:after="0"/>
              <w:rPr>
                <w:sz w:val="20"/>
                <w:szCs w:val="20"/>
                <w:color w:val="auto"/>
              </w:rPr>
            </w:pPr>
            <w:r>
              <w:rPr>
                <w:rFonts w:ascii="Times New Roman" w:cs="Times New Roman" w:eastAsia="Times New Roman" w:hAnsi="Times New Roman"/>
                <w:sz w:val="11"/>
                <w:szCs w:val="11"/>
                <w:color w:val="auto"/>
              </w:rPr>
              <w:t>2023 , a decrease of EUR 30 million,</w:t>
            </w:r>
          </w:p>
        </w:tc>
      </w:tr>
      <w:tr>
        <w:trPr>
          <w:trHeight w:val="142"/>
        </w:trPr>
        <w:tc>
          <w:tcPr>
            <w:tcW w:w="1940" w:type="dxa"/>
            <w:vAlign w:val="bottom"/>
          </w:tcPr>
          <w:p>
            <w:pPr>
              <w:spacing w:after="0"/>
              <w:rPr>
                <w:sz w:val="20"/>
                <w:szCs w:val="20"/>
                <w:color w:val="auto"/>
              </w:rPr>
            </w:pPr>
            <w:r>
              <w:rPr>
                <w:rFonts w:ascii="Times New Roman" w:cs="Times New Roman" w:eastAsia="Times New Roman" w:hAnsi="Times New Roman"/>
                <w:sz w:val="11"/>
                <w:szCs w:val="11"/>
                <w:color w:val="auto"/>
              </w:rPr>
              <w:t>or 3%, compared to EUR 1 150 million in</w:t>
            </w:r>
          </w:p>
        </w:tc>
        <w:tc>
          <w:tcPr>
            <w:tcW w:w="3000" w:type="dxa"/>
            <w:vAlign w:val="bottom"/>
            <w:gridSpan w:val="6"/>
          </w:tcPr>
          <w:p>
            <w:pPr>
              <w:jc w:val="right"/>
              <w:ind w:right="283"/>
              <w:spacing w:after="0"/>
              <w:rPr>
                <w:sz w:val="20"/>
                <w:szCs w:val="20"/>
                <w:color w:val="auto"/>
              </w:rPr>
            </w:pPr>
            <w:r>
              <w:rPr>
                <w:rFonts w:ascii="Times New Roman" w:cs="Times New Roman" w:eastAsia="Times New Roman" w:hAnsi="Times New Roman"/>
                <w:sz w:val="11"/>
                <w:szCs w:val="11"/>
                <w:color w:val="auto"/>
              </w:rPr>
              <w:t>2022 . The slight decrease in Submarine Networks net</w:t>
            </w:r>
          </w:p>
        </w:tc>
      </w:tr>
      <w:tr>
        <w:trPr>
          <w:trHeight w:val="142"/>
        </w:trPr>
        <w:tc>
          <w:tcPr>
            <w:tcW w:w="43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sales mainly reflected project timing, while the business continues to execute on its strong</w:t>
            </w:r>
          </w:p>
        </w:tc>
        <w:tc>
          <w:tcPr>
            <w:tcW w:w="220" w:type="dxa"/>
            <w:vAlign w:val="bottom"/>
          </w:tcPr>
          <w:p>
            <w:pPr>
              <w:spacing w:after="0"/>
              <w:rPr>
                <w:sz w:val="12"/>
                <w:szCs w:val="12"/>
                <w:color w:val="auto"/>
              </w:rPr>
            </w:pPr>
          </w:p>
        </w:tc>
        <w:tc>
          <w:tcPr>
            <w:tcW w:w="400" w:type="dxa"/>
            <w:vAlign w:val="bottom"/>
          </w:tcPr>
          <w:p>
            <w:pPr>
              <w:spacing w:after="0"/>
              <w:rPr>
                <w:sz w:val="12"/>
                <w:szCs w:val="12"/>
                <w:color w:val="auto"/>
              </w:rPr>
            </w:pPr>
          </w:p>
        </w:tc>
      </w:tr>
      <w:tr>
        <w:trPr>
          <w:trHeight w:val="148"/>
        </w:trPr>
        <w:tc>
          <w:tcPr>
            <w:tcW w:w="1940" w:type="dxa"/>
            <w:vAlign w:val="bottom"/>
          </w:tcPr>
          <w:p>
            <w:pPr>
              <w:spacing w:after="0"/>
              <w:rPr>
                <w:sz w:val="20"/>
                <w:szCs w:val="20"/>
                <w:color w:val="auto"/>
              </w:rPr>
            </w:pPr>
            <w:r>
              <w:rPr>
                <w:rFonts w:ascii="Times New Roman" w:cs="Times New Roman" w:eastAsia="Times New Roman" w:hAnsi="Times New Roman"/>
                <w:sz w:val="11"/>
                <w:szCs w:val="11"/>
                <w:color w:val="auto"/>
              </w:rPr>
              <w:t>order backlog .</w:t>
            </w:r>
          </w:p>
        </w:tc>
        <w:tc>
          <w:tcPr>
            <w:tcW w:w="80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400" w:type="dxa"/>
            <w:vAlign w:val="bottom"/>
          </w:tcPr>
          <w:p>
            <w:pPr>
              <w:spacing w:after="0"/>
              <w:rPr>
                <w:sz w:val="12"/>
                <w:szCs w:val="12"/>
                <w:color w:val="auto"/>
              </w:rPr>
            </w:pPr>
          </w:p>
        </w:tc>
      </w:tr>
      <w:tr>
        <w:trPr>
          <w:trHeight w:val="206"/>
        </w:trPr>
        <w:tc>
          <w:tcPr>
            <w:tcW w:w="1940" w:type="dxa"/>
            <w:vAlign w:val="bottom"/>
          </w:tcPr>
          <w:p>
            <w:pPr>
              <w:spacing w:after="0"/>
              <w:rPr>
                <w:sz w:val="20"/>
                <w:szCs w:val="20"/>
                <w:color w:val="auto"/>
              </w:rPr>
            </w:pPr>
            <w:r>
              <w:rPr>
                <w:rFonts w:ascii="Arial" w:cs="Arial" w:eastAsia="Arial" w:hAnsi="Arial"/>
                <w:sz w:val="11"/>
                <w:szCs w:val="11"/>
                <w:b w:val="1"/>
                <w:bCs w:val="1"/>
                <w:color w:val="707070"/>
              </w:rPr>
              <w:t>Gross profit</w:t>
            </w:r>
          </w:p>
        </w:tc>
        <w:tc>
          <w:tcPr>
            <w:tcW w:w="800" w:type="dxa"/>
            <w:vAlign w:val="bottom"/>
          </w:tcPr>
          <w:p>
            <w:pPr>
              <w:spacing w:after="0"/>
              <w:rPr>
                <w:sz w:val="17"/>
                <w:szCs w:val="17"/>
                <w:color w:val="auto"/>
              </w:rPr>
            </w:pPr>
          </w:p>
        </w:tc>
        <w:tc>
          <w:tcPr>
            <w:tcW w:w="680" w:type="dxa"/>
            <w:vAlign w:val="bottom"/>
          </w:tcPr>
          <w:p>
            <w:pPr>
              <w:spacing w:after="0"/>
              <w:rPr>
                <w:sz w:val="17"/>
                <w:szCs w:val="17"/>
                <w:color w:val="auto"/>
              </w:rPr>
            </w:pPr>
          </w:p>
        </w:tc>
        <w:tc>
          <w:tcPr>
            <w:tcW w:w="480" w:type="dxa"/>
            <w:vAlign w:val="bottom"/>
          </w:tcPr>
          <w:p>
            <w:pPr>
              <w:spacing w:after="0"/>
              <w:rPr>
                <w:sz w:val="17"/>
                <w:szCs w:val="17"/>
                <w:color w:val="auto"/>
              </w:rPr>
            </w:pPr>
          </w:p>
        </w:tc>
        <w:tc>
          <w:tcPr>
            <w:tcW w:w="420" w:type="dxa"/>
            <w:vAlign w:val="bottom"/>
          </w:tcPr>
          <w:p>
            <w:pPr>
              <w:spacing w:after="0"/>
              <w:rPr>
                <w:sz w:val="17"/>
                <w:szCs w:val="17"/>
                <w:color w:val="auto"/>
              </w:rPr>
            </w:pPr>
          </w:p>
        </w:tc>
        <w:tc>
          <w:tcPr>
            <w:tcW w:w="220" w:type="dxa"/>
            <w:vAlign w:val="bottom"/>
          </w:tcPr>
          <w:p>
            <w:pPr>
              <w:spacing w:after="0"/>
              <w:rPr>
                <w:sz w:val="17"/>
                <w:szCs w:val="17"/>
                <w:color w:val="auto"/>
              </w:rPr>
            </w:pPr>
          </w:p>
        </w:tc>
        <w:tc>
          <w:tcPr>
            <w:tcW w:w="400" w:type="dxa"/>
            <w:vAlign w:val="bottom"/>
          </w:tcPr>
          <w:p>
            <w:pPr>
              <w:spacing w:after="0"/>
              <w:rPr>
                <w:sz w:val="17"/>
                <w:szCs w:val="17"/>
                <w:color w:val="auto"/>
              </w:rPr>
            </w:pPr>
          </w:p>
        </w:tc>
      </w:tr>
      <w:tr>
        <w:trPr>
          <w:trHeight w:val="131"/>
        </w:trPr>
        <w:tc>
          <w:tcPr>
            <w:tcW w:w="1940" w:type="dxa"/>
            <w:vAlign w:val="bottom"/>
          </w:tcPr>
          <w:p>
            <w:pPr>
              <w:spacing w:after="0"/>
              <w:rPr>
                <w:sz w:val="20"/>
                <w:szCs w:val="20"/>
                <w:color w:val="auto"/>
              </w:rPr>
            </w:pPr>
            <w:r>
              <w:rPr>
                <w:rFonts w:ascii="Times New Roman" w:cs="Times New Roman" w:eastAsia="Times New Roman" w:hAnsi="Times New Roman"/>
                <w:sz w:val="11"/>
                <w:szCs w:val="11"/>
                <w:color w:val="auto"/>
              </w:rPr>
              <w:t>Network Infrastructure gross profit in</w:t>
            </w:r>
          </w:p>
        </w:tc>
        <w:tc>
          <w:tcPr>
            <w:tcW w:w="19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2023 was EUR 3 050 million, a decrease</w:t>
            </w:r>
          </w:p>
        </w:tc>
        <w:tc>
          <w:tcPr>
            <w:tcW w:w="640" w:type="dxa"/>
            <w:vAlign w:val="bottom"/>
            <w:gridSpan w:val="2"/>
          </w:tcPr>
          <w:p>
            <w:pPr>
              <w:ind w:left="80"/>
              <w:spacing w:after="0"/>
              <w:rPr>
                <w:sz w:val="20"/>
                <w:szCs w:val="20"/>
                <w:color w:val="auto"/>
              </w:rPr>
            </w:pPr>
            <w:r>
              <w:rPr>
                <w:rFonts w:ascii="Times New Roman" w:cs="Times New Roman" w:eastAsia="Times New Roman" w:hAnsi="Times New Roman"/>
                <w:sz w:val="11"/>
                <w:szCs w:val="11"/>
                <w:color w:val="auto"/>
              </w:rPr>
              <w:t>of EUR 258</w:t>
            </w:r>
          </w:p>
        </w:tc>
        <w:tc>
          <w:tcPr>
            <w:tcW w:w="4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million,</w:t>
            </w:r>
          </w:p>
        </w:tc>
      </w:tr>
      <w:tr>
        <w:trPr>
          <w:trHeight w:val="142"/>
        </w:trPr>
        <w:tc>
          <w:tcPr>
            <w:tcW w:w="43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or 8%, compared to EUR  3 308 million in 2022 . Network Infrastructure gross margin in</w:t>
            </w:r>
          </w:p>
        </w:tc>
        <w:tc>
          <w:tcPr>
            <w:tcW w:w="62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2023 was</w:t>
            </w:r>
          </w:p>
        </w:tc>
      </w:tr>
      <w:tr>
        <w:trPr>
          <w:trHeight w:val="131"/>
        </w:trPr>
        <w:tc>
          <w:tcPr>
            <w:tcW w:w="454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37.9 %, compared to  36.6 % in 2022 . Network Infrastructure gross profit declined while gross</w:t>
            </w:r>
          </w:p>
        </w:tc>
        <w:tc>
          <w:tcPr>
            <w:tcW w:w="400" w:type="dxa"/>
            <w:vAlign w:val="bottom"/>
          </w:tcPr>
          <w:p>
            <w:pPr>
              <w:spacing w:after="0"/>
              <w:rPr>
                <w:sz w:val="11"/>
                <w:szCs w:val="11"/>
                <w:color w:val="auto"/>
              </w:rPr>
            </w:pPr>
          </w:p>
        </w:tc>
      </w:tr>
      <w:tr>
        <w:trPr>
          <w:trHeight w:val="142"/>
        </w:trPr>
        <w:tc>
          <w:tcPr>
            <w:tcW w:w="43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margin improved, primarily reflecting favorable mix shift despite the decline in net sales. In</w:t>
            </w:r>
          </w:p>
        </w:tc>
        <w:tc>
          <w:tcPr>
            <w:tcW w:w="220" w:type="dxa"/>
            <w:vAlign w:val="bottom"/>
          </w:tcPr>
          <w:p>
            <w:pPr>
              <w:spacing w:after="0"/>
              <w:rPr>
                <w:sz w:val="12"/>
                <w:szCs w:val="12"/>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r>
      <w:tr>
        <w:trPr>
          <w:trHeight w:val="148"/>
        </w:trPr>
        <w:tc>
          <w:tcPr>
            <w:tcW w:w="43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variable pay accruals within Network Infrastructure cost of sales were lower, compared to</w:t>
            </w:r>
          </w:p>
        </w:tc>
        <w:tc>
          <w:tcPr>
            <w:tcW w:w="220" w:type="dxa"/>
            <w:vAlign w:val="bottom"/>
          </w:tcPr>
          <w:p>
            <w:pPr>
              <w:spacing w:after="0"/>
              <w:rPr>
                <w:sz w:val="12"/>
                <w:szCs w:val="12"/>
                <w:color w:val="auto"/>
              </w:rPr>
            </w:pPr>
          </w:p>
        </w:tc>
        <w:tc>
          <w:tcPr>
            <w:tcW w:w="400" w:type="dxa"/>
            <w:vAlign w:val="bottom"/>
          </w:tcPr>
          <w:p>
            <w:pPr>
              <w:jc w:val="right"/>
              <w:ind w:right="23"/>
              <w:spacing w:after="0"/>
              <w:rPr>
                <w:sz w:val="20"/>
                <w:szCs w:val="20"/>
                <w:color w:val="auto"/>
              </w:rPr>
            </w:pPr>
            <w:r>
              <w:rPr>
                <w:rFonts w:ascii="Times New Roman" w:cs="Times New Roman" w:eastAsia="Times New Roman" w:hAnsi="Times New Roman"/>
                <w:sz w:val="11"/>
                <w:szCs w:val="11"/>
                <w:color w:val="auto"/>
              </w:rPr>
              <w:t>2022 .</w:t>
            </w:r>
          </w:p>
        </w:tc>
      </w:tr>
      <w:tr>
        <w:trPr>
          <w:trHeight w:val="206"/>
        </w:trPr>
        <w:tc>
          <w:tcPr>
            <w:tcW w:w="1940" w:type="dxa"/>
            <w:vAlign w:val="bottom"/>
          </w:tcPr>
          <w:p>
            <w:pPr>
              <w:spacing w:after="0"/>
              <w:rPr>
                <w:sz w:val="20"/>
                <w:szCs w:val="20"/>
                <w:color w:val="auto"/>
              </w:rPr>
            </w:pPr>
            <w:r>
              <w:rPr>
                <w:rFonts w:ascii="Arial" w:cs="Arial" w:eastAsia="Arial" w:hAnsi="Arial"/>
                <w:sz w:val="11"/>
                <w:szCs w:val="11"/>
                <w:b w:val="1"/>
                <w:bCs w:val="1"/>
                <w:color w:val="707070"/>
              </w:rPr>
              <w:t>Operating expenses</w:t>
            </w:r>
          </w:p>
        </w:tc>
        <w:tc>
          <w:tcPr>
            <w:tcW w:w="800" w:type="dxa"/>
            <w:vAlign w:val="bottom"/>
          </w:tcPr>
          <w:p>
            <w:pPr>
              <w:spacing w:after="0"/>
              <w:rPr>
                <w:sz w:val="17"/>
                <w:szCs w:val="17"/>
                <w:color w:val="auto"/>
              </w:rPr>
            </w:pPr>
          </w:p>
        </w:tc>
        <w:tc>
          <w:tcPr>
            <w:tcW w:w="680" w:type="dxa"/>
            <w:vAlign w:val="bottom"/>
          </w:tcPr>
          <w:p>
            <w:pPr>
              <w:spacing w:after="0"/>
              <w:rPr>
                <w:sz w:val="17"/>
                <w:szCs w:val="17"/>
                <w:color w:val="auto"/>
              </w:rPr>
            </w:pPr>
          </w:p>
        </w:tc>
        <w:tc>
          <w:tcPr>
            <w:tcW w:w="480" w:type="dxa"/>
            <w:vAlign w:val="bottom"/>
          </w:tcPr>
          <w:p>
            <w:pPr>
              <w:spacing w:after="0"/>
              <w:rPr>
                <w:sz w:val="17"/>
                <w:szCs w:val="17"/>
                <w:color w:val="auto"/>
              </w:rPr>
            </w:pPr>
          </w:p>
        </w:tc>
        <w:tc>
          <w:tcPr>
            <w:tcW w:w="420" w:type="dxa"/>
            <w:vAlign w:val="bottom"/>
          </w:tcPr>
          <w:p>
            <w:pPr>
              <w:spacing w:after="0"/>
              <w:rPr>
                <w:sz w:val="17"/>
                <w:szCs w:val="17"/>
                <w:color w:val="auto"/>
              </w:rPr>
            </w:pPr>
          </w:p>
        </w:tc>
        <w:tc>
          <w:tcPr>
            <w:tcW w:w="220" w:type="dxa"/>
            <w:vAlign w:val="bottom"/>
          </w:tcPr>
          <w:p>
            <w:pPr>
              <w:spacing w:after="0"/>
              <w:rPr>
                <w:sz w:val="17"/>
                <w:szCs w:val="17"/>
                <w:color w:val="auto"/>
              </w:rPr>
            </w:pPr>
          </w:p>
        </w:tc>
        <w:tc>
          <w:tcPr>
            <w:tcW w:w="400" w:type="dxa"/>
            <w:vAlign w:val="bottom"/>
          </w:tcPr>
          <w:p>
            <w:pPr>
              <w:spacing w:after="0"/>
              <w:rPr>
                <w:sz w:val="17"/>
                <w:szCs w:val="17"/>
                <w:color w:val="auto"/>
              </w:rPr>
            </w:pPr>
          </w:p>
        </w:tc>
      </w:tr>
      <w:tr>
        <w:trPr>
          <w:trHeight w:val="131"/>
        </w:trPr>
        <w:tc>
          <w:tcPr>
            <w:tcW w:w="34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Network Infrastructure research and development expenses were EUR</w:t>
            </w:r>
          </w:p>
        </w:tc>
        <w:tc>
          <w:tcPr>
            <w:tcW w:w="4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1 259</w:t>
            </w:r>
          </w:p>
        </w:tc>
        <w:tc>
          <w:tcPr>
            <w:tcW w:w="1040" w:type="dxa"/>
            <w:vAlign w:val="bottom"/>
            <w:gridSpan w:val="3"/>
          </w:tcPr>
          <w:p>
            <w:pPr>
              <w:jc w:val="right"/>
              <w:ind w:right="183"/>
              <w:spacing w:after="0"/>
              <w:rPr>
                <w:sz w:val="20"/>
                <w:szCs w:val="20"/>
                <w:color w:val="auto"/>
              </w:rPr>
            </w:pPr>
            <w:r>
              <w:rPr>
                <w:rFonts w:ascii="Times New Roman" w:cs="Times New Roman" w:eastAsia="Times New Roman" w:hAnsi="Times New Roman"/>
                <w:sz w:val="11"/>
                <w:szCs w:val="11"/>
                <w:color w:val="auto"/>
              </w:rPr>
              <w:t>million in 2023 ,</w:t>
            </w:r>
          </w:p>
        </w:tc>
      </w:tr>
      <w:tr>
        <w:trPr>
          <w:trHeight w:val="148"/>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 decrease  of EUR 48 million, or 4%, compared to EUR</w:t>
            </w:r>
          </w:p>
        </w:tc>
        <w:tc>
          <w:tcPr>
            <w:tcW w:w="2200" w:type="dxa"/>
            <w:vAlign w:val="bottom"/>
            <w:gridSpan w:val="5"/>
          </w:tcPr>
          <w:p>
            <w:pPr>
              <w:jc w:val="center"/>
              <w:ind w:right="203"/>
              <w:spacing w:after="0"/>
              <w:rPr>
                <w:sz w:val="20"/>
                <w:szCs w:val="20"/>
                <w:color w:val="auto"/>
              </w:rPr>
            </w:pPr>
            <w:r>
              <w:rPr>
                <w:rFonts w:ascii="Times New Roman" w:cs="Times New Roman" w:eastAsia="Times New Roman" w:hAnsi="Times New Roman"/>
                <w:sz w:val="11"/>
                <w:szCs w:val="11"/>
                <w:color w:val="auto"/>
              </w:rPr>
              <w:t>1 307 million in 2022 . The decrease in</w:t>
            </w:r>
          </w:p>
        </w:tc>
      </w:tr>
    </w:tbl>
    <w:p>
      <w:pPr>
        <w:ind w:right="680"/>
        <w:spacing w:after="0" w:line="297" w:lineRule="auto"/>
        <w:rPr>
          <w:sz w:val="20"/>
          <w:szCs w:val="20"/>
          <w:color w:val="auto"/>
        </w:rPr>
      </w:pPr>
      <w:r>
        <w:rPr>
          <w:rFonts w:ascii="Times New Roman" w:cs="Times New Roman" w:eastAsia="Times New Roman" w:hAnsi="Times New Roman"/>
          <w:sz w:val="11"/>
          <w:szCs w:val="11"/>
          <w:color w:val="auto"/>
        </w:rPr>
        <w:t>research and development expenses largely reflected lower variable pay accruals and foreign exchange rate fluctuations, which more than offset the impact of inflation.</w:t>
      </w:r>
    </w:p>
    <w:p>
      <w:pPr>
        <w:spacing w:after="0" w:line="34" w:lineRule="exact"/>
        <w:rPr>
          <w:sz w:val="20"/>
          <w:szCs w:val="20"/>
          <w:color w:val="auto"/>
        </w:rPr>
      </w:pPr>
    </w:p>
    <w:p>
      <w:pPr>
        <w:ind w:right="140"/>
        <w:spacing w:after="0" w:line="276" w:lineRule="auto"/>
        <w:rPr>
          <w:sz w:val="20"/>
          <w:szCs w:val="20"/>
          <w:color w:val="auto"/>
        </w:rPr>
      </w:pPr>
      <w:r>
        <w:rPr>
          <w:rFonts w:ascii="Times New Roman" w:cs="Times New Roman" w:eastAsia="Times New Roman" w:hAnsi="Times New Roman"/>
          <w:sz w:val="11"/>
          <w:szCs w:val="11"/>
          <w:color w:val="auto"/>
        </w:rPr>
        <w:t>Network Infrastructure selling, general and administrative expenses were EUR 818 million in 2023 , a decrease of EUR 15 million, or 2%, compared to EUR 833 million in 2022 . The de crease in Network Infrastructure selling, general and administrative expenses largely primarily reflected lower variable pay accruals and foreign exchange rate fluctuations, which more than offset the impact of inflation.</w:t>
      </w:r>
    </w:p>
    <w:p>
      <w:pPr>
        <w:spacing w:after="0" w:line="187" w:lineRule="exact"/>
        <w:rPr>
          <w:sz w:val="20"/>
          <w:szCs w:val="20"/>
          <w:color w:val="auto"/>
        </w:rPr>
      </w:pPr>
    </w:p>
    <w:p>
      <w:pPr>
        <w:spacing w:after="0"/>
        <w:tabs>
          <w:tab w:leader="none" w:pos="3500" w:val="left"/>
        </w:tabs>
        <w:rPr>
          <w:sz w:val="20"/>
          <w:szCs w:val="20"/>
          <w:color w:val="auto"/>
        </w:rPr>
      </w:pPr>
      <w:r>
        <w:rPr>
          <w:rFonts w:ascii="Times New Roman" w:cs="Times New Roman" w:eastAsia="Times New Roman" w:hAnsi="Times New Roman"/>
          <w:sz w:val="11"/>
          <w:szCs w:val="11"/>
          <w:color w:val="auto"/>
        </w:rPr>
        <w:t>Network Infrastructure other operating income and expenses was an</w:t>
      </w:r>
      <w:r>
        <w:rPr>
          <w:sz w:val="20"/>
          <w:szCs w:val="20"/>
          <w:color w:val="auto"/>
        </w:rPr>
        <w:tab/>
      </w:r>
      <w:r>
        <w:rPr>
          <w:rFonts w:ascii="Times New Roman" w:cs="Times New Roman" w:eastAsia="Times New Roman" w:hAnsi="Times New Roman"/>
          <w:sz w:val="11"/>
          <w:szCs w:val="11"/>
          <w:color w:val="auto"/>
        </w:rPr>
        <w:t>income of EUR 81 million</w:t>
      </w:r>
    </w:p>
    <w:p>
      <w:pPr>
        <w:spacing w:after="0" w:line="22" w:lineRule="exact"/>
        <w:rPr>
          <w:sz w:val="20"/>
          <w:szCs w:val="20"/>
          <w:color w:val="auto"/>
        </w:rPr>
      </w:pPr>
    </w:p>
    <w:p>
      <w:pPr>
        <w:spacing w:after="0"/>
        <w:tabs>
          <w:tab w:leader="none" w:pos="2720" w:val="left"/>
        </w:tabs>
        <w:rPr>
          <w:sz w:val="20"/>
          <w:szCs w:val="20"/>
          <w:color w:val="auto"/>
        </w:rPr>
      </w:pPr>
      <w:r>
        <w:rPr>
          <w:rFonts w:ascii="Times New Roman" w:cs="Times New Roman" w:eastAsia="Times New Roman" w:hAnsi="Times New Roman"/>
          <w:sz w:val="11"/>
          <w:szCs w:val="11"/>
          <w:color w:val="auto"/>
        </w:rPr>
        <w:t>in 2023 , a change of EUR 147 million compared to an</w:t>
      </w:r>
      <w:r>
        <w:rPr>
          <w:sz w:val="20"/>
          <w:szCs w:val="20"/>
          <w:color w:val="auto"/>
        </w:rPr>
        <w:tab/>
      </w:r>
      <w:r>
        <w:rPr>
          <w:rFonts w:ascii="Times New Roman" w:cs="Times New Roman" w:eastAsia="Times New Roman" w:hAnsi="Times New Roman"/>
          <w:sz w:val="11"/>
          <w:szCs w:val="11"/>
          <w:color w:val="auto"/>
        </w:rPr>
        <w:t>expense  of EUR 66 million in 2022 . The</w:t>
      </w:r>
    </w:p>
    <w:p>
      <w:pPr>
        <w:spacing w:after="0" w:line="10" w:lineRule="exact"/>
        <w:rPr>
          <w:sz w:val="20"/>
          <w:szCs w:val="20"/>
          <w:color w:val="auto"/>
        </w:rPr>
      </w:pPr>
    </w:p>
    <w:p>
      <w:pPr>
        <w:ind w:right="580"/>
        <w:spacing w:after="0" w:line="277" w:lineRule="auto"/>
        <w:rPr>
          <w:sz w:val="20"/>
          <w:szCs w:val="20"/>
          <w:color w:val="auto"/>
        </w:rPr>
      </w:pPr>
      <w:r>
        <w:rPr>
          <w:rFonts w:ascii="Times New Roman" w:cs="Times New Roman" w:eastAsia="Times New Roman" w:hAnsi="Times New Roman"/>
          <w:sz w:val="11"/>
          <w:szCs w:val="11"/>
          <w:color w:val="auto"/>
        </w:rPr>
        <w:t>change in other operating income and expenses was mainly due to the positive impact from the sale of digital assets and foreign exchange hedging, as well as a net positive fluctuation in the amount of loss allowances on trade receivables.</w:t>
      </w:r>
    </w:p>
    <w:p>
      <w:pPr>
        <w:spacing w:after="0" w:line="52" w:lineRule="exact"/>
        <w:rPr>
          <w:sz w:val="20"/>
          <w:szCs w:val="20"/>
          <w:color w:val="auto"/>
        </w:rPr>
      </w:pPr>
    </w:p>
    <w:p>
      <w:pPr>
        <w:spacing w:after="0"/>
        <w:rPr>
          <w:sz w:val="20"/>
          <w:szCs w:val="20"/>
          <w:color w:val="auto"/>
        </w:rPr>
      </w:pPr>
      <w:r>
        <w:rPr>
          <w:rFonts w:ascii="Arial" w:cs="Arial" w:eastAsia="Arial" w:hAnsi="Arial"/>
          <w:sz w:val="11"/>
          <w:szCs w:val="11"/>
          <w:b w:val="1"/>
          <w:bCs w:val="1"/>
          <w:color w:val="707070"/>
        </w:rPr>
        <w:t>Operating profit</w:t>
      </w:r>
    </w:p>
    <w:p>
      <w:pPr>
        <w:spacing w:after="0" w:line="21" w:lineRule="exact"/>
        <w:rPr>
          <w:sz w:val="20"/>
          <w:szCs w:val="20"/>
          <w:color w:val="auto"/>
        </w:rPr>
      </w:pPr>
    </w:p>
    <w:p>
      <w:pPr>
        <w:spacing w:after="0"/>
        <w:tabs>
          <w:tab w:leader="none" w:pos="2400" w:val="left"/>
          <w:tab w:leader="none" w:pos="4060" w:val="left"/>
        </w:tabs>
        <w:rPr>
          <w:sz w:val="20"/>
          <w:szCs w:val="20"/>
          <w:color w:val="auto"/>
        </w:rPr>
      </w:pPr>
      <w:r>
        <w:rPr>
          <w:rFonts w:ascii="Times New Roman" w:cs="Times New Roman" w:eastAsia="Times New Roman" w:hAnsi="Times New Roman"/>
          <w:sz w:val="11"/>
          <w:szCs w:val="11"/>
          <w:color w:val="auto"/>
        </w:rPr>
        <w:t>Network Infrastructure operating profit was EUR</w:t>
      </w:r>
      <w:r>
        <w:rPr>
          <w:sz w:val="20"/>
          <w:szCs w:val="20"/>
          <w:color w:val="auto"/>
        </w:rPr>
        <w:tab/>
      </w:r>
      <w:r>
        <w:rPr>
          <w:rFonts w:ascii="Times New Roman" w:cs="Times New Roman" w:eastAsia="Times New Roman" w:hAnsi="Times New Roman"/>
          <w:sz w:val="11"/>
          <w:szCs w:val="11"/>
          <w:color w:val="auto"/>
        </w:rPr>
        <w:t>1 054 million in 2023 , a decrease</w:t>
        <w:tab/>
        <w:t>of EUR48 million,</w:t>
      </w:r>
    </w:p>
    <w:p>
      <w:pPr>
        <w:spacing w:after="0" w:line="5" w:lineRule="exact"/>
        <w:rPr>
          <w:sz w:val="20"/>
          <w:szCs w:val="20"/>
          <w:color w:val="auto"/>
        </w:rPr>
      </w:pPr>
    </w:p>
    <w:p>
      <w:pPr>
        <w:spacing w:after="0"/>
        <w:tabs>
          <w:tab w:leader="none" w:pos="1260" w:val="left"/>
          <w:tab w:leader="none" w:pos="4620" w:val="left"/>
        </w:tabs>
        <w:rPr>
          <w:sz w:val="20"/>
          <w:szCs w:val="20"/>
          <w:color w:val="auto"/>
        </w:rPr>
      </w:pPr>
      <w:r>
        <w:rPr>
          <w:rFonts w:ascii="Times New Roman" w:cs="Times New Roman" w:eastAsia="Times New Roman" w:hAnsi="Times New Roman"/>
          <w:sz w:val="11"/>
          <w:szCs w:val="11"/>
          <w:color w:val="auto"/>
        </w:rPr>
        <w:t>or 4%, compared to EUR</w:t>
        <w:tab/>
        <w:t>1 102 million in 2022 . Network Infrastructure operating margin in</w:t>
      </w:r>
      <w:r>
        <w:rPr>
          <w:sz w:val="20"/>
          <w:szCs w:val="20"/>
          <w:color w:val="auto"/>
        </w:rPr>
        <w:tab/>
      </w:r>
      <w:r>
        <w:rPr>
          <w:rFonts w:ascii="Times New Roman" w:cs="Times New Roman" w:eastAsia="Times New Roman" w:hAnsi="Times New Roman"/>
          <w:sz w:val="11"/>
          <w:szCs w:val="11"/>
          <w:color w:val="auto"/>
        </w:rPr>
        <w:t>2023</w:t>
      </w:r>
    </w:p>
    <w:p>
      <w:pPr>
        <w:spacing w:after="0" w:line="10" w:lineRule="exact"/>
        <w:rPr>
          <w:sz w:val="20"/>
          <w:szCs w:val="20"/>
          <w:color w:val="auto"/>
        </w:rPr>
      </w:pPr>
    </w:p>
    <w:p>
      <w:pPr>
        <w:spacing w:after="0"/>
        <w:tabs>
          <w:tab w:leader="none" w:pos="1280" w:val="left"/>
        </w:tabs>
        <w:rPr>
          <w:sz w:val="20"/>
          <w:szCs w:val="20"/>
          <w:color w:val="auto"/>
        </w:rPr>
      </w:pPr>
      <w:r>
        <w:rPr>
          <w:rFonts w:ascii="Times New Roman" w:cs="Times New Roman" w:eastAsia="Times New Roman" w:hAnsi="Times New Roman"/>
          <w:sz w:val="11"/>
          <w:szCs w:val="11"/>
          <w:color w:val="auto"/>
        </w:rPr>
        <w:t>was 13.1 %, compared to</w:t>
        <w:tab/>
        <w:t>12.2 % in 2022 .</w:t>
      </w:r>
    </w:p>
    <w:p>
      <w:pPr>
        <w:sectPr>
          <w:pgSz w:w="11900" w:h="16838" w:orient="portrait"/>
          <w:cols w:equalWidth="0" w:num="2">
            <w:col w:w="4920" w:space="180"/>
            <w:col w:w="4940"/>
          </w:cols>
          <w:pgMar w:left="960" w:top="409" w:right="899" w:bottom="1440" w:gutter="0" w:footer="0" w:header="0"/>
        </w:sectPr>
      </w:pPr>
    </w:p>
    <w:bookmarkStart w:id="85" w:name="page86"/>
    <w:bookmarkEnd w:id="8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78</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Mobile Networks</w:t>
      </w:r>
    </w:p>
    <w:p>
      <w:pPr>
        <w:spacing w:after="0" w:line="36" w:lineRule="exact"/>
        <w:rPr>
          <w:sz w:val="20"/>
          <w:szCs w:val="20"/>
          <w:color w:val="auto"/>
        </w:rPr>
      </w:pPr>
    </w:p>
    <w:p>
      <w:pPr>
        <w:spacing w:after="0"/>
        <w:tabs>
          <w:tab w:leader="none" w:pos="940" w:val="left"/>
          <w:tab w:leader="none" w:pos="1900" w:val="left"/>
          <w:tab w:leader="none" w:pos="3340" w:val="left"/>
        </w:tabs>
        <w:rPr>
          <w:sz w:val="20"/>
          <w:szCs w:val="20"/>
          <w:color w:val="auto"/>
        </w:rPr>
      </w:pPr>
      <w:r>
        <w:rPr>
          <w:rFonts w:ascii="Times New Roman" w:cs="Times New Roman" w:eastAsia="Times New Roman" w:hAnsi="Times New Roman"/>
          <w:sz w:val="11"/>
          <w:szCs w:val="11"/>
          <w:b w:val="1"/>
          <w:bCs w:val="1"/>
          <w:color w:val="auto"/>
        </w:rPr>
        <w:t>For the year ended</w:t>
        <w:tab/>
        <w:t>31 December 2023</w:t>
        <w:tab/>
        <w:t>compared to the year ended</w:t>
      </w:r>
      <w:r>
        <w:rPr>
          <w:sz w:val="20"/>
          <w:szCs w:val="20"/>
          <w:color w:val="auto"/>
        </w:rPr>
        <w:tab/>
      </w:r>
      <w:r>
        <w:rPr>
          <w:rFonts w:ascii="Times New Roman" w:cs="Times New Roman" w:eastAsia="Times New Roman" w:hAnsi="Times New Roman"/>
          <w:sz w:val="10"/>
          <w:szCs w:val="10"/>
          <w:b w:val="1"/>
          <w:bCs w:val="1"/>
          <w:color w:val="auto"/>
        </w:rPr>
        <w:t>31 December 2022</w:t>
      </w:r>
    </w:p>
    <w:p>
      <w:pPr>
        <w:spacing w:after="0" w:line="16" w:lineRule="exact"/>
        <w:rPr>
          <w:sz w:val="20"/>
          <w:szCs w:val="20"/>
          <w:color w:val="auto"/>
        </w:rPr>
      </w:pPr>
    </w:p>
    <w:p>
      <w:pPr>
        <w:ind w:right="620"/>
        <w:spacing w:after="0" w:line="301" w:lineRule="auto"/>
        <w:rPr>
          <w:sz w:val="20"/>
          <w:szCs w:val="20"/>
          <w:color w:val="auto"/>
        </w:rPr>
      </w:pPr>
      <w:r>
        <w:rPr>
          <w:rFonts w:ascii="Times New Roman" w:cs="Times New Roman" w:eastAsia="Times New Roman" w:hAnsi="Times New Roman"/>
          <w:sz w:val="11"/>
          <w:szCs w:val="11"/>
          <w:color w:val="auto"/>
        </w:rPr>
        <w:t>The following table sets forth the segment operating results and the percentage of net sales for the years indicated.</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740" w:type="dxa"/>
            <w:vAlign w:val="bottom"/>
          </w:tcPr>
          <w:p>
            <w:pPr>
              <w:spacing w:after="0"/>
              <w:rPr>
                <w:sz w:val="9"/>
                <w:szCs w:val="9"/>
                <w:color w:val="auto"/>
              </w:rPr>
            </w:pPr>
          </w:p>
        </w:tc>
        <w:tc>
          <w:tcPr>
            <w:tcW w:w="320" w:type="dxa"/>
            <w:vAlign w:val="bottom"/>
          </w:tcPr>
          <w:p>
            <w:pPr>
              <w:spacing w:after="0"/>
              <w:rPr>
                <w:sz w:val="9"/>
                <w:szCs w:val="9"/>
                <w:color w:val="auto"/>
              </w:rPr>
            </w:pPr>
          </w:p>
        </w:tc>
        <w:tc>
          <w:tcPr>
            <w:tcW w:w="1060" w:type="dxa"/>
            <w:vAlign w:val="bottom"/>
            <w:tcBorders>
              <w:bottom w:val="single" w:sz="8" w:color="005AFF"/>
            </w:tcBorders>
            <w:gridSpan w:val="3"/>
          </w:tcPr>
          <w:p>
            <w:pPr>
              <w:jc w:val="right"/>
              <w:ind w:right="4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 w:type="dxa"/>
            <w:vAlign w:val="bottom"/>
          </w:tcPr>
          <w:p>
            <w:pPr>
              <w:spacing w:after="0"/>
              <w:rPr>
                <w:sz w:val="9"/>
                <w:szCs w:val="9"/>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spacing w:after="0"/>
              <w:rPr>
                <w:sz w:val="9"/>
                <w:szCs w:val="9"/>
                <w:color w:val="auto"/>
              </w:rPr>
            </w:pPr>
          </w:p>
        </w:tc>
        <w:tc>
          <w:tcPr>
            <w:tcW w:w="680" w:type="dxa"/>
            <w:vAlign w:val="bottom"/>
          </w:tcPr>
          <w:p>
            <w:pPr>
              <w:spacing w:after="0"/>
              <w:rPr>
                <w:sz w:val="9"/>
                <w:szCs w:val="9"/>
                <w:color w:val="auto"/>
              </w:rPr>
            </w:pPr>
          </w:p>
        </w:tc>
      </w:tr>
      <w:tr>
        <w:trPr>
          <w:trHeight w:val="108"/>
        </w:trPr>
        <w:tc>
          <w:tcPr>
            <w:tcW w:w="1740" w:type="dxa"/>
            <w:vAlign w:val="bottom"/>
          </w:tcPr>
          <w:p>
            <w:pPr>
              <w:spacing w:after="0"/>
              <w:rPr>
                <w:sz w:val="9"/>
                <w:szCs w:val="9"/>
                <w:color w:val="auto"/>
              </w:rPr>
            </w:pPr>
          </w:p>
        </w:tc>
        <w:tc>
          <w:tcPr>
            <w:tcW w:w="320" w:type="dxa"/>
            <w:vAlign w:val="bottom"/>
          </w:tcPr>
          <w:p>
            <w:pPr>
              <w:spacing w:after="0"/>
              <w:rPr>
                <w:sz w:val="9"/>
                <w:szCs w:val="9"/>
                <w:color w:val="auto"/>
              </w:rPr>
            </w:pPr>
          </w:p>
        </w:tc>
        <w:tc>
          <w:tcPr>
            <w:tcW w:w="500" w:type="dxa"/>
            <w:vAlign w:val="bottom"/>
          </w:tcPr>
          <w:p>
            <w:pPr>
              <w:spacing w:after="0"/>
              <w:rPr>
                <w:sz w:val="9"/>
                <w:szCs w:val="9"/>
                <w:color w:val="auto"/>
              </w:rPr>
            </w:pPr>
          </w:p>
        </w:tc>
        <w:tc>
          <w:tcPr>
            <w:tcW w:w="20" w:type="dxa"/>
            <w:vAlign w:val="bottom"/>
          </w:tcPr>
          <w:p>
            <w:pPr>
              <w:spacing w:after="0"/>
              <w:rPr>
                <w:sz w:val="9"/>
                <w:szCs w:val="9"/>
                <w:color w:val="auto"/>
              </w:rPr>
            </w:pPr>
          </w:p>
        </w:tc>
        <w:tc>
          <w:tcPr>
            <w:tcW w:w="620" w:type="dxa"/>
            <w:vAlign w:val="bottom"/>
            <w:gridSpan w:val="2"/>
          </w:tcPr>
          <w:p>
            <w:pPr>
              <w:jc w:val="right"/>
              <w:ind w:right="160"/>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40" w:type="dxa"/>
            <w:vAlign w:val="bottom"/>
          </w:tcPr>
          <w:p>
            <w:pPr>
              <w:spacing w:after="0"/>
              <w:rPr>
                <w:sz w:val="9"/>
                <w:szCs w:val="9"/>
                <w:color w:val="auto"/>
              </w:rPr>
            </w:pPr>
          </w:p>
        </w:tc>
        <w:tc>
          <w:tcPr>
            <w:tcW w:w="42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8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Year-on-year</w:t>
            </w:r>
          </w:p>
        </w:tc>
      </w:tr>
      <w:tr>
        <w:trPr>
          <w:trHeight w:val="114"/>
        </w:trPr>
        <w:tc>
          <w:tcPr>
            <w:tcW w:w="1740" w:type="dxa"/>
            <w:vAlign w:val="bottom"/>
            <w:tcBorders>
              <w:bottom w:val="single" w:sz="8" w:color="005AFF"/>
            </w:tcBorders>
          </w:tcPr>
          <w:p>
            <w:pPr>
              <w:spacing w:after="0"/>
              <w:rPr>
                <w:sz w:val="9"/>
                <w:szCs w:val="9"/>
                <w:color w:val="auto"/>
              </w:rPr>
            </w:pPr>
          </w:p>
        </w:tc>
        <w:tc>
          <w:tcPr>
            <w:tcW w:w="320" w:type="dxa"/>
            <w:vAlign w:val="bottom"/>
            <w:tcBorders>
              <w:bottom w:val="single" w:sz="8" w:color="005AFF"/>
            </w:tcBorders>
          </w:tcPr>
          <w:p>
            <w:pPr>
              <w:spacing w:after="0"/>
              <w:rPr>
                <w:sz w:val="9"/>
                <w:szCs w:val="9"/>
                <w:color w:val="auto"/>
              </w:rPr>
            </w:pPr>
          </w:p>
        </w:tc>
        <w:tc>
          <w:tcPr>
            <w:tcW w:w="520" w:type="dxa"/>
            <w:vAlign w:val="bottom"/>
            <w:tcBorders>
              <w:bottom w:val="single" w:sz="8" w:color="005AFF"/>
            </w:tcBorders>
            <w:gridSpan w:val="2"/>
          </w:tcPr>
          <w:p>
            <w:pPr>
              <w:ind w:left="280"/>
              <w:spacing w:after="0"/>
              <w:rPr>
                <w:sz w:val="20"/>
                <w:szCs w:val="20"/>
                <w:color w:val="auto"/>
              </w:rPr>
            </w:pPr>
            <w:r>
              <w:rPr>
                <w:rFonts w:ascii="Times New Roman" w:cs="Times New Roman" w:eastAsia="Times New Roman" w:hAnsi="Times New Roman"/>
                <w:sz w:val="8"/>
                <w:szCs w:val="8"/>
                <w:b w:val="1"/>
                <w:bCs w:val="1"/>
                <w:color w:val="005AFF"/>
                <w:w w:val="93"/>
              </w:rPr>
              <w:t>EURm</w:t>
            </w:r>
          </w:p>
        </w:tc>
        <w:tc>
          <w:tcPr>
            <w:tcW w:w="620" w:type="dxa"/>
            <w:vAlign w:val="bottom"/>
            <w:tcBorders>
              <w:bottom w:val="single" w:sz="8" w:color="005AFF"/>
            </w:tcBorders>
            <w:gridSpan w:val="2"/>
          </w:tcPr>
          <w:p>
            <w:pPr>
              <w:ind w:left="320"/>
              <w:spacing w:after="0"/>
              <w:rPr>
                <w:sz w:val="20"/>
                <w:szCs w:val="20"/>
                <w:color w:val="auto"/>
              </w:rPr>
            </w:pPr>
            <w:r>
              <w:rPr>
                <w:rFonts w:ascii="Times New Roman" w:cs="Times New Roman" w:eastAsia="Times New Roman" w:hAnsi="Times New Roman"/>
                <w:sz w:val="8"/>
                <w:szCs w:val="8"/>
                <w:b w:val="1"/>
                <w:bCs w:val="1"/>
                <w:color w:val="005AFF"/>
              </w:rPr>
              <w:t>sales</w:t>
            </w:r>
          </w:p>
        </w:tc>
        <w:tc>
          <w:tcPr>
            <w:tcW w:w="64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sales</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change %</w:t>
            </w:r>
          </w:p>
        </w:tc>
      </w:tr>
      <w:tr>
        <w:trPr>
          <w:trHeight w:val="14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320" w:type="dxa"/>
            <w:vAlign w:val="bottom"/>
          </w:tcPr>
          <w:p>
            <w:pPr>
              <w:spacing w:after="0"/>
              <w:rPr>
                <w:sz w:val="12"/>
                <w:szCs w:val="12"/>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9 797</w:t>
            </w:r>
          </w:p>
        </w:tc>
        <w:tc>
          <w:tcPr>
            <w:tcW w:w="20" w:type="dxa"/>
            <w:vAlign w:val="bottom"/>
            <w:shd w:val="clear" w:color="auto" w:fill="F0F5FF"/>
          </w:tcPr>
          <w:p>
            <w:pPr>
              <w:spacing w:after="0"/>
              <w:rPr>
                <w:sz w:val="12"/>
                <w:szCs w:val="12"/>
                <w:color w:val="auto"/>
              </w:rPr>
            </w:pP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80" w:type="dxa"/>
            <w:vAlign w:val="bottom"/>
          </w:tcPr>
          <w:p>
            <w:pPr>
              <w:spacing w:after="0"/>
              <w:rPr>
                <w:sz w:val="12"/>
                <w:szCs w:val="12"/>
                <w:color w:val="auto"/>
              </w:rPr>
            </w:pPr>
          </w:p>
        </w:tc>
        <w:tc>
          <w:tcPr>
            <w:tcW w:w="640" w:type="dxa"/>
            <w:vAlign w:val="bottom"/>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10 671</w:t>
            </w:r>
          </w:p>
        </w:tc>
        <w:tc>
          <w:tcPr>
            <w:tcW w:w="420" w:type="dxa"/>
            <w:vAlign w:val="bottom"/>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100.0</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(8)</w:t>
            </w:r>
          </w:p>
        </w:tc>
      </w:tr>
      <w:tr>
        <w:trPr>
          <w:trHeight w:val="167"/>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32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(6 364)</w:t>
            </w:r>
          </w:p>
        </w:tc>
        <w:tc>
          <w:tcPr>
            <w:tcW w:w="20" w:type="dxa"/>
            <w:vAlign w:val="bottom"/>
            <w:tcBorders>
              <w:bottom w:val="single" w:sz="8" w:color="005AFF"/>
            </w:tcBorders>
            <w:shd w:val="clear" w:color="auto" w:fill="F0F5FF"/>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(65.0)</w:t>
            </w:r>
          </w:p>
        </w:tc>
        <w:tc>
          <w:tcPr>
            <w:tcW w:w="8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(6 575)</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(61.6)</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w:t>
            </w:r>
          </w:p>
        </w:tc>
      </w:tr>
      <w:tr>
        <w:trPr>
          <w:trHeight w:val="137"/>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320" w:type="dxa"/>
            <w:vAlign w:val="bottom"/>
          </w:tcPr>
          <w:p>
            <w:pPr>
              <w:spacing w:after="0"/>
              <w:rPr>
                <w:sz w:val="11"/>
                <w:szCs w:val="11"/>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3 433</w:t>
            </w:r>
          </w:p>
        </w:tc>
        <w:tc>
          <w:tcPr>
            <w:tcW w:w="20" w:type="dxa"/>
            <w:vAlign w:val="bottom"/>
            <w:shd w:val="clear" w:color="auto" w:fill="F0F5FF"/>
          </w:tcPr>
          <w:p>
            <w:pPr>
              <w:spacing w:after="0"/>
              <w:rPr>
                <w:sz w:val="11"/>
                <w:szCs w:val="11"/>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35.0</w:t>
            </w:r>
          </w:p>
        </w:tc>
        <w:tc>
          <w:tcPr>
            <w:tcW w:w="80" w:type="dxa"/>
            <w:vAlign w:val="bottom"/>
          </w:tcPr>
          <w:p>
            <w:pPr>
              <w:spacing w:after="0"/>
              <w:rPr>
                <w:sz w:val="11"/>
                <w:szCs w:val="11"/>
                <w:color w:val="auto"/>
              </w:rPr>
            </w:pP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4 096</w:t>
            </w:r>
          </w:p>
        </w:tc>
        <w:tc>
          <w:tcPr>
            <w:tcW w:w="420" w:type="dxa"/>
            <w:vAlign w:val="bottom"/>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38.4</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(16)</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320" w:type="dxa"/>
            <w:vAlign w:val="bottom"/>
          </w:tcPr>
          <w:p>
            <w:pPr>
              <w:spacing w:after="0"/>
              <w:rPr>
                <w:sz w:val="14"/>
                <w:szCs w:val="14"/>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(2 010)</w:t>
            </w:r>
          </w:p>
        </w:tc>
        <w:tc>
          <w:tcPr>
            <w:tcW w:w="20" w:type="dxa"/>
            <w:vAlign w:val="bottom"/>
            <w:shd w:val="clear" w:color="auto" w:fill="F0F5FF"/>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(20.5)</w:t>
            </w:r>
          </w:p>
        </w:tc>
        <w:tc>
          <w:tcPr>
            <w:tcW w:w="80" w:type="dxa"/>
            <w:vAlign w:val="bottom"/>
          </w:tcPr>
          <w:p>
            <w:pPr>
              <w:spacing w:after="0"/>
              <w:rPr>
                <w:sz w:val="14"/>
                <w:szCs w:val="14"/>
                <w:color w:val="auto"/>
              </w:rPr>
            </w:pPr>
          </w:p>
        </w:tc>
        <w:tc>
          <w:tcPr>
            <w:tcW w:w="6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(2 234)</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(20.9)</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(10)</w:t>
            </w:r>
          </w:p>
        </w:tc>
      </w:tr>
      <w:tr>
        <w:trPr>
          <w:trHeight w:val="153"/>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320" w:type="dxa"/>
            <w:vAlign w:val="bottom"/>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2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80" w:type="dxa"/>
            <w:vAlign w:val="bottom"/>
          </w:tcPr>
          <w:p>
            <w:pPr>
              <w:spacing w:after="0"/>
              <w:rPr>
                <w:sz w:val="13"/>
                <w:szCs w:val="13"/>
                <w:color w:val="auto"/>
              </w:rPr>
            </w:pPr>
          </w:p>
        </w:tc>
        <w:tc>
          <w:tcPr>
            <w:tcW w:w="640" w:type="dxa"/>
            <w:vAlign w:val="bottom"/>
          </w:tcPr>
          <w:p>
            <w:pPr>
              <w:spacing w:after="0"/>
              <w:rPr>
                <w:sz w:val="13"/>
                <w:szCs w:val="13"/>
                <w:color w:val="auto"/>
              </w:rPr>
            </w:pPr>
          </w:p>
        </w:tc>
        <w:tc>
          <w:tcPr>
            <w:tcW w:w="420" w:type="dxa"/>
            <w:vAlign w:val="bottom"/>
          </w:tcPr>
          <w:p>
            <w:pPr>
              <w:spacing w:after="0"/>
              <w:rPr>
                <w:sz w:val="13"/>
                <w:szCs w:val="13"/>
                <w:color w:val="auto"/>
              </w:rPr>
            </w:pPr>
          </w:p>
        </w:tc>
        <w:tc>
          <w:tcPr>
            <w:tcW w:w="680" w:type="dxa"/>
            <w:vAlign w:val="bottom"/>
          </w:tcPr>
          <w:p>
            <w:pPr>
              <w:spacing w:after="0"/>
              <w:rPr>
                <w:sz w:val="13"/>
                <w:szCs w:val="13"/>
                <w:color w:val="auto"/>
              </w:rPr>
            </w:pPr>
          </w:p>
        </w:tc>
      </w:tr>
      <w:tr>
        <w:trPr>
          <w:trHeight w:val="13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320" w:type="dxa"/>
            <w:vAlign w:val="bottom"/>
          </w:tcPr>
          <w:p>
            <w:pPr>
              <w:spacing w:after="0"/>
              <w:rPr>
                <w:sz w:val="11"/>
                <w:szCs w:val="11"/>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(822)</w:t>
            </w:r>
          </w:p>
        </w:tc>
        <w:tc>
          <w:tcPr>
            <w:tcW w:w="20" w:type="dxa"/>
            <w:vAlign w:val="bottom"/>
            <w:shd w:val="clear" w:color="auto" w:fill="F0F5FF"/>
          </w:tcPr>
          <w:p>
            <w:pPr>
              <w:spacing w:after="0"/>
              <w:rPr>
                <w:sz w:val="11"/>
                <w:szCs w:val="11"/>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(8.4)</w:t>
            </w:r>
          </w:p>
        </w:tc>
        <w:tc>
          <w:tcPr>
            <w:tcW w:w="80" w:type="dxa"/>
            <w:vAlign w:val="bottom"/>
          </w:tcPr>
          <w:p>
            <w:pPr>
              <w:spacing w:after="0"/>
              <w:rPr>
                <w:sz w:val="11"/>
                <w:szCs w:val="11"/>
                <w:color w:val="auto"/>
              </w:rPr>
            </w:pPr>
          </w:p>
        </w:tc>
        <w:tc>
          <w:tcPr>
            <w:tcW w:w="6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(865)</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(8.1)</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w:t>
            </w:r>
          </w:p>
        </w:tc>
      </w:tr>
      <w:tr>
        <w:trPr>
          <w:trHeight w:val="167"/>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32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122</w:t>
            </w:r>
          </w:p>
        </w:tc>
        <w:tc>
          <w:tcPr>
            <w:tcW w:w="20" w:type="dxa"/>
            <w:vAlign w:val="bottom"/>
            <w:tcBorders>
              <w:bottom w:val="single" w:sz="8" w:color="005AFF"/>
            </w:tcBorders>
            <w:shd w:val="clear" w:color="auto" w:fill="F0F5FF"/>
          </w:tcPr>
          <w:p>
            <w:pPr>
              <w:spacing w:after="0"/>
              <w:rPr>
                <w:sz w:val="14"/>
                <w:szCs w:val="14"/>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1.2</w:t>
            </w:r>
          </w:p>
        </w:tc>
        <w:tc>
          <w:tcPr>
            <w:tcW w:w="8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(57)</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(0.5)</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(315)</w:t>
            </w:r>
          </w:p>
        </w:tc>
      </w:tr>
      <w:tr>
        <w:trPr>
          <w:trHeight w:val="142"/>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32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723</w:t>
            </w:r>
          </w:p>
        </w:tc>
        <w:tc>
          <w:tcPr>
            <w:tcW w:w="20" w:type="dxa"/>
            <w:vAlign w:val="bottom"/>
            <w:tcBorders>
              <w:bottom w:val="single" w:sz="8" w:color="005AFF"/>
            </w:tcBorders>
            <w:shd w:val="clear" w:color="auto" w:fill="F0F5FF"/>
          </w:tcPr>
          <w:p>
            <w:pPr>
              <w:spacing w:after="0"/>
              <w:rPr>
                <w:sz w:val="12"/>
                <w:szCs w:val="12"/>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7.4</w:t>
            </w:r>
          </w:p>
        </w:tc>
        <w:tc>
          <w:tcPr>
            <w:tcW w:w="8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940</w:t>
            </w:r>
          </w:p>
        </w:tc>
        <w:tc>
          <w:tcPr>
            <w:tcW w:w="4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8.8</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(23)</w:t>
            </w:r>
          </w:p>
        </w:tc>
      </w:tr>
      <w:tr>
        <w:trPr>
          <w:trHeight w:val="240"/>
        </w:trPr>
        <w:tc>
          <w:tcPr>
            <w:tcW w:w="174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Net sales</w:t>
            </w:r>
          </w:p>
        </w:tc>
        <w:tc>
          <w:tcPr>
            <w:tcW w:w="320" w:type="dxa"/>
            <w:vAlign w:val="bottom"/>
          </w:tcPr>
          <w:p>
            <w:pPr>
              <w:spacing w:after="0"/>
              <w:rPr>
                <w:sz w:val="20"/>
                <w:szCs w:val="20"/>
                <w:color w:val="auto"/>
              </w:rPr>
            </w:pPr>
          </w:p>
        </w:tc>
        <w:tc>
          <w:tcPr>
            <w:tcW w:w="500" w:type="dxa"/>
            <w:vAlign w:val="bottom"/>
          </w:tcPr>
          <w:p>
            <w:pPr>
              <w:spacing w:after="0"/>
              <w:rPr>
                <w:sz w:val="20"/>
                <w:szCs w:val="20"/>
                <w:color w:val="auto"/>
              </w:rPr>
            </w:pPr>
          </w:p>
        </w:tc>
        <w:tc>
          <w:tcPr>
            <w:tcW w:w="20" w:type="dxa"/>
            <w:vAlign w:val="bottom"/>
          </w:tcPr>
          <w:p>
            <w:pPr>
              <w:spacing w:after="0"/>
              <w:rPr>
                <w:sz w:val="20"/>
                <w:szCs w:val="20"/>
                <w:color w:val="auto"/>
              </w:rPr>
            </w:pPr>
          </w:p>
        </w:tc>
        <w:tc>
          <w:tcPr>
            <w:tcW w:w="540" w:type="dxa"/>
            <w:vAlign w:val="bottom"/>
          </w:tcPr>
          <w:p>
            <w:pPr>
              <w:spacing w:after="0"/>
              <w:rPr>
                <w:sz w:val="20"/>
                <w:szCs w:val="20"/>
                <w:color w:val="auto"/>
              </w:rPr>
            </w:pPr>
          </w:p>
        </w:tc>
        <w:tc>
          <w:tcPr>
            <w:tcW w:w="80" w:type="dxa"/>
            <w:vAlign w:val="bottom"/>
          </w:tcPr>
          <w:p>
            <w:pPr>
              <w:spacing w:after="0"/>
              <w:rPr>
                <w:sz w:val="20"/>
                <w:szCs w:val="20"/>
                <w:color w:val="auto"/>
              </w:rPr>
            </w:pPr>
          </w:p>
        </w:tc>
        <w:tc>
          <w:tcPr>
            <w:tcW w:w="640" w:type="dxa"/>
            <w:vAlign w:val="bottom"/>
          </w:tcPr>
          <w:p>
            <w:pPr>
              <w:spacing w:after="0"/>
              <w:rPr>
                <w:sz w:val="20"/>
                <w:szCs w:val="20"/>
                <w:color w:val="auto"/>
              </w:rPr>
            </w:pPr>
          </w:p>
        </w:tc>
        <w:tc>
          <w:tcPr>
            <w:tcW w:w="420" w:type="dxa"/>
            <w:vAlign w:val="bottom"/>
          </w:tcPr>
          <w:p>
            <w:pPr>
              <w:spacing w:after="0"/>
              <w:rPr>
                <w:sz w:val="20"/>
                <w:szCs w:val="20"/>
                <w:color w:val="auto"/>
              </w:rPr>
            </w:pPr>
          </w:p>
        </w:tc>
        <w:tc>
          <w:tcPr>
            <w:tcW w:w="680" w:type="dxa"/>
            <w:vAlign w:val="bottom"/>
          </w:tcPr>
          <w:p>
            <w:pPr>
              <w:spacing w:after="0"/>
              <w:rPr>
                <w:sz w:val="20"/>
                <w:szCs w:val="20"/>
                <w:color w:val="auto"/>
              </w:rPr>
            </w:pPr>
          </w:p>
        </w:tc>
      </w:tr>
      <w:tr>
        <w:trPr>
          <w:trHeight w:val="137"/>
        </w:trPr>
        <w:tc>
          <w:tcPr>
            <w:tcW w:w="1740" w:type="dxa"/>
            <w:vAlign w:val="bottom"/>
          </w:tcPr>
          <w:p>
            <w:pPr>
              <w:spacing w:after="0"/>
              <w:rPr>
                <w:sz w:val="20"/>
                <w:szCs w:val="20"/>
                <w:color w:val="auto"/>
              </w:rPr>
            </w:pPr>
            <w:r>
              <w:rPr>
                <w:rFonts w:ascii="Times New Roman" w:cs="Times New Roman" w:eastAsia="Times New Roman" w:hAnsi="Times New Roman"/>
                <w:sz w:val="11"/>
                <w:szCs w:val="11"/>
                <w:color w:val="auto"/>
              </w:rPr>
              <w:t>Mobile Networks net sales in  2023</w:t>
            </w:r>
          </w:p>
        </w:tc>
        <w:tc>
          <w:tcPr>
            <w:tcW w:w="82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were EUR 9 797</w:t>
            </w:r>
          </w:p>
        </w:tc>
        <w:tc>
          <w:tcPr>
            <w:tcW w:w="20" w:type="dxa"/>
            <w:vAlign w:val="bottom"/>
          </w:tcPr>
          <w:p>
            <w:pPr>
              <w:spacing w:after="0"/>
              <w:rPr>
                <w:sz w:val="11"/>
                <w:szCs w:val="11"/>
                <w:color w:val="auto"/>
              </w:rPr>
            </w:pPr>
          </w:p>
        </w:tc>
        <w:tc>
          <w:tcPr>
            <w:tcW w:w="2360" w:type="dxa"/>
            <w:vAlign w:val="bottom"/>
            <w:gridSpan w:val="5"/>
          </w:tcPr>
          <w:p>
            <w:pPr>
              <w:jc w:val="right"/>
              <w:spacing w:after="0"/>
              <w:rPr>
                <w:sz w:val="20"/>
                <w:szCs w:val="20"/>
                <w:color w:val="auto"/>
              </w:rPr>
            </w:pPr>
            <w:r>
              <w:rPr>
                <w:rFonts w:ascii="Times New Roman" w:cs="Times New Roman" w:eastAsia="Times New Roman" w:hAnsi="Times New Roman"/>
                <w:sz w:val="11"/>
                <w:szCs w:val="11"/>
                <w:color w:val="auto"/>
              </w:rPr>
              <w:t>million, a decrease  of EUR 874 million, or 8%,</w:t>
            </w:r>
          </w:p>
        </w:tc>
      </w:tr>
      <w:tr>
        <w:trPr>
          <w:trHeight w:val="142"/>
        </w:trPr>
        <w:tc>
          <w:tcPr>
            <w:tcW w:w="4940" w:type="dxa"/>
            <w:vAlign w:val="bottom"/>
            <w:gridSpan w:val="9"/>
          </w:tcPr>
          <w:p>
            <w:pPr>
              <w:spacing w:after="0"/>
              <w:rPr>
                <w:sz w:val="20"/>
                <w:szCs w:val="20"/>
                <w:color w:val="auto"/>
              </w:rPr>
            </w:pPr>
            <w:r>
              <w:rPr>
                <w:rFonts w:ascii="Times New Roman" w:cs="Times New Roman" w:eastAsia="Times New Roman" w:hAnsi="Times New Roman"/>
                <w:sz w:val="11"/>
                <w:szCs w:val="11"/>
                <w:color w:val="auto"/>
              </w:rPr>
              <w:t>compared to EUR  10 671  million in 2022 . While net sales in Mobile Networks were negatively</w:t>
            </w:r>
          </w:p>
        </w:tc>
      </w:tr>
      <w:tr>
        <w:trPr>
          <w:trHeight w:val="131"/>
        </w:trPr>
        <w:tc>
          <w:tcPr>
            <w:tcW w:w="25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impacted by foreign exchange rate fluctuations in</w:t>
            </w:r>
          </w:p>
        </w:tc>
        <w:tc>
          <w:tcPr>
            <w:tcW w:w="2380" w:type="dxa"/>
            <w:vAlign w:val="bottom"/>
            <w:gridSpan w:val="6"/>
          </w:tcPr>
          <w:p>
            <w:pPr>
              <w:jc w:val="right"/>
              <w:ind w:right="132"/>
              <w:spacing w:after="0"/>
              <w:rPr>
                <w:sz w:val="20"/>
                <w:szCs w:val="20"/>
                <w:color w:val="auto"/>
              </w:rPr>
            </w:pPr>
            <w:r>
              <w:rPr>
                <w:rFonts w:ascii="Times New Roman" w:cs="Times New Roman" w:eastAsia="Times New Roman" w:hAnsi="Times New Roman"/>
                <w:sz w:val="11"/>
                <w:szCs w:val="11"/>
                <w:color w:val="auto"/>
              </w:rPr>
              <w:t>2023 , the decline mainly reflected weakness in</w:t>
            </w:r>
          </w:p>
        </w:tc>
      </w:tr>
      <w:tr>
        <w:trPr>
          <w:trHeight w:val="148"/>
        </w:trPr>
        <w:tc>
          <w:tcPr>
            <w:tcW w:w="320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North America which was somewhat offset by strong growth in India</w:t>
            </w:r>
          </w:p>
        </w:tc>
        <w:tc>
          <w:tcPr>
            <w:tcW w:w="1740" w:type="dxa"/>
            <w:vAlign w:val="bottom"/>
            <w:gridSpan w:val="3"/>
          </w:tcPr>
          <w:p>
            <w:pPr>
              <w:jc w:val="right"/>
              <w:ind w:right="112"/>
              <w:spacing w:after="0"/>
              <w:rPr>
                <w:sz w:val="20"/>
                <w:szCs w:val="20"/>
                <w:color w:val="auto"/>
              </w:rPr>
            </w:pPr>
            <w:r>
              <w:rPr>
                <w:rFonts w:ascii="Times New Roman" w:cs="Times New Roman" w:eastAsia="Times New Roman" w:hAnsi="Times New Roman"/>
                <w:sz w:val="11"/>
                <w:szCs w:val="11"/>
                <w:color w:val="auto"/>
              </w:rPr>
              <w:t>. Net sales in North America</w:t>
            </w:r>
          </w:p>
        </w:tc>
      </w:tr>
    </w:tbl>
    <w:p>
      <w:pPr>
        <w:ind w:right="660"/>
        <w:spacing w:after="0" w:line="271" w:lineRule="auto"/>
        <w:rPr>
          <w:sz w:val="20"/>
          <w:szCs w:val="20"/>
          <w:color w:val="auto"/>
        </w:rPr>
      </w:pPr>
      <w:r>
        <w:rPr>
          <w:rFonts w:ascii="Times New Roman" w:cs="Times New Roman" w:eastAsia="Times New Roman" w:hAnsi="Times New Roman"/>
          <w:sz w:val="11"/>
          <w:szCs w:val="11"/>
          <w:color w:val="auto"/>
        </w:rPr>
        <w:t>declined sharply, as customers evaluated their spending amidst macroeconomic uncertainty and depleted their inventories through the year. Strong growth in India was driven by the continuation of 5G deployments and market share expansion in the region. Net sales declined 3% due to foreign exchange rate fluctuations in 2023.</w:t>
      </w:r>
    </w:p>
    <w:p>
      <w:pPr>
        <w:spacing w:after="0" w:line="56" w:lineRule="exact"/>
        <w:rPr>
          <w:sz w:val="20"/>
          <w:szCs w:val="20"/>
          <w:color w:val="auto"/>
        </w:rPr>
      </w:pPr>
    </w:p>
    <w:p>
      <w:pPr>
        <w:spacing w:after="0"/>
        <w:rPr>
          <w:sz w:val="20"/>
          <w:szCs w:val="20"/>
          <w:color w:val="auto"/>
        </w:rPr>
      </w:pPr>
      <w:r>
        <w:rPr>
          <w:rFonts w:ascii="Arial" w:cs="Arial" w:eastAsia="Arial" w:hAnsi="Arial"/>
          <w:sz w:val="11"/>
          <w:szCs w:val="11"/>
          <w:b w:val="1"/>
          <w:bCs w:val="1"/>
          <w:color w:val="707070"/>
        </w:rPr>
        <w:t>Gross profit</w:t>
      </w:r>
    </w:p>
    <w:p>
      <w:pPr>
        <w:spacing w:after="0" w:line="21" w:lineRule="exact"/>
        <w:rPr>
          <w:sz w:val="20"/>
          <w:szCs w:val="20"/>
          <w:color w:val="auto"/>
        </w:rPr>
      </w:pPr>
    </w:p>
    <w:p>
      <w:pPr>
        <w:ind w:right="40"/>
        <w:spacing w:after="0" w:line="253" w:lineRule="auto"/>
        <w:rPr>
          <w:sz w:val="20"/>
          <w:szCs w:val="20"/>
          <w:color w:val="auto"/>
        </w:rPr>
      </w:pPr>
      <w:r>
        <w:rPr>
          <w:rFonts w:ascii="Times New Roman" w:cs="Times New Roman" w:eastAsia="Times New Roman" w:hAnsi="Times New Roman"/>
          <w:sz w:val="11"/>
          <w:szCs w:val="11"/>
          <w:color w:val="auto"/>
        </w:rPr>
        <w:t>Mobile Networks gross profit in 2023 was EUR 3 433 million, a decrease of EUR 663 million, or 16 %, compared to EUR 4 096 million in 2022 . Mobile Networks gross margin in 2023 was 35.0 %,</w:t>
      </w:r>
    </w:p>
    <w:p>
      <w:pPr>
        <w:spacing w:after="0" w:line="1" w:lineRule="exact"/>
        <w:rPr>
          <w:sz w:val="20"/>
          <w:szCs w:val="20"/>
          <w:color w:val="auto"/>
        </w:rPr>
      </w:pPr>
    </w:p>
    <w:p>
      <w:pPr>
        <w:ind w:right="200"/>
        <w:spacing w:after="0" w:line="264" w:lineRule="auto"/>
        <w:rPr>
          <w:sz w:val="20"/>
          <w:szCs w:val="20"/>
          <w:color w:val="auto"/>
        </w:rPr>
      </w:pPr>
      <w:r>
        <w:rPr>
          <w:rFonts w:ascii="Times New Roman" w:cs="Times New Roman" w:eastAsia="Times New Roman" w:hAnsi="Times New Roman"/>
          <w:sz w:val="11"/>
          <w:szCs w:val="11"/>
          <w:color w:val="auto"/>
        </w:rPr>
        <w:t>compared to 38.4 % in 2022 . The decrease in Mobile Networks gross profit and gross margin largely reflected unfavorable regional mix . In 2023 , variable pay accruals within Mobile Networks</w:t>
      </w:r>
    </w:p>
    <w:p>
      <w:pPr>
        <w:spacing w:after="0"/>
        <w:tabs>
          <w:tab w:leader="none" w:pos="1940" w:val="left"/>
        </w:tabs>
        <w:rPr>
          <w:sz w:val="20"/>
          <w:szCs w:val="20"/>
          <w:color w:val="auto"/>
        </w:rPr>
      </w:pPr>
      <w:r>
        <w:rPr>
          <w:rFonts w:ascii="Times New Roman" w:cs="Times New Roman" w:eastAsia="Times New Roman" w:hAnsi="Times New Roman"/>
          <w:sz w:val="11"/>
          <w:szCs w:val="11"/>
          <w:color w:val="auto"/>
        </w:rPr>
        <w:t>cost of sales were lower, compared to</w:t>
      </w:r>
      <w:r>
        <w:rPr>
          <w:sz w:val="20"/>
          <w:szCs w:val="20"/>
          <w:color w:val="auto"/>
        </w:rPr>
        <w:tab/>
      </w:r>
      <w:r>
        <w:rPr>
          <w:rFonts w:ascii="Times New Roman" w:cs="Times New Roman" w:eastAsia="Times New Roman" w:hAnsi="Times New Roman"/>
          <w:sz w:val="11"/>
          <w:szCs w:val="11"/>
          <w:color w:val="auto"/>
        </w:rPr>
        <w:t>2022 .</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44"/>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Operating expenses</w:t>
            </w:r>
          </w:p>
        </w:tc>
        <w:tc>
          <w:tcPr>
            <w:tcW w:w="380" w:type="dxa"/>
            <w:vAlign w:val="bottom"/>
          </w:tcPr>
          <w:p>
            <w:pPr>
              <w:spacing w:after="0"/>
              <w:rPr>
                <w:sz w:val="12"/>
                <w:szCs w:val="12"/>
                <w:color w:val="auto"/>
              </w:rPr>
            </w:pPr>
          </w:p>
        </w:tc>
        <w:tc>
          <w:tcPr>
            <w:tcW w:w="460" w:type="dxa"/>
            <w:vAlign w:val="bottom"/>
          </w:tcPr>
          <w:p>
            <w:pPr>
              <w:spacing w:after="0"/>
              <w:rPr>
                <w:sz w:val="12"/>
                <w:szCs w:val="12"/>
                <w:color w:val="auto"/>
              </w:rPr>
            </w:pPr>
          </w:p>
        </w:tc>
        <w:tc>
          <w:tcPr>
            <w:tcW w:w="1240" w:type="dxa"/>
            <w:vAlign w:val="bottom"/>
          </w:tcPr>
          <w:p>
            <w:pPr>
              <w:spacing w:after="0"/>
              <w:rPr>
                <w:sz w:val="12"/>
                <w:szCs w:val="12"/>
                <w:color w:val="auto"/>
              </w:rPr>
            </w:pPr>
          </w:p>
        </w:tc>
      </w:tr>
      <w:tr>
        <w:trPr>
          <w:trHeight w:val="142"/>
        </w:trPr>
        <w:tc>
          <w:tcPr>
            <w:tcW w:w="31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Mobile Networks research and development expenses were EUR</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2 010</w:t>
            </w:r>
          </w:p>
        </w:tc>
        <w:tc>
          <w:tcPr>
            <w:tcW w:w="1240" w:type="dxa"/>
            <w:vAlign w:val="bottom"/>
          </w:tcPr>
          <w:p>
            <w:pPr>
              <w:jc w:val="right"/>
              <w:ind w:right="303"/>
              <w:spacing w:after="0"/>
              <w:rPr>
                <w:sz w:val="20"/>
                <w:szCs w:val="20"/>
                <w:color w:val="auto"/>
              </w:rPr>
            </w:pPr>
            <w:r>
              <w:rPr>
                <w:rFonts w:ascii="Times New Roman" w:cs="Times New Roman" w:eastAsia="Times New Roman" w:hAnsi="Times New Roman"/>
                <w:sz w:val="11"/>
                <w:szCs w:val="11"/>
                <w:color w:val="auto"/>
              </w:rPr>
              <w:t>million in 2023 , a</w:t>
            </w:r>
          </w:p>
        </w:tc>
      </w:tr>
      <w:tr>
        <w:trPr>
          <w:trHeight w:val="131"/>
        </w:trPr>
        <w:tc>
          <w:tcPr>
            <w:tcW w:w="480" w:type="dxa"/>
            <w:vAlign w:val="bottom"/>
          </w:tcPr>
          <w:p>
            <w:pPr>
              <w:spacing w:after="0"/>
              <w:rPr>
                <w:sz w:val="20"/>
                <w:szCs w:val="20"/>
                <w:color w:val="auto"/>
              </w:rPr>
            </w:pPr>
            <w:r>
              <w:rPr>
                <w:rFonts w:ascii="Times New Roman" w:cs="Times New Roman" w:eastAsia="Times New Roman" w:hAnsi="Times New Roman"/>
                <w:sz w:val="11"/>
                <w:szCs w:val="11"/>
                <w:color w:val="auto"/>
              </w:rPr>
              <w:t>decrease</w:t>
            </w:r>
          </w:p>
        </w:tc>
        <w:tc>
          <w:tcPr>
            <w:tcW w:w="226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of EUR 224 million, or 10 % compared to EUR</w:t>
            </w:r>
          </w:p>
        </w:tc>
        <w:tc>
          <w:tcPr>
            <w:tcW w:w="38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2 234</w:t>
            </w:r>
          </w:p>
        </w:tc>
        <w:tc>
          <w:tcPr>
            <w:tcW w:w="170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million in 2022 . The lower research</w:t>
            </w:r>
          </w:p>
        </w:tc>
      </w:tr>
      <w:tr>
        <w:trPr>
          <w:trHeight w:val="142"/>
        </w:trPr>
        <w:tc>
          <w:tcPr>
            <w:tcW w:w="48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and development expenses mainly reflected lower variable pay accruals, continued cost control</w:t>
            </w:r>
          </w:p>
        </w:tc>
      </w:tr>
      <w:tr>
        <w:trPr>
          <w:trHeight w:val="131"/>
        </w:trPr>
        <w:tc>
          <w:tcPr>
            <w:tcW w:w="31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and the positive impact of foreign exchange rate fluctuations, which</w:t>
            </w:r>
          </w:p>
        </w:tc>
        <w:tc>
          <w:tcPr>
            <w:tcW w:w="1700" w:type="dxa"/>
            <w:vAlign w:val="bottom"/>
            <w:gridSpan w:val="2"/>
          </w:tcPr>
          <w:p>
            <w:pPr>
              <w:jc w:val="right"/>
              <w:ind w:right="143"/>
              <w:spacing w:after="0"/>
              <w:rPr>
                <w:sz w:val="20"/>
                <w:szCs w:val="20"/>
                <w:color w:val="auto"/>
              </w:rPr>
            </w:pPr>
            <w:r>
              <w:rPr>
                <w:rFonts w:ascii="Times New Roman" w:cs="Times New Roman" w:eastAsia="Times New Roman" w:hAnsi="Times New Roman"/>
                <w:sz w:val="11"/>
                <w:szCs w:val="11"/>
                <w:color w:val="auto"/>
              </w:rPr>
              <w:t>largely offset the impact</w:t>
            </w:r>
          </w:p>
        </w:tc>
      </w:tr>
      <w:tr>
        <w:trPr>
          <w:trHeight w:val="148"/>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of inflation.</w:t>
            </w:r>
          </w:p>
        </w:tc>
        <w:tc>
          <w:tcPr>
            <w:tcW w:w="380" w:type="dxa"/>
            <w:vAlign w:val="bottom"/>
          </w:tcPr>
          <w:p>
            <w:pPr>
              <w:spacing w:after="0"/>
              <w:rPr>
                <w:sz w:val="12"/>
                <w:szCs w:val="12"/>
                <w:color w:val="auto"/>
              </w:rPr>
            </w:pPr>
          </w:p>
        </w:tc>
        <w:tc>
          <w:tcPr>
            <w:tcW w:w="460" w:type="dxa"/>
            <w:vAlign w:val="bottom"/>
          </w:tcPr>
          <w:p>
            <w:pPr>
              <w:spacing w:after="0"/>
              <w:rPr>
                <w:sz w:val="12"/>
                <w:szCs w:val="12"/>
                <w:color w:val="auto"/>
              </w:rPr>
            </w:pPr>
          </w:p>
        </w:tc>
        <w:tc>
          <w:tcPr>
            <w:tcW w:w="1240" w:type="dxa"/>
            <w:vAlign w:val="bottom"/>
          </w:tcPr>
          <w:p>
            <w:pPr>
              <w:spacing w:after="0"/>
              <w:rPr>
                <w:sz w:val="12"/>
                <w:szCs w:val="12"/>
                <w:color w:val="auto"/>
              </w:rPr>
            </w:pPr>
          </w:p>
        </w:tc>
      </w:tr>
      <w:tr>
        <w:trPr>
          <w:trHeight w:val="216"/>
        </w:trPr>
        <w:tc>
          <w:tcPr>
            <w:tcW w:w="35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Mobile Networks selling, general and administrative expenses were EUR</w:t>
            </w:r>
          </w:p>
        </w:tc>
        <w:tc>
          <w:tcPr>
            <w:tcW w:w="1240" w:type="dxa"/>
            <w:vAlign w:val="bottom"/>
          </w:tcPr>
          <w:p>
            <w:pPr>
              <w:jc w:val="right"/>
              <w:ind w:right="103"/>
              <w:spacing w:after="0"/>
              <w:rPr>
                <w:sz w:val="20"/>
                <w:szCs w:val="20"/>
                <w:color w:val="auto"/>
              </w:rPr>
            </w:pPr>
            <w:r>
              <w:rPr>
                <w:rFonts w:ascii="Times New Roman" w:cs="Times New Roman" w:eastAsia="Times New Roman" w:hAnsi="Times New Roman"/>
                <w:sz w:val="11"/>
                <w:szCs w:val="11"/>
                <w:color w:val="auto"/>
              </w:rPr>
              <w:t>822 million in 2023 ,</w:t>
            </w:r>
          </w:p>
        </w:tc>
      </w:tr>
      <w:tr>
        <w:trPr>
          <w:trHeight w:val="143"/>
        </w:trPr>
        <w:tc>
          <w:tcPr>
            <w:tcW w:w="480" w:type="dxa"/>
            <w:vAlign w:val="bottom"/>
          </w:tcPr>
          <w:p>
            <w:pPr>
              <w:spacing w:after="0"/>
              <w:rPr>
                <w:sz w:val="20"/>
                <w:szCs w:val="20"/>
                <w:color w:val="auto"/>
              </w:rPr>
            </w:pPr>
            <w:r>
              <w:rPr>
                <w:rFonts w:ascii="Times New Roman" w:cs="Times New Roman" w:eastAsia="Times New Roman" w:hAnsi="Times New Roman"/>
                <w:sz w:val="11"/>
                <w:szCs w:val="11"/>
                <w:color w:val="auto"/>
              </w:rPr>
              <w:t>a decrease</w:t>
            </w:r>
          </w:p>
        </w:tc>
        <w:tc>
          <w:tcPr>
            <w:tcW w:w="226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of EUR 43 million, or 5%, compared to EUR</w:t>
            </w:r>
          </w:p>
        </w:tc>
        <w:tc>
          <w:tcPr>
            <w:tcW w:w="2080" w:type="dxa"/>
            <w:vAlign w:val="bottom"/>
            <w:gridSpan w:val="3"/>
          </w:tcPr>
          <w:p>
            <w:pPr>
              <w:jc w:val="right"/>
              <w:ind w:right="143"/>
              <w:spacing w:after="0"/>
              <w:rPr>
                <w:sz w:val="20"/>
                <w:szCs w:val="20"/>
                <w:color w:val="auto"/>
              </w:rPr>
            </w:pPr>
            <w:r>
              <w:rPr>
                <w:rFonts w:ascii="Times New Roman" w:cs="Times New Roman" w:eastAsia="Times New Roman" w:hAnsi="Times New Roman"/>
                <w:sz w:val="11"/>
                <w:szCs w:val="11"/>
                <w:color w:val="auto"/>
              </w:rPr>
              <w:t>865 million in 2022 . The decrease  in</w:t>
            </w:r>
          </w:p>
        </w:tc>
      </w:tr>
    </w:tbl>
    <w:p>
      <w:pPr>
        <w:ind w:right="360"/>
        <w:spacing w:after="0" w:line="268" w:lineRule="auto"/>
        <w:rPr>
          <w:sz w:val="20"/>
          <w:szCs w:val="20"/>
          <w:color w:val="auto"/>
        </w:rPr>
      </w:pPr>
      <w:r>
        <w:rPr>
          <w:rFonts w:ascii="Times New Roman" w:cs="Times New Roman" w:eastAsia="Times New Roman" w:hAnsi="Times New Roman"/>
          <w:sz w:val="11"/>
          <w:szCs w:val="11"/>
          <w:color w:val="auto"/>
        </w:rPr>
        <w:t>Mobile Networks selling, general and administrative expenses mainly reflected lower variable pay accruals, continued cost control and the positive impact of foreign exchange rate fluctuations, which more than offset the impact of inflation.</w:t>
      </w:r>
    </w:p>
    <w:p>
      <w:pPr>
        <w:spacing w:after="0" w:line="60" w:lineRule="exact"/>
        <w:rPr>
          <w:sz w:val="20"/>
          <w:szCs w:val="20"/>
          <w:color w:val="auto"/>
        </w:rPr>
      </w:pPr>
    </w:p>
    <w:p>
      <w:pPr>
        <w:spacing w:after="0"/>
        <w:tabs>
          <w:tab w:leader="none" w:pos="3180" w:val="left"/>
        </w:tabs>
        <w:rPr>
          <w:sz w:val="20"/>
          <w:szCs w:val="20"/>
          <w:color w:val="auto"/>
        </w:rPr>
      </w:pPr>
      <w:r>
        <w:rPr>
          <w:rFonts w:ascii="Times New Roman" w:cs="Times New Roman" w:eastAsia="Times New Roman" w:hAnsi="Times New Roman"/>
          <w:sz w:val="11"/>
          <w:szCs w:val="11"/>
          <w:color w:val="auto"/>
        </w:rPr>
        <w:t>Mobile Networks other operating income and expenses was an</w:t>
      </w:r>
      <w:r>
        <w:rPr>
          <w:sz w:val="20"/>
          <w:szCs w:val="20"/>
          <w:color w:val="auto"/>
        </w:rPr>
        <w:tab/>
      </w:r>
      <w:r>
        <w:rPr>
          <w:rFonts w:ascii="Times New Roman" w:cs="Times New Roman" w:eastAsia="Times New Roman" w:hAnsi="Times New Roman"/>
          <w:sz w:val="11"/>
          <w:szCs w:val="11"/>
          <w:color w:val="auto"/>
        </w:rPr>
        <w:t>income of EUR 122 million in</w:t>
      </w:r>
    </w:p>
    <w:p>
      <w:pPr>
        <w:spacing w:after="0" w:line="22" w:lineRule="exact"/>
        <w:rPr>
          <w:sz w:val="20"/>
          <w:szCs w:val="20"/>
          <w:color w:val="auto"/>
        </w:rPr>
      </w:pPr>
    </w:p>
    <w:p>
      <w:pPr>
        <w:ind w:right="300"/>
        <w:spacing w:after="0" w:line="259" w:lineRule="auto"/>
        <w:rPr>
          <w:sz w:val="20"/>
          <w:szCs w:val="20"/>
          <w:color w:val="auto"/>
        </w:rPr>
      </w:pPr>
      <w:r>
        <w:rPr>
          <w:rFonts w:ascii="Times New Roman" w:cs="Times New Roman" w:eastAsia="Times New Roman" w:hAnsi="Times New Roman"/>
          <w:sz w:val="11"/>
          <w:szCs w:val="11"/>
          <w:color w:val="auto"/>
        </w:rPr>
        <w:t>2023 , a change of EUR 179 million compared to an expense of EUR 57 million in 2022 . The change in other operating income and expenses was primarily due to the positive impact from</w:t>
      </w:r>
    </w:p>
    <w:p>
      <w:pPr>
        <w:ind w:right="600"/>
        <w:spacing w:after="0" w:line="278" w:lineRule="auto"/>
        <w:rPr>
          <w:sz w:val="20"/>
          <w:szCs w:val="20"/>
          <w:color w:val="auto"/>
        </w:rPr>
      </w:pPr>
      <w:r>
        <w:rPr>
          <w:rFonts w:ascii="Times New Roman" w:cs="Times New Roman" w:eastAsia="Times New Roman" w:hAnsi="Times New Roman"/>
          <w:sz w:val="11"/>
          <w:szCs w:val="11"/>
          <w:color w:val="auto"/>
        </w:rPr>
        <w:t>foreign exchange hedging and the sale of digital assets, as well as a net positive fluctuation in the amount of loss allowances on trade receivables.</w:t>
      </w:r>
    </w:p>
    <w:p>
      <w:pPr>
        <w:spacing w:after="0" w:line="61" w:lineRule="exact"/>
        <w:rPr>
          <w:sz w:val="20"/>
          <w:szCs w:val="20"/>
          <w:color w:val="auto"/>
        </w:rPr>
      </w:pPr>
    </w:p>
    <w:p>
      <w:pPr>
        <w:spacing w:after="0"/>
        <w:rPr>
          <w:sz w:val="20"/>
          <w:szCs w:val="20"/>
          <w:color w:val="auto"/>
        </w:rPr>
      </w:pPr>
      <w:r>
        <w:rPr>
          <w:rFonts w:ascii="Arial" w:cs="Arial" w:eastAsia="Arial" w:hAnsi="Arial"/>
          <w:sz w:val="11"/>
          <w:szCs w:val="11"/>
          <w:b w:val="1"/>
          <w:bCs w:val="1"/>
          <w:color w:val="707070"/>
        </w:rPr>
        <w:t>Operating profit</w:t>
      </w:r>
    </w:p>
    <w:p>
      <w:pPr>
        <w:spacing w:after="0" w:line="10" w:lineRule="exact"/>
        <w:rPr>
          <w:sz w:val="20"/>
          <w:szCs w:val="20"/>
          <w:color w:val="auto"/>
        </w:rPr>
      </w:pPr>
    </w:p>
    <w:p>
      <w:pPr>
        <w:ind w:right="140"/>
        <w:spacing w:after="0" w:line="277" w:lineRule="auto"/>
        <w:rPr>
          <w:sz w:val="20"/>
          <w:szCs w:val="20"/>
          <w:color w:val="auto"/>
        </w:rPr>
      </w:pPr>
      <w:r>
        <w:rPr>
          <w:rFonts w:ascii="Times New Roman" w:cs="Times New Roman" w:eastAsia="Times New Roman" w:hAnsi="Times New Roman"/>
          <w:sz w:val="11"/>
          <w:szCs w:val="11"/>
          <w:color w:val="auto"/>
        </w:rPr>
        <w:t>Mobile Networks operating profit was EUR 723 million in 2023 , a decrease of EUR 217 million, compared to EUR 940 million in 2022 . Mobile Networks operating margin was 7.4 % in 2023 compared to 8.8 % in 2022 .</w:t>
      </w:r>
    </w:p>
    <w:p>
      <w:pPr>
        <w:sectPr>
          <w:pgSz w:w="11900" w:h="16838" w:orient="portrait"/>
          <w:cols w:equalWidth="0" w:num="2">
            <w:col w:w="4940" w:space="160"/>
            <w:col w:w="4880"/>
          </w:cols>
          <w:pgMar w:left="960" w:top="409" w:right="959" w:bottom="1440" w:gutter="0" w:footer="0" w:header="0"/>
          <w:type w:val="continuous"/>
        </w:sectPr>
      </w:pPr>
    </w:p>
    <w:bookmarkStart w:id="86" w:name="page87"/>
    <w:bookmarkEnd w:id="86"/>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79</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Cloud and Network Services</w:t>
      </w:r>
    </w:p>
    <w:p>
      <w:pPr>
        <w:spacing w:after="0" w:line="36" w:lineRule="exact"/>
        <w:rPr>
          <w:sz w:val="20"/>
          <w:szCs w:val="20"/>
          <w:color w:val="auto"/>
        </w:rPr>
      </w:pPr>
    </w:p>
    <w:p>
      <w:pPr>
        <w:spacing w:after="0"/>
        <w:tabs>
          <w:tab w:leader="none" w:pos="940" w:val="left"/>
          <w:tab w:leader="none" w:pos="1900" w:val="left"/>
          <w:tab w:leader="none" w:pos="3340" w:val="left"/>
        </w:tabs>
        <w:rPr>
          <w:sz w:val="20"/>
          <w:szCs w:val="20"/>
          <w:color w:val="auto"/>
        </w:rPr>
      </w:pPr>
      <w:r>
        <w:rPr>
          <w:rFonts w:ascii="Times New Roman" w:cs="Times New Roman" w:eastAsia="Times New Roman" w:hAnsi="Times New Roman"/>
          <w:sz w:val="11"/>
          <w:szCs w:val="11"/>
          <w:b w:val="1"/>
          <w:bCs w:val="1"/>
          <w:color w:val="auto"/>
        </w:rPr>
        <w:t>For the year ended</w:t>
        <w:tab/>
        <w:t>31 December 2023</w:t>
        <w:tab/>
        <w:t>compared to the year ended</w:t>
      </w:r>
      <w:r>
        <w:rPr>
          <w:sz w:val="20"/>
          <w:szCs w:val="20"/>
          <w:color w:val="auto"/>
        </w:rPr>
        <w:tab/>
      </w:r>
      <w:r>
        <w:rPr>
          <w:rFonts w:ascii="Times New Roman" w:cs="Times New Roman" w:eastAsia="Times New Roman" w:hAnsi="Times New Roman"/>
          <w:sz w:val="10"/>
          <w:szCs w:val="10"/>
          <w:b w:val="1"/>
          <w:bCs w:val="1"/>
          <w:color w:val="auto"/>
        </w:rPr>
        <w:t>31 December 2022</w:t>
      </w:r>
    </w:p>
    <w:p>
      <w:pPr>
        <w:spacing w:after="0" w:line="16" w:lineRule="exact"/>
        <w:rPr>
          <w:sz w:val="20"/>
          <w:szCs w:val="20"/>
          <w:color w:val="auto"/>
        </w:rPr>
      </w:pPr>
    </w:p>
    <w:p>
      <w:pPr>
        <w:ind w:right="620"/>
        <w:spacing w:after="0" w:line="301" w:lineRule="auto"/>
        <w:rPr>
          <w:sz w:val="20"/>
          <w:szCs w:val="20"/>
          <w:color w:val="auto"/>
        </w:rPr>
      </w:pPr>
      <w:r>
        <w:rPr>
          <w:rFonts w:ascii="Times New Roman" w:cs="Times New Roman" w:eastAsia="Times New Roman" w:hAnsi="Times New Roman"/>
          <w:sz w:val="11"/>
          <w:szCs w:val="11"/>
          <w:color w:val="auto"/>
        </w:rPr>
        <w:t>The following table sets forth the segment operating results and the percentage of net sales for the years indicated.</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060" w:type="dxa"/>
            <w:vAlign w:val="bottom"/>
          </w:tcPr>
          <w:p>
            <w:pPr>
              <w:spacing w:after="0"/>
              <w:rPr>
                <w:sz w:val="9"/>
                <w:szCs w:val="9"/>
                <w:color w:val="auto"/>
              </w:rPr>
            </w:pPr>
          </w:p>
        </w:tc>
        <w:tc>
          <w:tcPr>
            <w:tcW w:w="64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420" w:type="dxa"/>
            <w:vAlign w:val="bottom"/>
          </w:tcPr>
          <w:p>
            <w:pPr>
              <w:spacing w:after="0"/>
              <w:rPr>
                <w:sz w:val="9"/>
                <w:szCs w:val="9"/>
                <w:color w:val="auto"/>
              </w:rPr>
            </w:pPr>
          </w:p>
        </w:tc>
        <w:tc>
          <w:tcPr>
            <w:tcW w:w="720" w:type="dxa"/>
            <w:vAlign w:val="bottom"/>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Pr>
          <w:p>
            <w:pPr>
              <w:spacing w:after="0"/>
              <w:rPr>
                <w:sz w:val="9"/>
                <w:szCs w:val="9"/>
                <w:color w:val="auto"/>
              </w:rPr>
            </w:pPr>
          </w:p>
        </w:tc>
        <w:tc>
          <w:tcPr>
            <w:tcW w:w="680" w:type="dxa"/>
            <w:vAlign w:val="bottom"/>
          </w:tcPr>
          <w:p>
            <w:pPr>
              <w:spacing w:after="0"/>
              <w:rPr>
                <w:sz w:val="9"/>
                <w:szCs w:val="9"/>
                <w:color w:val="auto"/>
              </w:rPr>
            </w:pPr>
          </w:p>
        </w:tc>
      </w:tr>
      <w:tr>
        <w:trPr>
          <w:trHeight w:val="108"/>
        </w:trPr>
        <w:tc>
          <w:tcPr>
            <w:tcW w:w="2060" w:type="dxa"/>
            <w:vAlign w:val="bottom"/>
          </w:tcPr>
          <w:p>
            <w:pPr>
              <w:spacing w:after="0"/>
              <w:rPr>
                <w:sz w:val="9"/>
                <w:szCs w:val="9"/>
                <w:color w:val="auto"/>
              </w:rPr>
            </w:pPr>
          </w:p>
        </w:tc>
        <w:tc>
          <w:tcPr>
            <w:tcW w:w="640" w:type="dxa"/>
            <w:vAlign w:val="bottom"/>
            <w:tcBorders>
              <w:top w:val="single" w:sz="8" w:color="005AFF"/>
            </w:tcBorders>
          </w:tcPr>
          <w:p>
            <w:pPr>
              <w:spacing w:after="0"/>
              <w:rPr>
                <w:sz w:val="9"/>
                <w:szCs w:val="9"/>
                <w:color w:val="auto"/>
              </w:rPr>
            </w:pPr>
          </w:p>
        </w:tc>
        <w:tc>
          <w:tcPr>
            <w:tcW w:w="420" w:type="dxa"/>
            <w:vAlign w:val="bottom"/>
            <w:tcBorders>
              <w:top w:val="single" w:sz="8" w:color="005AFF"/>
            </w:tcBorders>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80" w:type="dxa"/>
            <w:vAlign w:val="bottom"/>
          </w:tcPr>
          <w:p>
            <w:pPr>
              <w:spacing w:after="0"/>
              <w:rPr>
                <w:sz w:val="9"/>
                <w:szCs w:val="9"/>
                <w:color w:val="auto"/>
              </w:rPr>
            </w:pPr>
          </w:p>
        </w:tc>
        <w:tc>
          <w:tcPr>
            <w:tcW w:w="640" w:type="dxa"/>
            <w:vAlign w:val="bottom"/>
            <w:tcBorders>
              <w:top w:val="single" w:sz="8" w:color="005AFF"/>
            </w:tcBorders>
          </w:tcPr>
          <w:p>
            <w:pPr>
              <w:spacing w:after="0"/>
              <w:rPr>
                <w:sz w:val="9"/>
                <w:szCs w:val="9"/>
                <w:color w:val="auto"/>
              </w:rPr>
            </w:pPr>
          </w:p>
        </w:tc>
        <w:tc>
          <w:tcPr>
            <w:tcW w:w="420" w:type="dxa"/>
            <w:vAlign w:val="bottom"/>
            <w:tcBorders>
              <w:top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8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Year-on-year</w:t>
            </w:r>
          </w:p>
        </w:tc>
      </w:tr>
      <w:tr>
        <w:trPr>
          <w:trHeight w:val="114"/>
        </w:trPr>
        <w:tc>
          <w:tcPr>
            <w:tcW w:w="206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sales</w:t>
            </w:r>
          </w:p>
        </w:tc>
        <w:tc>
          <w:tcPr>
            <w:tcW w:w="8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sales</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change %</w:t>
            </w:r>
          </w:p>
        </w:tc>
      </w:tr>
      <w:tr>
        <w:trPr>
          <w:trHeight w:val="150"/>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640" w:type="dxa"/>
            <w:vAlign w:val="bottom"/>
            <w:shd w:val="clear" w:color="auto" w:fill="F0F5FF"/>
          </w:tcPr>
          <w:p>
            <w:pPr>
              <w:jc w:val="right"/>
              <w:ind w:right="133"/>
              <w:spacing w:after="0"/>
              <w:rPr>
                <w:sz w:val="20"/>
                <w:szCs w:val="20"/>
                <w:color w:val="auto"/>
              </w:rPr>
            </w:pPr>
            <w:r>
              <w:rPr>
                <w:rFonts w:ascii="Times New Roman" w:cs="Times New Roman" w:eastAsia="Times New Roman" w:hAnsi="Times New Roman"/>
                <w:sz w:val="10"/>
                <w:szCs w:val="10"/>
                <w:b w:val="1"/>
                <w:bCs w:val="1"/>
                <w:color w:val="005AFF"/>
              </w:rPr>
              <w:t>3 220</w:t>
            </w:r>
          </w:p>
        </w:tc>
        <w:tc>
          <w:tcPr>
            <w:tcW w:w="420" w:type="dxa"/>
            <w:vAlign w:val="bottom"/>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72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b w:val="1"/>
                <w:bCs w:val="1"/>
                <w:color w:val="auto"/>
              </w:rPr>
              <w:t>3 351</w:t>
            </w:r>
          </w:p>
        </w:tc>
        <w:tc>
          <w:tcPr>
            <w:tcW w:w="420" w:type="dxa"/>
            <w:vAlign w:val="bottom"/>
          </w:tcPr>
          <w:p>
            <w:pPr>
              <w:jc w:val="right"/>
              <w:ind w:right="33"/>
              <w:spacing w:after="0"/>
              <w:rPr>
                <w:sz w:val="20"/>
                <w:szCs w:val="20"/>
                <w:color w:val="auto"/>
              </w:rPr>
            </w:pPr>
            <w:r>
              <w:rPr>
                <w:rFonts w:ascii="Times New Roman" w:cs="Times New Roman" w:eastAsia="Times New Roman" w:hAnsi="Times New Roman"/>
                <w:sz w:val="10"/>
                <w:szCs w:val="10"/>
                <w:b w:val="1"/>
                <w:bCs w:val="1"/>
                <w:color w:val="auto"/>
              </w:rPr>
              <w:t>100.0</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(4)</w:t>
            </w:r>
          </w:p>
        </w:tc>
      </w:tr>
      <w:tr>
        <w:trPr>
          <w:trHeight w:val="157"/>
        </w:trPr>
        <w:tc>
          <w:tcPr>
            <w:tcW w:w="20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640" w:type="dxa"/>
            <w:vAlign w:val="bottom"/>
            <w:tcBorders>
              <w:bottom w:val="single" w:sz="8" w:color="005AFF"/>
            </w:tcBorders>
          </w:tcPr>
          <w:p>
            <w:pPr>
              <w:jc w:val="right"/>
              <w:ind w:right="93"/>
              <w:spacing w:after="0"/>
              <w:rPr>
                <w:sz w:val="20"/>
                <w:szCs w:val="20"/>
                <w:color w:val="auto"/>
              </w:rPr>
            </w:pPr>
            <w:r>
              <w:rPr>
                <w:rFonts w:ascii="Times New Roman" w:cs="Times New Roman" w:eastAsia="Times New Roman" w:hAnsi="Times New Roman"/>
                <w:sz w:val="10"/>
                <w:szCs w:val="10"/>
                <w:color w:val="005AFF"/>
              </w:rPr>
              <w:t>(1 944)</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05AFF"/>
              </w:rPr>
              <w:t>(60.4)</w:t>
            </w:r>
          </w:p>
        </w:tc>
        <w:tc>
          <w:tcPr>
            <w:tcW w:w="720" w:type="dxa"/>
            <w:vAlign w:val="bottom"/>
            <w:tcBorders>
              <w:bottom w:val="single" w:sz="8" w:color="005AFF"/>
            </w:tcBorders>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(2 011)</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auto"/>
              </w:rPr>
              <w:t>(60.0)</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w:t>
            </w:r>
          </w:p>
        </w:tc>
      </w:tr>
      <w:tr>
        <w:trPr>
          <w:trHeight w:val="137"/>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640" w:type="dxa"/>
            <w:vAlign w:val="bottom"/>
          </w:tcPr>
          <w:p>
            <w:pPr>
              <w:jc w:val="right"/>
              <w:ind w:right="133"/>
              <w:spacing w:after="0"/>
              <w:rPr>
                <w:sz w:val="20"/>
                <w:szCs w:val="20"/>
                <w:color w:val="auto"/>
              </w:rPr>
            </w:pPr>
            <w:r>
              <w:rPr>
                <w:rFonts w:ascii="Times New Roman" w:cs="Times New Roman" w:eastAsia="Times New Roman" w:hAnsi="Times New Roman"/>
                <w:sz w:val="10"/>
                <w:szCs w:val="10"/>
                <w:b w:val="1"/>
                <w:bCs w:val="1"/>
                <w:color w:val="005AFF"/>
              </w:rPr>
              <w:t>1 276</w:t>
            </w:r>
          </w:p>
        </w:tc>
        <w:tc>
          <w:tcPr>
            <w:tcW w:w="420" w:type="dxa"/>
            <w:vAlign w:val="bottom"/>
          </w:tcPr>
          <w:p>
            <w:pPr>
              <w:jc w:val="right"/>
              <w:ind w:right="13"/>
              <w:spacing w:after="0"/>
              <w:rPr>
                <w:sz w:val="20"/>
                <w:szCs w:val="20"/>
                <w:color w:val="auto"/>
              </w:rPr>
            </w:pPr>
            <w:r>
              <w:rPr>
                <w:rFonts w:ascii="Times New Roman" w:cs="Times New Roman" w:eastAsia="Times New Roman" w:hAnsi="Times New Roman"/>
                <w:sz w:val="10"/>
                <w:szCs w:val="10"/>
                <w:b w:val="1"/>
                <w:bCs w:val="1"/>
                <w:color w:val="005AFF"/>
              </w:rPr>
              <w:t>39.6</w:t>
            </w:r>
          </w:p>
        </w:tc>
        <w:tc>
          <w:tcPr>
            <w:tcW w:w="72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b w:val="1"/>
                <w:bCs w:val="1"/>
                <w:color w:val="auto"/>
              </w:rPr>
              <w:t>1 340</w:t>
            </w:r>
          </w:p>
        </w:tc>
        <w:tc>
          <w:tcPr>
            <w:tcW w:w="420" w:type="dxa"/>
            <w:vAlign w:val="bottom"/>
          </w:tcPr>
          <w:p>
            <w:pPr>
              <w:jc w:val="right"/>
              <w:ind w:right="13"/>
              <w:spacing w:after="0"/>
              <w:rPr>
                <w:sz w:val="20"/>
                <w:szCs w:val="20"/>
                <w:color w:val="auto"/>
              </w:rPr>
            </w:pPr>
            <w:r>
              <w:rPr>
                <w:rFonts w:ascii="Times New Roman" w:cs="Times New Roman" w:eastAsia="Times New Roman" w:hAnsi="Times New Roman"/>
                <w:sz w:val="10"/>
                <w:szCs w:val="10"/>
                <w:b w:val="1"/>
                <w:bCs w:val="1"/>
                <w:color w:val="auto"/>
              </w:rPr>
              <w:t>40.0</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(5)</w:t>
            </w:r>
          </w:p>
        </w:tc>
      </w:tr>
    </w:tbl>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Operating expenses</w:t>
      </w:r>
    </w:p>
    <w:p>
      <w:pPr>
        <w:spacing w:after="0" w:line="24" w:lineRule="exact"/>
        <w:rPr>
          <w:sz w:val="20"/>
          <w:szCs w:val="20"/>
          <w:color w:val="auto"/>
        </w:rPr>
      </w:pPr>
    </w:p>
    <w:p>
      <w:pPr>
        <w:spacing w:after="0"/>
        <w:tabs>
          <w:tab w:leader="none" w:pos="3840" w:val="left"/>
        </w:tabs>
        <w:rPr>
          <w:sz w:val="20"/>
          <w:szCs w:val="20"/>
          <w:color w:val="auto"/>
        </w:rPr>
      </w:pPr>
      <w:r>
        <w:rPr>
          <w:rFonts w:ascii="Times New Roman" w:cs="Times New Roman" w:eastAsia="Times New Roman" w:hAnsi="Times New Roman"/>
          <w:sz w:val="11"/>
          <w:szCs w:val="11"/>
          <w:color w:val="auto"/>
        </w:rPr>
        <w:t>Cloud and Network Services research and development expenses were EUR</w:t>
      </w:r>
      <w:r>
        <w:rPr>
          <w:sz w:val="20"/>
          <w:szCs w:val="20"/>
          <w:color w:val="auto"/>
        </w:rPr>
        <w:tab/>
      </w:r>
      <w:r>
        <w:rPr>
          <w:rFonts w:ascii="Times New Roman" w:cs="Times New Roman" w:eastAsia="Times New Roman" w:hAnsi="Times New Roman"/>
          <w:sz w:val="11"/>
          <w:szCs w:val="11"/>
          <w:color w:val="auto"/>
        </w:rPr>
        <w:t>577 million in 2023 ,</w:t>
      </w:r>
    </w:p>
    <w:p>
      <w:pPr>
        <w:spacing w:after="0" w:line="15" w:lineRule="exact"/>
        <w:rPr>
          <w:sz w:val="20"/>
          <w:szCs w:val="20"/>
          <w:color w:val="auto"/>
        </w:rPr>
      </w:pPr>
    </w:p>
    <w:p>
      <w:pPr>
        <w:ind w:right="340"/>
        <w:spacing w:after="0" w:line="259" w:lineRule="auto"/>
        <w:rPr>
          <w:sz w:val="20"/>
          <w:szCs w:val="20"/>
          <w:color w:val="auto"/>
        </w:rPr>
      </w:pPr>
      <w:r>
        <w:rPr>
          <w:rFonts w:ascii="Times New Roman" w:cs="Times New Roman" w:eastAsia="Times New Roman" w:hAnsi="Times New Roman"/>
          <w:sz w:val="11"/>
          <w:szCs w:val="11"/>
          <w:color w:val="auto"/>
        </w:rPr>
        <w:t>flat compared to EUR 577 million in 2022 . The flat research and development expenses largely reflected lower variable pay accruals in 2023 compared to 2022, the positive impact of foreign exchange rate fluctuations and continued discipline on cost control which offset the impact</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inflation.</w:t>
      </w:r>
    </w:p>
    <w:p>
      <w:pPr>
        <w:spacing w:after="0" w:line="84"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1"/>
          <w:szCs w:val="11"/>
          <w:color w:val="auto"/>
        </w:rPr>
        <w:t>Cloud and Network Services selling, general and administrative expenses were EUR 494 million in 2023 , a decrease of EUR 50 million, or 9%, compared to EUR 544 million in 2022 . The decrease in Cloud and Network Services selling, general and administrative expenses largely reflected lower variable pay accruals in 2023 compared to 2022, the positive impact of foreign exchange rate fluctuations and continued discipline on cost control which offset the impact</w:t>
      </w:r>
    </w:p>
    <w:p>
      <w:pPr>
        <w:spacing w:after="0" w:line="1" w:lineRule="exact"/>
        <w:rPr>
          <w:sz w:val="20"/>
          <w:szCs w:val="20"/>
          <w:color w:val="auto"/>
        </w:rPr>
      </w:pPr>
    </w:p>
    <w:p>
      <w:pPr>
        <w:sectPr>
          <w:pgSz w:w="11900" w:h="16838" w:orient="portrait"/>
          <w:cols w:equalWidth="0" w:num="2">
            <w:col w:w="4940" w:space="160"/>
            <w:col w:w="4880"/>
          </w:cols>
          <w:pgMar w:left="960" w:top="409" w:right="959" w:bottom="1440" w:gutter="0" w:footer="0" w:header="0"/>
          <w:type w:val="continuous"/>
        </w:sectPr>
      </w:pPr>
    </w:p>
    <w:tbl>
      <w:tblPr>
        <w:tblLayout w:type="fixed"/>
        <w:tblInd w:w="0" w:type="dxa"/>
        <w:tblCellMar>
          <w:top w:w="0" w:type="dxa"/>
          <w:left w:w="0" w:type="dxa"/>
          <w:bottom w:w="0" w:type="dxa"/>
          <w:right w:w="0" w:type="dxa"/>
        </w:tblCellMar>
      </w:tblPr>
      <w:tr>
        <w:trPr>
          <w:trHeight w:val="148"/>
        </w:trPr>
        <w:tc>
          <w:tcPr>
            <w:tcW w:w="20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660" w:type="dxa"/>
            <w:vAlign w:val="bottom"/>
          </w:tcPr>
          <w:p>
            <w:pPr>
              <w:jc w:val="right"/>
              <w:ind w:right="85"/>
              <w:spacing w:after="0"/>
              <w:rPr>
                <w:sz w:val="20"/>
                <w:szCs w:val="20"/>
                <w:color w:val="auto"/>
              </w:rPr>
            </w:pPr>
            <w:r>
              <w:rPr>
                <w:rFonts w:ascii="Times New Roman" w:cs="Times New Roman" w:eastAsia="Times New Roman" w:hAnsi="Times New Roman"/>
                <w:sz w:val="10"/>
                <w:szCs w:val="10"/>
                <w:color w:val="005AFF"/>
              </w:rPr>
              <w:t>(577)</w:t>
            </w:r>
          </w:p>
        </w:tc>
        <w:tc>
          <w:tcPr>
            <w:tcW w:w="540" w:type="dxa"/>
            <w:vAlign w:val="bottom"/>
          </w:tcPr>
          <w:p>
            <w:pPr>
              <w:jc w:val="right"/>
              <w:ind w:right="89"/>
              <w:spacing w:after="0"/>
              <w:rPr>
                <w:sz w:val="20"/>
                <w:szCs w:val="20"/>
                <w:color w:val="auto"/>
              </w:rPr>
            </w:pPr>
            <w:r>
              <w:rPr>
                <w:rFonts w:ascii="Times New Roman" w:cs="Times New Roman" w:eastAsia="Times New Roman" w:hAnsi="Times New Roman"/>
                <w:sz w:val="10"/>
                <w:szCs w:val="10"/>
                <w:color w:val="005AFF"/>
              </w:rPr>
              <w:t>(17.9)</w:t>
            </w:r>
          </w:p>
        </w:tc>
        <w:tc>
          <w:tcPr>
            <w:tcW w:w="560" w:type="dxa"/>
            <w:vAlign w:val="bottom"/>
          </w:tcPr>
          <w:p>
            <w:pPr>
              <w:jc w:val="right"/>
              <w:ind w:right="48"/>
              <w:spacing w:after="0"/>
              <w:rPr>
                <w:sz w:val="20"/>
                <w:szCs w:val="20"/>
                <w:color w:val="auto"/>
              </w:rPr>
            </w:pPr>
            <w:r>
              <w:rPr>
                <w:rFonts w:ascii="Times New Roman" w:cs="Times New Roman" w:eastAsia="Times New Roman" w:hAnsi="Times New Roman"/>
                <w:sz w:val="10"/>
                <w:szCs w:val="10"/>
                <w:color w:val="0D0D0D"/>
              </w:rPr>
              <w:t>(577)</w:t>
            </w:r>
          </w:p>
        </w:tc>
        <w:tc>
          <w:tcPr>
            <w:tcW w:w="860" w:type="dxa"/>
            <w:vAlign w:val="bottom"/>
            <w:gridSpan w:val="2"/>
          </w:tcPr>
          <w:p>
            <w:pPr>
              <w:jc w:val="right"/>
              <w:ind w:right="363"/>
              <w:spacing w:after="0"/>
              <w:rPr>
                <w:sz w:val="20"/>
                <w:szCs w:val="20"/>
                <w:color w:val="auto"/>
              </w:rPr>
            </w:pPr>
            <w:r>
              <w:rPr>
                <w:rFonts w:ascii="Times New Roman" w:cs="Times New Roman" w:eastAsia="Times New Roman" w:hAnsi="Times New Roman"/>
                <w:sz w:val="10"/>
                <w:szCs w:val="10"/>
                <w:color w:val="0D0D0D"/>
              </w:rPr>
              <w:t>(17.2)</w:t>
            </w:r>
          </w:p>
        </w:tc>
        <w:tc>
          <w:tcPr>
            <w:tcW w:w="28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9"/>
              </w:rPr>
              <w:t>—</w:t>
            </w:r>
          </w:p>
        </w:tc>
        <w:tc>
          <w:tcPr>
            <w:tcW w:w="20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of inflation.</w:t>
            </w: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3"/>
        </w:trPr>
        <w:tc>
          <w:tcPr>
            <w:tcW w:w="14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560" w:type="dxa"/>
            <w:vAlign w:val="bottom"/>
          </w:tcPr>
          <w:p>
            <w:pPr>
              <w:spacing w:after="0"/>
              <w:rPr>
                <w:sz w:val="12"/>
                <w:szCs w:val="12"/>
                <w:color w:val="auto"/>
              </w:rPr>
            </w:pPr>
          </w:p>
        </w:tc>
        <w:tc>
          <w:tcPr>
            <w:tcW w:w="66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56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52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356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auto"/>
              </w:rPr>
              <w:t>Cloud and Network Services other operating income and expenses was an</w:t>
            </w:r>
          </w:p>
        </w:tc>
        <w:tc>
          <w:tcPr>
            <w:tcW w:w="1340" w:type="dxa"/>
            <w:vAlign w:val="bottom"/>
            <w:vMerge w:val="restart"/>
          </w:tcPr>
          <w:p>
            <w:pPr>
              <w:ind w:left="380"/>
              <w:spacing w:after="0"/>
              <w:rPr>
                <w:sz w:val="20"/>
                <w:szCs w:val="20"/>
                <w:color w:val="auto"/>
              </w:rPr>
            </w:pPr>
            <w:r>
              <w:rPr>
                <w:rFonts w:ascii="Times New Roman" w:cs="Times New Roman" w:eastAsia="Times New Roman" w:hAnsi="Times New Roman"/>
                <w:sz w:val="11"/>
                <w:szCs w:val="11"/>
                <w:color w:val="auto"/>
              </w:rPr>
              <w:t>income of</w:t>
            </w:r>
          </w:p>
        </w:tc>
        <w:tc>
          <w:tcPr>
            <w:tcW w:w="0" w:type="dxa"/>
            <w:vAlign w:val="bottom"/>
          </w:tcPr>
          <w:p>
            <w:pPr>
              <w:spacing w:after="0"/>
              <w:rPr>
                <w:sz w:val="1"/>
                <w:szCs w:val="1"/>
                <w:color w:val="auto"/>
              </w:rPr>
            </w:pPr>
          </w:p>
        </w:tc>
      </w:tr>
      <w:tr>
        <w:trPr>
          <w:trHeight w:val="57"/>
        </w:trPr>
        <w:tc>
          <w:tcPr>
            <w:tcW w:w="148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560" w:type="dxa"/>
            <w:vAlign w:val="bottom"/>
          </w:tcPr>
          <w:p>
            <w:pPr>
              <w:spacing w:after="0"/>
              <w:rPr>
                <w:sz w:val="4"/>
                <w:szCs w:val="4"/>
                <w:color w:val="auto"/>
              </w:rPr>
            </w:pPr>
          </w:p>
        </w:tc>
        <w:tc>
          <w:tcPr>
            <w:tcW w:w="660" w:type="dxa"/>
            <w:vAlign w:val="bottom"/>
            <w:vMerge w:val="restart"/>
          </w:tcPr>
          <w:p>
            <w:pPr>
              <w:jc w:val="right"/>
              <w:ind w:right="85"/>
              <w:spacing w:after="0"/>
              <w:rPr>
                <w:sz w:val="20"/>
                <w:szCs w:val="20"/>
                <w:color w:val="auto"/>
              </w:rPr>
            </w:pPr>
            <w:r>
              <w:rPr>
                <w:rFonts w:ascii="Times New Roman" w:cs="Times New Roman" w:eastAsia="Times New Roman" w:hAnsi="Times New Roman"/>
                <w:sz w:val="10"/>
                <w:szCs w:val="10"/>
                <w:color w:val="005AFF"/>
              </w:rPr>
              <w:t>(494)</w:t>
            </w:r>
          </w:p>
        </w:tc>
        <w:tc>
          <w:tcPr>
            <w:tcW w:w="540" w:type="dxa"/>
            <w:vAlign w:val="bottom"/>
            <w:vMerge w:val="restart"/>
          </w:tcPr>
          <w:p>
            <w:pPr>
              <w:jc w:val="right"/>
              <w:ind w:right="89"/>
              <w:spacing w:after="0"/>
              <w:rPr>
                <w:sz w:val="20"/>
                <w:szCs w:val="20"/>
                <w:color w:val="auto"/>
              </w:rPr>
            </w:pPr>
            <w:r>
              <w:rPr>
                <w:rFonts w:ascii="Times New Roman" w:cs="Times New Roman" w:eastAsia="Times New Roman" w:hAnsi="Times New Roman"/>
                <w:sz w:val="10"/>
                <w:szCs w:val="10"/>
                <w:color w:val="005AFF"/>
              </w:rPr>
              <w:t>(15.3)</w:t>
            </w:r>
          </w:p>
        </w:tc>
        <w:tc>
          <w:tcPr>
            <w:tcW w:w="560" w:type="dxa"/>
            <w:vAlign w:val="bottom"/>
            <w:vMerge w:val="restart"/>
          </w:tcPr>
          <w:p>
            <w:pPr>
              <w:jc w:val="right"/>
              <w:ind w:right="48"/>
              <w:spacing w:after="0"/>
              <w:rPr>
                <w:sz w:val="20"/>
                <w:szCs w:val="20"/>
                <w:color w:val="auto"/>
              </w:rPr>
            </w:pPr>
            <w:r>
              <w:rPr>
                <w:rFonts w:ascii="Times New Roman" w:cs="Times New Roman" w:eastAsia="Times New Roman" w:hAnsi="Times New Roman"/>
                <w:sz w:val="10"/>
                <w:szCs w:val="10"/>
                <w:color w:val="0D0D0D"/>
              </w:rPr>
              <w:t>(544)</w:t>
            </w:r>
          </w:p>
        </w:tc>
        <w:tc>
          <w:tcPr>
            <w:tcW w:w="860" w:type="dxa"/>
            <w:vAlign w:val="bottom"/>
            <w:gridSpan w:val="2"/>
            <w:vMerge w:val="restart"/>
          </w:tcPr>
          <w:p>
            <w:pPr>
              <w:jc w:val="right"/>
              <w:ind w:right="363"/>
              <w:spacing w:after="0"/>
              <w:rPr>
                <w:sz w:val="20"/>
                <w:szCs w:val="20"/>
                <w:color w:val="auto"/>
              </w:rPr>
            </w:pPr>
            <w:r>
              <w:rPr>
                <w:rFonts w:ascii="Times New Roman" w:cs="Times New Roman" w:eastAsia="Times New Roman" w:hAnsi="Times New Roman"/>
                <w:sz w:val="10"/>
                <w:szCs w:val="10"/>
                <w:color w:val="0D0D0D"/>
              </w:rPr>
              <w:t>(16.2)</w:t>
            </w:r>
          </w:p>
        </w:tc>
        <w:tc>
          <w:tcPr>
            <w:tcW w:w="280" w:type="dxa"/>
            <w:vAlign w:val="bottom"/>
            <w:vMerge w:val="restart"/>
          </w:tcPr>
          <w:p>
            <w:pPr>
              <w:ind w:left="160"/>
              <w:spacing w:after="0"/>
              <w:rPr>
                <w:sz w:val="20"/>
                <w:szCs w:val="20"/>
                <w:color w:val="auto"/>
              </w:rPr>
            </w:pPr>
            <w:r>
              <w:rPr>
                <w:rFonts w:ascii="Times New Roman" w:cs="Times New Roman" w:eastAsia="Times New Roman" w:hAnsi="Times New Roman"/>
                <w:sz w:val="10"/>
                <w:szCs w:val="10"/>
                <w:color w:val="0D0D0D"/>
                <w:w w:val="85"/>
              </w:rPr>
              <w:t>(9)</w:t>
            </w:r>
          </w:p>
        </w:tc>
        <w:tc>
          <w:tcPr>
            <w:tcW w:w="3560" w:type="dxa"/>
            <w:vAlign w:val="bottom"/>
            <w:gridSpan w:val="3"/>
            <w:vMerge w:val="continue"/>
          </w:tcPr>
          <w:p>
            <w:pPr>
              <w:spacing w:after="0"/>
              <w:rPr>
                <w:sz w:val="4"/>
                <w:szCs w:val="4"/>
                <w:color w:val="auto"/>
              </w:rPr>
            </w:pPr>
          </w:p>
        </w:tc>
        <w:tc>
          <w:tcPr>
            <w:tcW w:w="134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3"/>
        </w:trPr>
        <w:tc>
          <w:tcPr>
            <w:tcW w:w="1480" w:type="dxa"/>
            <w:vAlign w:val="bottom"/>
            <w:vMerge w:val="continue"/>
          </w:tcPr>
          <w:p>
            <w:pPr>
              <w:spacing w:after="0"/>
              <w:rPr>
                <w:sz w:val="6"/>
                <w:szCs w:val="6"/>
                <w:color w:val="auto"/>
              </w:rPr>
            </w:pPr>
          </w:p>
        </w:tc>
        <w:tc>
          <w:tcPr>
            <w:tcW w:w="560" w:type="dxa"/>
            <w:vAlign w:val="bottom"/>
          </w:tcPr>
          <w:p>
            <w:pPr>
              <w:spacing w:after="0"/>
              <w:rPr>
                <w:sz w:val="6"/>
                <w:szCs w:val="6"/>
                <w:color w:val="auto"/>
              </w:rPr>
            </w:pPr>
          </w:p>
        </w:tc>
        <w:tc>
          <w:tcPr>
            <w:tcW w:w="660" w:type="dxa"/>
            <w:vAlign w:val="bottom"/>
            <w:vMerge w:val="continue"/>
          </w:tcPr>
          <w:p>
            <w:pPr>
              <w:spacing w:after="0"/>
              <w:rPr>
                <w:sz w:val="6"/>
                <w:szCs w:val="6"/>
                <w:color w:val="auto"/>
              </w:rPr>
            </w:pPr>
          </w:p>
        </w:tc>
        <w:tc>
          <w:tcPr>
            <w:tcW w:w="540" w:type="dxa"/>
            <w:vAlign w:val="bottom"/>
            <w:vMerge w:val="continue"/>
          </w:tcPr>
          <w:p>
            <w:pPr>
              <w:spacing w:after="0"/>
              <w:rPr>
                <w:sz w:val="6"/>
                <w:szCs w:val="6"/>
                <w:color w:val="auto"/>
              </w:rPr>
            </w:pPr>
          </w:p>
        </w:tc>
        <w:tc>
          <w:tcPr>
            <w:tcW w:w="560" w:type="dxa"/>
            <w:vAlign w:val="bottom"/>
            <w:vMerge w:val="continue"/>
          </w:tcPr>
          <w:p>
            <w:pPr>
              <w:spacing w:after="0"/>
              <w:rPr>
                <w:sz w:val="6"/>
                <w:szCs w:val="6"/>
                <w:color w:val="auto"/>
              </w:rPr>
            </w:pPr>
          </w:p>
        </w:tc>
        <w:tc>
          <w:tcPr>
            <w:tcW w:w="860" w:type="dxa"/>
            <w:vAlign w:val="bottom"/>
            <w:gridSpan w:val="2"/>
            <w:vMerge w:val="continue"/>
          </w:tcPr>
          <w:p>
            <w:pPr>
              <w:spacing w:after="0"/>
              <w:rPr>
                <w:sz w:val="6"/>
                <w:szCs w:val="6"/>
                <w:color w:val="auto"/>
              </w:rPr>
            </w:pPr>
          </w:p>
        </w:tc>
        <w:tc>
          <w:tcPr>
            <w:tcW w:w="280" w:type="dxa"/>
            <w:vAlign w:val="bottom"/>
            <w:vMerge w:val="continue"/>
          </w:tcPr>
          <w:p>
            <w:pPr>
              <w:spacing w:after="0"/>
              <w:rPr>
                <w:sz w:val="6"/>
                <w:szCs w:val="6"/>
                <w:color w:val="auto"/>
              </w:rPr>
            </w:pPr>
          </w:p>
        </w:tc>
        <w:tc>
          <w:tcPr>
            <w:tcW w:w="356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auto"/>
              </w:rPr>
              <w:t>EUR50 million in 2023 , a change of EUR 92 million compared to an</w:t>
            </w:r>
          </w:p>
        </w:tc>
        <w:tc>
          <w:tcPr>
            <w:tcW w:w="1340" w:type="dxa"/>
            <w:vAlign w:val="bottom"/>
            <w:vMerge w:val="restart"/>
          </w:tcPr>
          <w:p>
            <w:pPr>
              <w:ind w:left="20"/>
              <w:spacing w:after="0"/>
              <w:rPr>
                <w:sz w:val="20"/>
                <w:szCs w:val="20"/>
                <w:color w:val="auto"/>
              </w:rPr>
            </w:pPr>
            <w:r>
              <w:rPr>
                <w:rFonts w:ascii="Times New Roman" w:cs="Times New Roman" w:eastAsia="Times New Roman" w:hAnsi="Times New Roman"/>
                <w:sz w:val="11"/>
                <w:szCs w:val="11"/>
                <w:color w:val="auto"/>
              </w:rPr>
              <w:t>expense  of EUR 42 million</w:t>
            </w:r>
          </w:p>
        </w:tc>
        <w:tc>
          <w:tcPr>
            <w:tcW w:w="0" w:type="dxa"/>
            <w:vAlign w:val="bottom"/>
          </w:tcPr>
          <w:p>
            <w:pPr>
              <w:spacing w:after="0"/>
              <w:rPr>
                <w:sz w:val="1"/>
                <w:szCs w:val="1"/>
                <w:color w:val="auto"/>
              </w:rPr>
            </w:pPr>
          </w:p>
        </w:tc>
      </w:tr>
      <w:tr>
        <w:trPr>
          <w:trHeight w:val="68"/>
        </w:trPr>
        <w:tc>
          <w:tcPr>
            <w:tcW w:w="204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660" w:type="dxa"/>
            <w:vAlign w:val="bottom"/>
            <w:vMerge w:val="restart"/>
          </w:tcPr>
          <w:p>
            <w:pPr>
              <w:jc w:val="right"/>
              <w:ind w:right="105"/>
              <w:spacing w:after="0"/>
              <w:rPr>
                <w:sz w:val="20"/>
                <w:szCs w:val="20"/>
                <w:color w:val="auto"/>
              </w:rPr>
            </w:pPr>
            <w:r>
              <w:rPr>
                <w:rFonts w:ascii="Times New Roman" w:cs="Times New Roman" w:eastAsia="Times New Roman" w:hAnsi="Times New Roman"/>
                <w:sz w:val="10"/>
                <w:szCs w:val="10"/>
                <w:color w:val="005AFF"/>
              </w:rPr>
              <w:t>50</w:t>
            </w:r>
          </w:p>
        </w:tc>
        <w:tc>
          <w:tcPr>
            <w:tcW w:w="540" w:type="dxa"/>
            <w:vAlign w:val="bottom"/>
            <w:vMerge w:val="restart"/>
          </w:tcPr>
          <w:p>
            <w:pPr>
              <w:jc w:val="right"/>
              <w:ind w:right="129"/>
              <w:spacing w:after="0"/>
              <w:rPr>
                <w:sz w:val="20"/>
                <w:szCs w:val="20"/>
                <w:color w:val="auto"/>
              </w:rPr>
            </w:pPr>
            <w:r>
              <w:rPr>
                <w:rFonts w:ascii="Times New Roman" w:cs="Times New Roman" w:eastAsia="Times New Roman" w:hAnsi="Times New Roman"/>
                <w:sz w:val="10"/>
                <w:szCs w:val="10"/>
                <w:color w:val="005AFF"/>
              </w:rPr>
              <w:t>1.6</w:t>
            </w:r>
          </w:p>
        </w:tc>
        <w:tc>
          <w:tcPr>
            <w:tcW w:w="560" w:type="dxa"/>
            <w:vAlign w:val="bottom"/>
            <w:vMerge w:val="restart"/>
          </w:tcPr>
          <w:p>
            <w:pPr>
              <w:jc w:val="right"/>
              <w:ind w:right="28"/>
              <w:spacing w:after="0"/>
              <w:rPr>
                <w:sz w:val="20"/>
                <w:szCs w:val="20"/>
                <w:color w:val="auto"/>
              </w:rPr>
            </w:pPr>
            <w:r>
              <w:rPr>
                <w:rFonts w:ascii="Times New Roman" w:cs="Times New Roman" w:eastAsia="Times New Roman" w:hAnsi="Times New Roman"/>
                <w:sz w:val="10"/>
                <w:szCs w:val="10"/>
                <w:color w:val="0D0D0D"/>
              </w:rPr>
              <w:t>(42)</w:t>
            </w:r>
          </w:p>
        </w:tc>
        <w:tc>
          <w:tcPr>
            <w:tcW w:w="860" w:type="dxa"/>
            <w:vAlign w:val="bottom"/>
            <w:gridSpan w:val="2"/>
            <w:vMerge w:val="restart"/>
          </w:tcPr>
          <w:p>
            <w:pPr>
              <w:jc w:val="right"/>
              <w:ind w:right="363"/>
              <w:spacing w:after="0"/>
              <w:rPr>
                <w:sz w:val="20"/>
                <w:szCs w:val="20"/>
                <w:color w:val="auto"/>
              </w:rPr>
            </w:pPr>
            <w:r>
              <w:rPr>
                <w:rFonts w:ascii="Times New Roman" w:cs="Times New Roman" w:eastAsia="Times New Roman" w:hAnsi="Times New Roman"/>
                <w:sz w:val="10"/>
                <w:szCs w:val="10"/>
                <w:color w:val="0D0D0D"/>
              </w:rPr>
              <w:t>(1.3)</w:t>
            </w:r>
          </w:p>
        </w:tc>
        <w:tc>
          <w:tcPr>
            <w:tcW w:w="28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(219)</w:t>
            </w:r>
          </w:p>
        </w:tc>
        <w:tc>
          <w:tcPr>
            <w:tcW w:w="3560" w:type="dxa"/>
            <w:vAlign w:val="bottom"/>
            <w:gridSpan w:val="3"/>
            <w:vMerge w:val="continue"/>
          </w:tcPr>
          <w:p>
            <w:pPr>
              <w:spacing w:after="0"/>
              <w:rPr>
                <w:sz w:val="5"/>
                <w:szCs w:val="5"/>
                <w:color w:val="auto"/>
              </w:rPr>
            </w:pPr>
          </w:p>
        </w:tc>
        <w:tc>
          <w:tcPr>
            <w:tcW w:w="13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104"/>
        </w:trPr>
        <w:tc>
          <w:tcPr>
            <w:tcW w:w="2040" w:type="dxa"/>
            <w:vAlign w:val="bottom"/>
            <w:tcBorders>
              <w:bottom w:val="single" w:sz="8" w:color="005AFF"/>
            </w:tcBorders>
            <w:gridSpan w:val="2"/>
            <w:vMerge w:val="continue"/>
          </w:tcPr>
          <w:p>
            <w:pPr>
              <w:spacing w:after="0"/>
              <w:rPr>
                <w:sz w:val="8"/>
                <w:szCs w:val="8"/>
                <w:color w:val="auto"/>
              </w:rPr>
            </w:pPr>
          </w:p>
        </w:tc>
        <w:tc>
          <w:tcPr>
            <w:tcW w:w="660" w:type="dxa"/>
            <w:vAlign w:val="bottom"/>
            <w:tcBorders>
              <w:bottom w:val="single" w:sz="8" w:color="005AFF"/>
            </w:tcBorders>
            <w:vMerge w:val="continue"/>
          </w:tcPr>
          <w:p>
            <w:pPr>
              <w:spacing w:after="0"/>
              <w:rPr>
                <w:sz w:val="8"/>
                <w:szCs w:val="8"/>
                <w:color w:val="auto"/>
              </w:rPr>
            </w:pPr>
          </w:p>
        </w:tc>
        <w:tc>
          <w:tcPr>
            <w:tcW w:w="540" w:type="dxa"/>
            <w:vAlign w:val="bottom"/>
            <w:tcBorders>
              <w:bottom w:val="single" w:sz="8" w:color="005AFF"/>
            </w:tcBorders>
            <w:vMerge w:val="continue"/>
          </w:tcPr>
          <w:p>
            <w:pPr>
              <w:spacing w:after="0"/>
              <w:rPr>
                <w:sz w:val="8"/>
                <w:szCs w:val="8"/>
                <w:color w:val="auto"/>
              </w:rPr>
            </w:pPr>
          </w:p>
        </w:tc>
        <w:tc>
          <w:tcPr>
            <w:tcW w:w="560" w:type="dxa"/>
            <w:vAlign w:val="bottom"/>
            <w:tcBorders>
              <w:bottom w:val="single" w:sz="8" w:color="005AFF"/>
            </w:tcBorders>
            <w:vMerge w:val="continue"/>
          </w:tcPr>
          <w:p>
            <w:pPr>
              <w:spacing w:after="0"/>
              <w:rPr>
                <w:sz w:val="8"/>
                <w:szCs w:val="8"/>
                <w:color w:val="auto"/>
              </w:rPr>
            </w:pPr>
          </w:p>
        </w:tc>
        <w:tc>
          <w:tcPr>
            <w:tcW w:w="860" w:type="dxa"/>
            <w:vAlign w:val="bottom"/>
            <w:tcBorders>
              <w:bottom w:val="single" w:sz="8" w:color="005AFF"/>
            </w:tcBorders>
            <w:gridSpan w:val="2"/>
            <w:vMerge w:val="continue"/>
          </w:tcPr>
          <w:p>
            <w:pPr>
              <w:spacing w:after="0"/>
              <w:rPr>
                <w:sz w:val="8"/>
                <w:szCs w:val="8"/>
                <w:color w:val="auto"/>
              </w:rPr>
            </w:pPr>
          </w:p>
        </w:tc>
        <w:tc>
          <w:tcPr>
            <w:tcW w:w="280" w:type="dxa"/>
            <w:vAlign w:val="bottom"/>
            <w:tcBorders>
              <w:bottom w:val="single" w:sz="8" w:color="005AFF"/>
            </w:tcBorders>
            <w:vMerge w:val="continue"/>
          </w:tcPr>
          <w:p>
            <w:pPr>
              <w:spacing w:after="0"/>
              <w:rPr>
                <w:sz w:val="8"/>
                <w:szCs w:val="8"/>
                <w:color w:val="auto"/>
              </w:rPr>
            </w:pPr>
          </w:p>
        </w:tc>
        <w:tc>
          <w:tcPr>
            <w:tcW w:w="4900" w:type="dxa"/>
            <w:vAlign w:val="bottom"/>
            <w:gridSpan w:val="4"/>
          </w:tcPr>
          <w:p>
            <w:pPr>
              <w:ind w:left="160"/>
              <w:spacing w:after="0" w:line="94" w:lineRule="exact"/>
              <w:rPr>
                <w:sz w:val="20"/>
                <w:szCs w:val="20"/>
                <w:color w:val="auto"/>
              </w:rPr>
            </w:pPr>
            <w:r>
              <w:rPr>
                <w:rFonts w:ascii="Times New Roman" w:cs="Times New Roman" w:eastAsia="Times New Roman" w:hAnsi="Times New Roman"/>
                <w:sz w:val="10"/>
                <w:szCs w:val="10"/>
                <w:color w:val="auto"/>
              </w:rPr>
              <w:t>in 2022 . The change in other operating income and expenses was primarily due to the positive</w:t>
            </w:r>
          </w:p>
        </w:tc>
        <w:tc>
          <w:tcPr>
            <w:tcW w:w="0" w:type="dxa"/>
            <w:vAlign w:val="bottom"/>
          </w:tcPr>
          <w:p>
            <w:pPr>
              <w:spacing w:after="0"/>
              <w:rPr>
                <w:sz w:val="1"/>
                <w:szCs w:val="1"/>
                <w:color w:val="auto"/>
              </w:rPr>
            </w:pPr>
          </w:p>
        </w:tc>
      </w:tr>
      <w:tr>
        <w:trPr>
          <w:trHeight w:val="147"/>
        </w:trPr>
        <w:tc>
          <w:tcPr>
            <w:tcW w:w="14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56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tcPr>
          <w:p>
            <w:pPr>
              <w:jc w:val="right"/>
              <w:ind w:right="125"/>
              <w:spacing w:after="0"/>
              <w:rPr>
                <w:sz w:val="20"/>
                <w:szCs w:val="20"/>
                <w:color w:val="auto"/>
              </w:rPr>
            </w:pPr>
            <w:r>
              <w:rPr>
                <w:rFonts w:ascii="Times New Roman" w:cs="Times New Roman" w:eastAsia="Times New Roman" w:hAnsi="Times New Roman"/>
                <w:sz w:val="10"/>
                <w:szCs w:val="10"/>
                <w:b w:val="1"/>
                <w:bCs w:val="1"/>
                <w:color w:val="005AFF"/>
              </w:rPr>
              <w:t>255</w:t>
            </w:r>
          </w:p>
        </w:tc>
        <w:tc>
          <w:tcPr>
            <w:tcW w:w="540" w:type="dxa"/>
            <w:vAlign w:val="bottom"/>
            <w:tcBorders>
              <w:bottom w:val="single" w:sz="8" w:color="005AFF"/>
            </w:tcBorders>
          </w:tcPr>
          <w:p>
            <w:pPr>
              <w:jc w:val="right"/>
              <w:ind w:right="129"/>
              <w:spacing w:after="0"/>
              <w:rPr>
                <w:sz w:val="20"/>
                <w:szCs w:val="20"/>
                <w:color w:val="auto"/>
              </w:rPr>
            </w:pPr>
            <w:r>
              <w:rPr>
                <w:rFonts w:ascii="Times New Roman" w:cs="Times New Roman" w:eastAsia="Times New Roman" w:hAnsi="Times New Roman"/>
                <w:sz w:val="10"/>
                <w:szCs w:val="10"/>
                <w:b w:val="1"/>
                <w:bCs w:val="1"/>
                <w:color w:val="005AFF"/>
              </w:rPr>
              <w:t>7.9</w:t>
            </w:r>
          </w:p>
        </w:tc>
        <w:tc>
          <w:tcPr>
            <w:tcW w:w="560" w:type="dxa"/>
            <w:vAlign w:val="bottom"/>
            <w:tcBorders>
              <w:bottom w:val="single" w:sz="8" w:color="005AFF"/>
            </w:tcBorders>
          </w:tcPr>
          <w:p>
            <w:pPr>
              <w:jc w:val="right"/>
              <w:ind w:right="88"/>
              <w:spacing w:after="0"/>
              <w:rPr>
                <w:sz w:val="20"/>
                <w:szCs w:val="20"/>
                <w:color w:val="auto"/>
              </w:rPr>
            </w:pPr>
            <w:r>
              <w:rPr>
                <w:rFonts w:ascii="Times New Roman" w:cs="Times New Roman" w:eastAsia="Times New Roman" w:hAnsi="Times New Roman"/>
                <w:sz w:val="10"/>
                <w:szCs w:val="10"/>
                <w:b w:val="1"/>
                <w:bCs w:val="1"/>
                <w:color w:val="auto"/>
              </w:rPr>
              <w:t>177</w:t>
            </w:r>
          </w:p>
        </w:tc>
        <w:tc>
          <w:tcPr>
            <w:tcW w:w="860" w:type="dxa"/>
            <w:vAlign w:val="bottom"/>
            <w:tcBorders>
              <w:bottom w:val="single" w:sz="8" w:color="005AFF"/>
            </w:tcBorders>
            <w:gridSpan w:val="2"/>
          </w:tcPr>
          <w:p>
            <w:pPr>
              <w:jc w:val="right"/>
              <w:ind w:right="403"/>
              <w:spacing w:after="0"/>
              <w:rPr>
                <w:sz w:val="20"/>
                <w:szCs w:val="20"/>
                <w:color w:val="auto"/>
              </w:rPr>
            </w:pPr>
            <w:r>
              <w:rPr>
                <w:rFonts w:ascii="Times New Roman" w:cs="Times New Roman" w:eastAsia="Times New Roman" w:hAnsi="Times New Roman"/>
                <w:sz w:val="10"/>
                <w:szCs w:val="10"/>
                <w:b w:val="1"/>
                <w:bCs w:val="1"/>
                <w:color w:val="auto"/>
              </w:rPr>
              <w:t>5.3</w:t>
            </w:r>
          </w:p>
        </w:tc>
        <w:tc>
          <w:tcPr>
            <w:tcW w:w="28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b w:val="1"/>
                <w:bCs w:val="1"/>
                <w:color w:val="auto"/>
              </w:rPr>
              <w:t>44</w:t>
            </w:r>
          </w:p>
        </w:tc>
        <w:tc>
          <w:tcPr>
            <w:tcW w:w="356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impact from foreign exchange hedging and the sale of digital assets.</w:t>
            </w: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02"/>
        </w:trPr>
        <w:tc>
          <w:tcPr>
            <w:tcW w:w="148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Net sales</w:t>
            </w:r>
          </w:p>
        </w:tc>
        <w:tc>
          <w:tcPr>
            <w:tcW w:w="560" w:type="dxa"/>
            <w:vAlign w:val="bottom"/>
          </w:tcPr>
          <w:p>
            <w:pPr>
              <w:spacing w:after="0"/>
              <w:rPr>
                <w:sz w:val="17"/>
                <w:szCs w:val="17"/>
                <w:color w:val="auto"/>
              </w:rPr>
            </w:pPr>
          </w:p>
        </w:tc>
        <w:tc>
          <w:tcPr>
            <w:tcW w:w="660" w:type="dxa"/>
            <w:vAlign w:val="bottom"/>
          </w:tcPr>
          <w:p>
            <w:pPr>
              <w:spacing w:after="0"/>
              <w:rPr>
                <w:sz w:val="17"/>
                <w:szCs w:val="17"/>
                <w:color w:val="auto"/>
              </w:rPr>
            </w:pPr>
          </w:p>
        </w:tc>
        <w:tc>
          <w:tcPr>
            <w:tcW w:w="540" w:type="dxa"/>
            <w:vAlign w:val="bottom"/>
          </w:tcPr>
          <w:p>
            <w:pPr>
              <w:spacing w:after="0"/>
              <w:rPr>
                <w:sz w:val="17"/>
                <w:szCs w:val="17"/>
                <w:color w:val="auto"/>
              </w:rPr>
            </w:pPr>
          </w:p>
        </w:tc>
        <w:tc>
          <w:tcPr>
            <w:tcW w:w="560" w:type="dxa"/>
            <w:vAlign w:val="bottom"/>
          </w:tcPr>
          <w:p>
            <w:pPr>
              <w:spacing w:after="0"/>
              <w:rPr>
                <w:sz w:val="17"/>
                <w:szCs w:val="17"/>
                <w:color w:val="auto"/>
              </w:rPr>
            </w:pPr>
          </w:p>
        </w:tc>
        <w:tc>
          <w:tcPr>
            <w:tcW w:w="340" w:type="dxa"/>
            <w:vAlign w:val="bottom"/>
          </w:tcPr>
          <w:p>
            <w:pPr>
              <w:spacing w:after="0"/>
              <w:rPr>
                <w:sz w:val="17"/>
                <w:szCs w:val="17"/>
                <w:color w:val="auto"/>
              </w:rPr>
            </w:pPr>
          </w:p>
        </w:tc>
        <w:tc>
          <w:tcPr>
            <w:tcW w:w="520" w:type="dxa"/>
            <w:vAlign w:val="bottom"/>
          </w:tcPr>
          <w:p>
            <w:pPr>
              <w:spacing w:after="0"/>
              <w:rPr>
                <w:sz w:val="17"/>
                <w:szCs w:val="17"/>
                <w:color w:val="auto"/>
              </w:rPr>
            </w:pPr>
          </w:p>
        </w:tc>
        <w:tc>
          <w:tcPr>
            <w:tcW w:w="280" w:type="dxa"/>
            <w:vAlign w:val="bottom"/>
          </w:tcPr>
          <w:p>
            <w:pPr>
              <w:spacing w:after="0"/>
              <w:rPr>
                <w:sz w:val="17"/>
                <w:szCs w:val="17"/>
                <w:color w:val="auto"/>
              </w:rPr>
            </w:pPr>
          </w:p>
        </w:tc>
        <w:tc>
          <w:tcPr>
            <w:tcW w:w="2060" w:type="dxa"/>
            <w:vAlign w:val="bottom"/>
          </w:tcPr>
          <w:p>
            <w:pPr>
              <w:ind w:left="160"/>
              <w:spacing w:after="0"/>
              <w:rPr>
                <w:sz w:val="20"/>
                <w:szCs w:val="20"/>
                <w:color w:val="auto"/>
              </w:rPr>
            </w:pPr>
            <w:r>
              <w:rPr>
                <w:rFonts w:ascii="Times New Roman" w:cs="Times New Roman" w:eastAsia="Times New Roman" w:hAnsi="Times New Roman"/>
                <w:sz w:val="11"/>
                <w:szCs w:val="11"/>
                <w:b w:val="1"/>
                <w:bCs w:val="1"/>
                <w:color w:val="6F6E6E"/>
              </w:rPr>
              <w:t>Operating profit</w:t>
            </w:r>
          </w:p>
        </w:tc>
        <w:tc>
          <w:tcPr>
            <w:tcW w:w="820" w:type="dxa"/>
            <w:vAlign w:val="bottom"/>
          </w:tcPr>
          <w:p>
            <w:pPr>
              <w:spacing w:after="0"/>
              <w:rPr>
                <w:sz w:val="17"/>
                <w:szCs w:val="17"/>
                <w:color w:val="auto"/>
              </w:rPr>
            </w:pPr>
          </w:p>
        </w:tc>
        <w:tc>
          <w:tcPr>
            <w:tcW w:w="2020" w:type="dxa"/>
            <w:vAlign w:val="bottom"/>
            <w:gridSpan w:val="2"/>
            <w:vMerge w:val="restart"/>
          </w:tcPr>
          <w:p>
            <w:pPr>
              <w:ind w:left="20"/>
              <w:spacing w:after="0"/>
              <w:rPr>
                <w:sz w:val="20"/>
                <w:szCs w:val="20"/>
                <w:color w:val="auto"/>
              </w:rPr>
            </w:pPr>
            <w:r>
              <w:rPr>
                <w:rFonts w:ascii="Times New Roman" w:cs="Times New Roman" w:eastAsia="Times New Roman" w:hAnsi="Times New Roman"/>
                <w:sz w:val="11"/>
                <w:szCs w:val="11"/>
                <w:color w:val="auto"/>
              </w:rPr>
              <w:t>255 million in 2023 , an increase  of</w:t>
            </w:r>
          </w:p>
        </w:tc>
        <w:tc>
          <w:tcPr>
            <w:tcW w:w="0" w:type="dxa"/>
            <w:vAlign w:val="bottom"/>
          </w:tcPr>
          <w:p>
            <w:pPr>
              <w:spacing w:after="0"/>
              <w:rPr>
                <w:sz w:val="1"/>
                <w:szCs w:val="1"/>
                <w:color w:val="auto"/>
              </w:rPr>
            </w:pPr>
          </w:p>
        </w:tc>
      </w:tr>
      <w:tr>
        <w:trPr>
          <w:trHeight w:val="139"/>
        </w:trPr>
        <w:tc>
          <w:tcPr>
            <w:tcW w:w="204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Cloud and Network Services net sales in</w:t>
            </w:r>
          </w:p>
        </w:tc>
        <w:tc>
          <w:tcPr>
            <w:tcW w:w="210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2023 were EUR 3 220 million, a decrease</w:t>
            </w:r>
          </w:p>
        </w:tc>
        <w:tc>
          <w:tcPr>
            <w:tcW w:w="520" w:type="dxa"/>
            <w:vAlign w:val="bottom"/>
            <w:vMerge w:val="restart"/>
          </w:tcPr>
          <w:p>
            <w:pPr>
              <w:jc w:val="right"/>
              <w:ind w:right="363"/>
              <w:spacing w:after="0"/>
              <w:rPr>
                <w:sz w:val="20"/>
                <w:szCs w:val="20"/>
                <w:color w:val="auto"/>
              </w:rPr>
            </w:pPr>
            <w:r>
              <w:rPr>
                <w:rFonts w:ascii="Times New Roman" w:cs="Times New Roman" w:eastAsia="Times New Roman" w:hAnsi="Times New Roman"/>
                <w:sz w:val="11"/>
                <w:szCs w:val="11"/>
                <w:color w:val="auto"/>
                <w:w w:val="86"/>
              </w:rPr>
              <w:t>of</w:t>
            </w:r>
          </w:p>
        </w:tc>
        <w:tc>
          <w:tcPr>
            <w:tcW w:w="280" w:type="dxa"/>
            <w:vAlign w:val="bottom"/>
          </w:tcPr>
          <w:p>
            <w:pPr>
              <w:spacing w:after="0"/>
              <w:rPr>
                <w:sz w:val="12"/>
                <w:szCs w:val="12"/>
                <w:color w:val="auto"/>
              </w:rPr>
            </w:pPr>
          </w:p>
        </w:tc>
        <w:tc>
          <w:tcPr>
            <w:tcW w:w="2880" w:type="dxa"/>
            <w:vAlign w:val="bottom"/>
            <w:gridSpan w:val="2"/>
          </w:tcPr>
          <w:p>
            <w:pPr>
              <w:ind w:left="160"/>
              <w:spacing w:after="0"/>
              <w:rPr>
                <w:sz w:val="20"/>
                <w:szCs w:val="20"/>
                <w:color w:val="auto"/>
              </w:rPr>
            </w:pPr>
            <w:r>
              <w:rPr>
                <w:rFonts w:ascii="Times New Roman" w:cs="Times New Roman" w:eastAsia="Times New Roman" w:hAnsi="Times New Roman"/>
                <w:sz w:val="11"/>
                <w:szCs w:val="11"/>
                <w:color w:val="auto"/>
              </w:rPr>
              <w:t>Cloud and Network Services operating profit was EUR</w:t>
            </w:r>
          </w:p>
        </w:tc>
        <w:tc>
          <w:tcPr>
            <w:tcW w:w="2020" w:type="dxa"/>
            <w:vAlign w:val="bottom"/>
            <w:gridSpan w:val="2"/>
            <w:vMerge w:val="continue"/>
          </w:tcPr>
          <w:p>
            <w:pPr>
              <w:spacing w:after="0"/>
              <w:rPr>
                <w:sz w:val="12"/>
                <w:szCs w:val="12"/>
                <w:color w:val="auto"/>
              </w:rPr>
            </w:pPr>
          </w:p>
        </w:tc>
        <w:tc>
          <w:tcPr>
            <w:tcW w:w="0" w:type="dxa"/>
            <w:vAlign w:val="bottom"/>
          </w:tcPr>
          <w:p>
            <w:pPr>
              <w:spacing w:after="0"/>
              <w:rPr>
                <w:sz w:val="1"/>
                <w:szCs w:val="1"/>
                <w:color w:val="auto"/>
              </w:rPr>
            </w:pPr>
          </w:p>
        </w:tc>
      </w:tr>
      <w:tr>
        <w:trPr>
          <w:trHeight w:val="30"/>
        </w:trPr>
        <w:tc>
          <w:tcPr>
            <w:tcW w:w="2040" w:type="dxa"/>
            <w:vAlign w:val="bottom"/>
            <w:gridSpan w:val="2"/>
            <w:vMerge w:val="continue"/>
          </w:tcPr>
          <w:p>
            <w:pPr>
              <w:spacing w:after="0"/>
              <w:rPr>
                <w:sz w:val="2"/>
                <w:szCs w:val="2"/>
                <w:color w:val="auto"/>
              </w:rPr>
            </w:pPr>
          </w:p>
        </w:tc>
        <w:tc>
          <w:tcPr>
            <w:tcW w:w="2100" w:type="dxa"/>
            <w:vAlign w:val="bottom"/>
            <w:gridSpan w:val="4"/>
            <w:vMerge w:val="continue"/>
          </w:tcPr>
          <w:p>
            <w:pPr>
              <w:spacing w:after="0"/>
              <w:rPr>
                <w:sz w:val="2"/>
                <w:szCs w:val="2"/>
                <w:color w:val="auto"/>
              </w:rPr>
            </w:pPr>
          </w:p>
        </w:tc>
        <w:tc>
          <w:tcPr>
            <w:tcW w:w="520" w:type="dxa"/>
            <w:vAlign w:val="bottom"/>
            <w:vMerge w:val="continue"/>
          </w:tcPr>
          <w:p>
            <w:pPr>
              <w:spacing w:after="0"/>
              <w:rPr>
                <w:sz w:val="2"/>
                <w:szCs w:val="2"/>
                <w:color w:val="auto"/>
              </w:rPr>
            </w:pPr>
          </w:p>
        </w:tc>
        <w:tc>
          <w:tcPr>
            <w:tcW w:w="280" w:type="dxa"/>
            <w:vAlign w:val="bottom"/>
          </w:tcPr>
          <w:p>
            <w:pPr>
              <w:spacing w:after="0"/>
              <w:rPr>
                <w:sz w:val="2"/>
                <w:szCs w:val="2"/>
                <w:color w:val="auto"/>
              </w:rPr>
            </w:pPr>
          </w:p>
        </w:tc>
        <w:tc>
          <w:tcPr>
            <w:tcW w:w="20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EUR78 million, compared to EUR  177</w:t>
            </w:r>
          </w:p>
        </w:tc>
        <w:tc>
          <w:tcPr>
            <w:tcW w:w="2840" w:type="dxa"/>
            <w:vAlign w:val="bottom"/>
            <w:gridSpan w:val="3"/>
            <w:vMerge w:val="restart"/>
          </w:tcPr>
          <w:p>
            <w:pPr>
              <w:ind w:left="40"/>
              <w:spacing w:after="0"/>
              <w:rPr>
                <w:sz w:val="20"/>
                <w:szCs w:val="20"/>
                <w:color w:val="auto"/>
              </w:rPr>
            </w:pPr>
            <w:r>
              <w:rPr>
                <w:rFonts w:ascii="Times New Roman" w:cs="Times New Roman" w:eastAsia="Times New Roman" w:hAnsi="Times New Roman"/>
                <w:sz w:val="11"/>
                <w:szCs w:val="11"/>
                <w:color w:val="auto"/>
              </w:rPr>
              <w:t>million in 2022 . Cloud and Network Services operating</w:t>
            </w:r>
          </w:p>
        </w:tc>
        <w:tc>
          <w:tcPr>
            <w:tcW w:w="0" w:type="dxa"/>
            <w:vAlign w:val="bottom"/>
          </w:tcPr>
          <w:p>
            <w:pPr>
              <w:spacing w:after="0" w:line="20" w:lineRule="exact"/>
              <w:rPr>
                <w:sz w:val="1"/>
                <w:szCs w:val="1"/>
                <w:color w:val="auto"/>
              </w:rPr>
            </w:pPr>
          </w:p>
        </w:tc>
      </w:tr>
      <w:tr>
        <w:trPr>
          <w:trHeight w:val="114"/>
        </w:trPr>
        <w:tc>
          <w:tcPr>
            <w:tcW w:w="2040" w:type="dxa"/>
            <w:vAlign w:val="bottom"/>
            <w:gridSpan w:val="2"/>
          </w:tcPr>
          <w:p>
            <w:pPr>
              <w:spacing w:after="0" w:line="114" w:lineRule="exact"/>
              <w:rPr>
                <w:sz w:val="20"/>
                <w:szCs w:val="20"/>
                <w:color w:val="auto"/>
              </w:rPr>
            </w:pPr>
            <w:r>
              <w:rPr>
                <w:rFonts w:ascii="Times New Roman" w:cs="Times New Roman" w:eastAsia="Times New Roman" w:hAnsi="Times New Roman"/>
                <w:sz w:val="11"/>
                <w:szCs w:val="11"/>
                <w:color w:val="auto"/>
              </w:rPr>
              <w:t>EUR131 million, or 4%, compared to EUR</w:t>
            </w:r>
          </w:p>
        </w:tc>
        <w:tc>
          <w:tcPr>
            <w:tcW w:w="1760" w:type="dxa"/>
            <w:vAlign w:val="bottom"/>
            <w:gridSpan w:val="3"/>
          </w:tcPr>
          <w:p>
            <w:pPr>
              <w:jc w:val="right"/>
              <w:spacing w:after="0" w:line="114" w:lineRule="exact"/>
              <w:rPr>
                <w:sz w:val="20"/>
                <w:szCs w:val="20"/>
                <w:color w:val="auto"/>
              </w:rPr>
            </w:pPr>
            <w:r>
              <w:rPr>
                <w:rFonts w:ascii="Times New Roman" w:cs="Times New Roman" w:eastAsia="Times New Roman" w:hAnsi="Times New Roman"/>
                <w:sz w:val="11"/>
                <w:szCs w:val="11"/>
                <w:color w:val="auto"/>
              </w:rPr>
              <w:t>3 351 million in 2022 . In addition</w:t>
            </w:r>
          </w:p>
        </w:tc>
        <w:tc>
          <w:tcPr>
            <w:tcW w:w="860" w:type="dxa"/>
            <w:vAlign w:val="bottom"/>
            <w:gridSpan w:val="2"/>
          </w:tcPr>
          <w:p>
            <w:pPr>
              <w:jc w:val="right"/>
              <w:spacing w:after="0" w:line="114" w:lineRule="exact"/>
              <w:rPr>
                <w:sz w:val="20"/>
                <w:szCs w:val="20"/>
                <w:color w:val="auto"/>
              </w:rPr>
            </w:pPr>
            <w:r>
              <w:rPr>
                <w:rFonts w:ascii="Times New Roman" w:cs="Times New Roman" w:eastAsia="Times New Roman" w:hAnsi="Times New Roman"/>
                <w:sz w:val="11"/>
                <w:szCs w:val="11"/>
                <w:color w:val="auto"/>
              </w:rPr>
              <w:t>to the negati  ve</w:t>
            </w:r>
          </w:p>
        </w:tc>
        <w:tc>
          <w:tcPr>
            <w:tcW w:w="280" w:type="dxa"/>
            <w:vAlign w:val="bottom"/>
          </w:tcPr>
          <w:p>
            <w:pPr>
              <w:spacing w:after="0"/>
              <w:rPr>
                <w:sz w:val="9"/>
                <w:szCs w:val="9"/>
                <w:color w:val="auto"/>
              </w:rPr>
            </w:pPr>
          </w:p>
        </w:tc>
        <w:tc>
          <w:tcPr>
            <w:tcW w:w="2060" w:type="dxa"/>
            <w:vAlign w:val="bottom"/>
            <w:vMerge w:val="continue"/>
          </w:tcPr>
          <w:p>
            <w:pPr>
              <w:spacing w:after="0"/>
              <w:rPr>
                <w:sz w:val="9"/>
                <w:szCs w:val="9"/>
                <w:color w:val="auto"/>
              </w:rPr>
            </w:pPr>
          </w:p>
        </w:tc>
        <w:tc>
          <w:tcPr>
            <w:tcW w:w="2840" w:type="dxa"/>
            <w:vAlign w:val="bottom"/>
            <w:gridSpan w:val="3"/>
            <w:vMerge w:val="continue"/>
          </w:tcPr>
          <w:p>
            <w:pPr>
              <w:spacing w:after="0"/>
              <w:rPr>
                <w:sz w:val="9"/>
                <w:szCs w:val="9"/>
                <w:color w:val="auto"/>
              </w:rPr>
            </w:pPr>
          </w:p>
        </w:tc>
        <w:tc>
          <w:tcPr>
            <w:tcW w:w="0" w:type="dxa"/>
            <w:vAlign w:val="bottom"/>
          </w:tcPr>
          <w:p>
            <w:pPr>
              <w:spacing w:after="0"/>
              <w:rPr>
                <w:sz w:val="1"/>
                <w:szCs w:val="1"/>
                <w:color w:val="auto"/>
              </w:rPr>
            </w:pPr>
          </w:p>
        </w:tc>
      </w:tr>
      <w:tr>
        <w:trPr>
          <w:trHeight w:val="159"/>
        </w:trPr>
        <w:tc>
          <w:tcPr>
            <w:tcW w:w="20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impact from foreign exchange fluctuations</w:t>
            </w:r>
          </w:p>
        </w:tc>
        <w:tc>
          <w:tcPr>
            <w:tcW w:w="2620" w:type="dxa"/>
            <w:vAlign w:val="bottom"/>
            <w:gridSpan w:val="5"/>
          </w:tcPr>
          <w:p>
            <w:pPr>
              <w:jc w:val="right"/>
              <w:ind w:right="83"/>
              <w:spacing w:after="0"/>
              <w:rPr>
                <w:sz w:val="20"/>
                <w:szCs w:val="20"/>
                <w:color w:val="auto"/>
              </w:rPr>
            </w:pPr>
            <w:r>
              <w:rPr>
                <w:rFonts w:ascii="Times New Roman" w:cs="Times New Roman" w:eastAsia="Times New Roman" w:hAnsi="Times New Roman"/>
                <w:sz w:val="11"/>
                <w:szCs w:val="11"/>
                <w:color w:val="auto"/>
              </w:rPr>
              <w:t>, net sales in Cloud and Network Services reflected</w:t>
            </w:r>
          </w:p>
        </w:tc>
        <w:tc>
          <w:tcPr>
            <w:tcW w:w="280" w:type="dxa"/>
            <w:vAlign w:val="bottom"/>
          </w:tcPr>
          <w:p>
            <w:pPr>
              <w:spacing w:after="0"/>
              <w:rPr>
                <w:sz w:val="13"/>
                <w:szCs w:val="13"/>
                <w:color w:val="auto"/>
              </w:rPr>
            </w:pPr>
          </w:p>
        </w:tc>
        <w:tc>
          <w:tcPr>
            <w:tcW w:w="20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margin in 2023 was 7.9 % compared to</w:t>
            </w:r>
          </w:p>
        </w:tc>
        <w:tc>
          <w:tcPr>
            <w:tcW w:w="8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5.3 % in 2022 .</w:t>
            </w:r>
          </w:p>
        </w:tc>
        <w:tc>
          <w:tcPr>
            <w:tcW w:w="680" w:type="dxa"/>
            <w:vAlign w:val="bottom"/>
          </w:tcPr>
          <w:p>
            <w:pPr>
              <w:spacing w:after="0"/>
              <w:rPr>
                <w:sz w:val="13"/>
                <w:szCs w:val="13"/>
                <w:color w:val="auto"/>
              </w:rPr>
            </w:pPr>
          </w:p>
        </w:tc>
        <w:tc>
          <w:tcPr>
            <w:tcW w:w="134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42"/>
        </w:trPr>
        <w:tc>
          <w:tcPr>
            <w:tcW w:w="466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growth in Enterprise Solutions and Core Networks which was more than offset by declines in</w:t>
            </w:r>
          </w:p>
        </w:tc>
        <w:tc>
          <w:tcPr>
            <w:tcW w:w="280" w:type="dxa"/>
            <w:vAlign w:val="bottom"/>
          </w:tcPr>
          <w:p>
            <w:pPr>
              <w:spacing w:after="0"/>
              <w:rPr>
                <w:sz w:val="12"/>
                <w:szCs w:val="12"/>
                <w:color w:val="auto"/>
              </w:rPr>
            </w:pPr>
          </w:p>
        </w:tc>
        <w:tc>
          <w:tcPr>
            <w:tcW w:w="2060" w:type="dxa"/>
            <w:vAlign w:val="bottom"/>
          </w:tcPr>
          <w:p>
            <w:pPr>
              <w:spacing w:after="0"/>
              <w:rPr>
                <w:sz w:val="12"/>
                <w:szCs w:val="12"/>
                <w:color w:val="auto"/>
              </w:rPr>
            </w:pP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466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Cloud and Cognitive Services and Business Applications. Net sales declined 3% due to foreign</w:t>
            </w:r>
          </w:p>
        </w:tc>
        <w:tc>
          <w:tcPr>
            <w:tcW w:w="280" w:type="dxa"/>
            <w:vAlign w:val="bottom"/>
          </w:tcPr>
          <w:p>
            <w:pPr>
              <w:spacing w:after="0"/>
              <w:rPr>
                <w:sz w:val="12"/>
                <w:szCs w:val="12"/>
                <w:color w:val="auto"/>
              </w:rPr>
            </w:pPr>
          </w:p>
        </w:tc>
        <w:tc>
          <w:tcPr>
            <w:tcW w:w="2060" w:type="dxa"/>
            <w:vAlign w:val="bottom"/>
          </w:tcPr>
          <w:p>
            <w:pPr>
              <w:spacing w:after="0"/>
              <w:rPr>
                <w:sz w:val="12"/>
                <w:szCs w:val="12"/>
                <w:color w:val="auto"/>
              </w:rPr>
            </w:pP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1480" w:type="dxa"/>
            <w:vAlign w:val="bottom"/>
          </w:tcPr>
          <w:p>
            <w:pPr>
              <w:spacing w:after="0"/>
              <w:rPr>
                <w:sz w:val="20"/>
                <w:szCs w:val="20"/>
                <w:color w:val="auto"/>
              </w:rPr>
            </w:pPr>
            <w:r>
              <w:rPr>
                <w:rFonts w:ascii="Times New Roman" w:cs="Times New Roman" w:eastAsia="Times New Roman" w:hAnsi="Times New Roman"/>
                <w:sz w:val="11"/>
                <w:szCs w:val="11"/>
                <w:color w:val="auto"/>
              </w:rPr>
              <w:t>exchange rate fluctuations in</w:t>
            </w:r>
          </w:p>
        </w:tc>
        <w:tc>
          <w:tcPr>
            <w:tcW w:w="560" w:type="dxa"/>
            <w:vAlign w:val="bottom"/>
          </w:tcPr>
          <w:p>
            <w:pPr>
              <w:jc w:val="right"/>
              <w:ind w:right="183"/>
              <w:spacing w:after="0"/>
              <w:rPr>
                <w:sz w:val="20"/>
                <w:szCs w:val="20"/>
                <w:color w:val="auto"/>
              </w:rPr>
            </w:pPr>
            <w:r>
              <w:rPr>
                <w:rFonts w:ascii="Times New Roman" w:cs="Times New Roman" w:eastAsia="Times New Roman" w:hAnsi="Times New Roman"/>
                <w:sz w:val="11"/>
                <w:szCs w:val="11"/>
                <w:color w:val="auto"/>
              </w:rPr>
              <w:t>2023 .</w:t>
            </w:r>
          </w:p>
        </w:tc>
        <w:tc>
          <w:tcPr>
            <w:tcW w:w="66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56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52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2060" w:type="dxa"/>
            <w:vAlign w:val="bottom"/>
          </w:tcPr>
          <w:p>
            <w:pPr>
              <w:spacing w:after="0"/>
              <w:rPr>
                <w:sz w:val="12"/>
                <w:szCs w:val="12"/>
                <w:color w:val="auto"/>
              </w:rPr>
            </w:pP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00"/>
        </w:trPr>
        <w:tc>
          <w:tcPr>
            <w:tcW w:w="148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Gross profit</w:t>
            </w:r>
          </w:p>
        </w:tc>
        <w:tc>
          <w:tcPr>
            <w:tcW w:w="560" w:type="dxa"/>
            <w:vAlign w:val="bottom"/>
          </w:tcPr>
          <w:p>
            <w:pPr>
              <w:spacing w:after="0"/>
              <w:rPr>
                <w:sz w:val="17"/>
                <w:szCs w:val="17"/>
                <w:color w:val="auto"/>
              </w:rPr>
            </w:pPr>
          </w:p>
        </w:tc>
        <w:tc>
          <w:tcPr>
            <w:tcW w:w="660" w:type="dxa"/>
            <w:vAlign w:val="bottom"/>
          </w:tcPr>
          <w:p>
            <w:pPr>
              <w:spacing w:after="0"/>
              <w:rPr>
                <w:sz w:val="17"/>
                <w:szCs w:val="17"/>
                <w:color w:val="auto"/>
              </w:rPr>
            </w:pPr>
          </w:p>
        </w:tc>
        <w:tc>
          <w:tcPr>
            <w:tcW w:w="540" w:type="dxa"/>
            <w:vAlign w:val="bottom"/>
          </w:tcPr>
          <w:p>
            <w:pPr>
              <w:spacing w:after="0"/>
              <w:rPr>
                <w:sz w:val="17"/>
                <w:szCs w:val="17"/>
                <w:color w:val="auto"/>
              </w:rPr>
            </w:pPr>
          </w:p>
        </w:tc>
        <w:tc>
          <w:tcPr>
            <w:tcW w:w="560" w:type="dxa"/>
            <w:vAlign w:val="bottom"/>
          </w:tcPr>
          <w:p>
            <w:pPr>
              <w:spacing w:after="0"/>
              <w:rPr>
                <w:sz w:val="17"/>
                <w:szCs w:val="17"/>
                <w:color w:val="auto"/>
              </w:rPr>
            </w:pPr>
          </w:p>
        </w:tc>
        <w:tc>
          <w:tcPr>
            <w:tcW w:w="340" w:type="dxa"/>
            <w:vAlign w:val="bottom"/>
          </w:tcPr>
          <w:p>
            <w:pPr>
              <w:spacing w:after="0"/>
              <w:rPr>
                <w:sz w:val="17"/>
                <w:szCs w:val="17"/>
                <w:color w:val="auto"/>
              </w:rPr>
            </w:pPr>
          </w:p>
        </w:tc>
        <w:tc>
          <w:tcPr>
            <w:tcW w:w="520" w:type="dxa"/>
            <w:vAlign w:val="bottom"/>
          </w:tcPr>
          <w:p>
            <w:pPr>
              <w:spacing w:after="0"/>
              <w:rPr>
                <w:sz w:val="17"/>
                <w:szCs w:val="17"/>
                <w:color w:val="auto"/>
              </w:rPr>
            </w:pPr>
          </w:p>
        </w:tc>
        <w:tc>
          <w:tcPr>
            <w:tcW w:w="280" w:type="dxa"/>
            <w:vAlign w:val="bottom"/>
          </w:tcPr>
          <w:p>
            <w:pPr>
              <w:spacing w:after="0"/>
              <w:rPr>
                <w:sz w:val="17"/>
                <w:szCs w:val="17"/>
                <w:color w:val="auto"/>
              </w:rPr>
            </w:pPr>
          </w:p>
        </w:tc>
        <w:tc>
          <w:tcPr>
            <w:tcW w:w="2060" w:type="dxa"/>
            <w:vAlign w:val="bottom"/>
          </w:tcPr>
          <w:p>
            <w:pPr>
              <w:spacing w:after="0"/>
              <w:rPr>
                <w:sz w:val="17"/>
                <w:szCs w:val="17"/>
                <w:color w:val="auto"/>
              </w:rPr>
            </w:pPr>
          </w:p>
        </w:tc>
        <w:tc>
          <w:tcPr>
            <w:tcW w:w="820" w:type="dxa"/>
            <w:vAlign w:val="bottom"/>
          </w:tcPr>
          <w:p>
            <w:pPr>
              <w:spacing w:after="0"/>
              <w:rPr>
                <w:sz w:val="17"/>
                <w:szCs w:val="17"/>
                <w:color w:val="auto"/>
              </w:rPr>
            </w:pPr>
          </w:p>
        </w:tc>
        <w:tc>
          <w:tcPr>
            <w:tcW w:w="680" w:type="dxa"/>
            <w:vAlign w:val="bottom"/>
          </w:tcPr>
          <w:p>
            <w:pPr>
              <w:spacing w:after="0"/>
              <w:rPr>
                <w:sz w:val="17"/>
                <w:szCs w:val="17"/>
                <w:color w:val="auto"/>
              </w:rPr>
            </w:pPr>
          </w:p>
        </w:tc>
        <w:tc>
          <w:tcPr>
            <w:tcW w:w="1340" w:type="dxa"/>
            <w:vAlign w:val="bottom"/>
          </w:tcPr>
          <w:p>
            <w:pPr>
              <w:spacing w:after="0"/>
              <w:rPr>
                <w:sz w:val="17"/>
                <w:szCs w:val="17"/>
                <w:color w:val="auto"/>
              </w:rPr>
            </w:pPr>
          </w:p>
        </w:tc>
        <w:tc>
          <w:tcPr>
            <w:tcW w:w="0" w:type="dxa"/>
            <w:vAlign w:val="bottom"/>
          </w:tcPr>
          <w:p>
            <w:pPr>
              <w:spacing w:after="0"/>
              <w:rPr>
                <w:sz w:val="1"/>
                <w:szCs w:val="1"/>
                <w:color w:val="auto"/>
              </w:rPr>
            </w:pPr>
          </w:p>
        </w:tc>
      </w:tr>
      <w:tr>
        <w:trPr>
          <w:trHeight w:val="137"/>
        </w:trPr>
        <w:tc>
          <w:tcPr>
            <w:tcW w:w="20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Cloud and Network Services gross profit in</w:t>
            </w:r>
          </w:p>
        </w:tc>
        <w:tc>
          <w:tcPr>
            <w:tcW w:w="120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2023 was EUR 1 276</w:t>
            </w:r>
          </w:p>
        </w:tc>
        <w:tc>
          <w:tcPr>
            <w:tcW w:w="90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million, a decrease</w:t>
            </w:r>
          </w:p>
        </w:tc>
        <w:tc>
          <w:tcPr>
            <w:tcW w:w="520" w:type="dxa"/>
            <w:vAlign w:val="bottom"/>
          </w:tcPr>
          <w:p>
            <w:pPr>
              <w:jc w:val="right"/>
              <w:ind w:right="263"/>
              <w:spacing w:after="0"/>
              <w:rPr>
                <w:sz w:val="20"/>
                <w:szCs w:val="20"/>
                <w:color w:val="auto"/>
              </w:rPr>
            </w:pPr>
            <w:r>
              <w:rPr>
                <w:rFonts w:ascii="Times New Roman" w:cs="Times New Roman" w:eastAsia="Times New Roman" w:hAnsi="Times New Roman"/>
                <w:sz w:val="11"/>
                <w:szCs w:val="11"/>
                <w:color w:val="auto"/>
              </w:rPr>
              <w:t>of</w:t>
            </w:r>
          </w:p>
        </w:tc>
        <w:tc>
          <w:tcPr>
            <w:tcW w:w="280" w:type="dxa"/>
            <w:vAlign w:val="bottom"/>
          </w:tcPr>
          <w:p>
            <w:pPr>
              <w:spacing w:after="0"/>
              <w:rPr>
                <w:sz w:val="11"/>
                <w:szCs w:val="11"/>
                <w:color w:val="auto"/>
              </w:rPr>
            </w:pPr>
          </w:p>
        </w:tc>
        <w:tc>
          <w:tcPr>
            <w:tcW w:w="206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13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0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EUR64 million, or 5%, compared to EUR</w:t>
            </w:r>
          </w:p>
        </w:tc>
        <w:tc>
          <w:tcPr>
            <w:tcW w:w="2900" w:type="dxa"/>
            <w:vAlign w:val="bottom"/>
            <w:gridSpan w:val="6"/>
          </w:tcPr>
          <w:p>
            <w:pPr>
              <w:jc w:val="right"/>
              <w:ind w:right="89"/>
              <w:spacing w:after="0"/>
              <w:rPr>
                <w:sz w:val="20"/>
                <w:szCs w:val="20"/>
                <w:color w:val="auto"/>
              </w:rPr>
            </w:pPr>
            <w:r>
              <w:rPr>
                <w:rFonts w:ascii="Times New Roman" w:cs="Times New Roman" w:eastAsia="Times New Roman" w:hAnsi="Times New Roman"/>
                <w:sz w:val="11"/>
                <w:szCs w:val="11"/>
                <w:color w:val="auto"/>
              </w:rPr>
              <w:t>1 340 million in 2022 . Cloud and Network Services gross</w:t>
            </w:r>
          </w:p>
        </w:tc>
        <w:tc>
          <w:tcPr>
            <w:tcW w:w="2060" w:type="dxa"/>
            <w:vAlign w:val="bottom"/>
          </w:tcPr>
          <w:p>
            <w:pPr>
              <w:spacing w:after="0"/>
              <w:rPr>
                <w:sz w:val="12"/>
                <w:szCs w:val="12"/>
                <w:color w:val="auto"/>
              </w:rPr>
            </w:pP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3"/>
        </w:trPr>
        <w:tc>
          <w:tcPr>
            <w:tcW w:w="20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margin in 2023 was 39.6 %, compared to</w:t>
            </w:r>
          </w:p>
        </w:tc>
        <w:tc>
          <w:tcPr>
            <w:tcW w:w="2620" w:type="dxa"/>
            <w:vAlign w:val="bottom"/>
            <w:gridSpan w:val="5"/>
          </w:tcPr>
          <w:p>
            <w:pPr>
              <w:jc w:val="right"/>
              <w:ind w:right="43"/>
              <w:spacing w:after="0"/>
              <w:rPr>
                <w:sz w:val="20"/>
                <w:szCs w:val="20"/>
                <w:color w:val="auto"/>
              </w:rPr>
            </w:pPr>
            <w:r>
              <w:rPr>
                <w:rFonts w:ascii="Times New Roman" w:cs="Times New Roman" w:eastAsia="Times New Roman" w:hAnsi="Times New Roman"/>
                <w:sz w:val="11"/>
                <w:szCs w:val="11"/>
                <w:color w:val="auto"/>
              </w:rPr>
              <w:t>40.0 % in 2022 . The decrease in Cloud and Network</w:t>
            </w:r>
          </w:p>
        </w:tc>
        <w:tc>
          <w:tcPr>
            <w:tcW w:w="280" w:type="dxa"/>
            <w:vAlign w:val="bottom"/>
          </w:tcPr>
          <w:p>
            <w:pPr>
              <w:spacing w:after="0"/>
              <w:rPr>
                <w:sz w:val="12"/>
                <w:szCs w:val="12"/>
                <w:color w:val="auto"/>
              </w:rPr>
            </w:pPr>
          </w:p>
        </w:tc>
        <w:tc>
          <w:tcPr>
            <w:tcW w:w="2060" w:type="dxa"/>
            <w:vAlign w:val="bottom"/>
          </w:tcPr>
          <w:p>
            <w:pPr>
              <w:spacing w:after="0"/>
              <w:rPr>
                <w:sz w:val="12"/>
                <w:szCs w:val="12"/>
                <w:color w:val="auto"/>
              </w:rPr>
            </w:pPr>
          </w:p>
        </w:tc>
        <w:tc>
          <w:tcPr>
            <w:tcW w:w="82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134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rPr>
          <w:sz w:val="20"/>
          <w:szCs w:val="20"/>
          <w:color w:val="auto"/>
        </w:rPr>
      </w:pPr>
      <w:r>
        <w:rPr>
          <w:rFonts w:ascii="Times New Roman" w:cs="Times New Roman" w:eastAsia="Times New Roman" w:hAnsi="Times New Roman"/>
          <w:sz w:val="11"/>
          <w:szCs w:val="11"/>
          <w:color w:val="auto"/>
        </w:rPr>
        <w:t>Services gross profit reflected the mix shift from software sales towards lower margin hardware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sales in the first half of the year, somewhat offset by lower variable pay accruals in 2023</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compared to 2022.</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87" w:name="page88"/>
    <w:bookmarkEnd w:id="87"/>
    <w:tbl>
      <w:tblPr>
        <w:tblLayout w:type="fixed"/>
        <w:tblInd w:w="0" w:type="dxa"/>
        <w:tblCellMar>
          <w:top w:w="0" w:type="dxa"/>
          <w:left w:w="0" w:type="dxa"/>
          <w:bottom w:w="0" w:type="dxa"/>
          <w:right w:w="0" w:type="dxa"/>
        </w:tblCellMar>
      </w:tblPr>
      <w:tr>
        <w:trPr>
          <w:trHeight w:val="111"/>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0"/>
              <w:spacing w:after="0"/>
              <w:rPr>
                <w:sz w:val="20"/>
                <w:szCs w:val="20"/>
                <w:color w:val="auto"/>
              </w:rPr>
            </w:pPr>
            <w:r>
              <w:rPr>
                <w:rFonts w:ascii="Times New Roman" w:cs="Times New Roman" w:eastAsia="Times New Roman" w:hAnsi="Times New Roman"/>
                <w:sz w:val="9"/>
                <w:szCs w:val="9"/>
                <w:color w:val="auto"/>
              </w:rPr>
              <w:t>Corporate</w:t>
            </w:r>
          </w:p>
        </w:tc>
        <w:tc>
          <w:tcPr>
            <w:tcW w:w="13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060" w:type="dxa"/>
            <w:vAlign w:val="bottom"/>
          </w:tcPr>
          <w:p>
            <w:pPr>
              <w:ind w:left="12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14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9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0"/>
              <w:spacing w:after="0"/>
              <w:rPr>
                <w:sz w:val="20"/>
                <w:szCs w:val="20"/>
                <w:color w:val="auto"/>
              </w:rPr>
            </w:pPr>
            <w:r>
              <w:rPr>
                <w:rFonts w:ascii="Times New Roman" w:cs="Times New Roman" w:eastAsia="Times New Roman" w:hAnsi="Times New Roman"/>
                <w:sz w:val="9"/>
                <w:szCs w:val="9"/>
                <w:color w:val="auto"/>
              </w:rPr>
              <w:t>governance</w:t>
            </w:r>
          </w:p>
        </w:tc>
        <w:tc>
          <w:tcPr>
            <w:tcW w:w="13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060" w:type="dxa"/>
            <w:vAlign w:val="bottom"/>
          </w:tcPr>
          <w:p>
            <w:pPr>
              <w:ind w:left="12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14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1920" w:type="dxa"/>
            <w:vAlign w:val="bottom"/>
            <w:gridSpan w:val="2"/>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360" w:type="dxa"/>
            <w:vAlign w:val="bottom"/>
          </w:tcPr>
          <w:p>
            <w:pPr>
              <w:spacing w:after="0"/>
              <w:rPr>
                <w:sz w:val="4"/>
                <w:szCs w:val="4"/>
                <w:color w:val="auto"/>
              </w:rPr>
            </w:pPr>
          </w:p>
        </w:tc>
        <w:tc>
          <w:tcPr>
            <w:tcW w:w="1060" w:type="dxa"/>
            <w:vAlign w:val="bottom"/>
          </w:tcPr>
          <w:p>
            <w:pPr>
              <w:spacing w:after="0"/>
              <w:rPr>
                <w:sz w:val="4"/>
                <w:szCs w:val="4"/>
                <w:color w:val="auto"/>
              </w:rPr>
            </w:pPr>
          </w:p>
        </w:tc>
        <w:tc>
          <w:tcPr>
            <w:tcW w:w="540" w:type="dxa"/>
            <w:vAlign w:val="bottom"/>
          </w:tcPr>
          <w:p>
            <w:pPr>
              <w:spacing w:after="0"/>
              <w:rPr>
                <w:sz w:val="4"/>
                <w:szCs w:val="4"/>
                <w:color w:val="auto"/>
              </w:rPr>
            </w:pPr>
          </w:p>
        </w:tc>
      </w:tr>
      <w:tr>
        <w:trPr>
          <w:trHeight w:val="354"/>
        </w:trPr>
        <w:tc>
          <w:tcPr>
            <w:tcW w:w="3280" w:type="dxa"/>
            <w:vAlign w:val="bottom"/>
            <w:gridSpan w:val="4"/>
          </w:tcPr>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tc>
        <w:tc>
          <w:tcPr>
            <w:tcW w:w="1060" w:type="dxa"/>
            <w:vAlign w:val="bottom"/>
          </w:tcPr>
          <w:p>
            <w:pPr>
              <w:spacing w:after="0"/>
              <w:rPr>
                <w:sz w:val="24"/>
                <w:szCs w:val="24"/>
                <w:color w:val="auto"/>
              </w:rPr>
            </w:pPr>
          </w:p>
        </w:tc>
        <w:tc>
          <w:tcPr>
            <w:tcW w:w="540" w:type="dxa"/>
            <w:vAlign w:val="bottom"/>
          </w:tcPr>
          <w:p>
            <w:pPr>
              <w:spacing w:after="0"/>
              <w:rPr>
                <w:sz w:val="24"/>
                <w:szCs w:val="24"/>
                <w:color w:val="auto"/>
              </w:rPr>
            </w:pPr>
          </w:p>
        </w:tc>
      </w:tr>
      <w:tr>
        <w:trPr>
          <w:trHeight w:val="475"/>
        </w:trPr>
        <w:tc>
          <w:tcPr>
            <w:tcW w:w="1920" w:type="dxa"/>
            <w:vAlign w:val="bottom"/>
            <w:gridSpan w:val="2"/>
          </w:tcPr>
          <w:p>
            <w:pPr>
              <w:spacing w:after="0"/>
              <w:rPr>
                <w:sz w:val="20"/>
                <w:szCs w:val="20"/>
                <w:color w:val="auto"/>
              </w:rPr>
            </w:pPr>
            <w:r>
              <w:rPr>
                <w:rFonts w:ascii="Times New Roman" w:cs="Times New Roman" w:eastAsia="Times New Roman" w:hAnsi="Times New Roman"/>
                <w:sz w:val="13"/>
                <w:szCs w:val="13"/>
                <w:color w:val="auto"/>
              </w:rPr>
              <w:t>Nokia Technologies</w:t>
            </w:r>
          </w:p>
        </w:tc>
        <w:tc>
          <w:tcPr>
            <w:tcW w:w="100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1060" w:type="dxa"/>
            <w:vAlign w:val="bottom"/>
          </w:tcPr>
          <w:p>
            <w:pPr>
              <w:spacing w:after="0"/>
              <w:rPr>
                <w:sz w:val="24"/>
                <w:szCs w:val="24"/>
                <w:color w:val="auto"/>
              </w:rPr>
            </w:pPr>
          </w:p>
        </w:tc>
        <w:tc>
          <w:tcPr>
            <w:tcW w:w="540" w:type="dxa"/>
            <w:vAlign w:val="bottom"/>
          </w:tcPr>
          <w:p>
            <w:pPr>
              <w:spacing w:after="0"/>
              <w:rPr>
                <w:sz w:val="24"/>
                <w:szCs w:val="24"/>
                <w:color w:val="auto"/>
              </w:rPr>
            </w:pPr>
          </w:p>
        </w:tc>
      </w:tr>
      <w:tr>
        <w:trPr>
          <w:trHeight w:val="154"/>
        </w:trPr>
        <w:tc>
          <w:tcPr>
            <w:tcW w:w="90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w w:val="98"/>
              </w:rPr>
              <w:t>For the year ended</w:t>
            </w:r>
          </w:p>
        </w:tc>
        <w:tc>
          <w:tcPr>
            <w:tcW w:w="1020" w:type="dxa"/>
            <w:vAlign w:val="bottom"/>
          </w:tcPr>
          <w:p>
            <w:pPr>
              <w:ind w:left="60"/>
              <w:spacing w:after="0"/>
              <w:rPr>
                <w:sz w:val="20"/>
                <w:szCs w:val="20"/>
                <w:color w:val="auto"/>
              </w:rPr>
            </w:pPr>
            <w:r>
              <w:rPr>
                <w:rFonts w:ascii="Times New Roman" w:cs="Times New Roman" w:eastAsia="Times New Roman" w:hAnsi="Times New Roman"/>
                <w:sz w:val="11"/>
                <w:szCs w:val="11"/>
                <w:b w:val="1"/>
                <w:bCs w:val="1"/>
                <w:color w:val="auto"/>
              </w:rPr>
              <w:t>31 December 2023</w:t>
            </w:r>
          </w:p>
        </w:tc>
        <w:tc>
          <w:tcPr>
            <w:tcW w:w="136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compared to the year ended</w:t>
            </w:r>
          </w:p>
        </w:tc>
        <w:tc>
          <w:tcPr>
            <w:tcW w:w="1060" w:type="dxa"/>
            <w:vAlign w:val="bottom"/>
          </w:tcPr>
          <w:p>
            <w:pPr>
              <w:ind w:left="80"/>
              <w:spacing w:after="0"/>
              <w:rPr>
                <w:sz w:val="20"/>
                <w:szCs w:val="20"/>
                <w:color w:val="auto"/>
              </w:rPr>
            </w:pPr>
            <w:r>
              <w:rPr>
                <w:rFonts w:ascii="Times New Roman" w:cs="Times New Roman" w:eastAsia="Times New Roman" w:hAnsi="Times New Roman"/>
                <w:sz w:val="11"/>
                <w:szCs w:val="11"/>
                <w:b w:val="1"/>
                <w:bCs w:val="1"/>
                <w:color w:val="auto"/>
              </w:rPr>
              <w:t>31 December 2022</w:t>
            </w:r>
          </w:p>
        </w:tc>
        <w:tc>
          <w:tcPr>
            <w:tcW w:w="540" w:type="dxa"/>
            <w:vAlign w:val="bottom"/>
          </w:tcPr>
          <w:p>
            <w:pPr>
              <w:spacing w:after="0"/>
              <w:rPr>
                <w:sz w:val="13"/>
                <w:szCs w:val="13"/>
                <w:color w:val="auto"/>
              </w:rPr>
            </w:pPr>
          </w:p>
        </w:tc>
      </w:tr>
    </w:tbl>
    <w:p>
      <w:pPr>
        <w:ind w:right="620"/>
        <w:spacing w:after="0" w:line="301" w:lineRule="auto"/>
        <w:rPr>
          <w:sz w:val="20"/>
          <w:szCs w:val="20"/>
          <w:color w:val="auto"/>
        </w:rPr>
      </w:pPr>
      <w:r>
        <w:rPr>
          <w:rFonts w:ascii="Times New Roman" w:cs="Times New Roman" w:eastAsia="Times New Roman" w:hAnsi="Times New Roman"/>
          <w:sz w:val="11"/>
          <w:szCs w:val="11"/>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The following table sets forth the segment operating results and the percentage of net sales for the years indicated.</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060" w:type="dxa"/>
            <w:vAlign w:val="bottom"/>
          </w:tcPr>
          <w:p>
            <w:pPr>
              <w:spacing w:after="0"/>
              <w:rPr>
                <w:sz w:val="9"/>
                <w:szCs w:val="9"/>
                <w:color w:val="auto"/>
              </w:rPr>
            </w:pPr>
          </w:p>
        </w:tc>
        <w:tc>
          <w:tcPr>
            <w:tcW w:w="64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420" w:type="dxa"/>
            <w:vAlign w:val="bottom"/>
          </w:tcPr>
          <w:p>
            <w:pPr>
              <w:spacing w:after="0"/>
              <w:rPr>
                <w:sz w:val="9"/>
                <w:szCs w:val="9"/>
                <w:color w:val="auto"/>
              </w:rPr>
            </w:pPr>
          </w:p>
        </w:tc>
        <w:tc>
          <w:tcPr>
            <w:tcW w:w="720" w:type="dxa"/>
            <w:vAlign w:val="bottom"/>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Pr>
          <w:p>
            <w:pPr>
              <w:spacing w:after="0"/>
              <w:rPr>
                <w:sz w:val="9"/>
                <w:szCs w:val="9"/>
                <w:color w:val="auto"/>
              </w:rPr>
            </w:pPr>
          </w:p>
        </w:tc>
        <w:tc>
          <w:tcPr>
            <w:tcW w:w="680" w:type="dxa"/>
            <w:vAlign w:val="bottom"/>
          </w:tcPr>
          <w:p>
            <w:pPr>
              <w:spacing w:after="0"/>
              <w:rPr>
                <w:sz w:val="9"/>
                <w:szCs w:val="9"/>
                <w:color w:val="auto"/>
              </w:rPr>
            </w:pPr>
          </w:p>
        </w:tc>
      </w:tr>
      <w:tr>
        <w:trPr>
          <w:trHeight w:val="108"/>
        </w:trPr>
        <w:tc>
          <w:tcPr>
            <w:tcW w:w="2060" w:type="dxa"/>
            <w:vAlign w:val="bottom"/>
          </w:tcPr>
          <w:p>
            <w:pPr>
              <w:spacing w:after="0"/>
              <w:rPr>
                <w:sz w:val="9"/>
                <w:szCs w:val="9"/>
                <w:color w:val="auto"/>
              </w:rPr>
            </w:pPr>
          </w:p>
        </w:tc>
        <w:tc>
          <w:tcPr>
            <w:tcW w:w="640" w:type="dxa"/>
            <w:vAlign w:val="bottom"/>
            <w:tcBorders>
              <w:top w:val="single" w:sz="8" w:color="005AFF"/>
            </w:tcBorders>
          </w:tcPr>
          <w:p>
            <w:pPr>
              <w:spacing w:after="0"/>
              <w:rPr>
                <w:sz w:val="9"/>
                <w:szCs w:val="9"/>
                <w:color w:val="auto"/>
              </w:rPr>
            </w:pPr>
          </w:p>
        </w:tc>
        <w:tc>
          <w:tcPr>
            <w:tcW w:w="420" w:type="dxa"/>
            <w:vAlign w:val="bottom"/>
            <w:tcBorders>
              <w:top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80" w:type="dxa"/>
            <w:vAlign w:val="bottom"/>
          </w:tcPr>
          <w:p>
            <w:pPr>
              <w:spacing w:after="0"/>
              <w:rPr>
                <w:sz w:val="9"/>
                <w:szCs w:val="9"/>
                <w:color w:val="auto"/>
              </w:rPr>
            </w:pPr>
          </w:p>
        </w:tc>
        <w:tc>
          <w:tcPr>
            <w:tcW w:w="640" w:type="dxa"/>
            <w:vAlign w:val="bottom"/>
            <w:tcBorders>
              <w:top w:val="single" w:sz="8" w:color="005AFF"/>
            </w:tcBorders>
          </w:tcPr>
          <w:p>
            <w:pPr>
              <w:spacing w:after="0"/>
              <w:rPr>
                <w:sz w:val="9"/>
                <w:szCs w:val="9"/>
                <w:color w:val="auto"/>
              </w:rPr>
            </w:pPr>
          </w:p>
        </w:tc>
        <w:tc>
          <w:tcPr>
            <w:tcW w:w="420" w:type="dxa"/>
            <w:vAlign w:val="bottom"/>
            <w:tcBorders>
              <w:top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68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Year-on-year</w:t>
            </w:r>
          </w:p>
        </w:tc>
      </w:tr>
      <w:tr>
        <w:trPr>
          <w:trHeight w:val="114"/>
        </w:trPr>
        <w:tc>
          <w:tcPr>
            <w:tcW w:w="206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sales</w:t>
            </w:r>
          </w:p>
        </w:tc>
        <w:tc>
          <w:tcPr>
            <w:tcW w:w="8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sales</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change %</w:t>
            </w:r>
          </w:p>
        </w:tc>
      </w:tr>
      <w:tr>
        <w:trPr>
          <w:trHeight w:val="140"/>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64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1 085</w:t>
            </w:r>
          </w:p>
        </w:tc>
        <w:tc>
          <w:tcPr>
            <w:tcW w:w="42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72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b w:val="1"/>
                <w:bCs w:val="1"/>
                <w:color w:val="auto"/>
              </w:rPr>
              <w:t>1 595</w:t>
            </w:r>
          </w:p>
        </w:tc>
        <w:tc>
          <w:tcPr>
            <w:tcW w:w="420" w:type="dxa"/>
            <w:vAlign w:val="bottom"/>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100.0</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(32)</w:t>
            </w:r>
          </w:p>
        </w:tc>
      </w:tr>
      <w:tr>
        <w:trPr>
          <w:trHeight w:val="167"/>
        </w:trPr>
        <w:tc>
          <w:tcPr>
            <w:tcW w:w="20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640" w:type="dxa"/>
            <w:vAlign w:val="bottom"/>
            <w:tcBorders>
              <w:bottom w:val="single" w:sz="8" w:color="005AFF"/>
            </w:tcBorders>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w:t>
            </w:r>
          </w:p>
        </w:tc>
        <w:tc>
          <w:tcPr>
            <w:tcW w:w="4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20" w:type="dxa"/>
            <w:vAlign w:val="bottom"/>
            <w:tcBorders>
              <w:bottom w:val="single" w:sz="8" w:color="005AFF"/>
            </w:tcBorders>
            <w:gridSpan w:val="2"/>
          </w:tcPr>
          <w:p>
            <w:pPr>
              <w:jc w:val="right"/>
              <w:ind w:right="80"/>
              <w:spacing w:after="0"/>
              <w:rPr>
                <w:sz w:val="20"/>
                <w:szCs w:val="20"/>
                <w:color w:val="auto"/>
              </w:rPr>
            </w:pPr>
            <w:r>
              <w:rPr>
                <w:rFonts w:ascii="Times New Roman" w:cs="Times New Roman" w:eastAsia="Times New Roman" w:hAnsi="Times New Roman"/>
                <w:sz w:val="10"/>
                <w:szCs w:val="10"/>
                <w:color w:val="0D0D0D"/>
              </w:rPr>
              <w:t>(5)</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(0.3)</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(100)</w:t>
            </w:r>
          </w:p>
        </w:tc>
      </w:tr>
      <w:tr>
        <w:trPr>
          <w:trHeight w:val="137"/>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64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1 085</w:t>
            </w:r>
          </w:p>
        </w:tc>
        <w:tc>
          <w:tcPr>
            <w:tcW w:w="42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720" w:type="dxa"/>
            <w:vAlign w:val="bottom"/>
            <w:gridSpan w:val="2"/>
          </w:tcPr>
          <w:p>
            <w:pPr>
              <w:jc w:val="right"/>
              <w:ind w:right="140"/>
              <w:spacing w:after="0"/>
              <w:rPr>
                <w:sz w:val="20"/>
                <w:szCs w:val="20"/>
                <w:color w:val="auto"/>
              </w:rPr>
            </w:pPr>
            <w:r>
              <w:rPr>
                <w:rFonts w:ascii="Times New Roman" w:cs="Times New Roman" w:eastAsia="Times New Roman" w:hAnsi="Times New Roman"/>
                <w:sz w:val="10"/>
                <w:szCs w:val="10"/>
                <w:b w:val="1"/>
                <w:bCs w:val="1"/>
                <w:color w:val="auto"/>
              </w:rPr>
              <w:t>1 590</w:t>
            </w:r>
          </w:p>
        </w:tc>
        <w:tc>
          <w:tcPr>
            <w:tcW w:w="420" w:type="dxa"/>
            <w:vAlign w:val="bottom"/>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99.7</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(32)</w:t>
            </w:r>
          </w:p>
        </w:tc>
      </w:tr>
      <w:tr>
        <w:trPr>
          <w:trHeight w:val="162"/>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64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(224)</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(20.6)</w:t>
            </w:r>
          </w:p>
        </w:tc>
        <w:tc>
          <w:tcPr>
            <w:tcW w:w="720" w:type="dxa"/>
            <w:vAlign w:val="bottom"/>
            <w:gridSpan w:val="2"/>
          </w:tcPr>
          <w:p>
            <w:pPr>
              <w:jc w:val="right"/>
              <w:ind w:right="100"/>
              <w:spacing w:after="0"/>
              <w:rPr>
                <w:sz w:val="20"/>
                <w:szCs w:val="20"/>
                <w:color w:val="auto"/>
              </w:rPr>
            </w:pPr>
            <w:r>
              <w:rPr>
                <w:rFonts w:ascii="Times New Roman" w:cs="Times New Roman" w:eastAsia="Times New Roman" w:hAnsi="Times New Roman"/>
                <w:sz w:val="10"/>
                <w:szCs w:val="10"/>
                <w:color w:val="0D0D0D"/>
              </w:rPr>
              <w:t>(214)</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(13.4)</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w:t>
            </w:r>
          </w:p>
        </w:tc>
      </w:tr>
      <w:tr>
        <w:trPr>
          <w:trHeight w:val="153"/>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640" w:type="dxa"/>
            <w:vAlign w:val="bottom"/>
            <w:shd w:val="clear" w:color="auto" w:fill="F0F5FF"/>
          </w:tcPr>
          <w:p>
            <w:pPr>
              <w:spacing w:after="0"/>
              <w:rPr>
                <w:sz w:val="13"/>
                <w:szCs w:val="13"/>
                <w:color w:val="auto"/>
              </w:rPr>
            </w:pPr>
          </w:p>
        </w:tc>
        <w:tc>
          <w:tcPr>
            <w:tcW w:w="420" w:type="dxa"/>
            <w:vAlign w:val="bottom"/>
            <w:shd w:val="clear" w:color="auto" w:fill="F0F5FF"/>
          </w:tcPr>
          <w:p>
            <w:pPr>
              <w:spacing w:after="0"/>
              <w:rPr>
                <w:sz w:val="13"/>
                <w:szCs w:val="13"/>
                <w:color w:val="auto"/>
              </w:rPr>
            </w:pPr>
          </w:p>
        </w:tc>
        <w:tc>
          <w:tcPr>
            <w:tcW w:w="80" w:type="dxa"/>
            <w:vAlign w:val="bottom"/>
          </w:tcPr>
          <w:p>
            <w:pPr>
              <w:spacing w:after="0"/>
              <w:rPr>
                <w:sz w:val="13"/>
                <w:szCs w:val="13"/>
                <w:color w:val="auto"/>
              </w:rPr>
            </w:pPr>
          </w:p>
        </w:tc>
        <w:tc>
          <w:tcPr>
            <w:tcW w:w="640" w:type="dxa"/>
            <w:vAlign w:val="bottom"/>
          </w:tcPr>
          <w:p>
            <w:pPr>
              <w:spacing w:after="0"/>
              <w:rPr>
                <w:sz w:val="13"/>
                <w:szCs w:val="13"/>
                <w:color w:val="auto"/>
              </w:rPr>
            </w:pPr>
          </w:p>
        </w:tc>
        <w:tc>
          <w:tcPr>
            <w:tcW w:w="420" w:type="dxa"/>
            <w:vAlign w:val="bottom"/>
          </w:tcPr>
          <w:p>
            <w:pPr>
              <w:spacing w:after="0"/>
              <w:rPr>
                <w:sz w:val="13"/>
                <w:szCs w:val="13"/>
                <w:color w:val="auto"/>
              </w:rPr>
            </w:pPr>
          </w:p>
        </w:tc>
        <w:tc>
          <w:tcPr>
            <w:tcW w:w="680" w:type="dxa"/>
            <w:vAlign w:val="bottom"/>
          </w:tcPr>
          <w:p>
            <w:pPr>
              <w:spacing w:after="0"/>
              <w:rPr>
                <w:sz w:val="13"/>
                <w:szCs w:val="13"/>
                <w:color w:val="auto"/>
              </w:rPr>
            </w:pPr>
          </w:p>
        </w:tc>
      </w:tr>
      <w:tr>
        <w:trPr>
          <w:trHeight w:val="130"/>
        </w:trPr>
        <w:tc>
          <w:tcPr>
            <w:tcW w:w="20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64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(140)</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(12.9)</w:t>
            </w:r>
          </w:p>
        </w:tc>
        <w:tc>
          <w:tcPr>
            <w:tcW w:w="720" w:type="dxa"/>
            <w:vAlign w:val="bottom"/>
            <w:gridSpan w:val="2"/>
          </w:tcPr>
          <w:p>
            <w:pPr>
              <w:jc w:val="right"/>
              <w:ind w:right="100"/>
              <w:spacing w:after="0"/>
              <w:rPr>
                <w:sz w:val="20"/>
                <w:szCs w:val="20"/>
                <w:color w:val="auto"/>
              </w:rPr>
            </w:pPr>
            <w:r>
              <w:rPr>
                <w:rFonts w:ascii="Times New Roman" w:cs="Times New Roman" w:eastAsia="Times New Roman" w:hAnsi="Times New Roman"/>
                <w:sz w:val="10"/>
                <w:szCs w:val="10"/>
                <w:color w:val="0D0D0D"/>
              </w:rPr>
              <w:t>(136)</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(8.5)</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3</w:t>
            </w:r>
          </w:p>
        </w:tc>
      </w:tr>
      <w:tr>
        <w:trPr>
          <w:trHeight w:val="167"/>
        </w:trPr>
        <w:tc>
          <w:tcPr>
            <w:tcW w:w="20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640" w:type="dxa"/>
            <w:vAlign w:val="bottom"/>
            <w:tcBorders>
              <w:bottom w:val="single" w:sz="8" w:color="005AFF"/>
            </w:tcBorders>
            <w:shd w:val="clear" w:color="auto" w:fill="F0F5FF"/>
          </w:tcPr>
          <w:p>
            <w:pPr>
              <w:jc w:val="right"/>
              <w:ind w:right="112"/>
              <w:spacing w:after="0"/>
              <w:rPr>
                <w:sz w:val="20"/>
                <w:szCs w:val="20"/>
                <w:color w:val="auto"/>
              </w:rPr>
            </w:pPr>
            <w:r>
              <w:rPr>
                <w:rFonts w:ascii="Times New Roman" w:cs="Times New Roman" w:eastAsia="Times New Roman" w:hAnsi="Times New Roman"/>
                <w:sz w:val="10"/>
                <w:szCs w:val="10"/>
                <w:color w:val="005AFF"/>
              </w:rPr>
              <w:t>13</w:t>
            </w:r>
          </w:p>
        </w:tc>
        <w:tc>
          <w:tcPr>
            <w:tcW w:w="42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1.2</w:t>
            </w:r>
          </w:p>
        </w:tc>
        <w:tc>
          <w:tcPr>
            <w:tcW w:w="720" w:type="dxa"/>
            <w:vAlign w:val="bottom"/>
            <w:tcBorders>
              <w:bottom w:val="single" w:sz="8" w:color="005AFF"/>
            </w:tcBorders>
            <w:gridSpan w:val="2"/>
          </w:tcPr>
          <w:p>
            <w:pPr>
              <w:jc w:val="right"/>
              <w:ind w:right="80"/>
              <w:spacing w:after="0"/>
              <w:rPr>
                <w:sz w:val="20"/>
                <w:szCs w:val="20"/>
                <w:color w:val="auto"/>
              </w:rPr>
            </w:pPr>
            <w:r>
              <w:rPr>
                <w:rFonts w:ascii="Times New Roman" w:cs="Times New Roman" w:eastAsia="Times New Roman" w:hAnsi="Times New Roman"/>
                <w:sz w:val="10"/>
                <w:szCs w:val="10"/>
                <w:color w:val="0D0D0D"/>
              </w:rPr>
              <w:t>(32)</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(2.0)</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(141)</w:t>
            </w:r>
          </w:p>
        </w:tc>
      </w:tr>
      <w:tr>
        <w:trPr>
          <w:trHeight w:val="142"/>
        </w:trPr>
        <w:tc>
          <w:tcPr>
            <w:tcW w:w="20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640" w:type="dxa"/>
            <w:vAlign w:val="bottom"/>
            <w:tcBorders>
              <w:bottom w:val="single" w:sz="8" w:color="005AFF"/>
            </w:tcBorders>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734</w:t>
            </w:r>
          </w:p>
        </w:tc>
        <w:tc>
          <w:tcPr>
            <w:tcW w:w="42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67.6</w:t>
            </w:r>
          </w:p>
        </w:tc>
        <w:tc>
          <w:tcPr>
            <w:tcW w:w="720" w:type="dxa"/>
            <w:vAlign w:val="bottom"/>
            <w:tcBorders>
              <w:bottom w:val="single" w:sz="8" w:color="005AFF"/>
            </w:tcBorders>
            <w:gridSpan w:val="2"/>
          </w:tcPr>
          <w:p>
            <w:pPr>
              <w:jc w:val="right"/>
              <w:ind w:right="140"/>
              <w:spacing w:after="0"/>
              <w:rPr>
                <w:sz w:val="20"/>
                <w:szCs w:val="20"/>
                <w:color w:val="auto"/>
              </w:rPr>
            </w:pPr>
            <w:r>
              <w:rPr>
                <w:rFonts w:ascii="Times New Roman" w:cs="Times New Roman" w:eastAsia="Times New Roman" w:hAnsi="Times New Roman"/>
                <w:sz w:val="10"/>
                <w:szCs w:val="10"/>
                <w:b w:val="1"/>
                <w:bCs w:val="1"/>
                <w:color w:val="auto"/>
              </w:rPr>
              <w:t>1 208</w:t>
            </w:r>
          </w:p>
        </w:tc>
        <w:tc>
          <w:tcPr>
            <w:tcW w:w="4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75.7</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(39)</w:t>
            </w:r>
          </w:p>
        </w:tc>
      </w:tr>
    </w:tbl>
    <w:p>
      <w:pPr>
        <w:spacing w:after="0" w:line="10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Net sales</w:t>
      </w:r>
    </w:p>
    <w:p>
      <w:pPr>
        <w:spacing w:after="0" w:line="21"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Nokia Technologies net sales in 2023 were EUR 1 085 million, a decrease of EUR 510 million, or 32 %, compared to EUR 1 595 million in 2022 . The decrease in Nokia Technologies net sales was</w:t>
      </w:r>
    </w:p>
    <w:p>
      <w:pPr>
        <w:ind w:right="500"/>
        <w:spacing w:after="0" w:line="266" w:lineRule="auto"/>
        <w:rPr>
          <w:sz w:val="20"/>
          <w:szCs w:val="20"/>
          <w:color w:val="auto"/>
        </w:rPr>
      </w:pPr>
      <w:r>
        <w:rPr>
          <w:rFonts w:ascii="Times New Roman" w:cs="Times New Roman" w:eastAsia="Times New Roman" w:hAnsi="Times New Roman"/>
          <w:sz w:val="11"/>
          <w:szCs w:val="11"/>
          <w:color w:val="auto"/>
        </w:rPr>
        <w:t>primarily due to a significant one-off that benefited 2022, which related to an option exercised within a long-term license, as well as catch-up net sales in 2022 related to new deals signed in the same year. Net sales in 2023 were also impacted by lower net sales from a smartphone vendor whose market share has meaningfully declined and the lower net sales from a license that expired at the end of the third quarter 2023, which were somewhat offset by catch-up net sales related to deals signed in the second quarter of 2023.</w:t>
      </w:r>
    </w:p>
    <w:p>
      <w:pPr>
        <w:spacing w:after="0" w:line="59" w:lineRule="exact"/>
        <w:rPr>
          <w:sz w:val="20"/>
          <w:szCs w:val="20"/>
          <w:color w:val="auto"/>
        </w:rPr>
      </w:pPr>
    </w:p>
    <w:p>
      <w:pPr>
        <w:spacing w:after="0"/>
        <w:rPr>
          <w:sz w:val="20"/>
          <w:szCs w:val="20"/>
          <w:color w:val="auto"/>
        </w:rPr>
      </w:pPr>
      <w:r>
        <w:rPr>
          <w:rFonts w:ascii="Arial" w:cs="Arial" w:eastAsia="Arial" w:hAnsi="Arial"/>
          <w:sz w:val="11"/>
          <w:szCs w:val="11"/>
          <w:b w:val="1"/>
          <w:bCs w:val="1"/>
          <w:color w:val="707070"/>
        </w:rPr>
        <w:t>Gross profit</w:t>
      </w:r>
    </w:p>
    <w:p>
      <w:pPr>
        <w:spacing w:after="0" w:line="21" w:lineRule="exact"/>
        <w:rPr>
          <w:sz w:val="20"/>
          <w:szCs w:val="20"/>
          <w:color w:val="auto"/>
        </w:rPr>
      </w:pPr>
    </w:p>
    <w:p>
      <w:pPr>
        <w:ind w:right="60"/>
        <w:spacing w:after="0" w:line="268" w:lineRule="auto"/>
        <w:rPr>
          <w:sz w:val="20"/>
          <w:szCs w:val="20"/>
          <w:color w:val="auto"/>
        </w:rPr>
      </w:pPr>
      <w:r>
        <w:rPr>
          <w:rFonts w:ascii="Times New Roman" w:cs="Times New Roman" w:eastAsia="Times New Roman" w:hAnsi="Times New Roman"/>
          <w:sz w:val="11"/>
          <w:szCs w:val="11"/>
          <w:color w:val="auto"/>
        </w:rPr>
        <w:t>Nokia Technologies gross profit in 2023 was EUR 1 085 million, a decrease of EUR 505 million, or 32 %, compared to EUR 1 590 million in 2022 . The lower gross profit in Nokia Technologies was due to lower net sales.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2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Other</w:t>
            </w:r>
          </w:p>
        </w:tc>
        <w:tc>
          <w:tcPr>
            <w:tcW w:w="540" w:type="dxa"/>
            <w:vAlign w:val="bottom"/>
          </w:tcPr>
          <w:p>
            <w:pPr>
              <w:spacing w:after="0"/>
              <w:rPr>
                <w:sz w:val="9"/>
                <w:szCs w:val="9"/>
                <w:color w:val="auto"/>
              </w:rPr>
            </w:pPr>
          </w:p>
        </w:tc>
        <w:tc>
          <w:tcPr>
            <w:tcW w:w="280" w:type="dxa"/>
            <w:vAlign w:val="bottom"/>
          </w:tcPr>
          <w:p>
            <w:pPr>
              <w:spacing w:after="0"/>
              <w:rPr>
                <w:sz w:val="9"/>
                <w:szCs w:val="9"/>
                <w:color w:val="auto"/>
              </w:rPr>
            </w:pPr>
          </w:p>
        </w:tc>
        <w:tc>
          <w:tcPr>
            <w:tcW w:w="340" w:type="dxa"/>
            <w:vAlign w:val="bottom"/>
          </w:tcPr>
          <w:p>
            <w:pPr>
              <w:spacing w:after="0"/>
              <w:rPr>
                <w:sz w:val="9"/>
                <w:szCs w:val="9"/>
                <w:color w:val="auto"/>
              </w:rPr>
            </w:pPr>
          </w:p>
        </w:tc>
        <w:tc>
          <w:tcPr>
            <w:tcW w:w="16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80</w:t>
            </w:r>
          </w:p>
        </w:tc>
        <w:tc>
          <w:tcPr>
            <w:tcW w:w="0" w:type="dxa"/>
            <w:vAlign w:val="bottom"/>
          </w:tcPr>
          <w:p>
            <w:pPr>
              <w:spacing w:after="0"/>
              <w:rPr>
                <w:sz w:val="1"/>
                <w:szCs w:val="1"/>
                <w:color w:val="auto"/>
              </w:rPr>
            </w:pPr>
          </w:p>
        </w:tc>
      </w:tr>
      <w:tr>
        <w:trPr>
          <w:trHeight w:val="130"/>
        </w:trPr>
        <w:tc>
          <w:tcPr>
            <w:tcW w:w="2120" w:type="dxa"/>
            <w:vAlign w:val="bottom"/>
          </w:tcPr>
          <w:p>
            <w:pPr>
              <w:ind w:left="400"/>
              <w:spacing w:after="0"/>
              <w:rPr>
                <w:sz w:val="20"/>
                <w:szCs w:val="20"/>
                <w:color w:val="auto"/>
              </w:rPr>
            </w:pPr>
            <w:r>
              <w:rPr>
                <w:rFonts w:ascii="Times New Roman" w:cs="Times New Roman" w:eastAsia="Times New Roman" w:hAnsi="Times New Roman"/>
                <w:sz w:val="9"/>
                <w:szCs w:val="9"/>
                <w:color w:val="auto"/>
              </w:rPr>
              <w:t>information</w:t>
            </w:r>
          </w:p>
        </w:tc>
        <w:tc>
          <w:tcPr>
            <w:tcW w:w="540" w:type="dxa"/>
            <w:vAlign w:val="bottom"/>
          </w:tcPr>
          <w:p>
            <w:pPr>
              <w:spacing w:after="0"/>
              <w:rPr>
                <w:sz w:val="11"/>
                <w:szCs w:val="11"/>
                <w:color w:val="auto"/>
              </w:rPr>
            </w:pPr>
          </w:p>
        </w:tc>
        <w:tc>
          <w:tcPr>
            <w:tcW w:w="280" w:type="dxa"/>
            <w:vAlign w:val="bottom"/>
          </w:tcPr>
          <w:p>
            <w:pPr>
              <w:spacing w:after="0"/>
              <w:rPr>
                <w:sz w:val="11"/>
                <w:szCs w:val="11"/>
                <w:color w:val="auto"/>
              </w:rPr>
            </w:pPr>
          </w:p>
        </w:tc>
        <w:tc>
          <w:tcPr>
            <w:tcW w:w="340" w:type="dxa"/>
            <w:vAlign w:val="bottom"/>
          </w:tcPr>
          <w:p>
            <w:pPr>
              <w:spacing w:after="0"/>
              <w:rPr>
                <w:sz w:val="11"/>
                <w:szCs w:val="11"/>
                <w:color w:val="auto"/>
              </w:rPr>
            </w:pPr>
          </w:p>
        </w:tc>
        <w:tc>
          <w:tcPr>
            <w:tcW w:w="16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1"/>
        </w:trPr>
        <w:tc>
          <w:tcPr>
            <w:tcW w:w="212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Operating expenses</w:t>
            </w:r>
          </w:p>
        </w:tc>
        <w:tc>
          <w:tcPr>
            <w:tcW w:w="540" w:type="dxa"/>
            <w:vAlign w:val="bottom"/>
          </w:tcPr>
          <w:p>
            <w:pPr>
              <w:spacing w:after="0"/>
              <w:rPr>
                <w:sz w:val="24"/>
                <w:szCs w:val="24"/>
                <w:color w:val="auto"/>
              </w:rPr>
            </w:pPr>
          </w:p>
        </w:tc>
        <w:tc>
          <w:tcPr>
            <w:tcW w:w="280" w:type="dxa"/>
            <w:vAlign w:val="bottom"/>
          </w:tcPr>
          <w:p>
            <w:pPr>
              <w:spacing w:after="0"/>
              <w:rPr>
                <w:sz w:val="24"/>
                <w:szCs w:val="24"/>
                <w:color w:val="auto"/>
              </w:rPr>
            </w:pPr>
          </w:p>
        </w:tc>
        <w:tc>
          <w:tcPr>
            <w:tcW w:w="340" w:type="dxa"/>
            <w:vAlign w:val="bottom"/>
          </w:tcPr>
          <w:p>
            <w:pPr>
              <w:spacing w:after="0"/>
              <w:rPr>
                <w:sz w:val="24"/>
                <w:szCs w:val="24"/>
                <w:color w:val="auto"/>
              </w:rPr>
            </w:pPr>
          </w:p>
        </w:tc>
        <w:tc>
          <w:tcPr>
            <w:tcW w:w="16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2"/>
        </w:trPr>
        <w:tc>
          <w:tcPr>
            <w:tcW w:w="29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Nokia Technologies research and development expenses in</w:t>
            </w:r>
          </w:p>
        </w:tc>
        <w:tc>
          <w:tcPr>
            <w:tcW w:w="34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w:t>
            </w:r>
          </w:p>
        </w:tc>
        <w:tc>
          <w:tcPr>
            <w:tcW w:w="1620" w:type="dxa"/>
            <w:vAlign w:val="bottom"/>
          </w:tcPr>
          <w:p>
            <w:pPr>
              <w:jc w:val="right"/>
              <w:ind w:right="282"/>
              <w:spacing w:after="0"/>
              <w:rPr>
                <w:sz w:val="20"/>
                <w:szCs w:val="20"/>
                <w:color w:val="auto"/>
              </w:rPr>
            </w:pPr>
            <w:r>
              <w:rPr>
                <w:rFonts w:ascii="Times New Roman" w:cs="Times New Roman" w:eastAsia="Times New Roman" w:hAnsi="Times New Roman"/>
                <w:sz w:val="11"/>
                <w:szCs w:val="11"/>
                <w:color w:val="auto"/>
              </w:rPr>
              <w:t>were EUR 224 million, an</w:t>
            </w:r>
          </w:p>
        </w:tc>
        <w:tc>
          <w:tcPr>
            <w:tcW w:w="0" w:type="dxa"/>
            <w:vAlign w:val="bottom"/>
          </w:tcPr>
          <w:p>
            <w:pPr>
              <w:spacing w:after="0"/>
              <w:rPr>
                <w:sz w:val="1"/>
                <w:szCs w:val="1"/>
                <w:color w:val="auto"/>
              </w:rPr>
            </w:pPr>
          </w:p>
        </w:tc>
      </w:tr>
      <w:tr>
        <w:trPr>
          <w:trHeight w:val="131"/>
        </w:trPr>
        <w:tc>
          <w:tcPr>
            <w:tcW w:w="26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increase  of EUR 10 million, or 5%, compared to EUR</w:t>
            </w:r>
          </w:p>
        </w:tc>
        <w:tc>
          <w:tcPr>
            <w:tcW w:w="22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214 million in 2022 . The increase in Nokia</w:t>
            </w:r>
          </w:p>
        </w:tc>
        <w:tc>
          <w:tcPr>
            <w:tcW w:w="0" w:type="dxa"/>
            <w:vAlign w:val="bottom"/>
          </w:tcPr>
          <w:p>
            <w:pPr>
              <w:spacing w:after="0"/>
              <w:rPr>
                <w:sz w:val="1"/>
                <w:szCs w:val="1"/>
                <w:color w:val="auto"/>
              </w:rPr>
            </w:pPr>
          </w:p>
        </w:tc>
      </w:tr>
      <w:tr>
        <w:trPr>
          <w:trHeight w:val="142"/>
        </w:trPr>
        <w:tc>
          <w:tcPr>
            <w:tcW w:w="490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Technologies research and development expenses was primarily due to higher investments to</w:t>
            </w:r>
          </w:p>
        </w:tc>
        <w:tc>
          <w:tcPr>
            <w:tcW w:w="0" w:type="dxa"/>
            <w:vAlign w:val="bottom"/>
          </w:tcPr>
          <w:p>
            <w:pPr>
              <w:spacing w:after="0"/>
              <w:rPr>
                <w:sz w:val="1"/>
                <w:szCs w:val="1"/>
                <w:color w:val="auto"/>
              </w:rPr>
            </w:pPr>
          </w:p>
        </w:tc>
      </w:tr>
      <w:tr>
        <w:trPr>
          <w:trHeight w:val="148"/>
        </w:trPr>
        <w:tc>
          <w:tcPr>
            <w:tcW w:w="2120" w:type="dxa"/>
            <w:vAlign w:val="bottom"/>
          </w:tcPr>
          <w:p>
            <w:pPr>
              <w:spacing w:after="0"/>
              <w:rPr>
                <w:sz w:val="20"/>
                <w:szCs w:val="20"/>
                <w:color w:val="auto"/>
              </w:rPr>
            </w:pPr>
            <w:r>
              <w:rPr>
                <w:rFonts w:ascii="Times New Roman" w:cs="Times New Roman" w:eastAsia="Times New Roman" w:hAnsi="Times New Roman"/>
                <w:sz w:val="11"/>
                <w:szCs w:val="11"/>
                <w:color w:val="auto"/>
              </w:rPr>
              <w:t>drive creation of intellectual property.</w:t>
            </w:r>
          </w:p>
        </w:tc>
        <w:tc>
          <w:tcPr>
            <w:tcW w:w="54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16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06"/>
        </w:trPr>
        <w:tc>
          <w:tcPr>
            <w:tcW w:w="32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Nokia Technologies selling, general and administrative expenses in</w:t>
            </w:r>
          </w:p>
        </w:tc>
        <w:tc>
          <w:tcPr>
            <w:tcW w:w="1620" w:type="dxa"/>
            <w:vAlign w:val="bottom"/>
          </w:tcPr>
          <w:p>
            <w:pPr>
              <w:jc w:val="center"/>
              <w:spacing w:after="0"/>
              <w:rPr>
                <w:sz w:val="20"/>
                <w:szCs w:val="20"/>
                <w:color w:val="auto"/>
              </w:rPr>
            </w:pPr>
            <w:r>
              <w:rPr>
                <w:rFonts w:ascii="Times New Roman" w:cs="Times New Roman" w:eastAsia="Times New Roman" w:hAnsi="Times New Roman"/>
                <w:sz w:val="11"/>
                <w:szCs w:val="11"/>
                <w:color w:val="auto"/>
              </w:rPr>
              <w:t>2023 were EUR 140 million,</w:t>
            </w:r>
          </w:p>
        </w:tc>
        <w:tc>
          <w:tcPr>
            <w:tcW w:w="0" w:type="dxa"/>
            <w:vAlign w:val="bottom"/>
          </w:tcPr>
          <w:p>
            <w:pPr>
              <w:spacing w:after="0"/>
              <w:rPr>
                <w:sz w:val="1"/>
                <w:szCs w:val="1"/>
                <w:color w:val="auto"/>
              </w:rPr>
            </w:pPr>
          </w:p>
        </w:tc>
      </w:tr>
      <w:tr>
        <w:trPr>
          <w:trHeight w:val="148"/>
        </w:trPr>
        <w:tc>
          <w:tcPr>
            <w:tcW w:w="26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 increase  of EUR 4 million, or 3%, compared to EUR</w:t>
            </w:r>
          </w:p>
        </w:tc>
        <w:tc>
          <w:tcPr>
            <w:tcW w:w="2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136</w:t>
            </w:r>
          </w:p>
        </w:tc>
        <w:tc>
          <w:tcPr>
            <w:tcW w:w="1960" w:type="dxa"/>
            <w:vAlign w:val="bottom"/>
            <w:gridSpan w:val="2"/>
          </w:tcPr>
          <w:p>
            <w:pPr>
              <w:jc w:val="right"/>
              <w:ind w:right="1082"/>
              <w:spacing w:after="0"/>
              <w:rPr>
                <w:sz w:val="20"/>
                <w:szCs w:val="20"/>
                <w:color w:val="auto"/>
              </w:rPr>
            </w:pPr>
            <w:r>
              <w:rPr>
                <w:rFonts w:ascii="Times New Roman" w:cs="Times New Roman" w:eastAsia="Times New Roman" w:hAnsi="Times New Roman"/>
                <w:sz w:val="11"/>
                <w:szCs w:val="11"/>
                <w:color w:val="auto"/>
              </w:rPr>
              <w:t>million in 2022 .</w:t>
            </w:r>
          </w:p>
        </w:tc>
        <w:tc>
          <w:tcPr>
            <w:tcW w:w="0" w:type="dxa"/>
            <w:vAlign w:val="bottom"/>
          </w:tcPr>
          <w:p>
            <w:pPr>
              <w:spacing w:after="0"/>
              <w:rPr>
                <w:sz w:val="1"/>
                <w:szCs w:val="1"/>
                <w:color w:val="auto"/>
              </w:rPr>
            </w:pPr>
          </w:p>
        </w:tc>
      </w:tr>
      <w:tr>
        <w:trPr>
          <w:trHeight w:val="206"/>
        </w:trPr>
        <w:tc>
          <w:tcPr>
            <w:tcW w:w="29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Nokia Technologies other operating income and expenses in</w:t>
            </w:r>
          </w:p>
        </w:tc>
        <w:tc>
          <w:tcPr>
            <w:tcW w:w="34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2023</w:t>
            </w:r>
          </w:p>
        </w:tc>
        <w:tc>
          <w:tcPr>
            <w:tcW w:w="1620" w:type="dxa"/>
            <w:vAlign w:val="bottom"/>
          </w:tcPr>
          <w:p>
            <w:pPr>
              <w:jc w:val="center"/>
              <w:spacing w:after="0"/>
              <w:rPr>
                <w:sz w:val="20"/>
                <w:szCs w:val="20"/>
                <w:color w:val="auto"/>
              </w:rPr>
            </w:pPr>
            <w:r>
              <w:rPr>
                <w:rFonts w:ascii="Times New Roman" w:cs="Times New Roman" w:eastAsia="Times New Roman" w:hAnsi="Times New Roman"/>
                <w:sz w:val="11"/>
                <w:szCs w:val="11"/>
                <w:color w:val="auto"/>
              </w:rPr>
              <w:t>was an income of EUR 13 million,</w:t>
            </w:r>
          </w:p>
        </w:tc>
        <w:tc>
          <w:tcPr>
            <w:tcW w:w="0" w:type="dxa"/>
            <w:vAlign w:val="bottom"/>
          </w:tcPr>
          <w:p>
            <w:pPr>
              <w:spacing w:after="0"/>
              <w:rPr>
                <w:sz w:val="1"/>
                <w:szCs w:val="1"/>
                <w:color w:val="auto"/>
              </w:rPr>
            </w:pPr>
          </w:p>
        </w:tc>
      </w:tr>
      <w:tr>
        <w:trPr>
          <w:trHeight w:val="148"/>
        </w:trPr>
        <w:tc>
          <w:tcPr>
            <w:tcW w:w="2120" w:type="dxa"/>
            <w:vAlign w:val="bottom"/>
          </w:tcPr>
          <w:p>
            <w:pPr>
              <w:spacing w:after="0"/>
              <w:rPr>
                <w:sz w:val="20"/>
                <w:szCs w:val="20"/>
                <w:color w:val="auto"/>
              </w:rPr>
            </w:pPr>
            <w:r>
              <w:rPr>
                <w:rFonts w:ascii="Times New Roman" w:cs="Times New Roman" w:eastAsia="Times New Roman" w:hAnsi="Times New Roman"/>
                <w:sz w:val="11"/>
                <w:szCs w:val="11"/>
                <w:color w:val="auto"/>
              </w:rPr>
              <w:t>a change of EUR 45 million compared to an</w:t>
            </w:r>
          </w:p>
        </w:tc>
        <w:tc>
          <w:tcPr>
            <w:tcW w:w="5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expense</w:t>
            </w:r>
          </w:p>
        </w:tc>
        <w:tc>
          <w:tcPr>
            <w:tcW w:w="224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of EUR 32 million in 2022 . The change in</w:t>
            </w:r>
          </w:p>
        </w:tc>
        <w:tc>
          <w:tcPr>
            <w:tcW w:w="0" w:type="dxa"/>
            <w:vAlign w:val="bottom"/>
          </w:tcPr>
          <w:p>
            <w:pPr>
              <w:spacing w:after="0"/>
              <w:rPr>
                <w:sz w:val="1"/>
                <w:szCs w:val="1"/>
                <w:color w:val="auto"/>
              </w:rPr>
            </w:pPr>
          </w:p>
        </w:tc>
      </w:tr>
    </w:tbl>
    <w:p>
      <w:pPr>
        <w:ind w:right="560"/>
        <w:spacing w:after="0" w:line="278" w:lineRule="auto"/>
        <w:rPr>
          <w:sz w:val="20"/>
          <w:szCs w:val="20"/>
          <w:color w:val="auto"/>
        </w:rPr>
      </w:pPr>
      <w:r>
        <w:rPr>
          <w:rFonts w:ascii="Times New Roman" w:cs="Times New Roman" w:eastAsia="Times New Roman" w:hAnsi="Times New Roman"/>
          <w:sz w:val="11"/>
          <w:szCs w:val="11"/>
          <w:color w:val="auto"/>
        </w:rPr>
        <w:t>other operating income and expenses was primarily related to the reversal of loss allowance on certain trade receivables recorded in 2022 and the positive impact from hedging.</w:t>
      </w:r>
    </w:p>
    <w:p>
      <w:pPr>
        <w:spacing w:after="0" w:line="61" w:lineRule="exact"/>
        <w:rPr>
          <w:sz w:val="20"/>
          <w:szCs w:val="20"/>
          <w:color w:val="auto"/>
        </w:rPr>
      </w:pPr>
    </w:p>
    <w:p>
      <w:pPr>
        <w:spacing w:after="0"/>
        <w:rPr>
          <w:sz w:val="20"/>
          <w:szCs w:val="20"/>
          <w:color w:val="auto"/>
        </w:rPr>
      </w:pPr>
      <w:r>
        <w:rPr>
          <w:rFonts w:ascii="Arial" w:cs="Arial" w:eastAsia="Arial" w:hAnsi="Arial"/>
          <w:sz w:val="11"/>
          <w:szCs w:val="11"/>
          <w:b w:val="1"/>
          <w:bCs w:val="1"/>
          <w:color w:val="707070"/>
        </w:rPr>
        <w:t>Operating profit</w:t>
      </w:r>
    </w:p>
    <w:p>
      <w:pPr>
        <w:spacing w:after="0" w:line="10" w:lineRule="exact"/>
        <w:rPr>
          <w:sz w:val="20"/>
          <w:szCs w:val="20"/>
          <w:color w:val="auto"/>
        </w:rPr>
      </w:pPr>
    </w:p>
    <w:p>
      <w:pPr>
        <w:spacing w:after="0"/>
        <w:tabs>
          <w:tab w:leader="none" w:pos="1960" w:val="left"/>
          <w:tab w:leader="none" w:pos="3900" w:val="left"/>
        </w:tabs>
        <w:rPr>
          <w:sz w:val="20"/>
          <w:szCs w:val="20"/>
          <w:color w:val="auto"/>
        </w:rPr>
      </w:pPr>
      <w:r>
        <w:rPr>
          <w:rFonts w:ascii="Times New Roman" w:cs="Times New Roman" w:eastAsia="Times New Roman" w:hAnsi="Times New Roman"/>
          <w:sz w:val="11"/>
          <w:szCs w:val="11"/>
          <w:color w:val="auto"/>
        </w:rPr>
        <w:t>Nokia Technologies operating profit in</w:t>
      </w:r>
      <w:r>
        <w:rPr>
          <w:sz w:val="20"/>
          <w:szCs w:val="20"/>
          <w:color w:val="auto"/>
        </w:rPr>
        <w:tab/>
      </w:r>
      <w:r>
        <w:rPr>
          <w:rFonts w:ascii="Times New Roman" w:cs="Times New Roman" w:eastAsia="Times New Roman" w:hAnsi="Times New Roman"/>
          <w:sz w:val="11"/>
          <w:szCs w:val="11"/>
          <w:color w:val="auto"/>
        </w:rPr>
        <w:t>2023 was EUR 734 million, a decrease</w:t>
        <w:tab/>
        <w:t>of EUR 474 million,</w:t>
      </w:r>
    </w:p>
    <w:p>
      <w:pPr>
        <w:spacing w:after="0" w:line="10" w:lineRule="exact"/>
        <w:rPr>
          <w:sz w:val="20"/>
          <w:szCs w:val="20"/>
          <w:color w:val="auto"/>
        </w:rPr>
      </w:pPr>
    </w:p>
    <w:p>
      <w:pPr>
        <w:spacing w:after="0"/>
        <w:tabs>
          <w:tab w:leader="none" w:pos="2460" w:val="left"/>
        </w:tabs>
        <w:rPr>
          <w:sz w:val="20"/>
          <w:szCs w:val="20"/>
          <w:color w:val="auto"/>
        </w:rPr>
      </w:pPr>
      <w:r>
        <w:rPr>
          <w:rFonts w:ascii="Times New Roman" w:cs="Times New Roman" w:eastAsia="Times New Roman" w:hAnsi="Times New Roman"/>
          <w:sz w:val="11"/>
          <w:szCs w:val="11"/>
          <w:color w:val="auto"/>
        </w:rPr>
        <w:t>or 39 %, compared to an operating profit of EUR</w:t>
      </w:r>
      <w:r>
        <w:rPr>
          <w:sz w:val="20"/>
          <w:szCs w:val="20"/>
          <w:color w:val="auto"/>
        </w:rPr>
        <w:tab/>
      </w:r>
      <w:r>
        <w:rPr>
          <w:rFonts w:ascii="Times New Roman" w:cs="Times New Roman" w:eastAsia="Times New Roman" w:hAnsi="Times New Roman"/>
          <w:sz w:val="11"/>
          <w:szCs w:val="11"/>
          <w:color w:val="auto"/>
        </w:rPr>
        <w:t>1 208 million in 2022 . The decrease in Nokia</w:t>
      </w:r>
    </w:p>
    <w:p>
      <w:pPr>
        <w:spacing w:after="0" w:line="15" w:lineRule="exact"/>
        <w:rPr>
          <w:sz w:val="20"/>
          <w:szCs w:val="20"/>
          <w:color w:val="auto"/>
        </w:rPr>
      </w:pPr>
    </w:p>
    <w:p>
      <w:pPr>
        <w:ind w:right="600"/>
        <w:spacing w:after="0" w:line="273" w:lineRule="auto"/>
        <w:rPr>
          <w:sz w:val="20"/>
          <w:szCs w:val="20"/>
          <w:color w:val="auto"/>
        </w:rPr>
      </w:pPr>
      <w:r>
        <w:rPr>
          <w:rFonts w:ascii="Times New Roman" w:cs="Times New Roman" w:eastAsia="Times New Roman" w:hAnsi="Times New Roman"/>
          <w:sz w:val="11"/>
          <w:szCs w:val="11"/>
          <w:color w:val="auto"/>
        </w:rPr>
        <w:t>Technologies operating profit was primarily related to lower net sales, partially offset by a net positive fluctuation in other operating income and expenses. Nokia Technologies operating margin in 2023 was 67.6 % compared to 75.7 % in 2022 .</w:t>
      </w:r>
    </w:p>
    <w:p>
      <w:pPr>
        <w:sectPr>
          <w:pgSz w:w="11900" w:h="16838" w:orient="portrait"/>
          <w:cols w:equalWidth="0" w:num="2">
            <w:col w:w="4940" w:space="160"/>
            <w:col w:w="4900"/>
          </w:cols>
          <w:pgMar w:left="960" w:top="409" w:right="939" w:bottom="1440" w:gutter="0" w:footer="0" w:header="0"/>
        </w:sectPr>
      </w:pPr>
    </w:p>
    <w:bookmarkStart w:id="88" w:name="page89"/>
    <w:bookmarkEnd w:id="8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81</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Group Common and Other</w:t>
      </w:r>
    </w:p>
    <w:p>
      <w:pPr>
        <w:spacing w:after="0" w:line="36" w:lineRule="exact"/>
        <w:rPr>
          <w:sz w:val="20"/>
          <w:szCs w:val="20"/>
          <w:color w:val="auto"/>
        </w:rPr>
      </w:pPr>
    </w:p>
    <w:tbl>
      <w:tblPr>
        <w:tblLayout w:type="fixed"/>
        <w:tblInd w:w="0" w:type="dxa"/>
        <w:tblCellMar>
          <w:top w:w="0" w:type="dxa"/>
          <w:left w:w="0" w:type="dxa"/>
          <w:bottom w:w="0" w:type="dxa"/>
          <w:right w:w="0" w:type="dxa"/>
        </w:tblCellMar>
      </w:tblPr>
      <w:tr>
        <w:trPr>
          <w:trHeight w:val="138"/>
        </w:trPr>
        <w:tc>
          <w:tcPr>
            <w:tcW w:w="192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For the year ended  31 December 2023</w:t>
            </w:r>
          </w:p>
        </w:tc>
        <w:tc>
          <w:tcPr>
            <w:tcW w:w="1400" w:type="dxa"/>
            <w:vAlign w:val="bottom"/>
            <w:gridSpan w:val="5"/>
          </w:tcPr>
          <w:p>
            <w:pPr>
              <w:spacing w:after="0"/>
              <w:rPr>
                <w:sz w:val="20"/>
                <w:szCs w:val="20"/>
                <w:color w:val="auto"/>
              </w:rPr>
            </w:pPr>
            <w:r>
              <w:rPr>
                <w:rFonts w:ascii="Times New Roman" w:cs="Times New Roman" w:eastAsia="Times New Roman" w:hAnsi="Times New Roman"/>
                <w:sz w:val="11"/>
                <w:szCs w:val="11"/>
                <w:b w:val="1"/>
                <w:bCs w:val="1"/>
                <w:color w:val="auto"/>
              </w:rPr>
              <w:t>compared to the year ended</w:t>
            </w:r>
          </w:p>
        </w:tc>
        <w:tc>
          <w:tcPr>
            <w:tcW w:w="1080" w:type="dxa"/>
            <w:vAlign w:val="bottom"/>
            <w:gridSpan w:val="3"/>
          </w:tcPr>
          <w:p>
            <w:pPr>
              <w:jc w:val="right"/>
              <w:ind w:right="200"/>
              <w:spacing w:after="0"/>
              <w:rPr>
                <w:sz w:val="20"/>
                <w:szCs w:val="20"/>
                <w:color w:val="auto"/>
              </w:rPr>
            </w:pPr>
            <w:r>
              <w:rPr>
                <w:rFonts w:ascii="Times New Roman" w:cs="Times New Roman" w:eastAsia="Times New Roman" w:hAnsi="Times New Roman"/>
                <w:sz w:val="11"/>
                <w:szCs w:val="11"/>
                <w:b w:val="1"/>
                <w:bCs w:val="1"/>
                <w:color w:val="auto"/>
                <w:w w:val="99"/>
              </w:rPr>
              <w:t>31 December 2022</w:t>
            </w:r>
          </w:p>
        </w:tc>
        <w:tc>
          <w:tcPr>
            <w:tcW w:w="540" w:type="dxa"/>
            <w:vAlign w:val="bottom"/>
          </w:tcPr>
          <w:p>
            <w:pPr>
              <w:spacing w:after="0"/>
              <w:rPr>
                <w:sz w:val="11"/>
                <w:szCs w:val="11"/>
                <w:color w:val="auto"/>
              </w:rPr>
            </w:pPr>
          </w:p>
        </w:tc>
      </w:tr>
      <w:tr>
        <w:trPr>
          <w:trHeight w:val="142"/>
        </w:trPr>
        <w:tc>
          <w:tcPr>
            <w:tcW w:w="4400" w:type="dxa"/>
            <w:vAlign w:val="bottom"/>
            <w:gridSpan w:val="9"/>
          </w:tcPr>
          <w:p>
            <w:pPr>
              <w:spacing w:after="0"/>
              <w:rPr>
                <w:sz w:val="20"/>
                <w:szCs w:val="20"/>
                <w:color w:val="auto"/>
              </w:rPr>
            </w:pPr>
            <w:r>
              <w:rPr>
                <w:rFonts w:ascii="Times New Roman" w:cs="Times New Roman" w:eastAsia="Times New Roman" w:hAnsi="Times New Roman"/>
                <w:sz w:val="11"/>
                <w:szCs w:val="11"/>
                <w:color w:val="auto"/>
              </w:rPr>
              <w:t>The following table sets forth the operating results for Group Common and Other, and the</w:t>
            </w:r>
          </w:p>
        </w:tc>
        <w:tc>
          <w:tcPr>
            <w:tcW w:w="540" w:type="dxa"/>
            <w:vAlign w:val="bottom"/>
          </w:tcPr>
          <w:p>
            <w:pPr>
              <w:spacing w:after="0"/>
              <w:rPr>
                <w:sz w:val="12"/>
                <w:szCs w:val="12"/>
                <w:color w:val="auto"/>
              </w:rPr>
            </w:pPr>
          </w:p>
        </w:tc>
      </w:tr>
      <w:tr>
        <w:trPr>
          <w:trHeight w:val="148"/>
        </w:trPr>
        <w:tc>
          <w:tcPr>
            <w:tcW w:w="27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percentage of net sales for the years indicated.</w:t>
            </w:r>
          </w:p>
        </w:tc>
        <w:tc>
          <w:tcPr>
            <w:tcW w:w="4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40" w:type="dxa"/>
            <w:vAlign w:val="bottom"/>
          </w:tcPr>
          <w:p>
            <w:pPr>
              <w:spacing w:after="0"/>
              <w:rPr>
                <w:sz w:val="12"/>
                <w:szCs w:val="12"/>
                <w:color w:val="auto"/>
              </w:rPr>
            </w:pPr>
          </w:p>
        </w:tc>
      </w:tr>
      <w:tr>
        <w:trPr>
          <w:trHeight w:val="241"/>
        </w:trPr>
        <w:tc>
          <w:tcPr>
            <w:tcW w:w="1920" w:type="dxa"/>
            <w:vAlign w:val="bottom"/>
          </w:tcPr>
          <w:p>
            <w:pPr>
              <w:spacing w:after="0"/>
              <w:rPr>
                <w:sz w:val="20"/>
                <w:szCs w:val="20"/>
                <w:color w:val="auto"/>
              </w:rPr>
            </w:pPr>
          </w:p>
        </w:tc>
        <w:tc>
          <w:tcPr>
            <w:tcW w:w="120" w:type="dxa"/>
            <w:vAlign w:val="bottom"/>
          </w:tcPr>
          <w:p>
            <w:pPr>
              <w:spacing w:after="0"/>
              <w:rPr>
                <w:sz w:val="20"/>
                <w:szCs w:val="20"/>
                <w:color w:val="auto"/>
              </w:rPr>
            </w:pP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420" w:type="dxa"/>
            <w:vAlign w:val="bottom"/>
            <w:tcBorders>
              <w:bottom w:val="single" w:sz="8" w:color="005AFF"/>
            </w:tcBorders>
          </w:tcPr>
          <w:p>
            <w:pPr>
              <w:spacing w:after="0"/>
              <w:rPr>
                <w:sz w:val="20"/>
                <w:szCs w:val="20"/>
                <w:color w:val="auto"/>
              </w:rPr>
            </w:pPr>
          </w:p>
        </w:tc>
        <w:tc>
          <w:tcPr>
            <w:tcW w:w="60" w:type="dxa"/>
            <w:vAlign w:val="bottom"/>
          </w:tcPr>
          <w:p>
            <w:pPr>
              <w:spacing w:after="0"/>
              <w:rPr>
                <w:sz w:val="20"/>
                <w:szCs w:val="20"/>
                <w:color w:val="auto"/>
              </w:rPr>
            </w:pPr>
          </w:p>
        </w:tc>
        <w:tc>
          <w:tcPr>
            <w:tcW w:w="140" w:type="dxa"/>
            <w:vAlign w:val="bottom"/>
            <w:tcBorders>
              <w:bottom w:val="single" w:sz="8" w:color="005AFF"/>
            </w:tcBorders>
          </w:tcPr>
          <w:p>
            <w:pPr>
              <w:spacing w:after="0"/>
              <w:rPr>
                <w:sz w:val="20"/>
                <w:szCs w:val="20"/>
                <w:color w:val="auto"/>
              </w:rPr>
            </w:pP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spacing w:after="0"/>
              <w:rPr>
                <w:sz w:val="20"/>
                <w:szCs w:val="20"/>
                <w:color w:val="auto"/>
              </w:rPr>
            </w:pPr>
          </w:p>
        </w:tc>
        <w:tc>
          <w:tcPr>
            <w:tcW w:w="140" w:type="dxa"/>
            <w:vAlign w:val="bottom"/>
          </w:tcPr>
          <w:p>
            <w:pPr>
              <w:spacing w:after="0"/>
              <w:rPr>
                <w:sz w:val="20"/>
                <w:szCs w:val="20"/>
                <w:color w:val="auto"/>
              </w:rPr>
            </w:pPr>
          </w:p>
        </w:tc>
        <w:tc>
          <w:tcPr>
            <w:tcW w:w="540" w:type="dxa"/>
            <w:vAlign w:val="bottom"/>
          </w:tcPr>
          <w:p>
            <w:pPr>
              <w:spacing w:after="0"/>
              <w:rPr>
                <w:sz w:val="20"/>
                <w:szCs w:val="20"/>
                <w:color w:val="auto"/>
              </w:rPr>
            </w:pPr>
          </w:p>
        </w:tc>
      </w:tr>
      <w:tr>
        <w:trPr>
          <w:trHeight w:val="108"/>
        </w:trPr>
        <w:tc>
          <w:tcPr>
            <w:tcW w:w="1920" w:type="dxa"/>
            <w:vAlign w:val="bottom"/>
          </w:tcPr>
          <w:p>
            <w:pPr>
              <w:spacing w:after="0"/>
              <w:rPr>
                <w:sz w:val="9"/>
                <w:szCs w:val="9"/>
                <w:color w:val="auto"/>
              </w:rPr>
            </w:pPr>
          </w:p>
        </w:tc>
        <w:tc>
          <w:tcPr>
            <w:tcW w:w="120" w:type="dxa"/>
            <w:vAlign w:val="bottom"/>
          </w:tcPr>
          <w:p>
            <w:pPr>
              <w:spacing w:after="0"/>
              <w:rPr>
                <w:sz w:val="9"/>
                <w:szCs w:val="9"/>
                <w:color w:val="auto"/>
              </w:rPr>
            </w:pPr>
          </w:p>
        </w:tc>
        <w:tc>
          <w:tcPr>
            <w:tcW w:w="660" w:type="dxa"/>
            <w:vAlign w:val="bottom"/>
          </w:tcPr>
          <w:p>
            <w:pPr>
              <w:spacing w:after="0"/>
              <w:rPr>
                <w:sz w:val="9"/>
                <w:szCs w:val="9"/>
                <w:color w:val="auto"/>
              </w:rPr>
            </w:pPr>
          </w:p>
        </w:tc>
        <w:tc>
          <w:tcPr>
            <w:tcW w:w="620" w:type="dxa"/>
            <w:vAlign w:val="bottom"/>
            <w:gridSpan w:val="3"/>
          </w:tcPr>
          <w:p>
            <w:pPr>
              <w:ind w:left="40"/>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500" w:type="dxa"/>
            <w:vAlign w:val="bottom"/>
          </w:tcPr>
          <w:p>
            <w:pPr>
              <w:spacing w:after="0"/>
              <w:rPr>
                <w:sz w:val="9"/>
                <w:szCs w:val="9"/>
                <w:color w:val="auto"/>
              </w:rPr>
            </w:pPr>
          </w:p>
        </w:tc>
        <w:tc>
          <w:tcPr>
            <w:tcW w:w="580" w:type="dxa"/>
            <w:vAlign w:val="bottom"/>
            <w:gridSpan w:val="2"/>
          </w:tcPr>
          <w:p>
            <w:pPr>
              <w:jc w:val="right"/>
              <w:ind w:right="220"/>
              <w:spacing w:after="0"/>
              <w:rPr>
                <w:sz w:val="20"/>
                <w:szCs w:val="20"/>
                <w:color w:val="auto"/>
              </w:rPr>
            </w:pPr>
            <w:r>
              <w:rPr>
                <w:rFonts w:ascii="Times New Roman" w:cs="Times New Roman" w:eastAsia="Times New Roman" w:hAnsi="Times New Roman"/>
                <w:sz w:val="8"/>
                <w:szCs w:val="8"/>
                <w:b w:val="1"/>
                <w:bCs w:val="1"/>
                <w:color w:val="005AFF"/>
              </w:rPr>
              <w:t>% of net</w:t>
            </w:r>
          </w:p>
        </w:tc>
        <w:tc>
          <w:tcPr>
            <w:tcW w:w="54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w w:val="96"/>
              </w:rPr>
              <w:t>Year-on-year</w:t>
            </w:r>
          </w:p>
        </w:tc>
      </w:tr>
      <w:tr>
        <w:trPr>
          <w:trHeight w:val="114"/>
        </w:trPr>
        <w:tc>
          <w:tcPr>
            <w:tcW w:w="1920" w:type="dxa"/>
            <w:vAlign w:val="bottom"/>
            <w:tcBorders>
              <w:bottom w:val="single" w:sz="8" w:color="005AFF"/>
            </w:tcBorders>
          </w:tcPr>
          <w:p>
            <w:pPr>
              <w:spacing w:after="0"/>
              <w:rPr>
                <w:sz w:val="9"/>
                <w:szCs w:val="9"/>
                <w:color w:val="auto"/>
              </w:rPr>
            </w:pPr>
          </w:p>
        </w:tc>
        <w:tc>
          <w:tcPr>
            <w:tcW w:w="12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20" w:type="dxa"/>
            <w:vAlign w:val="bottom"/>
            <w:tcBorders>
              <w:bottom w:val="single" w:sz="8" w:color="005AFF"/>
            </w:tcBorders>
            <w:gridSpan w:val="3"/>
          </w:tcPr>
          <w:p>
            <w:pPr>
              <w:ind w:left="200"/>
              <w:spacing w:after="0"/>
              <w:rPr>
                <w:sz w:val="20"/>
                <w:szCs w:val="20"/>
                <w:color w:val="auto"/>
              </w:rPr>
            </w:pPr>
            <w:r>
              <w:rPr>
                <w:rFonts w:ascii="Times New Roman" w:cs="Times New Roman" w:eastAsia="Times New Roman" w:hAnsi="Times New Roman"/>
                <w:sz w:val="8"/>
                <w:szCs w:val="8"/>
                <w:b w:val="1"/>
                <w:bCs w:val="1"/>
                <w:color w:val="005AFF"/>
              </w:rPr>
              <w:t>sales</w:t>
            </w:r>
          </w:p>
        </w:tc>
        <w:tc>
          <w:tcPr>
            <w:tcW w:w="50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80" w:type="dxa"/>
            <w:vAlign w:val="bottom"/>
            <w:tcBorders>
              <w:bottom w:val="single" w:sz="8" w:color="005AFF"/>
            </w:tcBorders>
            <w:gridSpan w:val="2"/>
          </w:tcPr>
          <w:p>
            <w:pPr>
              <w:jc w:val="right"/>
              <w:ind w:right="200"/>
              <w:spacing w:after="0"/>
              <w:rPr>
                <w:sz w:val="20"/>
                <w:szCs w:val="20"/>
                <w:color w:val="auto"/>
              </w:rPr>
            </w:pPr>
            <w:r>
              <w:rPr>
                <w:rFonts w:ascii="Times New Roman" w:cs="Times New Roman" w:eastAsia="Times New Roman" w:hAnsi="Times New Roman"/>
                <w:sz w:val="8"/>
                <w:szCs w:val="8"/>
                <w:b w:val="1"/>
                <w:bCs w:val="1"/>
                <w:color w:val="005AFF"/>
              </w:rPr>
              <w:t>sales</w:t>
            </w:r>
          </w:p>
        </w:tc>
        <w:tc>
          <w:tcPr>
            <w:tcW w:w="5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change %</w:t>
            </w:r>
          </w:p>
        </w:tc>
      </w:tr>
      <w:tr>
        <w:trPr>
          <w:trHeight w:val="140"/>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120" w:type="dxa"/>
            <w:vAlign w:val="bottom"/>
          </w:tcPr>
          <w:p>
            <w:pPr>
              <w:spacing w:after="0"/>
              <w:rPr>
                <w:sz w:val="12"/>
                <w:szCs w:val="12"/>
                <w:color w:val="auto"/>
              </w:rPr>
            </w:pPr>
          </w:p>
        </w:tc>
        <w:tc>
          <w:tcPr>
            <w:tcW w:w="660" w:type="dxa"/>
            <w:vAlign w:val="bottom"/>
            <w:shd w:val="clear" w:color="auto" w:fill="F0F5FF"/>
          </w:tcPr>
          <w:p>
            <w:pPr>
              <w:jc w:val="right"/>
              <w:ind w:right="110"/>
              <w:spacing w:after="0"/>
              <w:rPr>
                <w:sz w:val="20"/>
                <w:szCs w:val="20"/>
                <w:color w:val="auto"/>
              </w:rPr>
            </w:pPr>
            <w:r>
              <w:rPr>
                <w:rFonts w:ascii="Times New Roman" w:cs="Times New Roman" w:eastAsia="Times New Roman" w:hAnsi="Times New Roman"/>
                <w:sz w:val="10"/>
                <w:szCs w:val="10"/>
                <w:b w:val="1"/>
                <w:bCs w:val="1"/>
                <w:color w:val="005AFF"/>
              </w:rPr>
              <w:t>130</w:t>
            </w:r>
          </w:p>
        </w:tc>
        <w:tc>
          <w:tcPr>
            <w:tcW w:w="42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100.0</w:t>
            </w:r>
          </w:p>
        </w:tc>
        <w:tc>
          <w:tcPr>
            <w:tcW w:w="6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00" w:type="dxa"/>
            <w:vAlign w:val="bottom"/>
          </w:tcPr>
          <w:p>
            <w:pPr>
              <w:jc w:val="right"/>
              <w:ind w:right="110"/>
              <w:spacing w:after="0"/>
              <w:rPr>
                <w:sz w:val="20"/>
                <w:szCs w:val="20"/>
                <w:color w:val="auto"/>
              </w:rPr>
            </w:pPr>
            <w:r>
              <w:rPr>
                <w:rFonts w:ascii="Times New Roman" w:cs="Times New Roman" w:eastAsia="Times New Roman" w:hAnsi="Times New Roman"/>
                <w:sz w:val="10"/>
                <w:szCs w:val="10"/>
                <w:b w:val="1"/>
                <w:bCs w:val="1"/>
                <w:color w:val="auto"/>
              </w:rPr>
              <w:t>295</w:t>
            </w:r>
          </w:p>
        </w:tc>
        <w:tc>
          <w:tcPr>
            <w:tcW w:w="44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100.0</w:t>
            </w:r>
          </w:p>
        </w:tc>
        <w:tc>
          <w:tcPr>
            <w:tcW w:w="140" w:type="dxa"/>
            <w:vAlign w:val="bottom"/>
          </w:tcPr>
          <w:p>
            <w:pPr>
              <w:spacing w:after="0"/>
              <w:rPr>
                <w:sz w:val="12"/>
                <w:szCs w:val="12"/>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(56)</w:t>
            </w:r>
          </w:p>
        </w:tc>
      </w:tr>
      <w:tr>
        <w:trPr>
          <w:trHeight w:val="167"/>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12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shd w:val="clear" w:color="auto" w:fill="F0F5FF"/>
          </w:tcPr>
          <w:p>
            <w:pPr>
              <w:jc w:val="right"/>
              <w:ind w:right="90"/>
              <w:spacing w:after="0"/>
              <w:rPr>
                <w:sz w:val="20"/>
                <w:szCs w:val="20"/>
                <w:color w:val="auto"/>
              </w:rPr>
            </w:pPr>
            <w:r>
              <w:rPr>
                <w:rFonts w:ascii="Times New Roman" w:cs="Times New Roman" w:eastAsia="Times New Roman" w:hAnsi="Times New Roman"/>
                <w:sz w:val="10"/>
                <w:szCs w:val="10"/>
                <w:color w:val="005AFF"/>
              </w:rPr>
              <w:t>(136)</w:t>
            </w:r>
          </w:p>
        </w:tc>
        <w:tc>
          <w:tcPr>
            <w:tcW w:w="4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(104.6)</w:t>
            </w:r>
          </w:p>
        </w:tc>
        <w:tc>
          <w:tcPr>
            <w:tcW w:w="60" w:type="dxa"/>
            <w:vAlign w:val="bottom"/>
            <w:tcBorders>
              <w:bottom w:val="single" w:sz="8" w:color="005AFF"/>
            </w:tcBorders>
          </w:tcPr>
          <w:p>
            <w:pPr>
              <w:spacing w:after="0"/>
              <w:rPr>
                <w:sz w:val="14"/>
                <w:szCs w:val="14"/>
                <w:color w:val="auto"/>
              </w:rPr>
            </w:pPr>
          </w:p>
        </w:tc>
        <w:tc>
          <w:tcPr>
            <w:tcW w:w="14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auto"/>
              </w:rPr>
              <w:t>(307)</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auto"/>
              </w:rPr>
              <w:t>(104.1)</w:t>
            </w:r>
          </w:p>
        </w:tc>
        <w:tc>
          <w:tcPr>
            <w:tcW w:w="14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(56)</w:t>
            </w:r>
          </w:p>
        </w:tc>
      </w:tr>
      <w:tr>
        <w:trPr>
          <w:trHeight w:val="137"/>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120" w:type="dxa"/>
            <w:vAlign w:val="bottom"/>
          </w:tcPr>
          <w:p>
            <w:pPr>
              <w:spacing w:after="0"/>
              <w:rPr>
                <w:sz w:val="11"/>
                <w:szCs w:val="11"/>
                <w:color w:val="auto"/>
              </w:rPr>
            </w:pPr>
          </w:p>
        </w:tc>
        <w:tc>
          <w:tcPr>
            <w:tcW w:w="660" w:type="dxa"/>
            <w:vAlign w:val="bottom"/>
            <w:shd w:val="clear" w:color="auto" w:fill="F0F5FF"/>
          </w:tcPr>
          <w:p>
            <w:pPr>
              <w:jc w:val="right"/>
              <w:ind w:right="90"/>
              <w:spacing w:after="0"/>
              <w:rPr>
                <w:sz w:val="20"/>
                <w:szCs w:val="20"/>
                <w:color w:val="auto"/>
              </w:rPr>
            </w:pPr>
            <w:r>
              <w:rPr>
                <w:rFonts w:ascii="Times New Roman" w:cs="Times New Roman" w:eastAsia="Times New Roman" w:hAnsi="Times New Roman"/>
                <w:sz w:val="10"/>
                <w:szCs w:val="10"/>
                <w:b w:val="1"/>
                <w:bCs w:val="1"/>
                <w:color w:val="005AFF"/>
              </w:rPr>
              <w:t>(6)</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(4.6)</w:t>
            </w:r>
          </w:p>
        </w:tc>
        <w:tc>
          <w:tcPr>
            <w:tcW w:w="6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500" w:type="dxa"/>
            <w:vAlign w:val="bottom"/>
          </w:tcPr>
          <w:p>
            <w:pPr>
              <w:jc w:val="right"/>
              <w:ind w:right="70"/>
              <w:spacing w:after="0"/>
              <w:rPr>
                <w:sz w:val="20"/>
                <w:szCs w:val="20"/>
                <w:color w:val="auto"/>
              </w:rPr>
            </w:pPr>
            <w:r>
              <w:rPr>
                <w:rFonts w:ascii="Times New Roman" w:cs="Times New Roman" w:eastAsia="Times New Roman" w:hAnsi="Times New Roman"/>
                <w:sz w:val="10"/>
                <w:szCs w:val="10"/>
                <w:b w:val="1"/>
                <w:bCs w:val="1"/>
                <w:color w:val="auto"/>
              </w:rPr>
              <w:t>(12)</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(4.1)</w:t>
            </w:r>
          </w:p>
        </w:tc>
        <w:tc>
          <w:tcPr>
            <w:tcW w:w="140" w:type="dxa"/>
            <w:vAlign w:val="bottom"/>
          </w:tcPr>
          <w:p>
            <w:pPr>
              <w:spacing w:after="0"/>
              <w:rPr>
                <w:sz w:val="11"/>
                <w:szCs w:val="11"/>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(50)</w:t>
            </w:r>
          </w:p>
        </w:tc>
      </w:tr>
      <w:tr>
        <w:trPr>
          <w:trHeight w:val="162"/>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120" w:type="dxa"/>
            <w:vAlign w:val="bottom"/>
          </w:tcPr>
          <w:p>
            <w:pPr>
              <w:spacing w:after="0"/>
              <w:rPr>
                <w:sz w:val="14"/>
                <w:szCs w:val="14"/>
                <w:color w:val="auto"/>
              </w:rPr>
            </w:pPr>
          </w:p>
        </w:tc>
        <w:tc>
          <w:tcPr>
            <w:tcW w:w="660" w:type="dxa"/>
            <w:vAlign w:val="bottom"/>
            <w:shd w:val="clear" w:color="auto" w:fill="F0F5FF"/>
          </w:tcPr>
          <w:p>
            <w:pPr>
              <w:jc w:val="right"/>
              <w:ind w:right="90"/>
              <w:spacing w:after="0"/>
              <w:rPr>
                <w:sz w:val="20"/>
                <w:szCs w:val="20"/>
                <w:color w:val="auto"/>
              </w:rPr>
            </w:pPr>
            <w:r>
              <w:rPr>
                <w:rFonts w:ascii="Times New Roman" w:cs="Times New Roman" w:eastAsia="Times New Roman" w:hAnsi="Times New Roman"/>
                <w:sz w:val="10"/>
                <w:szCs w:val="10"/>
                <w:color w:val="005AFF"/>
              </w:rPr>
              <w:t>(120)</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(92.3)</w:t>
            </w:r>
          </w:p>
        </w:tc>
        <w:tc>
          <w:tcPr>
            <w:tcW w:w="60" w:type="dxa"/>
            <w:vAlign w:val="bottom"/>
          </w:tcPr>
          <w:p>
            <w:pPr>
              <w:spacing w:after="0"/>
              <w:rPr>
                <w:sz w:val="14"/>
                <w:szCs w:val="14"/>
                <w:color w:val="auto"/>
              </w:rPr>
            </w:pPr>
          </w:p>
        </w:tc>
        <w:tc>
          <w:tcPr>
            <w:tcW w:w="140" w:type="dxa"/>
            <w:vAlign w:val="bottom"/>
          </w:tcPr>
          <w:p>
            <w:pPr>
              <w:spacing w:after="0"/>
              <w:rPr>
                <w:sz w:val="14"/>
                <w:szCs w:val="14"/>
                <w:color w:val="auto"/>
              </w:rPr>
            </w:pPr>
          </w:p>
        </w:tc>
        <w:tc>
          <w:tcPr>
            <w:tcW w:w="5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auto"/>
              </w:rPr>
              <w:t>(117)</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(39.7)</w:t>
            </w:r>
          </w:p>
        </w:tc>
        <w:tc>
          <w:tcPr>
            <w:tcW w:w="140" w:type="dxa"/>
            <w:vAlign w:val="bottom"/>
          </w:tcPr>
          <w:p>
            <w:pPr>
              <w:spacing w:after="0"/>
              <w:rPr>
                <w:sz w:val="14"/>
                <w:szCs w:val="14"/>
                <w:color w:val="auto"/>
              </w:rPr>
            </w:pPr>
          </w:p>
        </w:tc>
        <w:tc>
          <w:tcPr>
            <w:tcW w:w="54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3</w:t>
            </w:r>
          </w:p>
        </w:tc>
      </w:tr>
      <w:tr>
        <w:trPr>
          <w:trHeight w:val="153"/>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120" w:type="dxa"/>
            <w:vAlign w:val="bottom"/>
          </w:tcPr>
          <w:p>
            <w:pPr>
              <w:spacing w:after="0"/>
              <w:rPr>
                <w:sz w:val="13"/>
                <w:szCs w:val="13"/>
                <w:color w:val="auto"/>
              </w:rPr>
            </w:pPr>
          </w:p>
        </w:tc>
        <w:tc>
          <w:tcPr>
            <w:tcW w:w="660" w:type="dxa"/>
            <w:vAlign w:val="bottom"/>
            <w:shd w:val="clear" w:color="auto" w:fill="F0F5FF"/>
          </w:tcPr>
          <w:p>
            <w:pPr>
              <w:spacing w:after="0"/>
              <w:rPr>
                <w:sz w:val="13"/>
                <w:szCs w:val="13"/>
                <w:color w:val="auto"/>
              </w:rPr>
            </w:pPr>
          </w:p>
        </w:tc>
        <w:tc>
          <w:tcPr>
            <w:tcW w:w="420" w:type="dxa"/>
            <w:vAlign w:val="bottom"/>
            <w:shd w:val="clear" w:color="auto" w:fill="F0F5FF"/>
          </w:tcPr>
          <w:p>
            <w:pPr>
              <w:spacing w:after="0"/>
              <w:rPr>
                <w:sz w:val="13"/>
                <w:szCs w:val="13"/>
                <w:color w:val="auto"/>
              </w:rPr>
            </w:pPr>
          </w:p>
        </w:tc>
        <w:tc>
          <w:tcPr>
            <w:tcW w:w="6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500" w:type="dxa"/>
            <w:vAlign w:val="bottom"/>
          </w:tcPr>
          <w:p>
            <w:pPr>
              <w:spacing w:after="0"/>
              <w:rPr>
                <w:sz w:val="13"/>
                <w:szCs w:val="13"/>
                <w:color w:val="auto"/>
              </w:rPr>
            </w:pPr>
          </w:p>
        </w:tc>
        <w:tc>
          <w:tcPr>
            <w:tcW w:w="44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540" w:type="dxa"/>
            <w:vAlign w:val="bottom"/>
          </w:tcPr>
          <w:p>
            <w:pPr>
              <w:spacing w:after="0"/>
              <w:rPr>
                <w:sz w:val="13"/>
                <w:szCs w:val="13"/>
                <w:color w:val="auto"/>
              </w:rPr>
            </w:pPr>
          </w:p>
        </w:tc>
      </w:tr>
      <w:tr>
        <w:trPr>
          <w:trHeight w:val="130"/>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120" w:type="dxa"/>
            <w:vAlign w:val="bottom"/>
          </w:tcPr>
          <w:p>
            <w:pPr>
              <w:spacing w:after="0"/>
              <w:rPr>
                <w:sz w:val="11"/>
                <w:szCs w:val="11"/>
                <w:color w:val="auto"/>
              </w:rPr>
            </w:pPr>
          </w:p>
        </w:tc>
        <w:tc>
          <w:tcPr>
            <w:tcW w:w="660" w:type="dxa"/>
            <w:vAlign w:val="bottom"/>
            <w:shd w:val="clear" w:color="auto" w:fill="F0F5FF"/>
          </w:tcPr>
          <w:p>
            <w:pPr>
              <w:jc w:val="right"/>
              <w:ind w:right="90"/>
              <w:spacing w:after="0"/>
              <w:rPr>
                <w:sz w:val="20"/>
                <w:szCs w:val="20"/>
                <w:color w:val="auto"/>
              </w:rPr>
            </w:pPr>
            <w:r>
              <w:rPr>
                <w:rFonts w:ascii="Times New Roman" w:cs="Times New Roman" w:eastAsia="Times New Roman" w:hAnsi="Times New Roman"/>
                <w:sz w:val="10"/>
                <w:szCs w:val="10"/>
                <w:color w:val="005AFF"/>
              </w:rPr>
              <w:t>(216)</w:t>
            </w:r>
          </w:p>
        </w:tc>
        <w:tc>
          <w:tcPr>
            <w:tcW w:w="4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(166.2)</w:t>
            </w:r>
          </w:p>
        </w:tc>
        <w:tc>
          <w:tcPr>
            <w:tcW w:w="6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50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auto"/>
              </w:rPr>
              <w:t>(226)</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(76.6)</w:t>
            </w:r>
          </w:p>
        </w:tc>
        <w:tc>
          <w:tcPr>
            <w:tcW w:w="140" w:type="dxa"/>
            <w:vAlign w:val="bottom"/>
          </w:tcPr>
          <w:p>
            <w:pPr>
              <w:spacing w:after="0"/>
              <w:rPr>
                <w:sz w:val="11"/>
                <w:szCs w:val="11"/>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w:t>
            </w:r>
          </w:p>
        </w:tc>
      </w:tr>
      <w:tr>
        <w:trPr>
          <w:trHeight w:val="167"/>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operating income and expenses</w:t>
            </w:r>
          </w:p>
        </w:tc>
        <w:tc>
          <w:tcPr>
            <w:tcW w:w="12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shd w:val="clear" w:color="auto" w:fill="F0F5FF"/>
          </w:tcPr>
          <w:p>
            <w:pPr>
              <w:jc w:val="right"/>
              <w:ind w:right="90"/>
              <w:spacing w:after="0"/>
              <w:rPr>
                <w:sz w:val="20"/>
                <w:szCs w:val="20"/>
                <w:color w:val="auto"/>
              </w:rPr>
            </w:pPr>
            <w:r>
              <w:rPr>
                <w:rFonts w:ascii="Times New Roman" w:cs="Times New Roman" w:eastAsia="Times New Roman" w:hAnsi="Times New Roman"/>
                <w:sz w:val="10"/>
                <w:szCs w:val="10"/>
                <w:color w:val="005AFF"/>
              </w:rPr>
              <w:t>(49)</w:t>
            </w:r>
          </w:p>
        </w:tc>
        <w:tc>
          <w:tcPr>
            <w:tcW w:w="4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(37.7)</w:t>
            </w:r>
          </w:p>
        </w:tc>
        <w:tc>
          <w:tcPr>
            <w:tcW w:w="60" w:type="dxa"/>
            <w:vAlign w:val="bottom"/>
            <w:tcBorders>
              <w:bottom w:val="single" w:sz="8" w:color="005AFF"/>
            </w:tcBorders>
          </w:tcPr>
          <w:p>
            <w:pPr>
              <w:spacing w:after="0"/>
              <w:rPr>
                <w:sz w:val="14"/>
                <w:szCs w:val="14"/>
                <w:color w:val="auto"/>
              </w:rPr>
            </w:pPr>
          </w:p>
        </w:tc>
        <w:tc>
          <w:tcPr>
            <w:tcW w:w="14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color w:val="auto"/>
              </w:rPr>
              <w:t>37</w:t>
            </w:r>
          </w:p>
        </w:tc>
        <w:tc>
          <w:tcPr>
            <w:tcW w:w="4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auto"/>
              </w:rPr>
              <w:t>12.5</w:t>
            </w:r>
          </w:p>
        </w:tc>
        <w:tc>
          <w:tcPr>
            <w:tcW w:w="14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(232)</w:t>
            </w:r>
          </w:p>
        </w:tc>
      </w:tr>
      <w:tr>
        <w:trPr>
          <w:trHeight w:val="142"/>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loss</w:t>
            </w:r>
          </w:p>
        </w:tc>
        <w:tc>
          <w:tcPr>
            <w:tcW w:w="12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shd w:val="clear" w:color="auto" w:fill="F0F5FF"/>
          </w:tcPr>
          <w:p>
            <w:pPr>
              <w:jc w:val="right"/>
              <w:ind w:right="110"/>
              <w:spacing w:after="0"/>
              <w:rPr>
                <w:sz w:val="20"/>
                <w:szCs w:val="20"/>
                <w:color w:val="auto"/>
              </w:rPr>
            </w:pPr>
            <w:r>
              <w:rPr>
                <w:rFonts w:ascii="Times New Roman" w:cs="Times New Roman" w:eastAsia="Times New Roman" w:hAnsi="Times New Roman"/>
                <w:sz w:val="10"/>
                <w:szCs w:val="10"/>
                <w:b w:val="1"/>
                <w:bCs w:val="1"/>
                <w:color w:val="005AFF"/>
              </w:rPr>
              <w:t>(391)</w:t>
            </w:r>
          </w:p>
        </w:tc>
        <w:tc>
          <w:tcPr>
            <w:tcW w:w="4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(300.8)</w:t>
            </w:r>
          </w:p>
        </w:tc>
        <w:tc>
          <w:tcPr>
            <w:tcW w:w="60" w:type="dxa"/>
            <w:vAlign w:val="bottom"/>
            <w:tcBorders>
              <w:bottom w:val="single" w:sz="8" w:color="005AFF"/>
            </w:tcBorders>
          </w:tcPr>
          <w:p>
            <w:pPr>
              <w:spacing w:after="0"/>
              <w:rPr>
                <w:sz w:val="12"/>
                <w:szCs w:val="12"/>
                <w:color w:val="auto"/>
              </w:rPr>
            </w:pPr>
          </w:p>
        </w:tc>
        <w:tc>
          <w:tcPr>
            <w:tcW w:w="14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b w:val="1"/>
                <w:bCs w:val="1"/>
                <w:color w:val="auto"/>
              </w:rPr>
              <w:t>(318)</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(107.8)</w:t>
            </w:r>
          </w:p>
        </w:tc>
        <w:tc>
          <w:tcPr>
            <w:tcW w:w="14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23</w:t>
            </w:r>
          </w:p>
        </w:tc>
      </w:tr>
      <w:tr>
        <w:trPr>
          <w:trHeight w:val="240"/>
        </w:trPr>
        <w:tc>
          <w:tcPr>
            <w:tcW w:w="192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Net sales</w:t>
            </w:r>
          </w:p>
        </w:tc>
        <w:tc>
          <w:tcPr>
            <w:tcW w:w="120" w:type="dxa"/>
            <w:vAlign w:val="bottom"/>
          </w:tcPr>
          <w:p>
            <w:pPr>
              <w:spacing w:after="0"/>
              <w:rPr>
                <w:sz w:val="20"/>
                <w:szCs w:val="20"/>
                <w:color w:val="auto"/>
              </w:rPr>
            </w:pPr>
          </w:p>
        </w:tc>
        <w:tc>
          <w:tcPr>
            <w:tcW w:w="660" w:type="dxa"/>
            <w:vAlign w:val="bottom"/>
          </w:tcPr>
          <w:p>
            <w:pPr>
              <w:spacing w:after="0"/>
              <w:rPr>
                <w:sz w:val="20"/>
                <w:szCs w:val="20"/>
                <w:color w:val="auto"/>
              </w:rPr>
            </w:pPr>
          </w:p>
        </w:tc>
        <w:tc>
          <w:tcPr>
            <w:tcW w:w="420" w:type="dxa"/>
            <w:vAlign w:val="bottom"/>
          </w:tcPr>
          <w:p>
            <w:pPr>
              <w:spacing w:after="0"/>
              <w:rPr>
                <w:sz w:val="20"/>
                <w:szCs w:val="20"/>
                <w:color w:val="auto"/>
              </w:rPr>
            </w:pPr>
          </w:p>
        </w:tc>
        <w:tc>
          <w:tcPr>
            <w:tcW w:w="60" w:type="dxa"/>
            <w:vAlign w:val="bottom"/>
          </w:tcPr>
          <w:p>
            <w:pPr>
              <w:spacing w:after="0"/>
              <w:rPr>
                <w:sz w:val="20"/>
                <w:szCs w:val="20"/>
                <w:color w:val="auto"/>
              </w:rPr>
            </w:pPr>
          </w:p>
        </w:tc>
        <w:tc>
          <w:tcPr>
            <w:tcW w:w="140" w:type="dxa"/>
            <w:vAlign w:val="bottom"/>
          </w:tcPr>
          <w:p>
            <w:pPr>
              <w:spacing w:after="0"/>
              <w:rPr>
                <w:sz w:val="20"/>
                <w:szCs w:val="20"/>
                <w:color w:val="auto"/>
              </w:rPr>
            </w:pPr>
          </w:p>
        </w:tc>
        <w:tc>
          <w:tcPr>
            <w:tcW w:w="500" w:type="dxa"/>
            <w:vAlign w:val="bottom"/>
          </w:tcPr>
          <w:p>
            <w:pPr>
              <w:spacing w:after="0"/>
              <w:rPr>
                <w:sz w:val="20"/>
                <w:szCs w:val="20"/>
                <w:color w:val="auto"/>
              </w:rPr>
            </w:pPr>
          </w:p>
        </w:tc>
        <w:tc>
          <w:tcPr>
            <w:tcW w:w="440" w:type="dxa"/>
            <w:vAlign w:val="bottom"/>
          </w:tcPr>
          <w:p>
            <w:pPr>
              <w:spacing w:after="0"/>
              <w:rPr>
                <w:sz w:val="20"/>
                <w:szCs w:val="20"/>
                <w:color w:val="auto"/>
              </w:rPr>
            </w:pPr>
          </w:p>
        </w:tc>
        <w:tc>
          <w:tcPr>
            <w:tcW w:w="140" w:type="dxa"/>
            <w:vAlign w:val="bottom"/>
          </w:tcPr>
          <w:p>
            <w:pPr>
              <w:spacing w:after="0"/>
              <w:rPr>
                <w:sz w:val="20"/>
                <w:szCs w:val="20"/>
                <w:color w:val="auto"/>
              </w:rPr>
            </w:pPr>
          </w:p>
        </w:tc>
        <w:tc>
          <w:tcPr>
            <w:tcW w:w="540" w:type="dxa"/>
            <w:vAlign w:val="bottom"/>
          </w:tcPr>
          <w:p>
            <w:pPr>
              <w:spacing w:after="0"/>
              <w:rPr>
                <w:sz w:val="20"/>
                <w:szCs w:val="20"/>
                <w:color w:val="auto"/>
              </w:rPr>
            </w:pPr>
          </w:p>
        </w:tc>
      </w:tr>
      <w:tr>
        <w:trPr>
          <w:trHeight w:val="137"/>
        </w:trPr>
        <w:tc>
          <w:tcPr>
            <w:tcW w:w="1920" w:type="dxa"/>
            <w:vAlign w:val="bottom"/>
          </w:tcPr>
          <w:p>
            <w:pPr>
              <w:spacing w:after="0"/>
              <w:rPr>
                <w:sz w:val="20"/>
                <w:szCs w:val="20"/>
                <w:color w:val="auto"/>
              </w:rPr>
            </w:pPr>
            <w:r>
              <w:rPr>
                <w:rFonts w:ascii="Times New Roman" w:cs="Times New Roman" w:eastAsia="Times New Roman" w:hAnsi="Times New Roman"/>
                <w:sz w:val="11"/>
                <w:szCs w:val="11"/>
                <w:color w:val="auto"/>
              </w:rPr>
              <w:t>Group Common and Other net sales in</w:t>
            </w:r>
          </w:p>
        </w:tc>
        <w:tc>
          <w:tcPr>
            <w:tcW w:w="3020" w:type="dxa"/>
            <w:vAlign w:val="bottom"/>
            <w:gridSpan w:val="9"/>
          </w:tcPr>
          <w:p>
            <w:pPr>
              <w:jc w:val="right"/>
              <w:ind w:right="92"/>
              <w:spacing w:after="0"/>
              <w:rPr>
                <w:sz w:val="20"/>
                <w:szCs w:val="20"/>
                <w:color w:val="auto"/>
              </w:rPr>
            </w:pPr>
            <w:r>
              <w:rPr>
                <w:rFonts w:ascii="Times New Roman" w:cs="Times New Roman" w:eastAsia="Times New Roman" w:hAnsi="Times New Roman"/>
                <w:sz w:val="11"/>
                <w:szCs w:val="11"/>
                <w:color w:val="auto"/>
              </w:rPr>
              <w:t>2023 were EUR 130 million, a decrease of EUR 165 million,</w:t>
            </w:r>
          </w:p>
        </w:tc>
      </w:tr>
      <w:tr>
        <w:trPr>
          <w:trHeight w:val="142"/>
        </w:trPr>
        <w:tc>
          <w:tcPr>
            <w:tcW w:w="1920" w:type="dxa"/>
            <w:vAlign w:val="bottom"/>
          </w:tcPr>
          <w:p>
            <w:pPr>
              <w:spacing w:after="0"/>
              <w:rPr>
                <w:sz w:val="20"/>
                <w:szCs w:val="20"/>
                <w:color w:val="auto"/>
              </w:rPr>
            </w:pPr>
            <w:r>
              <w:rPr>
                <w:rFonts w:ascii="Times New Roman" w:cs="Times New Roman" w:eastAsia="Times New Roman" w:hAnsi="Times New Roman"/>
                <w:sz w:val="11"/>
                <w:szCs w:val="11"/>
                <w:color w:val="auto"/>
              </w:rPr>
              <w:t>or 56%, compared to EUR 295 million in</w:t>
            </w:r>
          </w:p>
        </w:tc>
        <w:tc>
          <w:tcPr>
            <w:tcW w:w="120" w:type="dxa"/>
            <w:vAlign w:val="bottom"/>
          </w:tcPr>
          <w:p>
            <w:pPr>
              <w:spacing w:after="0"/>
              <w:rPr>
                <w:sz w:val="12"/>
                <w:szCs w:val="12"/>
                <w:color w:val="auto"/>
              </w:rPr>
            </w:pPr>
          </w:p>
        </w:tc>
        <w:tc>
          <w:tcPr>
            <w:tcW w:w="2900" w:type="dxa"/>
            <w:vAlign w:val="bottom"/>
            <w:gridSpan w:val="8"/>
          </w:tcPr>
          <w:p>
            <w:pPr>
              <w:jc w:val="right"/>
              <w:ind w:right="352"/>
              <w:spacing w:after="0"/>
              <w:rPr>
                <w:sz w:val="20"/>
                <w:szCs w:val="20"/>
                <w:color w:val="auto"/>
              </w:rPr>
            </w:pPr>
            <w:r>
              <w:rPr>
                <w:rFonts w:ascii="Times New Roman" w:cs="Times New Roman" w:eastAsia="Times New Roman" w:hAnsi="Times New Roman"/>
                <w:sz w:val="11"/>
                <w:szCs w:val="11"/>
                <w:color w:val="auto"/>
              </w:rPr>
              <w:t>2022 . The decrease in Group Common and Other net</w:t>
            </w:r>
          </w:p>
        </w:tc>
      </w:tr>
      <w:tr>
        <w:trPr>
          <w:trHeight w:val="131"/>
        </w:trPr>
        <w:tc>
          <w:tcPr>
            <w:tcW w:w="4400" w:type="dxa"/>
            <w:vAlign w:val="bottom"/>
            <w:gridSpan w:val="9"/>
          </w:tcPr>
          <w:p>
            <w:pPr>
              <w:spacing w:after="0"/>
              <w:rPr>
                <w:sz w:val="20"/>
                <w:szCs w:val="20"/>
                <w:color w:val="auto"/>
              </w:rPr>
            </w:pPr>
            <w:r>
              <w:rPr>
                <w:rFonts w:ascii="Times New Roman" w:cs="Times New Roman" w:eastAsia="Times New Roman" w:hAnsi="Times New Roman"/>
                <w:sz w:val="11"/>
                <w:szCs w:val="11"/>
                <w:color w:val="auto"/>
              </w:rPr>
              <w:t>sales was related to reduced net sales from Radio Frequency Systems, mainly driven by the</w:t>
            </w:r>
          </w:p>
        </w:tc>
        <w:tc>
          <w:tcPr>
            <w:tcW w:w="540" w:type="dxa"/>
            <w:vAlign w:val="bottom"/>
          </w:tcPr>
          <w:p>
            <w:pPr>
              <w:spacing w:after="0"/>
              <w:rPr>
                <w:sz w:val="11"/>
                <w:szCs w:val="11"/>
                <w:color w:val="auto"/>
              </w:rPr>
            </w:pPr>
          </w:p>
        </w:tc>
      </w:tr>
      <w:tr>
        <w:trPr>
          <w:trHeight w:val="148"/>
        </w:trPr>
        <w:tc>
          <w:tcPr>
            <w:tcW w:w="1920" w:type="dxa"/>
            <w:vAlign w:val="bottom"/>
          </w:tcPr>
          <w:p>
            <w:pPr>
              <w:spacing w:after="0"/>
              <w:rPr>
                <w:sz w:val="20"/>
                <w:szCs w:val="20"/>
                <w:color w:val="auto"/>
              </w:rPr>
            </w:pPr>
            <w:r>
              <w:rPr>
                <w:rFonts w:ascii="Times New Roman" w:cs="Times New Roman" w:eastAsia="Times New Roman" w:hAnsi="Times New Roman"/>
                <w:sz w:val="11"/>
                <w:szCs w:val="11"/>
                <w:color w:val="auto"/>
              </w:rPr>
              <w:t>divested business carved out during 2023.</w:t>
            </w:r>
          </w:p>
        </w:tc>
        <w:tc>
          <w:tcPr>
            <w:tcW w:w="120" w:type="dxa"/>
            <w:vAlign w:val="bottom"/>
          </w:tcPr>
          <w:p>
            <w:pPr>
              <w:spacing w:after="0"/>
              <w:rPr>
                <w:sz w:val="12"/>
                <w:szCs w:val="12"/>
                <w:color w:val="auto"/>
              </w:rPr>
            </w:pPr>
          </w:p>
        </w:tc>
        <w:tc>
          <w:tcPr>
            <w:tcW w:w="66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40" w:type="dxa"/>
            <w:vAlign w:val="bottom"/>
          </w:tcPr>
          <w:p>
            <w:pPr>
              <w:spacing w:after="0"/>
              <w:rPr>
                <w:sz w:val="12"/>
                <w:szCs w:val="12"/>
                <w:color w:val="auto"/>
              </w:rPr>
            </w:pPr>
          </w:p>
        </w:tc>
      </w:tr>
      <w:tr>
        <w:trPr>
          <w:trHeight w:val="206"/>
        </w:trPr>
        <w:tc>
          <w:tcPr>
            <w:tcW w:w="192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Gross profit</w:t>
            </w:r>
          </w:p>
        </w:tc>
        <w:tc>
          <w:tcPr>
            <w:tcW w:w="120" w:type="dxa"/>
            <w:vAlign w:val="bottom"/>
          </w:tcPr>
          <w:p>
            <w:pPr>
              <w:spacing w:after="0"/>
              <w:rPr>
                <w:sz w:val="17"/>
                <w:szCs w:val="17"/>
                <w:color w:val="auto"/>
              </w:rPr>
            </w:pPr>
          </w:p>
        </w:tc>
        <w:tc>
          <w:tcPr>
            <w:tcW w:w="660" w:type="dxa"/>
            <w:vAlign w:val="bottom"/>
          </w:tcPr>
          <w:p>
            <w:pPr>
              <w:spacing w:after="0"/>
              <w:rPr>
                <w:sz w:val="17"/>
                <w:szCs w:val="17"/>
                <w:color w:val="auto"/>
              </w:rPr>
            </w:pPr>
          </w:p>
        </w:tc>
        <w:tc>
          <w:tcPr>
            <w:tcW w:w="420" w:type="dxa"/>
            <w:vAlign w:val="bottom"/>
          </w:tcPr>
          <w:p>
            <w:pPr>
              <w:spacing w:after="0"/>
              <w:rPr>
                <w:sz w:val="17"/>
                <w:szCs w:val="17"/>
                <w:color w:val="auto"/>
              </w:rPr>
            </w:pPr>
          </w:p>
        </w:tc>
        <w:tc>
          <w:tcPr>
            <w:tcW w:w="60" w:type="dxa"/>
            <w:vAlign w:val="bottom"/>
          </w:tcPr>
          <w:p>
            <w:pPr>
              <w:spacing w:after="0"/>
              <w:rPr>
                <w:sz w:val="17"/>
                <w:szCs w:val="17"/>
                <w:color w:val="auto"/>
              </w:rPr>
            </w:pPr>
          </w:p>
        </w:tc>
        <w:tc>
          <w:tcPr>
            <w:tcW w:w="140" w:type="dxa"/>
            <w:vAlign w:val="bottom"/>
          </w:tcPr>
          <w:p>
            <w:pPr>
              <w:spacing w:after="0"/>
              <w:rPr>
                <w:sz w:val="17"/>
                <w:szCs w:val="17"/>
                <w:color w:val="auto"/>
              </w:rPr>
            </w:pPr>
          </w:p>
        </w:tc>
        <w:tc>
          <w:tcPr>
            <w:tcW w:w="500" w:type="dxa"/>
            <w:vAlign w:val="bottom"/>
          </w:tcPr>
          <w:p>
            <w:pPr>
              <w:spacing w:after="0"/>
              <w:rPr>
                <w:sz w:val="17"/>
                <w:szCs w:val="17"/>
                <w:color w:val="auto"/>
              </w:rPr>
            </w:pPr>
          </w:p>
        </w:tc>
        <w:tc>
          <w:tcPr>
            <w:tcW w:w="440" w:type="dxa"/>
            <w:vAlign w:val="bottom"/>
          </w:tcPr>
          <w:p>
            <w:pPr>
              <w:spacing w:after="0"/>
              <w:rPr>
                <w:sz w:val="17"/>
                <w:szCs w:val="17"/>
                <w:color w:val="auto"/>
              </w:rPr>
            </w:pPr>
          </w:p>
        </w:tc>
        <w:tc>
          <w:tcPr>
            <w:tcW w:w="140" w:type="dxa"/>
            <w:vAlign w:val="bottom"/>
          </w:tcPr>
          <w:p>
            <w:pPr>
              <w:spacing w:after="0"/>
              <w:rPr>
                <w:sz w:val="17"/>
                <w:szCs w:val="17"/>
                <w:color w:val="auto"/>
              </w:rPr>
            </w:pPr>
          </w:p>
        </w:tc>
        <w:tc>
          <w:tcPr>
            <w:tcW w:w="540" w:type="dxa"/>
            <w:vAlign w:val="bottom"/>
          </w:tcPr>
          <w:p>
            <w:pPr>
              <w:spacing w:after="0"/>
              <w:rPr>
                <w:sz w:val="17"/>
                <w:szCs w:val="17"/>
                <w:color w:val="auto"/>
              </w:rPr>
            </w:pPr>
          </w:p>
        </w:tc>
      </w:tr>
      <w:tr>
        <w:trPr>
          <w:trHeight w:val="142"/>
        </w:trPr>
        <w:tc>
          <w:tcPr>
            <w:tcW w:w="1920" w:type="dxa"/>
            <w:vAlign w:val="bottom"/>
          </w:tcPr>
          <w:p>
            <w:pPr>
              <w:spacing w:after="0"/>
              <w:rPr>
                <w:sz w:val="20"/>
                <w:szCs w:val="20"/>
                <w:color w:val="auto"/>
              </w:rPr>
            </w:pPr>
            <w:r>
              <w:rPr>
                <w:rFonts w:ascii="Times New Roman" w:cs="Times New Roman" w:eastAsia="Times New Roman" w:hAnsi="Times New Roman"/>
                <w:sz w:val="11"/>
                <w:szCs w:val="11"/>
                <w:color w:val="auto"/>
              </w:rPr>
              <w:t>Group Common and Other gross profit in</w:t>
            </w:r>
          </w:p>
        </w:tc>
        <w:tc>
          <w:tcPr>
            <w:tcW w:w="120" w:type="dxa"/>
            <w:vAlign w:val="bottom"/>
          </w:tcPr>
          <w:p>
            <w:pPr>
              <w:spacing w:after="0"/>
              <w:rPr>
                <w:sz w:val="12"/>
                <w:szCs w:val="12"/>
                <w:color w:val="auto"/>
              </w:rPr>
            </w:pPr>
          </w:p>
        </w:tc>
        <w:tc>
          <w:tcPr>
            <w:tcW w:w="1280" w:type="dxa"/>
            <w:vAlign w:val="bottom"/>
            <w:gridSpan w:val="4"/>
          </w:tcPr>
          <w:p>
            <w:pPr>
              <w:ind w:left="80"/>
              <w:spacing w:after="0"/>
              <w:rPr>
                <w:sz w:val="20"/>
                <w:szCs w:val="20"/>
                <w:color w:val="auto"/>
              </w:rPr>
            </w:pPr>
            <w:r>
              <w:rPr>
                <w:rFonts w:ascii="Times New Roman" w:cs="Times New Roman" w:eastAsia="Times New Roman" w:hAnsi="Times New Roman"/>
                <w:sz w:val="11"/>
                <w:szCs w:val="11"/>
                <w:color w:val="auto"/>
              </w:rPr>
              <w:t>2023 was negative EUR</w:t>
            </w:r>
          </w:p>
        </w:tc>
        <w:tc>
          <w:tcPr>
            <w:tcW w:w="108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6 million, compared to</w:t>
            </w:r>
          </w:p>
        </w:tc>
        <w:tc>
          <w:tcPr>
            <w:tcW w:w="540" w:type="dxa"/>
            <w:vAlign w:val="bottom"/>
          </w:tcPr>
          <w:p>
            <w:pPr>
              <w:spacing w:after="0"/>
              <w:rPr>
                <w:sz w:val="12"/>
                <w:szCs w:val="12"/>
                <w:color w:val="auto"/>
              </w:rPr>
            </w:pPr>
          </w:p>
        </w:tc>
      </w:tr>
      <w:tr>
        <w:trPr>
          <w:trHeight w:val="142"/>
        </w:trPr>
        <w:tc>
          <w:tcPr>
            <w:tcW w:w="382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negative EUR 12 million in 2022 . Group Common and Other gross margin in</w:t>
            </w:r>
          </w:p>
        </w:tc>
        <w:tc>
          <w:tcPr>
            <w:tcW w:w="1120" w:type="dxa"/>
            <w:vAlign w:val="bottom"/>
            <w:gridSpan w:val="3"/>
          </w:tcPr>
          <w:p>
            <w:pPr>
              <w:jc w:val="right"/>
              <w:ind w:right="132"/>
              <w:spacing w:after="0"/>
              <w:rPr>
                <w:sz w:val="20"/>
                <w:szCs w:val="20"/>
                <w:color w:val="auto"/>
              </w:rPr>
            </w:pPr>
            <w:r>
              <w:rPr>
                <w:rFonts w:ascii="Times New Roman" w:cs="Times New Roman" w:eastAsia="Times New Roman" w:hAnsi="Times New Roman"/>
                <w:sz w:val="11"/>
                <w:szCs w:val="11"/>
                <w:color w:val="auto"/>
              </w:rPr>
              <w:t>2023 was negative</w:t>
            </w:r>
          </w:p>
        </w:tc>
      </w:tr>
      <w:tr>
        <w:trPr>
          <w:trHeight w:val="148"/>
        </w:trPr>
        <w:tc>
          <w:tcPr>
            <w:tcW w:w="27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4.6% compared to negative   4.1% in 2022 .</w:t>
            </w:r>
          </w:p>
        </w:tc>
        <w:tc>
          <w:tcPr>
            <w:tcW w:w="420" w:type="dxa"/>
            <w:vAlign w:val="bottom"/>
          </w:tcPr>
          <w:p>
            <w:pPr>
              <w:spacing w:after="0"/>
              <w:rPr>
                <w:sz w:val="12"/>
                <w:szCs w:val="12"/>
                <w:color w:val="auto"/>
              </w:rPr>
            </w:pPr>
          </w:p>
        </w:tc>
        <w:tc>
          <w:tcPr>
            <w:tcW w:w="6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540" w:type="dxa"/>
            <w:vAlign w:val="bottom"/>
          </w:tcPr>
          <w:p>
            <w:pPr>
              <w:spacing w:after="0"/>
              <w:rPr>
                <w:sz w:val="12"/>
                <w:szCs w:val="12"/>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44"/>
        </w:trPr>
        <w:tc>
          <w:tcPr>
            <w:tcW w:w="3400" w:type="dxa"/>
            <w:vAlign w:val="bottom"/>
          </w:tcPr>
          <w:p>
            <w:pPr>
              <w:spacing w:after="0"/>
              <w:rPr>
                <w:sz w:val="20"/>
                <w:szCs w:val="20"/>
                <w:color w:val="auto"/>
              </w:rPr>
            </w:pPr>
            <w:r>
              <w:rPr>
                <w:rFonts w:ascii="Times New Roman" w:cs="Times New Roman" w:eastAsia="Times New Roman" w:hAnsi="Times New Roman"/>
                <w:sz w:val="11"/>
                <w:szCs w:val="11"/>
                <w:b w:val="1"/>
                <w:bCs w:val="1"/>
                <w:color w:val="6F6E6E"/>
              </w:rPr>
              <w:t>Operating expenses</w:t>
            </w:r>
          </w:p>
        </w:tc>
        <w:tc>
          <w:tcPr>
            <w:tcW w:w="1400" w:type="dxa"/>
            <w:vAlign w:val="bottom"/>
          </w:tcPr>
          <w:p>
            <w:pPr>
              <w:spacing w:after="0"/>
              <w:rPr>
                <w:sz w:val="12"/>
                <w:szCs w:val="12"/>
                <w:color w:val="auto"/>
              </w:rPr>
            </w:pPr>
          </w:p>
        </w:tc>
      </w:tr>
      <w:tr>
        <w:trPr>
          <w:trHeight w:val="142"/>
        </w:trPr>
        <w:tc>
          <w:tcPr>
            <w:tcW w:w="3400" w:type="dxa"/>
            <w:vAlign w:val="bottom"/>
          </w:tcPr>
          <w:p>
            <w:pPr>
              <w:spacing w:after="0"/>
              <w:rPr>
                <w:sz w:val="20"/>
                <w:szCs w:val="20"/>
                <w:color w:val="auto"/>
              </w:rPr>
            </w:pPr>
            <w:r>
              <w:rPr>
                <w:rFonts w:ascii="Times New Roman" w:cs="Times New Roman" w:eastAsia="Times New Roman" w:hAnsi="Times New Roman"/>
                <w:sz w:val="11"/>
                <w:szCs w:val="11"/>
                <w:color w:val="auto"/>
              </w:rPr>
              <w:t>Group Common and Other research and development expenses in</w:t>
            </w:r>
          </w:p>
        </w:tc>
        <w:tc>
          <w:tcPr>
            <w:tcW w:w="1400" w:type="dxa"/>
            <w:vAlign w:val="bottom"/>
          </w:tcPr>
          <w:p>
            <w:pPr>
              <w:spacing w:after="0"/>
              <w:rPr>
                <w:sz w:val="20"/>
                <w:szCs w:val="20"/>
                <w:color w:val="auto"/>
              </w:rPr>
            </w:pPr>
            <w:r>
              <w:rPr>
                <w:rFonts w:ascii="Times New Roman" w:cs="Times New Roman" w:eastAsia="Times New Roman" w:hAnsi="Times New Roman"/>
                <w:sz w:val="11"/>
                <w:szCs w:val="11"/>
                <w:color w:val="auto"/>
              </w:rPr>
              <w:t>2023 were EUR 120 million,</w:t>
            </w:r>
          </w:p>
        </w:tc>
      </w:tr>
      <w:tr>
        <w:trPr>
          <w:trHeight w:val="148"/>
        </w:trPr>
        <w:tc>
          <w:tcPr>
            <w:tcW w:w="4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 increase of EUR  3 million, or 3%, compared to EUR  117 million in 2022 .</w:t>
            </w:r>
          </w:p>
        </w:tc>
      </w:tr>
      <w:tr>
        <w:trPr>
          <w:trHeight w:val="212"/>
        </w:trPr>
        <w:tc>
          <w:tcPr>
            <w:tcW w:w="3400" w:type="dxa"/>
            <w:vAlign w:val="bottom"/>
          </w:tcPr>
          <w:p>
            <w:pPr>
              <w:spacing w:after="0"/>
              <w:rPr>
                <w:sz w:val="20"/>
                <w:szCs w:val="20"/>
                <w:color w:val="auto"/>
              </w:rPr>
            </w:pPr>
            <w:r>
              <w:rPr>
                <w:rFonts w:ascii="Times New Roman" w:cs="Times New Roman" w:eastAsia="Times New Roman" w:hAnsi="Times New Roman"/>
                <w:sz w:val="11"/>
                <w:szCs w:val="11"/>
                <w:color w:val="auto"/>
              </w:rPr>
              <w:t>Group Common and Other selling, general and administrative expenses in</w:t>
            </w:r>
          </w:p>
        </w:tc>
        <w:tc>
          <w:tcPr>
            <w:tcW w:w="1400" w:type="dxa"/>
            <w:vAlign w:val="bottom"/>
          </w:tcPr>
          <w:p>
            <w:pPr>
              <w:ind w:left="380"/>
              <w:spacing w:after="0"/>
              <w:rPr>
                <w:sz w:val="20"/>
                <w:szCs w:val="20"/>
                <w:color w:val="auto"/>
              </w:rPr>
            </w:pPr>
            <w:r>
              <w:rPr>
                <w:rFonts w:ascii="Times New Roman" w:cs="Times New Roman" w:eastAsia="Times New Roman" w:hAnsi="Times New Roman"/>
                <w:sz w:val="11"/>
                <w:szCs w:val="11"/>
                <w:color w:val="auto"/>
              </w:rPr>
              <w:t>2023 were</w:t>
            </w:r>
          </w:p>
        </w:tc>
      </w:tr>
    </w:tbl>
    <w:p>
      <w:pPr>
        <w:ind w:right="500"/>
        <w:spacing w:after="0" w:line="259" w:lineRule="auto"/>
        <w:rPr>
          <w:sz w:val="20"/>
          <w:szCs w:val="20"/>
          <w:color w:val="auto"/>
        </w:rPr>
      </w:pPr>
      <w:r>
        <w:rPr>
          <w:rFonts w:ascii="Times New Roman" w:cs="Times New Roman" w:eastAsia="Times New Roman" w:hAnsi="Times New Roman"/>
          <w:sz w:val="11"/>
          <w:szCs w:val="11"/>
          <w:color w:val="auto"/>
        </w:rPr>
        <w:t>EUR 216 million, a decrease of EUR 10 million, or 4%, compared to EUR 226 million in 2022. In 2023 , variable pay accruals within Group Common and Other selling, general and</w:t>
      </w:r>
    </w:p>
    <w:p>
      <w:pPr>
        <w:spacing w:after="0"/>
        <w:tabs>
          <w:tab w:leader="none" w:pos="2540" w:val="left"/>
        </w:tabs>
        <w:rPr>
          <w:sz w:val="20"/>
          <w:szCs w:val="20"/>
          <w:color w:val="auto"/>
        </w:rPr>
      </w:pPr>
      <w:r>
        <w:rPr>
          <w:rFonts w:ascii="Times New Roman" w:cs="Times New Roman" w:eastAsia="Times New Roman" w:hAnsi="Times New Roman"/>
          <w:sz w:val="11"/>
          <w:szCs w:val="11"/>
          <w:color w:val="auto"/>
        </w:rPr>
        <w:t>administrative expenses were lower, compared to</w:t>
      </w:r>
      <w:r>
        <w:rPr>
          <w:sz w:val="20"/>
          <w:szCs w:val="20"/>
          <w:color w:val="auto"/>
        </w:rPr>
        <w:tab/>
      </w:r>
      <w:r>
        <w:rPr>
          <w:rFonts w:ascii="Times New Roman" w:cs="Times New Roman" w:eastAsia="Times New Roman" w:hAnsi="Times New Roman"/>
          <w:sz w:val="11"/>
          <w:szCs w:val="11"/>
          <w:color w:val="auto"/>
        </w:rPr>
        <w:t>2022 .</w:t>
      </w:r>
    </w:p>
    <w:p>
      <w:pPr>
        <w:spacing w:after="0" w:line="89" w:lineRule="exact"/>
        <w:rPr>
          <w:sz w:val="20"/>
          <w:szCs w:val="20"/>
          <w:color w:val="auto"/>
        </w:rPr>
      </w:pPr>
    </w:p>
    <w:p>
      <w:pPr>
        <w:spacing w:after="0"/>
        <w:tabs>
          <w:tab w:leader="none" w:pos="3400" w:val="left"/>
        </w:tabs>
        <w:rPr>
          <w:sz w:val="20"/>
          <w:szCs w:val="20"/>
          <w:color w:val="auto"/>
        </w:rPr>
      </w:pPr>
      <w:r>
        <w:rPr>
          <w:rFonts w:ascii="Times New Roman" w:cs="Times New Roman" w:eastAsia="Times New Roman" w:hAnsi="Times New Roman"/>
          <w:sz w:val="11"/>
          <w:szCs w:val="11"/>
          <w:color w:val="auto"/>
        </w:rPr>
        <w:t>Group Common and Other other operating income and expense in</w:t>
      </w:r>
      <w:r>
        <w:rPr>
          <w:sz w:val="20"/>
          <w:szCs w:val="20"/>
          <w:color w:val="auto"/>
        </w:rPr>
        <w:tab/>
      </w:r>
      <w:r>
        <w:rPr>
          <w:rFonts w:ascii="Times New Roman" w:cs="Times New Roman" w:eastAsia="Times New Roman" w:hAnsi="Times New Roman"/>
          <w:sz w:val="11"/>
          <w:szCs w:val="11"/>
          <w:color w:val="auto"/>
        </w:rPr>
        <w:t>2023 was an expense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EUR 49 million, a net negative fluctuation of EUR 86 million compared to an income of</w:t>
      </w:r>
    </w:p>
    <w:p>
      <w:pPr>
        <w:spacing w:after="0" w:line="10" w:lineRule="exact"/>
        <w:rPr>
          <w:sz w:val="20"/>
          <w:szCs w:val="20"/>
          <w:color w:val="auto"/>
        </w:rPr>
      </w:pPr>
    </w:p>
    <w:p>
      <w:pPr>
        <w:ind w:right="420"/>
        <w:spacing w:after="0" w:line="273" w:lineRule="auto"/>
        <w:rPr>
          <w:sz w:val="20"/>
          <w:szCs w:val="20"/>
          <w:color w:val="auto"/>
        </w:rPr>
      </w:pPr>
      <w:r>
        <w:rPr>
          <w:rFonts w:ascii="Times New Roman" w:cs="Times New Roman" w:eastAsia="Times New Roman" w:hAnsi="Times New Roman"/>
          <w:sz w:val="11"/>
          <w:szCs w:val="11"/>
          <w:color w:val="auto"/>
        </w:rPr>
        <w:t>EUR37 million in 2022. The net negative fluctuation in 2023 was primarily related to Nokia’s venture fund investments. In 2023 , Nokia’s venture fund investments generated a loss of approximately EUR 70 million, compared to a benefit of approximately EUR 20 million in 2022.</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Operating loss</w:t>
      </w:r>
    </w:p>
    <w:p>
      <w:pPr>
        <w:spacing w:after="0" w:line="16" w:lineRule="exact"/>
        <w:rPr>
          <w:sz w:val="20"/>
          <w:szCs w:val="20"/>
          <w:color w:val="auto"/>
        </w:rPr>
      </w:pPr>
    </w:p>
    <w:p>
      <w:pPr>
        <w:spacing w:after="0"/>
        <w:tabs>
          <w:tab w:leader="none" w:pos="2180" w:val="left"/>
        </w:tabs>
        <w:rPr>
          <w:sz w:val="20"/>
          <w:szCs w:val="20"/>
          <w:color w:val="auto"/>
        </w:rPr>
      </w:pPr>
      <w:r>
        <w:rPr>
          <w:rFonts w:ascii="Times New Roman" w:cs="Times New Roman" w:eastAsia="Times New Roman" w:hAnsi="Times New Roman"/>
          <w:sz w:val="11"/>
          <w:szCs w:val="11"/>
          <w:color w:val="auto"/>
        </w:rPr>
        <w:t>Group Common and Other operating loss in</w:t>
      </w:r>
      <w:r>
        <w:rPr>
          <w:sz w:val="20"/>
          <w:szCs w:val="20"/>
          <w:color w:val="auto"/>
        </w:rPr>
        <w:tab/>
      </w:r>
      <w:r>
        <w:rPr>
          <w:rFonts w:ascii="Times New Roman" w:cs="Times New Roman" w:eastAsia="Times New Roman" w:hAnsi="Times New Roman"/>
          <w:sz w:val="11"/>
          <w:szCs w:val="11"/>
          <w:color w:val="auto"/>
        </w:rPr>
        <w:t>2023 was EUR 391 million, a change of EUR  73 million,</w:t>
      </w:r>
    </w:p>
    <w:p>
      <w:pPr>
        <w:spacing w:after="0" w:line="17" w:lineRule="exact"/>
        <w:rPr>
          <w:sz w:val="20"/>
          <w:szCs w:val="20"/>
          <w:color w:val="auto"/>
        </w:rPr>
      </w:pPr>
    </w:p>
    <w:p>
      <w:pPr>
        <w:spacing w:after="0"/>
        <w:tabs>
          <w:tab w:leader="none" w:pos="1940" w:val="left"/>
        </w:tabs>
        <w:rPr>
          <w:sz w:val="20"/>
          <w:szCs w:val="20"/>
          <w:color w:val="auto"/>
        </w:rPr>
      </w:pPr>
      <w:r>
        <w:rPr>
          <w:rFonts w:ascii="Times New Roman" w:cs="Times New Roman" w:eastAsia="Times New Roman" w:hAnsi="Times New Roman"/>
          <w:sz w:val="11"/>
          <w:szCs w:val="11"/>
          <w:color w:val="auto"/>
        </w:rPr>
        <w:t>compared to an operating loss of EUR</w:t>
      </w:r>
      <w:r>
        <w:rPr>
          <w:sz w:val="20"/>
          <w:szCs w:val="20"/>
          <w:color w:val="auto"/>
        </w:rPr>
        <w:tab/>
      </w:r>
      <w:r>
        <w:rPr>
          <w:rFonts w:ascii="Times New Roman" w:cs="Times New Roman" w:eastAsia="Times New Roman" w:hAnsi="Times New Roman"/>
          <w:sz w:val="11"/>
          <w:szCs w:val="11"/>
          <w:color w:val="auto"/>
        </w:rPr>
        <w:t>318 million in 2022. The change in Group Common and</w:t>
      </w:r>
    </w:p>
    <w:p>
      <w:pPr>
        <w:spacing w:after="0" w:line="10" w:lineRule="exact"/>
        <w:rPr>
          <w:sz w:val="20"/>
          <w:szCs w:val="20"/>
          <w:color w:val="auto"/>
        </w:rPr>
      </w:pPr>
    </w:p>
    <w:p>
      <w:pPr>
        <w:ind w:right="580"/>
        <w:spacing w:after="0" w:line="286" w:lineRule="auto"/>
        <w:rPr>
          <w:sz w:val="20"/>
          <w:szCs w:val="20"/>
          <w:color w:val="auto"/>
        </w:rPr>
      </w:pPr>
      <w:r>
        <w:rPr>
          <w:rFonts w:ascii="Times New Roman" w:cs="Times New Roman" w:eastAsia="Times New Roman" w:hAnsi="Times New Roman"/>
          <w:sz w:val="11"/>
          <w:szCs w:val="11"/>
          <w:color w:val="auto"/>
        </w:rPr>
        <w:t>Other operating loss was primarily attributable to the lower other operating income somewhat offset by lower selling, general and administrative expenses.</w:t>
      </w:r>
    </w:p>
    <w:p>
      <w:pPr>
        <w:sectPr>
          <w:pgSz w:w="11900" w:h="16838" w:orient="portrait"/>
          <w:cols w:equalWidth="0" w:num="2">
            <w:col w:w="4940" w:space="160"/>
            <w:col w:w="4880"/>
          </w:cols>
          <w:pgMar w:left="960" w:top="409" w:right="959" w:bottom="1440" w:gutter="0" w:footer="0" w:header="0"/>
          <w:type w:val="continuous"/>
        </w:sectPr>
      </w:pPr>
    </w:p>
    <w:bookmarkStart w:id="89" w:name="page90"/>
    <w:bookmarkEnd w:id="8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10040"/>
          </w:cols>
          <w:pgMar w:left="960" w:top="409" w:right="899" w:bottom="1440" w:gutter="0" w:footer="0" w:header="0"/>
        </w:sectPr>
      </w:pP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Liquidity and capital resources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position</w:t>
      </w:r>
    </w:p>
    <w:p>
      <w:pPr>
        <w:spacing w:after="0" w:line="42"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1080" w:type="dxa"/>
            <w:vAlign w:val="bottom"/>
          </w:tcPr>
          <w:p>
            <w:pPr>
              <w:spacing w:after="0"/>
              <w:rPr>
                <w:sz w:val="20"/>
                <w:szCs w:val="20"/>
                <w:color w:val="auto"/>
              </w:rPr>
            </w:pPr>
            <w:r>
              <w:rPr>
                <w:rFonts w:ascii="Times New Roman" w:cs="Times New Roman" w:eastAsia="Times New Roman" w:hAnsi="Times New Roman"/>
                <w:sz w:val="11"/>
                <w:szCs w:val="11"/>
                <w:color w:val="auto"/>
              </w:rPr>
              <w:t>At 31 December 2023</w:t>
            </w:r>
          </w:p>
        </w:tc>
        <w:tc>
          <w:tcPr>
            <w:tcW w:w="232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our cash and cash equivalents equaled EUR</w:t>
            </w:r>
          </w:p>
        </w:tc>
        <w:tc>
          <w:tcPr>
            <w:tcW w:w="132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6 234 million, an increase</w:t>
            </w:r>
          </w:p>
        </w:tc>
      </w:tr>
      <w:tr>
        <w:trPr>
          <w:trHeight w:val="142"/>
        </w:trPr>
        <w:tc>
          <w:tcPr>
            <w:tcW w:w="378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of EUR 767 million compared to EUR  5 467 million as of 31 December 2022</w:t>
            </w:r>
          </w:p>
        </w:tc>
        <w:tc>
          <w:tcPr>
            <w:tcW w:w="94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 The increase was</w:t>
            </w:r>
          </w:p>
        </w:tc>
      </w:tr>
      <w:tr>
        <w:trPr>
          <w:trHeight w:val="131"/>
        </w:trPr>
        <w:tc>
          <w:tcPr>
            <w:tcW w:w="3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primarily attributable to net cash inflow from operating activities of EUR</w:t>
            </w:r>
          </w:p>
        </w:tc>
        <w:tc>
          <w:tcPr>
            <w:tcW w:w="1320" w:type="dxa"/>
            <w:vAlign w:val="bottom"/>
            <w:gridSpan w:val="2"/>
          </w:tcPr>
          <w:p>
            <w:pPr>
              <w:ind w:left="300"/>
              <w:spacing w:after="0"/>
              <w:rPr>
                <w:sz w:val="20"/>
                <w:szCs w:val="20"/>
                <w:color w:val="auto"/>
              </w:rPr>
            </w:pPr>
            <w:r>
              <w:rPr>
                <w:rFonts w:ascii="Times New Roman" w:cs="Times New Roman" w:eastAsia="Times New Roman" w:hAnsi="Times New Roman"/>
                <w:sz w:val="11"/>
                <w:szCs w:val="11"/>
                <w:color w:val="auto"/>
              </w:rPr>
              <w:t>1 317 million and net</w:t>
            </w:r>
          </w:p>
        </w:tc>
      </w:tr>
      <w:tr>
        <w:trPr>
          <w:trHeight w:val="142"/>
        </w:trPr>
        <w:tc>
          <w:tcPr>
            <w:tcW w:w="3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cash inflow related to interest-bearing financial investments of EUR</w:t>
            </w:r>
          </w:p>
        </w:tc>
        <w:tc>
          <w:tcPr>
            <w:tcW w:w="38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1 527</w:t>
            </w:r>
          </w:p>
        </w:tc>
        <w:tc>
          <w:tcPr>
            <w:tcW w:w="94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million, offset by</w:t>
            </w:r>
          </w:p>
        </w:tc>
      </w:tr>
      <w:tr>
        <w:trPr>
          <w:trHeight w:val="131"/>
        </w:trPr>
        <w:tc>
          <w:tcPr>
            <w:tcW w:w="472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capital expenditure of EUR  652 million, net cash outflow related to long-term borrowings of</w:t>
            </w:r>
          </w:p>
        </w:tc>
      </w:tr>
      <w:tr>
        <w:trPr>
          <w:trHeight w:val="142"/>
        </w:trPr>
        <w:tc>
          <w:tcPr>
            <w:tcW w:w="3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EUR302 million, payment of principal portion of lease liabilities of EUR</w:t>
            </w:r>
          </w:p>
        </w:tc>
        <w:tc>
          <w:tcPr>
            <w:tcW w:w="3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239</w:t>
            </w:r>
          </w:p>
        </w:tc>
        <w:tc>
          <w:tcPr>
            <w:tcW w:w="94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million, dividends</w:t>
            </w:r>
          </w:p>
        </w:tc>
      </w:tr>
      <w:tr>
        <w:trPr>
          <w:trHeight w:val="148"/>
        </w:trPr>
        <w:tc>
          <w:tcPr>
            <w:tcW w:w="3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of EUR 621 million and share repurchases of EUR   300 million.</w:t>
            </w:r>
          </w:p>
        </w:tc>
        <w:tc>
          <w:tcPr>
            <w:tcW w:w="380" w:type="dxa"/>
            <w:vAlign w:val="bottom"/>
          </w:tcPr>
          <w:p>
            <w:pPr>
              <w:spacing w:after="0"/>
              <w:rPr>
                <w:sz w:val="12"/>
                <w:szCs w:val="12"/>
                <w:color w:val="auto"/>
              </w:rPr>
            </w:pPr>
          </w:p>
        </w:tc>
        <w:tc>
          <w:tcPr>
            <w:tcW w:w="940" w:type="dxa"/>
            <w:vAlign w:val="bottom"/>
          </w:tcPr>
          <w:p>
            <w:pPr>
              <w:spacing w:after="0"/>
              <w:rPr>
                <w:sz w:val="12"/>
                <w:szCs w:val="12"/>
                <w:color w:val="auto"/>
              </w:rPr>
            </w:pPr>
          </w:p>
        </w:tc>
      </w:tr>
      <w:tr>
        <w:trPr>
          <w:trHeight w:val="206"/>
        </w:trPr>
        <w:tc>
          <w:tcPr>
            <w:tcW w:w="1080" w:type="dxa"/>
            <w:vAlign w:val="bottom"/>
          </w:tcPr>
          <w:p>
            <w:pPr>
              <w:spacing w:after="0"/>
              <w:rPr>
                <w:sz w:val="20"/>
                <w:szCs w:val="20"/>
                <w:color w:val="auto"/>
              </w:rPr>
            </w:pPr>
            <w:r>
              <w:rPr>
                <w:rFonts w:ascii="Times New Roman" w:cs="Times New Roman" w:eastAsia="Times New Roman" w:hAnsi="Times New Roman"/>
                <w:sz w:val="11"/>
                <w:szCs w:val="11"/>
                <w:color w:val="auto"/>
              </w:rPr>
              <w:t>At 31 December 2023</w:t>
            </w:r>
          </w:p>
        </w:tc>
        <w:tc>
          <w:tcPr>
            <w:tcW w:w="270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 our total cash and interest-bearing financial investments</w:t>
            </w:r>
          </w:p>
        </w:tc>
        <w:tc>
          <w:tcPr>
            <w:tcW w:w="940" w:type="dxa"/>
            <w:vAlign w:val="bottom"/>
          </w:tcPr>
          <w:p>
            <w:pPr>
              <w:ind w:left="300"/>
              <w:spacing w:after="0"/>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equaled</w:t>
            </w:r>
          </w:p>
        </w:tc>
      </w:tr>
      <w:tr>
        <w:trPr>
          <w:trHeight w:val="148"/>
        </w:trPr>
        <w:tc>
          <w:tcPr>
            <w:tcW w:w="3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EUR8 514 million, a decrease  of EUR 730 million, compared to EUR</w:t>
            </w:r>
          </w:p>
        </w:tc>
        <w:tc>
          <w:tcPr>
            <w:tcW w:w="132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9 244 million as of</w:t>
            </w:r>
          </w:p>
        </w:tc>
      </w:tr>
    </w:tbl>
    <w:p>
      <w:pPr>
        <w:ind w:right="620"/>
        <w:spacing w:after="0" w:line="259" w:lineRule="auto"/>
        <w:rPr>
          <w:sz w:val="20"/>
          <w:szCs w:val="20"/>
          <w:color w:val="auto"/>
        </w:rPr>
      </w:pPr>
      <w:r>
        <w:rPr>
          <w:rFonts w:ascii="Times New Roman" w:cs="Times New Roman" w:eastAsia="Times New Roman" w:hAnsi="Times New Roman"/>
          <w:sz w:val="11"/>
          <w:szCs w:val="11"/>
          <w:color w:val="auto"/>
        </w:rPr>
        <w:t>31 December 2022 . The decrease was primarily attributable to the same factors as the ones that contributed to the increase in cash and cash equivalents except for the net cash inflow</w:t>
      </w:r>
    </w:p>
    <w:p>
      <w:pPr>
        <w:spacing w:after="0"/>
        <w:tabs>
          <w:tab w:leader="none" w:pos="2860" w:val="left"/>
        </w:tabs>
        <w:rPr>
          <w:sz w:val="20"/>
          <w:szCs w:val="20"/>
          <w:color w:val="auto"/>
        </w:rPr>
      </w:pPr>
      <w:r>
        <w:rPr>
          <w:rFonts w:ascii="Times New Roman" w:cs="Times New Roman" w:eastAsia="Times New Roman" w:hAnsi="Times New Roman"/>
          <w:sz w:val="11"/>
          <w:szCs w:val="11"/>
          <w:color w:val="auto"/>
        </w:rPr>
        <w:t>related to interest-bearing financial investments of EUR</w:t>
      </w:r>
      <w:r>
        <w:rPr>
          <w:sz w:val="20"/>
          <w:szCs w:val="20"/>
          <w:color w:val="auto"/>
        </w:rPr>
        <w:tab/>
      </w:r>
      <w:r>
        <w:rPr>
          <w:rFonts w:ascii="Times New Roman" w:cs="Times New Roman" w:eastAsia="Times New Roman" w:hAnsi="Times New Roman"/>
          <w:sz w:val="11"/>
          <w:szCs w:val="11"/>
          <w:color w:val="auto"/>
        </w:rPr>
        <w:t>1 527 million.</w:t>
      </w:r>
    </w:p>
    <w:p>
      <w:pPr>
        <w:spacing w:after="0" w:line="72" w:lineRule="exact"/>
        <w:rPr>
          <w:sz w:val="20"/>
          <w:szCs w:val="20"/>
          <w:color w:val="auto"/>
        </w:rPr>
      </w:pPr>
    </w:p>
    <w:p>
      <w:pPr>
        <w:spacing w:after="0"/>
        <w:tabs>
          <w:tab w:leader="none" w:pos="1120" w:val="left"/>
          <w:tab w:leader="none" w:pos="4000" w:val="left"/>
        </w:tabs>
        <w:rPr>
          <w:sz w:val="20"/>
          <w:szCs w:val="20"/>
          <w:color w:val="auto"/>
        </w:rPr>
      </w:pPr>
      <w:r>
        <w:rPr>
          <w:rFonts w:ascii="Times New Roman" w:cs="Times New Roman" w:eastAsia="Times New Roman" w:hAnsi="Times New Roman"/>
          <w:sz w:val="11"/>
          <w:szCs w:val="11"/>
          <w:color w:val="auto"/>
        </w:rPr>
        <w:t>At 31 December 2023</w:t>
        <w:tab/>
        <w:t>, our net cash and interest-bearing financial investments</w:t>
      </w:r>
      <w:r>
        <w:rPr>
          <w:sz w:val="20"/>
          <w:szCs w:val="20"/>
          <w:color w:val="auto"/>
        </w:rPr>
        <w:tab/>
      </w:r>
      <w:r>
        <w:rPr>
          <w:rFonts w:ascii="Times New Roman" w:cs="Times New Roman" w:eastAsia="Times New Roman" w:hAnsi="Times New Roman"/>
          <w:sz w:val="14"/>
          <w:szCs w:val="14"/>
          <w:color w:val="auto"/>
          <w:vertAlign w:val="superscript"/>
        </w:rPr>
        <w:t xml:space="preserve">(1) </w:t>
      </w:r>
      <w:r>
        <w:rPr>
          <w:rFonts w:ascii="Times New Roman" w:cs="Times New Roman" w:eastAsia="Times New Roman" w:hAnsi="Times New Roman"/>
          <w:sz w:val="10"/>
          <w:szCs w:val="10"/>
          <w:color w:val="auto"/>
        </w:rPr>
        <w:t>equaled</w:t>
      </w:r>
    </w:p>
    <w:p>
      <w:pPr>
        <w:spacing w:after="0"/>
        <w:tabs>
          <w:tab w:leader="none" w:pos="1500" w:val="left"/>
          <w:tab w:leader="none" w:pos="3420" w:val="left"/>
        </w:tabs>
        <w:rPr>
          <w:sz w:val="20"/>
          <w:szCs w:val="20"/>
          <w:color w:val="auto"/>
        </w:rPr>
      </w:pPr>
      <w:r>
        <w:rPr>
          <w:rFonts w:ascii="Times New Roman" w:cs="Times New Roman" w:eastAsia="Times New Roman" w:hAnsi="Times New Roman"/>
          <w:sz w:val="11"/>
          <w:szCs w:val="11"/>
          <w:color w:val="auto"/>
        </w:rPr>
        <w:t>EUR4 323 million, a decrease</w:t>
        <w:tab/>
        <w:t>of EUR 444 million, compared to EUR</w:t>
        <w:tab/>
        <w:t>4 767 million as of</w:t>
      </w:r>
    </w:p>
    <w:p>
      <w:pPr>
        <w:spacing w:after="0" w:line="10" w:lineRule="exact"/>
        <w:rPr>
          <w:sz w:val="20"/>
          <w:szCs w:val="20"/>
          <w:color w:val="auto"/>
        </w:rPr>
      </w:pPr>
    </w:p>
    <w:p>
      <w:pPr>
        <w:spacing w:after="0"/>
        <w:tabs>
          <w:tab w:leader="none" w:pos="940" w:val="left"/>
          <w:tab w:leader="none" w:pos="4320" w:val="left"/>
        </w:tabs>
        <w:rPr>
          <w:sz w:val="20"/>
          <w:szCs w:val="20"/>
          <w:color w:val="auto"/>
        </w:rPr>
      </w:pPr>
      <w:r>
        <w:rPr>
          <w:rFonts w:ascii="Times New Roman" w:cs="Times New Roman" w:eastAsia="Times New Roman" w:hAnsi="Times New Roman"/>
          <w:sz w:val="11"/>
          <w:szCs w:val="11"/>
          <w:color w:val="auto"/>
        </w:rPr>
        <w:t>31 December 2022</w:t>
        <w:tab/>
        <w:t>. The decrease was mainly attributable to capital expenditure of EUR</w:t>
      </w:r>
      <w:r>
        <w:rPr>
          <w:sz w:val="20"/>
          <w:szCs w:val="20"/>
          <w:color w:val="auto"/>
        </w:rPr>
        <w:tab/>
      </w:r>
      <w:r>
        <w:rPr>
          <w:rFonts w:ascii="Times New Roman" w:cs="Times New Roman" w:eastAsia="Times New Roman" w:hAnsi="Times New Roman"/>
          <w:sz w:val="11"/>
          <w:szCs w:val="11"/>
          <w:color w:val="auto"/>
        </w:rPr>
        <w:t>652 million,</w:t>
      </w:r>
    </w:p>
    <w:p>
      <w:pPr>
        <w:spacing w:after="0" w:line="10" w:lineRule="exact"/>
        <w:rPr>
          <w:sz w:val="20"/>
          <w:szCs w:val="20"/>
          <w:color w:val="auto"/>
        </w:rPr>
      </w:pPr>
    </w:p>
    <w:p>
      <w:pPr>
        <w:spacing w:after="0"/>
        <w:tabs>
          <w:tab w:leader="none" w:pos="3140" w:val="left"/>
        </w:tabs>
        <w:rPr>
          <w:sz w:val="20"/>
          <w:szCs w:val="20"/>
          <w:color w:val="auto"/>
        </w:rPr>
      </w:pPr>
      <w:r>
        <w:rPr>
          <w:rFonts w:ascii="Times New Roman" w:cs="Times New Roman" w:eastAsia="Times New Roman" w:hAnsi="Times New Roman"/>
          <w:sz w:val="11"/>
          <w:szCs w:val="11"/>
          <w:color w:val="auto"/>
        </w:rPr>
        <w:t>payment of the principal portion of the lease liabilities of EUR</w:t>
      </w:r>
      <w:r>
        <w:rPr>
          <w:sz w:val="20"/>
          <w:szCs w:val="20"/>
          <w:color w:val="auto"/>
        </w:rPr>
        <w:tab/>
      </w:r>
      <w:r>
        <w:rPr>
          <w:rFonts w:ascii="Times New Roman" w:cs="Times New Roman" w:eastAsia="Times New Roman" w:hAnsi="Times New Roman"/>
          <w:sz w:val="11"/>
          <w:szCs w:val="11"/>
          <w:color w:val="auto"/>
        </w:rPr>
        <w:t>239 million, dividends of</w:t>
      </w:r>
    </w:p>
    <w:p>
      <w:pPr>
        <w:spacing w:after="0" w:line="10" w:lineRule="exact"/>
        <w:rPr>
          <w:sz w:val="20"/>
          <w:szCs w:val="20"/>
          <w:color w:val="auto"/>
        </w:rPr>
      </w:pPr>
    </w:p>
    <w:p>
      <w:pPr>
        <w:ind w:right="520"/>
        <w:spacing w:after="0" w:line="297" w:lineRule="auto"/>
        <w:rPr>
          <w:sz w:val="20"/>
          <w:szCs w:val="20"/>
          <w:color w:val="auto"/>
        </w:rPr>
      </w:pPr>
      <w:r>
        <w:rPr>
          <w:rFonts w:ascii="Times New Roman" w:cs="Times New Roman" w:eastAsia="Times New Roman" w:hAnsi="Times New Roman"/>
          <w:sz w:val="11"/>
          <w:szCs w:val="11"/>
          <w:color w:val="auto"/>
        </w:rPr>
        <w:t>EUR621 million and share repurchases of EUR 300 million, offset by net cash inflow from operating activities of EUR 1 317 million.</w:t>
      </w:r>
    </w:p>
    <w:p>
      <w:pPr>
        <w:spacing w:after="0" w:line="38" w:lineRule="exact"/>
        <w:rPr>
          <w:sz w:val="20"/>
          <w:szCs w:val="20"/>
          <w:color w:val="auto"/>
        </w:rPr>
      </w:pPr>
    </w:p>
    <w:p>
      <w:pPr>
        <w:ind w:left="200" w:right="520" w:hanging="199"/>
        <w:spacing w:after="0" w:line="295" w:lineRule="auto"/>
        <w:tabs>
          <w:tab w:leader="none" w:pos="200" w:val="left"/>
        </w:tabs>
        <w:numPr>
          <w:ilvl w:val="0"/>
          <w:numId w:val="6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Non-IFRS measures. For the definition and reconciliation of non-IFRS measures to the most directly comparable IFRS measures, refer to the ”Alternative performance measures” section.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Cash flow</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22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cash inflow from operating activities in</w:t>
            </w:r>
          </w:p>
        </w:tc>
        <w:tc>
          <w:tcPr>
            <w:tcW w:w="240" w:type="dxa"/>
            <w:vAlign w:val="bottom"/>
          </w:tcPr>
          <w:p>
            <w:pPr>
              <w:jc w:val="right"/>
              <w:spacing w:after="0"/>
              <w:rPr>
                <w:sz w:val="20"/>
                <w:szCs w:val="20"/>
                <w:color w:val="auto"/>
              </w:rPr>
            </w:pPr>
            <w:r>
              <w:rPr>
                <w:rFonts w:ascii="Times New Roman" w:cs="Times New Roman" w:eastAsia="Times New Roman" w:hAnsi="Times New Roman"/>
                <w:sz w:val="11"/>
                <w:szCs w:val="11"/>
                <w:color w:val="auto"/>
                <w:w w:val="99"/>
              </w:rPr>
              <w:t>2023</w:t>
            </w:r>
          </w:p>
        </w:tc>
        <w:tc>
          <w:tcPr>
            <w:tcW w:w="2380" w:type="dxa"/>
            <w:vAlign w:val="bottom"/>
            <w:gridSpan w:val="4"/>
          </w:tcPr>
          <w:p>
            <w:pPr>
              <w:ind w:left="80"/>
              <w:spacing w:after="0"/>
              <w:rPr>
                <w:sz w:val="20"/>
                <w:szCs w:val="20"/>
                <w:color w:val="auto"/>
              </w:rPr>
            </w:pPr>
            <w:r>
              <w:rPr>
                <w:rFonts w:ascii="Times New Roman" w:cs="Times New Roman" w:eastAsia="Times New Roman" w:hAnsi="Times New Roman"/>
                <w:sz w:val="11"/>
                <w:szCs w:val="11"/>
                <w:color w:val="auto"/>
              </w:rPr>
              <w:t>was EUR 1 317 million, a decrease of</w:t>
            </w:r>
          </w:p>
        </w:tc>
      </w:tr>
      <w:tr>
        <w:trPr>
          <w:trHeight w:val="142"/>
        </w:trPr>
        <w:tc>
          <w:tcPr>
            <w:tcW w:w="24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EUR157 million compared to a cash inflow of EUR</w:t>
            </w:r>
          </w:p>
        </w:tc>
        <w:tc>
          <w:tcPr>
            <w:tcW w:w="40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1 474</w:t>
            </w:r>
          </w:p>
        </w:tc>
        <w:tc>
          <w:tcPr>
            <w:tcW w:w="1980" w:type="dxa"/>
            <w:vAlign w:val="bottom"/>
            <w:gridSpan w:val="3"/>
          </w:tcPr>
          <w:p>
            <w:pPr>
              <w:ind w:left="40"/>
              <w:spacing w:after="0"/>
              <w:rPr>
                <w:sz w:val="20"/>
                <w:szCs w:val="20"/>
                <w:color w:val="auto"/>
              </w:rPr>
            </w:pPr>
            <w:r>
              <w:rPr>
                <w:rFonts w:ascii="Times New Roman" w:cs="Times New Roman" w:eastAsia="Times New Roman" w:hAnsi="Times New Roman"/>
                <w:sz w:val="11"/>
                <w:szCs w:val="11"/>
                <w:color w:val="auto"/>
              </w:rPr>
              <w:t>million in 2022 . The decrease</w:t>
            </w:r>
          </w:p>
        </w:tc>
      </w:tr>
      <w:tr>
        <w:trPr>
          <w:trHeight w:val="131"/>
        </w:trPr>
        <w:tc>
          <w:tcPr>
            <w:tcW w:w="408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was primarily attributable to a decrease in net profit, adjusted for non-cash items, of</w:t>
            </w:r>
          </w:p>
        </w:tc>
        <w:tc>
          <w:tcPr>
            <w:tcW w:w="740" w:type="dxa"/>
            <w:vAlign w:val="bottom"/>
          </w:tcPr>
          <w:p>
            <w:pPr>
              <w:spacing w:after="0"/>
              <w:rPr>
                <w:sz w:val="11"/>
                <w:szCs w:val="11"/>
                <w:color w:val="auto"/>
              </w:rPr>
            </w:pPr>
          </w:p>
        </w:tc>
      </w:tr>
      <w:tr>
        <w:trPr>
          <w:trHeight w:val="142"/>
        </w:trPr>
        <w:tc>
          <w:tcPr>
            <w:tcW w:w="16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EUR3 238 million, a decrease of</w:t>
            </w:r>
          </w:p>
        </w:tc>
        <w:tc>
          <w:tcPr>
            <w:tcW w:w="2100" w:type="dxa"/>
            <w:vAlign w:val="bottom"/>
            <w:gridSpan w:val="4"/>
          </w:tcPr>
          <w:p>
            <w:pPr>
              <w:jc w:val="right"/>
              <w:spacing w:after="0"/>
              <w:rPr>
                <w:sz w:val="20"/>
                <w:szCs w:val="20"/>
                <w:color w:val="auto"/>
              </w:rPr>
            </w:pPr>
            <w:r>
              <w:rPr>
                <w:rFonts w:ascii="Times New Roman" w:cs="Times New Roman" w:eastAsia="Times New Roman" w:hAnsi="Times New Roman"/>
                <w:sz w:val="11"/>
                <w:szCs w:val="11"/>
                <w:color w:val="auto"/>
              </w:rPr>
              <w:t>EUR 575 million compared to EUR  3 813</w:t>
            </w:r>
          </w:p>
        </w:tc>
        <w:tc>
          <w:tcPr>
            <w:tcW w:w="112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million in 2022 ,</w:t>
            </w:r>
          </w:p>
        </w:tc>
      </w:tr>
      <w:tr>
        <w:trPr>
          <w:trHeight w:val="131"/>
        </w:trPr>
        <w:tc>
          <w:tcPr>
            <w:tcW w:w="370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partially offset by a decrease in cash tied-up to net working capital of EUR</w:t>
            </w:r>
          </w:p>
        </w:tc>
        <w:tc>
          <w:tcPr>
            <w:tcW w:w="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1 282</w:t>
            </w:r>
          </w:p>
        </w:tc>
        <w:tc>
          <w:tcPr>
            <w:tcW w:w="74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million in 2023</w:t>
            </w:r>
          </w:p>
        </w:tc>
      </w:tr>
      <w:tr>
        <w:trPr>
          <w:trHeight w:val="142"/>
        </w:trPr>
        <w:tc>
          <w:tcPr>
            <w:tcW w:w="900" w:type="dxa"/>
            <w:vAlign w:val="bottom"/>
          </w:tcPr>
          <w:p>
            <w:pPr>
              <w:spacing w:after="0"/>
              <w:rPr>
                <w:sz w:val="20"/>
                <w:szCs w:val="20"/>
                <w:color w:val="auto"/>
              </w:rPr>
            </w:pPr>
            <w:r>
              <w:rPr>
                <w:rFonts w:ascii="Times New Roman" w:cs="Times New Roman" w:eastAsia="Times New Roman" w:hAnsi="Times New Roman"/>
                <w:sz w:val="11"/>
                <w:szCs w:val="11"/>
                <w:color w:val="auto"/>
              </w:rPr>
              <w:t>compared to EUR</w:t>
            </w:r>
          </w:p>
        </w:tc>
        <w:tc>
          <w:tcPr>
            <w:tcW w:w="3920" w:type="dxa"/>
            <w:vAlign w:val="bottom"/>
            <w:gridSpan w:val="7"/>
          </w:tcPr>
          <w:p>
            <w:pPr>
              <w:ind w:left="20"/>
              <w:spacing w:after="0"/>
              <w:rPr>
                <w:sz w:val="20"/>
                <w:szCs w:val="20"/>
                <w:color w:val="auto"/>
              </w:rPr>
            </w:pPr>
            <w:r>
              <w:rPr>
                <w:rFonts w:ascii="Times New Roman" w:cs="Times New Roman" w:eastAsia="Times New Roman" w:hAnsi="Times New Roman"/>
                <w:sz w:val="11"/>
                <w:szCs w:val="11"/>
                <w:color w:val="auto"/>
              </w:rPr>
              <w:t>1 843 million cash tied-up in  2022 . The primary drivers for the decrease in</w:t>
            </w:r>
          </w:p>
        </w:tc>
      </w:tr>
      <w:tr>
        <w:trPr>
          <w:trHeight w:val="142"/>
        </w:trPr>
        <w:tc>
          <w:tcPr>
            <w:tcW w:w="22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cash tied-up to net working capital compared to</w:t>
            </w:r>
          </w:p>
        </w:tc>
        <w:tc>
          <w:tcPr>
            <w:tcW w:w="240" w:type="dxa"/>
            <w:vAlign w:val="bottom"/>
          </w:tcPr>
          <w:p>
            <w:pPr>
              <w:spacing w:after="0"/>
              <w:rPr>
                <w:sz w:val="12"/>
                <w:szCs w:val="12"/>
                <w:color w:val="auto"/>
              </w:rPr>
            </w:pPr>
          </w:p>
        </w:tc>
        <w:tc>
          <w:tcPr>
            <w:tcW w:w="1640" w:type="dxa"/>
            <w:vAlign w:val="bottom"/>
            <w:gridSpan w:val="3"/>
          </w:tcPr>
          <w:p>
            <w:pPr>
              <w:ind w:left="40"/>
              <w:spacing w:after="0"/>
              <w:rPr>
                <w:sz w:val="20"/>
                <w:szCs w:val="20"/>
                <w:color w:val="auto"/>
              </w:rPr>
            </w:pPr>
            <w:r>
              <w:rPr>
                <w:rFonts w:ascii="Times New Roman" w:cs="Times New Roman" w:eastAsia="Times New Roman" w:hAnsi="Times New Roman"/>
                <w:sz w:val="11"/>
                <w:szCs w:val="11"/>
                <w:color w:val="auto"/>
              </w:rPr>
              <w:t>2022 were related to  a decrease</w:t>
            </w:r>
          </w:p>
        </w:tc>
        <w:tc>
          <w:tcPr>
            <w:tcW w:w="74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in inventories</w:t>
            </w:r>
          </w:p>
        </w:tc>
      </w:tr>
      <w:tr>
        <w:trPr>
          <w:trHeight w:val="131"/>
        </w:trPr>
        <w:tc>
          <w:tcPr>
            <w:tcW w:w="16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of EUR 443 million compared to</w:t>
            </w:r>
          </w:p>
        </w:tc>
        <w:tc>
          <w:tcPr>
            <w:tcW w:w="60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an increase</w:t>
            </w:r>
          </w:p>
        </w:tc>
        <w:tc>
          <w:tcPr>
            <w:tcW w:w="64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of EUR 991</w:t>
            </w:r>
          </w:p>
        </w:tc>
        <w:tc>
          <w:tcPr>
            <w:tcW w:w="198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million in 2022 , and a decrease  in</w:t>
            </w:r>
          </w:p>
        </w:tc>
      </w:tr>
      <w:tr>
        <w:trPr>
          <w:trHeight w:val="142"/>
        </w:trPr>
        <w:tc>
          <w:tcPr>
            <w:tcW w:w="900" w:type="dxa"/>
            <w:vAlign w:val="bottom"/>
          </w:tcPr>
          <w:p>
            <w:pPr>
              <w:spacing w:after="0"/>
              <w:rPr>
                <w:sz w:val="20"/>
                <w:szCs w:val="20"/>
                <w:color w:val="auto"/>
              </w:rPr>
            </w:pPr>
            <w:r>
              <w:rPr>
                <w:rFonts w:ascii="Times New Roman" w:cs="Times New Roman" w:eastAsia="Times New Roman" w:hAnsi="Times New Roman"/>
                <w:sz w:val="11"/>
                <w:szCs w:val="11"/>
                <w:color w:val="auto"/>
              </w:rPr>
              <w:t>receivables of EUR</w:t>
            </w:r>
          </w:p>
        </w:tc>
        <w:tc>
          <w:tcPr>
            <w:tcW w:w="130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304 million compared to</w:t>
            </w:r>
          </w:p>
        </w:tc>
        <w:tc>
          <w:tcPr>
            <w:tcW w:w="64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an increase</w:t>
            </w:r>
          </w:p>
        </w:tc>
        <w:tc>
          <w:tcPr>
            <w:tcW w:w="198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in receivables of EUR 451 million in</w:t>
            </w:r>
          </w:p>
        </w:tc>
      </w:tr>
      <w:tr>
        <w:trPr>
          <w:trHeight w:val="131"/>
        </w:trPr>
        <w:tc>
          <w:tcPr>
            <w:tcW w:w="24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2022 . These were partially offset by   a decrease</w:t>
            </w:r>
          </w:p>
        </w:tc>
        <w:tc>
          <w:tcPr>
            <w:tcW w:w="1260" w:type="dxa"/>
            <w:vAlign w:val="bottom"/>
            <w:gridSpan w:val="2"/>
          </w:tcPr>
          <w:p>
            <w:pPr>
              <w:jc w:val="right"/>
              <w:spacing w:after="0"/>
              <w:rPr>
                <w:sz w:val="20"/>
                <w:szCs w:val="20"/>
                <w:color w:val="auto"/>
              </w:rPr>
            </w:pPr>
            <w:r>
              <w:rPr>
                <w:rFonts w:ascii="Times New Roman" w:cs="Times New Roman" w:eastAsia="Times New Roman" w:hAnsi="Times New Roman"/>
                <w:sz w:val="11"/>
                <w:szCs w:val="11"/>
                <w:color w:val="auto"/>
              </w:rPr>
              <w:t>in liabilities of EUR 2 029</w:t>
            </w:r>
          </w:p>
        </w:tc>
        <w:tc>
          <w:tcPr>
            <w:tcW w:w="112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million compared</w:t>
            </w:r>
          </w:p>
        </w:tc>
      </w:tr>
      <w:tr>
        <w:trPr>
          <w:trHeight w:val="148"/>
        </w:trPr>
        <w:tc>
          <w:tcPr>
            <w:tcW w:w="370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to a decrease  of EUR 401 million in 2022 . The decrease in liabilities during</w:t>
            </w:r>
          </w:p>
        </w:tc>
        <w:tc>
          <w:tcPr>
            <w:tcW w:w="3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2023</w:t>
            </w:r>
          </w:p>
        </w:tc>
        <w:tc>
          <w:tcPr>
            <w:tcW w:w="740" w:type="dxa"/>
            <w:vAlign w:val="bottom"/>
          </w:tcPr>
          <w:p>
            <w:pPr>
              <w:spacing w:after="0"/>
              <w:rPr>
                <w:sz w:val="20"/>
                <w:szCs w:val="20"/>
                <w:color w:val="auto"/>
              </w:rPr>
            </w:pPr>
            <w:r>
              <w:rPr>
                <w:rFonts w:ascii="Times New Roman" w:cs="Times New Roman" w:eastAsia="Times New Roman" w:hAnsi="Times New Roman"/>
                <w:sz w:val="11"/>
                <w:szCs w:val="11"/>
                <w:color w:val="auto"/>
              </w:rPr>
              <w:t>was primarily</w:t>
            </w:r>
          </w:p>
        </w:tc>
      </w:tr>
    </w:tbl>
    <w:p>
      <w:pPr>
        <w:jc w:val="both"/>
        <w:ind w:right="580"/>
        <w:spacing w:after="0" w:line="297" w:lineRule="auto"/>
        <w:rPr>
          <w:sz w:val="20"/>
          <w:szCs w:val="20"/>
          <w:color w:val="auto"/>
        </w:rPr>
      </w:pPr>
      <w:r>
        <w:rPr>
          <w:rFonts w:ascii="Times New Roman" w:cs="Times New Roman" w:eastAsia="Times New Roman" w:hAnsi="Times New Roman"/>
          <w:sz w:val="11"/>
          <w:szCs w:val="11"/>
          <w:color w:val="auto"/>
        </w:rPr>
        <w:t>attributable to a decrease in trade payables, a decrease in liabilities related to variable pay, and restructuring and associated cash outflows, partially offset by an increase in contract liabilities.</w:t>
      </w:r>
    </w:p>
    <w:p>
      <w:pPr>
        <w:spacing w:after="0" w:line="34"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3840" w:type="dxa"/>
            <w:vAlign w:val="bottom"/>
            <w:gridSpan w:val="9"/>
          </w:tcPr>
          <w:p>
            <w:pPr>
              <w:spacing w:after="0"/>
              <w:rPr>
                <w:sz w:val="20"/>
                <w:szCs w:val="20"/>
                <w:color w:val="auto"/>
              </w:rPr>
            </w:pPr>
            <w:r>
              <w:rPr>
                <w:rFonts w:ascii="Times New Roman" w:cs="Times New Roman" w:eastAsia="Times New Roman" w:hAnsi="Times New Roman"/>
                <w:sz w:val="11"/>
                <w:szCs w:val="11"/>
                <w:color w:val="auto"/>
              </w:rPr>
              <w:t>In 2023 , the cash inflow from operating activities included paid taxes of EUR</w:t>
            </w:r>
          </w:p>
        </w:tc>
        <w:tc>
          <w:tcPr>
            <w:tcW w:w="740" w:type="dxa"/>
            <w:vAlign w:val="bottom"/>
            <w:gridSpan w:val="2"/>
          </w:tcPr>
          <w:p>
            <w:pPr>
              <w:jc w:val="right"/>
              <w:ind w:right="23"/>
              <w:spacing w:after="0"/>
              <w:rPr>
                <w:sz w:val="20"/>
                <w:szCs w:val="20"/>
                <w:color w:val="auto"/>
              </w:rPr>
            </w:pPr>
            <w:r>
              <w:rPr>
                <w:rFonts w:ascii="Times New Roman" w:cs="Times New Roman" w:eastAsia="Times New Roman" w:hAnsi="Times New Roman"/>
                <w:sz w:val="11"/>
                <w:szCs w:val="11"/>
                <w:color w:val="auto"/>
              </w:rPr>
              <w:t>576 million,</w:t>
            </w:r>
          </w:p>
        </w:tc>
        <w:tc>
          <w:tcPr>
            <w:tcW w:w="360" w:type="dxa"/>
            <w:vAlign w:val="bottom"/>
          </w:tcPr>
          <w:p>
            <w:pPr>
              <w:spacing w:after="0"/>
              <w:rPr>
                <w:sz w:val="12"/>
                <w:szCs w:val="12"/>
                <w:color w:val="auto"/>
              </w:rPr>
            </w:pPr>
          </w:p>
        </w:tc>
      </w:tr>
      <w:tr>
        <w:trPr>
          <w:trHeight w:val="131"/>
        </w:trPr>
        <w:tc>
          <w:tcPr>
            <w:tcW w:w="11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 increase of  EUR 195</w:t>
            </w:r>
          </w:p>
        </w:tc>
        <w:tc>
          <w:tcPr>
            <w:tcW w:w="1280" w:type="dxa"/>
            <w:vAlign w:val="bottom"/>
            <w:gridSpan w:val="3"/>
          </w:tcPr>
          <w:p>
            <w:pPr>
              <w:ind w:left="60"/>
              <w:spacing w:after="0"/>
              <w:rPr>
                <w:sz w:val="20"/>
                <w:szCs w:val="20"/>
                <w:color w:val="auto"/>
              </w:rPr>
            </w:pPr>
            <w:r>
              <w:rPr>
                <w:rFonts w:ascii="Times New Roman" w:cs="Times New Roman" w:eastAsia="Times New Roman" w:hAnsi="Times New Roman"/>
                <w:sz w:val="11"/>
                <w:szCs w:val="11"/>
                <w:color w:val="auto"/>
              </w:rPr>
              <w:t>million compared to EUR</w:t>
            </w:r>
          </w:p>
        </w:tc>
        <w:tc>
          <w:tcPr>
            <w:tcW w:w="2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381</w:t>
            </w:r>
          </w:p>
        </w:tc>
        <w:tc>
          <w:tcPr>
            <w:tcW w:w="1900" w:type="dxa"/>
            <w:vAlign w:val="bottom"/>
            <w:gridSpan w:val="5"/>
          </w:tcPr>
          <w:p>
            <w:pPr>
              <w:jc w:val="right"/>
              <w:ind w:right="123"/>
              <w:spacing w:after="0"/>
              <w:rPr>
                <w:sz w:val="20"/>
                <w:szCs w:val="20"/>
                <w:color w:val="auto"/>
              </w:rPr>
            </w:pPr>
            <w:r>
              <w:rPr>
                <w:rFonts w:ascii="Times New Roman" w:cs="Times New Roman" w:eastAsia="Times New Roman" w:hAnsi="Times New Roman"/>
                <w:sz w:val="11"/>
                <w:szCs w:val="11"/>
                <w:color w:val="auto"/>
              </w:rPr>
              <w:t>million in 2022 , interest received of</w:t>
            </w:r>
          </w:p>
        </w:tc>
        <w:tc>
          <w:tcPr>
            <w:tcW w:w="360" w:type="dxa"/>
            <w:vAlign w:val="bottom"/>
          </w:tcPr>
          <w:p>
            <w:pPr>
              <w:spacing w:after="0"/>
              <w:rPr>
                <w:sz w:val="11"/>
                <w:szCs w:val="11"/>
                <w:color w:val="auto"/>
              </w:rPr>
            </w:pPr>
          </w:p>
        </w:tc>
      </w:tr>
      <w:tr>
        <w:trPr>
          <w:trHeight w:val="142"/>
        </w:trPr>
        <w:tc>
          <w:tcPr>
            <w:tcW w:w="1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EUR178 million compared to EUR</w:t>
            </w:r>
          </w:p>
        </w:tc>
        <w:tc>
          <w:tcPr>
            <w:tcW w:w="940" w:type="dxa"/>
            <w:vAlign w:val="bottom"/>
            <w:gridSpan w:val="2"/>
          </w:tcPr>
          <w:p>
            <w:pPr>
              <w:jc w:val="right"/>
              <w:ind w:right="3"/>
              <w:spacing w:after="0"/>
              <w:rPr>
                <w:sz w:val="20"/>
                <w:szCs w:val="20"/>
                <w:color w:val="auto"/>
              </w:rPr>
            </w:pPr>
            <w:r>
              <w:rPr>
                <w:rFonts w:ascii="Times New Roman" w:cs="Times New Roman" w:eastAsia="Times New Roman" w:hAnsi="Times New Roman"/>
                <w:sz w:val="11"/>
                <w:szCs w:val="11"/>
                <w:color w:val="auto"/>
              </w:rPr>
              <w:t>65 million in 2022</w:t>
            </w:r>
          </w:p>
        </w:tc>
        <w:tc>
          <w:tcPr>
            <w:tcW w:w="11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and interest paid of EUR</w:t>
            </w:r>
          </w:p>
        </w:tc>
        <w:tc>
          <w:tcPr>
            <w:tcW w:w="740" w:type="dxa"/>
            <w:vAlign w:val="bottom"/>
            <w:gridSpan w:val="2"/>
          </w:tcPr>
          <w:p>
            <w:pPr>
              <w:jc w:val="right"/>
              <w:ind w:right="3"/>
              <w:spacing w:after="0"/>
              <w:rPr>
                <w:sz w:val="20"/>
                <w:szCs w:val="20"/>
                <w:color w:val="auto"/>
              </w:rPr>
            </w:pPr>
            <w:r>
              <w:rPr>
                <w:rFonts w:ascii="Times New Roman" w:cs="Times New Roman" w:eastAsia="Times New Roman" w:hAnsi="Times New Roman"/>
                <w:sz w:val="11"/>
                <w:szCs w:val="11"/>
                <w:color w:val="auto"/>
              </w:rPr>
              <w:t>241 million</w:t>
            </w:r>
          </w:p>
        </w:tc>
        <w:tc>
          <w:tcPr>
            <w:tcW w:w="360" w:type="dxa"/>
            <w:vAlign w:val="bottom"/>
          </w:tcPr>
          <w:p>
            <w:pPr>
              <w:spacing w:after="0"/>
              <w:rPr>
                <w:sz w:val="12"/>
                <w:szCs w:val="12"/>
                <w:color w:val="auto"/>
              </w:rPr>
            </w:pPr>
          </w:p>
        </w:tc>
      </w:tr>
      <w:tr>
        <w:trPr>
          <w:trHeight w:val="148"/>
        </w:trPr>
        <w:tc>
          <w:tcPr>
            <w:tcW w:w="920" w:type="dxa"/>
            <w:vAlign w:val="bottom"/>
          </w:tcPr>
          <w:p>
            <w:pPr>
              <w:spacing w:after="0"/>
              <w:rPr>
                <w:sz w:val="20"/>
                <w:szCs w:val="20"/>
                <w:color w:val="auto"/>
              </w:rPr>
            </w:pPr>
            <w:r>
              <w:rPr>
                <w:rFonts w:ascii="Times New Roman" w:cs="Times New Roman" w:eastAsia="Times New Roman" w:hAnsi="Times New Roman"/>
                <w:sz w:val="11"/>
                <w:szCs w:val="11"/>
                <w:color w:val="auto"/>
              </w:rPr>
              <w:t>compared to EUR</w:t>
            </w:r>
          </w:p>
        </w:tc>
        <w:tc>
          <w:tcPr>
            <w:tcW w:w="22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w w:val="84"/>
              </w:rPr>
              <w:t>180</w:t>
            </w:r>
          </w:p>
        </w:tc>
        <w:tc>
          <w:tcPr>
            <w:tcW w:w="128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million in 2022 .</w:t>
            </w:r>
          </w:p>
        </w:tc>
        <w:tc>
          <w:tcPr>
            <w:tcW w:w="26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60" w:type="dxa"/>
            <w:vAlign w:val="bottom"/>
          </w:tcPr>
          <w:p>
            <w:pPr>
              <w:spacing w:after="0"/>
              <w:rPr>
                <w:sz w:val="12"/>
                <w:szCs w:val="12"/>
                <w:color w:val="auto"/>
              </w:rPr>
            </w:pPr>
          </w:p>
        </w:tc>
      </w:tr>
      <w:tr>
        <w:trPr>
          <w:trHeight w:val="206"/>
        </w:trPr>
        <w:tc>
          <w:tcPr>
            <w:tcW w:w="24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The cash inflow from investing activities was EUR</w:t>
            </w:r>
          </w:p>
        </w:tc>
        <w:tc>
          <w:tcPr>
            <w:tcW w:w="2160" w:type="dxa"/>
            <w:vAlign w:val="bottom"/>
            <w:gridSpan w:val="6"/>
          </w:tcPr>
          <w:p>
            <w:pPr>
              <w:jc w:val="right"/>
              <w:ind w:right="223"/>
              <w:spacing w:after="0"/>
              <w:rPr>
                <w:sz w:val="20"/>
                <w:szCs w:val="20"/>
                <w:color w:val="auto"/>
              </w:rPr>
            </w:pPr>
            <w:r>
              <w:rPr>
                <w:rFonts w:ascii="Times New Roman" w:cs="Times New Roman" w:eastAsia="Times New Roman" w:hAnsi="Times New Roman"/>
                <w:sz w:val="11"/>
                <w:szCs w:val="11"/>
                <w:color w:val="auto"/>
              </w:rPr>
              <w:t>1 043 million in 2023 , compared to a</w:t>
            </w:r>
          </w:p>
        </w:tc>
        <w:tc>
          <w:tcPr>
            <w:tcW w:w="360" w:type="dxa"/>
            <w:vAlign w:val="bottom"/>
          </w:tcPr>
          <w:p>
            <w:pPr>
              <w:spacing w:after="0"/>
              <w:rPr>
                <w:sz w:val="17"/>
                <w:szCs w:val="17"/>
                <w:color w:val="auto"/>
              </w:rPr>
            </w:pPr>
          </w:p>
        </w:tc>
      </w:tr>
      <w:tr>
        <w:trPr>
          <w:trHeight w:val="142"/>
        </w:trPr>
        <w:tc>
          <w:tcPr>
            <w:tcW w:w="11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EUR1 880 million cash</w:t>
            </w:r>
          </w:p>
        </w:tc>
        <w:tc>
          <w:tcPr>
            <w:tcW w:w="42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outflow</w:t>
            </w:r>
          </w:p>
        </w:tc>
        <w:tc>
          <w:tcPr>
            <w:tcW w:w="3020" w:type="dxa"/>
            <w:vAlign w:val="bottom"/>
            <w:gridSpan w:val="8"/>
          </w:tcPr>
          <w:p>
            <w:pPr>
              <w:jc w:val="right"/>
              <w:ind w:right="83"/>
              <w:spacing w:after="0"/>
              <w:rPr>
                <w:sz w:val="20"/>
                <w:szCs w:val="20"/>
                <w:color w:val="auto"/>
              </w:rPr>
            </w:pPr>
            <w:r>
              <w:rPr>
                <w:rFonts w:ascii="Times New Roman" w:cs="Times New Roman" w:eastAsia="Times New Roman" w:hAnsi="Times New Roman"/>
                <w:sz w:val="11"/>
                <w:szCs w:val="11"/>
                <w:color w:val="auto"/>
              </w:rPr>
              <w:t>in 2022 . Cash inflow from investing activities was primarily</w:t>
            </w:r>
          </w:p>
        </w:tc>
        <w:tc>
          <w:tcPr>
            <w:tcW w:w="360" w:type="dxa"/>
            <w:vAlign w:val="bottom"/>
          </w:tcPr>
          <w:p>
            <w:pPr>
              <w:spacing w:after="0"/>
              <w:rPr>
                <w:sz w:val="12"/>
                <w:szCs w:val="12"/>
                <w:color w:val="auto"/>
              </w:rPr>
            </w:pPr>
          </w:p>
        </w:tc>
      </w:tr>
      <w:tr>
        <w:trPr>
          <w:trHeight w:val="131"/>
        </w:trPr>
        <w:tc>
          <w:tcPr>
            <w:tcW w:w="920" w:type="dxa"/>
            <w:vAlign w:val="bottom"/>
          </w:tcPr>
          <w:p>
            <w:pPr>
              <w:spacing w:after="0"/>
              <w:rPr>
                <w:sz w:val="20"/>
                <w:szCs w:val="20"/>
                <w:color w:val="auto"/>
              </w:rPr>
            </w:pPr>
            <w:r>
              <w:rPr>
                <w:rFonts w:ascii="Times New Roman" w:cs="Times New Roman" w:eastAsia="Times New Roman" w:hAnsi="Times New Roman"/>
                <w:sz w:val="11"/>
                <w:szCs w:val="11"/>
                <w:color w:val="auto"/>
              </w:rPr>
              <w:t>driven by net cash</w:t>
            </w:r>
          </w:p>
        </w:tc>
        <w:tc>
          <w:tcPr>
            <w:tcW w:w="3660" w:type="dxa"/>
            <w:vAlign w:val="bottom"/>
            <w:gridSpan w:val="10"/>
          </w:tcPr>
          <w:p>
            <w:pPr>
              <w:ind w:left="40"/>
              <w:spacing w:after="0"/>
              <w:rPr>
                <w:sz w:val="20"/>
                <w:szCs w:val="20"/>
                <w:color w:val="auto"/>
              </w:rPr>
            </w:pPr>
            <w:r>
              <w:rPr>
                <w:rFonts w:ascii="Times New Roman" w:cs="Times New Roman" w:eastAsia="Times New Roman" w:hAnsi="Times New Roman"/>
                <w:sz w:val="11"/>
                <w:szCs w:val="11"/>
                <w:color w:val="auto"/>
              </w:rPr>
              <w:t>inflow of EUR 1 527 million of interest-bearing financial investments in</w:t>
            </w:r>
          </w:p>
        </w:tc>
        <w:tc>
          <w:tcPr>
            <w:tcW w:w="360" w:type="dxa"/>
            <w:vAlign w:val="bottom"/>
          </w:tcPr>
          <w:p>
            <w:pPr>
              <w:jc w:val="right"/>
              <w:ind w:right="83"/>
              <w:spacing w:after="0"/>
              <w:rPr>
                <w:sz w:val="20"/>
                <w:szCs w:val="20"/>
                <w:color w:val="auto"/>
              </w:rPr>
            </w:pPr>
            <w:r>
              <w:rPr>
                <w:rFonts w:ascii="Times New Roman" w:cs="Times New Roman" w:eastAsia="Times New Roman" w:hAnsi="Times New Roman"/>
                <w:sz w:val="11"/>
                <w:szCs w:val="11"/>
                <w:color w:val="auto"/>
                <w:w w:val="90"/>
              </w:rPr>
              <w:t>2023</w:t>
            </w:r>
          </w:p>
        </w:tc>
      </w:tr>
      <w:tr>
        <w:trPr>
          <w:trHeight w:val="142"/>
        </w:trPr>
        <w:tc>
          <w:tcPr>
            <w:tcW w:w="11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compared to net cash</w:t>
            </w:r>
          </w:p>
        </w:tc>
        <w:tc>
          <w:tcPr>
            <w:tcW w:w="420" w:type="dxa"/>
            <w:vAlign w:val="bottom"/>
          </w:tcPr>
          <w:p>
            <w:pPr>
              <w:spacing w:after="0"/>
              <w:rPr>
                <w:sz w:val="20"/>
                <w:szCs w:val="20"/>
                <w:color w:val="auto"/>
              </w:rPr>
            </w:pPr>
            <w:r>
              <w:rPr>
                <w:rFonts w:ascii="Times New Roman" w:cs="Times New Roman" w:eastAsia="Times New Roman" w:hAnsi="Times New Roman"/>
                <w:sz w:val="11"/>
                <w:szCs w:val="11"/>
                <w:color w:val="auto"/>
              </w:rPr>
              <w:t>outflow</w:t>
            </w:r>
          </w:p>
        </w:tc>
        <w:tc>
          <w:tcPr>
            <w:tcW w:w="3020" w:type="dxa"/>
            <w:vAlign w:val="bottom"/>
            <w:gridSpan w:val="8"/>
          </w:tcPr>
          <w:p>
            <w:pPr>
              <w:jc w:val="right"/>
              <w:ind w:right="23"/>
              <w:spacing w:after="0"/>
              <w:rPr>
                <w:sz w:val="20"/>
                <w:szCs w:val="20"/>
                <w:color w:val="auto"/>
              </w:rPr>
            </w:pPr>
            <w:r>
              <w:rPr>
                <w:rFonts w:ascii="Times New Roman" w:cs="Times New Roman" w:eastAsia="Times New Roman" w:hAnsi="Times New Roman"/>
                <w:sz w:val="11"/>
                <w:szCs w:val="11"/>
                <w:color w:val="auto"/>
              </w:rPr>
              <w:t>of EUR 1 198 million in 2022 , partially offset by cash outflow</w:t>
            </w:r>
          </w:p>
        </w:tc>
        <w:tc>
          <w:tcPr>
            <w:tcW w:w="360" w:type="dxa"/>
            <w:vAlign w:val="bottom"/>
          </w:tcPr>
          <w:p>
            <w:pPr>
              <w:spacing w:after="0"/>
              <w:rPr>
                <w:sz w:val="12"/>
                <w:szCs w:val="12"/>
                <w:color w:val="auto"/>
              </w:rPr>
            </w:pPr>
          </w:p>
        </w:tc>
      </w:tr>
      <w:tr>
        <w:trPr>
          <w:trHeight w:val="142"/>
        </w:trPr>
        <w:tc>
          <w:tcPr>
            <w:tcW w:w="1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due to the capital expenditure of EUR</w:t>
            </w:r>
          </w:p>
        </w:tc>
        <w:tc>
          <w:tcPr>
            <w:tcW w:w="1200" w:type="dxa"/>
            <w:vAlign w:val="bottom"/>
            <w:gridSpan w:val="3"/>
          </w:tcPr>
          <w:p>
            <w:pPr>
              <w:ind w:left="200"/>
              <w:spacing w:after="0"/>
              <w:rPr>
                <w:sz w:val="20"/>
                <w:szCs w:val="20"/>
                <w:color w:val="auto"/>
              </w:rPr>
            </w:pPr>
            <w:r>
              <w:rPr>
                <w:rFonts w:ascii="Times New Roman" w:cs="Times New Roman" w:eastAsia="Times New Roman" w:hAnsi="Times New Roman"/>
                <w:sz w:val="11"/>
                <w:szCs w:val="11"/>
                <w:color w:val="auto"/>
              </w:rPr>
              <w:t>652 million in 2023</w:t>
            </w:r>
          </w:p>
        </w:tc>
        <w:tc>
          <w:tcPr>
            <w:tcW w:w="90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compared to EUR</w:t>
            </w:r>
          </w:p>
        </w:tc>
        <w:tc>
          <w:tcPr>
            <w:tcW w:w="1100" w:type="dxa"/>
            <w:vAlign w:val="bottom"/>
            <w:gridSpan w:val="3"/>
          </w:tcPr>
          <w:p>
            <w:pPr>
              <w:jc w:val="right"/>
              <w:ind w:right="63"/>
              <w:spacing w:after="0"/>
              <w:rPr>
                <w:sz w:val="20"/>
                <w:szCs w:val="20"/>
                <w:color w:val="auto"/>
              </w:rPr>
            </w:pPr>
            <w:r>
              <w:rPr>
                <w:rFonts w:ascii="Times New Roman" w:cs="Times New Roman" w:eastAsia="Times New Roman" w:hAnsi="Times New Roman"/>
                <w:sz w:val="11"/>
                <w:szCs w:val="11"/>
                <w:color w:val="auto"/>
              </w:rPr>
              <w:t>601 million in 2022</w:t>
            </w:r>
          </w:p>
        </w:tc>
      </w:tr>
      <w:tr>
        <w:trPr>
          <w:trHeight w:val="131"/>
        </w:trPr>
        <w:tc>
          <w:tcPr>
            <w:tcW w:w="3420" w:type="dxa"/>
            <w:vAlign w:val="bottom"/>
            <w:gridSpan w:val="8"/>
          </w:tcPr>
          <w:p>
            <w:pPr>
              <w:spacing w:after="0"/>
              <w:rPr>
                <w:sz w:val="20"/>
                <w:szCs w:val="20"/>
                <w:color w:val="auto"/>
              </w:rPr>
            </w:pPr>
            <w:r>
              <w:rPr>
                <w:rFonts w:ascii="Times New Roman" w:cs="Times New Roman" w:eastAsia="Times New Roman" w:hAnsi="Times New Roman"/>
                <w:sz w:val="11"/>
                <w:szCs w:val="11"/>
                <w:color w:val="auto"/>
              </w:rPr>
              <w:t>and net cash outflow from other non-current financial assets of EUR</w:t>
            </w:r>
          </w:p>
        </w:tc>
        <w:tc>
          <w:tcPr>
            <w:tcW w:w="1520" w:type="dxa"/>
            <w:vAlign w:val="bottom"/>
            <w:gridSpan w:val="4"/>
          </w:tcPr>
          <w:p>
            <w:pPr>
              <w:jc w:val="right"/>
              <w:ind w:right="283"/>
              <w:spacing w:after="0"/>
              <w:rPr>
                <w:sz w:val="20"/>
                <w:szCs w:val="20"/>
                <w:color w:val="auto"/>
              </w:rPr>
            </w:pPr>
            <w:r>
              <w:rPr>
                <w:rFonts w:ascii="Times New Roman" w:cs="Times New Roman" w:eastAsia="Times New Roman" w:hAnsi="Times New Roman"/>
                <w:sz w:val="11"/>
                <w:szCs w:val="11"/>
                <w:color w:val="auto"/>
              </w:rPr>
              <w:t>49 million compared to</w:t>
            </w:r>
          </w:p>
        </w:tc>
      </w:tr>
      <w:tr>
        <w:trPr>
          <w:trHeight w:val="148"/>
        </w:trPr>
        <w:tc>
          <w:tcPr>
            <w:tcW w:w="15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EUR66 million in 2022 .</w:t>
            </w:r>
          </w:p>
        </w:tc>
        <w:tc>
          <w:tcPr>
            <w:tcW w:w="18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60" w:type="dxa"/>
            <w:vAlign w:val="bottom"/>
          </w:tcPr>
          <w:p>
            <w:pPr>
              <w:spacing w:after="0"/>
              <w:rPr>
                <w:sz w:val="12"/>
                <w:szCs w:val="12"/>
                <w:color w:val="auto"/>
              </w:rPr>
            </w:pPr>
          </w:p>
        </w:tc>
      </w:tr>
      <w:tr>
        <w:trPr>
          <w:trHeight w:val="206"/>
        </w:trPr>
        <w:tc>
          <w:tcPr>
            <w:tcW w:w="1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Major items of capital expenditure in</w:t>
            </w:r>
          </w:p>
        </w:tc>
        <w:tc>
          <w:tcPr>
            <w:tcW w:w="2840" w:type="dxa"/>
            <w:vAlign w:val="bottom"/>
            <w:gridSpan w:val="7"/>
          </w:tcPr>
          <w:p>
            <w:pPr>
              <w:jc w:val="right"/>
              <w:ind w:right="243"/>
              <w:spacing w:after="0"/>
              <w:rPr>
                <w:sz w:val="20"/>
                <w:szCs w:val="20"/>
                <w:color w:val="auto"/>
              </w:rPr>
            </w:pPr>
            <w:r>
              <w:rPr>
                <w:rFonts w:ascii="Times New Roman" w:cs="Times New Roman" w:eastAsia="Times New Roman" w:hAnsi="Times New Roman"/>
                <w:sz w:val="11"/>
                <w:szCs w:val="11"/>
                <w:color w:val="auto"/>
              </w:rPr>
              <w:t>2023 included investments in R&amp;D equipment, test</w:t>
            </w:r>
          </w:p>
        </w:tc>
        <w:tc>
          <w:tcPr>
            <w:tcW w:w="360" w:type="dxa"/>
            <w:vAlign w:val="bottom"/>
          </w:tcPr>
          <w:p>
            <w:pPr>
              <w:spacing w:after="0"/>
              <w:rPr>
                <w:sz w:val="17"/>
                <w:szCs w:val="17"/>
                <w:color w:val="auto"/>
              </w:rPr>
            </w:pPr>
          </w:p>
        </w:tc>
      </w:tr>
      <w:tr>
        <w:trPr>
          <w:trHeight w:val="142"/>
        </w:trPr>
        <w:tc>
          <w:tcPr>
            <w:tcW w:w="4260" w:type="dxa"/>
            <w:vAlign w:val="bottom"/>
            <w:gridSpan w:val="10"/>
          </w:tcPr>
          <w:p>
            <w:pPr>
              <w:spacing w:after="0"/>
              <w:rPr>
                <w:sz w:val="20"/>
                <w:szCs w:val="20"/>
                <w:color w:val="auto"/>
              </w:rPr>
            </w:pPr>
            <w:r>
              <w:rPr>
                <w:rFonts w:ascii="Times New Roman" w:cs="Times New Roman" w:eastAsia="Times New Roman" w:hAnsi="Times New Roman"/>
                <w:sz w:val="11"/>
                <w:szCs w:val="11"/>
                <w:color w:val="auto"/>
              </w:rPr>
              <w:t>equipment, hardware for telecommunication and cloud environment, repair or improvements</w:t>
            </w:r>
          </w:p>
        </w:tc>
        <w:tc>
          <w:tcPr>
            <w:tcW w:w="320" w:type="dxa"/>
            <w:vAlign w:val="bottom"/>
          </w:tcPr>
          <w:p>
            <w:pPr>
              <w:spacing w:after="0"/>
              <w:rPr>
                <w:sz w:val="12"/>
                <w:szCs w:val="12"/>
                <w:color w:val="auto"/>
              </w:rPr>
            </w:pPr>
          </w:p>
        </w:tc>
        <w:tc>
          <w:tcPr>
            <w:tcW w:w="360" w:type="dxa"/>
            <w:vAlign w:val="bottom"/>
          </w:tcPr>
          <w:p>
            <w:pPr>
              <w:spacing w:after="0"/>
              <w:rPr>
                <w:sz w:val="12"/>
                <w:szCs w:val="12"/>
                <w:color w:val="auto"/>
              </w:rPr>
            </w:pPr>
          </w:p>
        </w:tc>
      </w:tr>
      <w:tr>
        <w:trPr>
          <w:trHeight w:val="148"/>
        </w:trPr>
        <w:tc>
          <w:tcPr>
            <w:tcW w:w="15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of sites, shipyards and vessels.</w:t>
            </w:r>
          </w:p>
        </w:tc>
        <w:tc>
          <w:tcPr>
            <w:tcW w:w="18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26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60" w:type="dxa"/>
            <w:vAlign w:val="bottom"/>
          </w:tcPr>
          <w:p>
            <w:pPr>
              <w:spacing w:after="0"/>
              <w:rPr>
                <w:sz w:val="12"/>
                <w:szCs w:val="12"/>
                <w:color w:val="auto"/>
              </w:rPr>
            </w:pPr>
          </w:p>
        </w:tc>
      </w:tr>
      <w:tr>
        <w:trPr>
          <w:trHeight w:val="206"/>
        </w:trPr>
        <w:tc>
          <w:tcPr>
            <w:tcW w:w="29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In 2023 , the cash outflow from financing activities was EUR</w:t>
            </w:r>
          </w:p>
        </w:tc>
        <w:tc>
          <w:tcPr>
            <w:tcW w:w="1640" w:type="dxa"/>
            <w:vAlign w:val="bottom"/>
            <w:gridSpan w:val="4"/>
          </w:tcPr>
          <w:p>
            <w:pPr>
              <w:jc w:val="right"/>
              <w:ind w:right="123"/>
              <w:spacing w:after="0"/>
              <w:rPr>
                <w:sz w:val="20"/>
                <w:szCs w:val="20"/>
                <w:color w:val="auto"/>
              </w:rPr>
            </w:pPr>
            <w:r>
              <w:rPr>
                <w:rFonts w:ascii="Times New Roman" w:cs="Times New Roman" w:eastAsia="Times New Roman" w:hAnsi="Times New Roman"/>
                <w:sz w:val="11"/>
                <w:szCs w:val="11"/>
                <w:color w:val="auto"/>
              </w:rPr>
              <w:t>1 502 million, compared to a</w:t>
            </w:r>
          </w:p>
        </w:tc>
        <w:tc>
          <w:tcPr>
            <w:tcW w:w="360" w:type="dxa"/>
            <w:vAlign w:val="bottom"/>
          </w:tcPr>
          <w:p>
            <w:pPr>
              <w:spacing w:after="0"/>
              <w:rPr>
                <w:sz w:val="17"/>
                <w:szCs w:val="17"/>
                <w:color w:val="auto"/>
              </w:rPr>
            </w:pPr>
          </w:p>
        </w:tc>
      </w:tr>
      <w:tr>
        <w:trPr>
          <w:trHeight w:val="142"/>
        </w:trPr>
        <w:tc>
          <w:tcPr>
            <w:tcW w:w="15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EUR837 million cash outflow in</w:t>
            </w:r>
          </w:p>
        </w:tc>
        <w:tc>
          <w:tcPr>
            <w:tcW w:w="3020" w:type="dxa"/>
            <w:vAlign w:val="bottom"/>
            <w:gridSpan w:val="8"/>
          </w:tcPr>
          <w:p>
            <w:pPr>
              <w:jc w:val="right"/>
              <w:spacing w:after="0"/>
              <w:rPr>
                <w:sz w:val="20"/>
                <w:szCs w:val="20"/>
                <w:color w:val="auto"/>
              </w:rPr>
            </w:pPr>
            <w:r>
              <w:rPr>
                <w:rFonts w:ascii="Times New Roman" w:cs="Times New Roman" w:eastAsia="Times New Roman" w:hAnsi="Times New Roman"/>
                <w:sz w:val="11"/>
                <w:szCs w:val="11"/>
                <w:color w:val="auto"/>
              </w:rPr>
              <w:t>2022 . The cash outflow was driven by repayments of long-term</w:t>
            </w:r>
          </w:p>
        </w:tc>
        <w:tc>
          <w:tcPr>
            <w:tcW w:w="360" w:type="dxa"/>
            <w:vAlign w:val="bottom"/>
          </w:tcPr>
          <w:p>
            <w:pPr>
              <w:spacing w:after="0"/>
              <w:rPr>
                <w:sz w:val="12"/>
                <w:szCs w:val="12"/>
                <w:color w:val="auto"/>
              </w:rPr>
            </w:pPr>
          </w:p>
        </w:tc>
      </w:tr>
      <w:tr>
        <w:trPr>
          <w:trHeight w:val="131"/>
        </w:trPr>
        <w:tc>
          <w:tcPr>
            <w:tcW w:w="920" w:type="dxa"/>
            <w:vAlign w:val="bottom"/>
          </w:tcPr>
          <w:p>
            <w:pPr>
              <w:spacing w:after="0"/>
              <w:rPr>
                <w:sz w:val="20"/>
                <w:szCs w:val="20"/>
                <w:color w:val="auto"/>
              </w:rPr>
            </w:pPr>
            <w:r>
              <w:rPr>
                <w:rFonts w:ascii="Times New Roman" w:cs="Times New Roman" w:eastAsia="Times New Roman" w:hAnsi="Times New Roman"/>
                <w:sz w:val="11"/>
                <w:szCs w:val="11"/>
                <w:color w:val="auto"/>
              </w:rPr>
              <w:t>borrowings of EUR</w:t>
            </w:r>
          </w:p>
        </w:tc>
        <w:tc>
          <w:tcPr>
            <w:tcW w:w="220" w:type="dxa"/>
            <w:vAlign w:val="bottom"/>
          </w:tcPr>
          <w:p>
            <w:pPr>
              <w:ind w:left="40"/>
              <w:spacing w:after="0"/>
              <w:rPr>
                <w:sz w:val="20"/>
                <w:szCs w:val="20"/>
                <w:color w:val="auto"/>
              </w:rPr>
            </w:pPr>
            <w:r>
              <w:rPr>
                <w:rFonts w:ascii="Times New Roman" w:cs="Times New Roman" w:eastAsia="Times New Roman" w:hAnsi="Times New Roman"/>
                <w:sz w:val="11"/>
                <w:szCs w:val="11"/>
                <w:color w:val="auto"/>
                <w:w w:val="96"/>
              </w:rPr>
              <w:t>798</w:t>
            </w:r>
          </w:p>
        </w:tc>
        <w:tc>
          <w:tcPr>
            <w:tcW w:w="1800" w:type="dxa"/>
            <w:vAlign w:val="bottom"/>
            <w:gridSpan w:val="5"/>
          </w:tcPr>
          <w:p>
            <w:pPr>
              <w:ind w:left="60"/>
              <w:spacing w:after="0"/>
              <w:rPr>
                <w:sz w:val="20"/>
                <w:szCs w:val="20"/>
                <w:color w:val="auto"/>
              </w:rPr>
            </w:pPr>
            <w:r>
              <w:rPr>
                <w:rFonts w:ascii="Times New Roman" w:cs="Times New Roman" w:eastAsia="Times New Roman" w:hAnsi="Times New Roman"/>
                <w:sz w:val="11"/>
                <w:szCs w:val="11"/>
                <w:color w:val="auto"/>
              </w:rPr>
              <w:t>million, dividend payments of EUR</w:t>
            </w:r>
          </w:p>
        </w:tc>
        <w:tc>
          <w:tcPr>
            <w:tcW w:w="1640" w:type="dxa"/>
            <w:vAlign w:val="bottom"/>
            <w:gridSpan w:val="4"/>
          </w:tcPr>
          <w:p>
            <w:pPr>
              <w:jc w:val="right"/>
              <w:ind w:right="23"/>
              <w:spacing w:after="0"/>
              <w:rPr>
                <w:sz w:val="20"/>
                <w:szCs w:val="20"/>
                <w:color w:val="auto"/>
              </w:rPr>
            </w:pPr>
            <w:r>
              <w:rPr>
                <w:rFonts w:ascii="Times New Roman" w:cs="Times New Roman" w:eastAsia="Times New Roman" w:hAnsi="Times New Roman"/>
                <w:sz w:val="11"/>
                <w:szCs w:val="11"/>
                <w:color w:val="auto"/>
              </w:rPr>
              <w:t>621 million, share repurchases of</w:t>
            </w:r>
          </w:p>
        </w:tc>
        <w:tc>
          <w:tcPr>
            <w:tcW w:w="360" w:type="dxa"/>
            <w:vAlign w:val="bottom"/>
          </w:tcPr>
          <w:p>
            <w:pPr>
              <w:spacing w:after="0"/>
              <w:rPr>
                <w:sz w:val="11"/>
                <w:szCs w:val="11"/>
                <w:color w:val="auto"/>
              </w:rPr>
            </w:pPr>
          </w:p>
        </w:tc>
      </w:tr>
      <w:tr>
        <w:trPr>
          <w:trHeight w:val="142"/>
        </w:trPr>
        <w:tc>
          <w:tcPr>
            <w:tcW w:w="3840" w:type="dxa"/>
            <w:vAlign w:val="bottom"/>
            <w:gridSpan w:val="9"/>
          </w:tcPr>
          <w:p>
            <w:pPr>
              <w:spacing w:after="0"/>
              <w:rPr>
                <w:sz w:val="20"/>
                <w:szCs w:val="20"/>
                <w:color w:val="auto"/>
              </w:rPr>
            </w:pPr>
            <w:r>
              <w:rPr>
                <w:rFonts w:ascii="Times New Roman" w:cs="Times New Roman" w:eastAsia="Times New Roman" w:hAnsi="Times New Roman"/>
                <w:sz w:val="11"/>
                <w:szCs w:val="11"/>
                <w:color w:val="auto"/>
              </w:rPr>
              <w:t>EUR 300 million and payments of the principal portion of lease liabilities of EUR</w:t>
            </w:r>
          </w:p>
        </w:tc>
        <w:tc>
          <w:tcPr>
            <w:tcW w:w="42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239</w:t>
            </w:r>
          </w:p>
        </w:tc>
        <w:tc>
          <w:tcPr>
            <w:tcW w:w="680" w:type="dxa"/>
            <w:vAlign w:val="bottom"/>
            <w:gridSpan w:val="2"/>
          </w:tcPr>
          <w:p>
            <w:pPr>
              <w:jc w:val="right"/>
              <w:ind w:right="243"/>
              <w:spacing w:after="0"/>
              <w:rPr>
                <w:sz w:val="20"/>
                <w:szCs w:val="20"/>
                <w:color w:val="auto"/>
              </w:rPr>
            </w:pPr>
            <w:r>
              <w:rPr>
                <w:rFonts w:ascii="Times New Roman" w:cs="Times New Roman" w:eastAsia="Times New Roman" w:hAnsi="Times New Roman"/>
                <w:sz w:val="11"/>
                <w:szCs w:val="11"/>
                <w:color w:val="auto"/>
              </w:rPr>
              <w:t>million,</w:t>
            </w:r>
          </w:p>
        </w:tc>
      </w:tr>
      <w:tr>
        <w:trPr>
          <w:trHeight w:val="142"/>
        </w:trPr>
        <w:tc>
          <w:tcPr>
            <w:tcW w:w="29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partially offset by proceeds from long-term borrowings of EUR</w:t>
            </w:r>
          </w:p>
        </w:tc>
        <w:tc>
          <w:tcPr>
            <w:tcW w:w="4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496</w:t>
            </w:r>
          </w:p>
        </w:tc>
        <w:tc>
          <w:tcPr>
            <w:tcW w:w="1520" w:type="dxa"/>
            <w:vAlign w:val="bottom"/>
            <w:gridSpan w:val="4"/>
          </w:tcPr>
          <w:p>
            <w:pPr>
              <w:ind w:left="40"/>
              <w:spacing w:after="0"/>
              <w:rPr>
                <w:sz w:val="20"/>
                <w:szCs w:val="20"/>
                <w:color w:val="auto"/>
              </w:rPr>
            </w:pPr>
            <w:r>
              <w:rPr>
                <w:rFonts w:ascii="Times New Roman" w:cs="Times New Roman" w:eastAsia="Times New Roman" w:hAnsi="Times New Roman"/>
                <w:sz w:val="11"/>
                <w:szCs w:val="11"/>
                <w:color w:val="auto"/>
              </w:rPr>
              <w:t>million. In 2022 , the cash</w:t>
            </w:r>
          </w:p>
        </w:tc>
      </w:tr>
      <w:tr>
        <w:trPr>
          <w:trHeight w:val="131"/>
        </w:trPr>
        <w:tc>
          <w:tcPr>
            <w:tcW w:w="242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outflow was driven by dividend payments of EUR</w:t>
            </w:r>
          </w:p>
        </w:tc>
        <w:tc>
          <w:tcPr>
            <w:tcW w:w="2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353</w:t>
            </w:r>
          </w:p>
        </w:tc>
        <w:tc>
          <w:tcPr>
            <w:tcW w:w="1580" w:type="dxa"/>
            <w:vAlign w:val="bottom"/>
            <w:gridSpan w:val="4"/>
          </w:tcPr>
          <w:p>
            <w:pPr>
              <w:ind w:left="20"/>
              <w:spacing w:after="0"/>
              <w:rPr>
                <w:sz w:val="20"/>
                <w:szCs w:val="20"/>
                <w:color w:val="auto"/>
              </w:rPr>
            </w:pPr>
            <w:r>
              <w:rPr>
                <w:rFonts w:ascii="Times New Roman" w:cs="Times New Roman" w:eastAsia="Times New Roman" w:hAnsi="Times New Roman"/>
                <w:sz w:val="11"/>
                <w:szCs w:val="11"/>
                <w:color w:val="auto"/>
              </w:rPr>
              <w:t>million, share repurchases of EUR</w:t>
            </w:r>
          </w:p>
        </w:tc>
        <w:tc>
          <w:tcPr>
            <w:tcW w:w="32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300</w:t>
            </w:r>
          </w:p>
        </w:tc>
        <w:tc>
          <w:tcPr>
            <w:tcW w:w="3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million</w:t>
            </w:r>
          </w:p>
        </w:tc>
      </w:tr>
      <w:tr>
        <w:trPr>
          <w:trHeight w:val="148"/>
        </w:trPr>
        <w:tc>
          <w:tcPr>
            <w:tcW w:w="29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and payments of the principal portion of lease liabilities of EUR</w:t>
            </w:r>
          </w:p>
        </w:tc>
        <w:tc>
          <w:tcPr>
            <w:tcW w:w="4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217</w:t>
            </w:r>
          </w:p>
        </w:tc>
        <w:tc>
          <w:tcPr>
            <w:tcW w:w="42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million.</w:t>
            </w:r>
          </w:p>
        </w:tc>
        <w:tc>
          <w:tcPr>
            <w:tcW w:w="42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360" w:type="dxa"/>
            <w:vAlign w:val="bottom"/>
          </w:tcPr>
          <w:p>
            <w:pPr>
              <w:spacing w:after="0"/>
              <w:rPr>
                <w:sz w:val="12"/>
                <w:szCs w:val="12"/>
                <w:color w:val="auto"/>
              </w:rPr>
            </w:pPr>
          </w:p>
        </w:tc>
      </w:tr>
    </w:tbl>
    <w:p>
      <w:pPr>
        <w:sectPr>
          <w:pgSz w:w="11900" w:h="16838" w:orient="portrait"/>
          <w:cols w:equalWidth="0" w:num="2">
            <w:col w:w="4900" w:space="200"/>
            <w:col w:w="4940"/>
          </w:cols>
          <w:pgMar w:left="960" w:top="409" w:right="899" w:bottom="1440" w:gutter="0" w:footer="0" w:header="0"/>
          <w:type w:val="continuous"/>
        </w:sectPr>
      </w:pPr>
    </w:p>
    <w:bookmarkStart w:id="90" w:name="page91"/>
    <w:bookmarkEnd w:id="90"/>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assets and debt</w:t>
      </w:r>
    </w:p>
    <w:p>
      <w:pPr>
        <w:spacing w:after="0" w:line="33" w:lineRule="exact"/>
        <w:rPr>
          <w:sz w:val="20"/>
          <w:szCs w:val="20"/>
          <w:color w:val="auto"/>
        </w:rPr>
      </w:pPr>
    </w:p>
    <w:tbl>
      <w:tblPr>
        <w:tblLayout w:type="fixed"/>
        <w:tblInd w:w="0" w:type="dxa"/>
        <w:tblCellMar>
          <w:top w:w="0" w:type="dxa"/>
          <w:left w:w="0" w:type="dxa"/>
          <w:bottom w:w="0" w:type="dxa"/>
          <w:right w:w="0" w:type="dxa"/>
        </w:tblCellMar>
      </w:tblPr>
      <w:tr>
        <w:trPr>
          <w:trHeight w:val="161"/>
        </w:trPr>
        <w:tc>
          <w:tcPr>
            <w:tcW w:w="38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At 31 December 2023  , our net cash and interest-bearing financial investments</w:t>
            </w:r>
          </w:p>
        </w:tc>
        <w:tc>
          <w:tcPr>
            <w:tcW w:w="620" w:type="dxa"/>
            <w:vAlign w:val="bottom"/>
          </w:tcPr>
          <w:p>
            <w:pPr>
              <w:jc w:val="right"/>
              <w:spacing w:after="0"/>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equaled</w:t>
            </w:r>
          </w:p>
        </w:tc>
      </w:tr>
      <w:tr>
        <w:trPr>
          <w:trHeight w:val="131"/>
        </w:trPr>
        <w:tc>
          <w:tcPr>
            <w:tcW w:w="560" w:type="dxa"/>
            <w:vAlign w:val="bottom"/>
          </w:tcPr>
          <w:p>
            <w:pPr>
              <w:spacing w:after="0"/>
              <w:rPr>
                <w:sz w:val="20"/>
                <w:szCs w:val="20"/>
                <w:color w:val="auto"/>
              </w:rPr>
            </w:pPr>
            <w:r>
              <w:rPr>
                <w:rFonts w:ascii="Times New Roman" w:cs="Times New Roman" w:eastAsia="Times New Roman" w:hAnsi="Times New Roman"/>
                <w:sz w:val="11"/>
                <w:szCs w:val="11"/>
                <w:color w:val="auto"/>
              </w:rPr>
              <w:t>EUR4 323</w:t>
            </w:r>
          </w:p>
        </w:tc>
        <w:tc>
          <w:tcPr>
            <w:tcW w:w="3920" w:type="dxa"/>
            <w:vAlign w:val="bottom"/>
            <w:gridSpan w:val="3"/>
          </w:tcPr>
          <w:p>
            <w:pPr>
              <w:jc w:val="right"/>
              <w:spacing w:after="0"/>
              <w:rPr>
                <w:sz w:val="20"/>
                <w:szCs w:val="20"/>
                <w:color w:val="auto"/>
              </w:rPr>
            </w:pPr>
            <w:r>
              <w:rPr>
                <w:rFonts w:ascii="Times New Roman" w:cs="Times New Roman" w:eastAsia="Times New Roman" w:hAnsi="Times New Roman"/>
                <w:sz w:val="11"/>
                <w:szCs w:val="11"/>
                <w:color w:val="auto"/>
              </w:rPr>
              <w:t>million consisting of EUR 8 514 million in total cash and interest-bearing financial</w:t>
            </w:r>
          </w:p>
        </w:tc>
      </w:tr>
      <w:tr>
        <w:trPr>
          <w:trHeight w:val="196"/>
        </w:trPr>
        <w:tc>
          <w:tcPr>
            <w:tcW w:w="560" w:type="dxa"/>
            <w:vAlign w:val="bottom"/>
          </w:tcPr>
          <w:p>
            <w:pPr>
              <w:spacing w:after="0"/>
              <w:rPr>
                <w:sz w:val="20"/>
                <w:szCs w:val="20"/>
                <w:color w:val="auto"/>
              </w:rPr>
            </w:pPr>
            <w:r>
              <w:rPr>
                <w:rFonts w:ascii="Times New Roman" w:cs="Times New Roman" w:eastAsia="Times New Roman" w:hAnsi="Times New Roman"/>
                <w:sz w:val="11"/>
                <w:szCs w:val="11"/>
                <w:color w:val="auto"/>
              </w:rPr>
              <w:t>investments</w:t>
            </w:r>
          </w:p>
        </w:tc>
        <w:tc>
          <w:tcPr>
            <w:tcW w:w="3920" w:type="dxa"/>
            <w:vAlign w:val="bottom"/>
            <w:gridSpan w:val="3"/>
          </w:tcPr>
          <w:p>
            <w:pPr>
              <w:jc w:val="right"/>
              <w:ind w:right="3"/>
              <w:spacing w:after="0"/>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and EUR 4 191 million of long-term and short-term interest-bearing liabilities.</w:t>
            </w:r>
          </w:p>
        </w:tc>
      </w:tr>
      <w:tr>
        <w:trPr>
          <w:trHeight w:val="181"/>
        </w:trPr>
        <w:tc>
          <w:tcPr>
            <w:tcW w:w="31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We hold our total cash and interest-bearing financial investments</w:t>
            </w:r>
          </w:p>
        </w:tc>
        <w:tc>
          <w:tcPr>
            <w:tcW w:w="1320" w:type="dxa"/>
            <w:vAlign w:val="bottom"/>
            <w:gridSpan w:val="2"/>
          </w:tcPr>
          <w:p>
            <w:pPr>
              <w:jc w:val="right"/>
              <w:spacing w:after="0"/>
              <w:rPr>
                <w:sz w:val="20"/>
                <w:szCs w:val="20"/>
                <w:color w:val="auto"/>
              </w:rPr>
            </w:pP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predominantly in euro.</w:t>
            </w:r>
          </w:p>
        </w:tc>
      </w:tr>
    </w:tbl>
    <w:p>
      <w:pPr>
        <w:ind w:right="300"/>
        <w:spacing w:after="0" w:line="261" w:lineRule="auto"/>
        <w:rPr>
          <w:sz w:val="20"/>
          <w:szCs w:val="20"/>
          <w:color w:val="auto"/>
        </w:rPr>
      </w:pPr>
      <w:r>
        <w:rPr>
          <w:rFonts w:ascii="Times New Roman" w:cs="Times New Roman" w:eastAsia="Times New Roman" w:hAnsi="Times New Roman"/>
          <w:sz w:val="11"/>
          <w:szCs w:val="11"/>
          <w:color w:val="auto"/>
        </w:rPr>
        <w:t>Our interest-bearing financial investments mainly include high-quality money market and fixed income instruments with strict maturity limits and diversified counterparty risk limits. We also have a EUR 1 500 million revolving credit facility available for liquidity purposes. The facility has no financial covenants and remains undrawn.</w:t>
      </w:r>
    </w:p>
    <w:p>
      <w:pPr>
        <w:spacing w:after="0" w:line="65"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At 31 December 2023 , our interest-bearing liabilities consisted of EUR 378 million notes due in 2024, EUR 292 million notes due in 2025, EUR 500 million R&amp;D loan from the European Investment Bank maturing in 2025, EUR 167 million R&amp;D loan from the Nordic Investment Bank with final maturity in 2025, EUR 630 million notes due in 2026, USD 500 million notes due in 2027, EUR 500 million notes due in 2028, USD 74 million notes due in 2028, USD 206 million notes due in 2029, EUR 500 million notes due in 2031, USD 500 million notes due in 2039, and</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37"/>
        </w:trPr>
        <w:tc>
          <w:tcPr>
            <w:tcW w:w="4060" w:type="dxa"/>
            <w:vAlign w:val="bottom"/>
          </w:tcPr>
          <w:p>
            <w:pPr>
              <w:spacing w:after="0"/>
              <w:rPr>
                <w:sz w:val="20"/>
                <w:szCs w:val="20"/>
                <w:color w:val="auto"/>
              </w:rPr>
            </w:pPr>
            <w:r>
              <w:rPr>
                <w:rFonts w:ascii="Times New Roman" w:cs="Times New Roman" w:eastAsia="Times New Roman" w:hAnsi="Times New Roman"/>
                <w:sz w:val="11"/>
                <w:szCs w:val="11"/>
                <w:color w:val="auto"/>
              </w:rPr>
              <w:t>EUR 110 million of other liabilities. The EUR notes maturing in 2024, 2025, 2026, 2</w:t>
            </w:r>
          </w:p>
        </w:tc>
        <w:tc>
          <w:tcPr>
            <w:tcW w:w="7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028 and 2031</w:t>
            </w:r>
          </w:p>
        </w:tc>
      </w:tr>
    </w:tbl>
    <w:p>
      <w:pPr>
        <w:ind w:right="400"/>
        <w:spacing w:after="0" w:line="259" w:lineRule="auto"/>
        <w:rPr>
          <w:sz w:val="20"/>
          <w:szCs w:val="20"/>
          <w:color w:val="auto"/>
        </w:rPr>
      </w:pPr>
      <w:r>
        <w:rPr>
          <w:rFonts w:ascii="Times New Roman" w:cs="Times New Roman" w:eastAsia="Times New Roman" w:hAnsi="Times New Roman"/>
          <w:sz w:val="11"/>
          <w:szCs w:val="11"/>
          <w:color w:val="auto"/>
        </w:rPr>
        <w:t>as well as the USD notes maturing in 2027 and 2039, are issued by Nokia Corporation, while the USD notes maturing in 2028 and 2029 are issued by Lucent Technologies Inc., a predecessor</w:t>
      </w:r>
    </w:p>
    <w:p>
      <w:pPr>
        <w:ind w:right="320"/>
        <w:spacing w:after="0" w:line="268" w:lineRule="auto"/>
        <w:rPr>
          <w:sz w:val="20"/>
          <w:szCs w:val="20"/>
          <w:color w:val="auto"/>
        </w:rPr>
      </w:pPr>
      <w:r>
        <w:rPr>
          <w:rFonts w:ascii="Times New Roman" w:cs="Times New Roman" w:eastAsia="Times New Roman" w:hAnsi="Times New Roman"/>
          <w:sz w:val="11"/>
          <w:szCs w:val="11"/>
          <w:color w:val="auto"/>
        </w:rPr>
        <w:t>to Nokia of America Corporation (Nokia’s wholly-owned subsidiary, formerly known as Alcatel-Lucent USA Inc.). The loans from the Nordic Investment Bank and from the European Investment Bank are drawn by Nokia Corporation. For more information on our interest-bearing liabilities, refer to Note 5.2. Financial assets and liabilities , of our consolidated financial statements.</w:t>
      </w:r>
    </w:p>
    <w:p>
      <w:pPr>
        <w:spacing w:after="0" w:line="60" w:lineRule="exact"/>
        <w:rPr>
          <w:sz w:val="20"/>
          <w:szCs w:val="20"/>
          <w:color w:val="auto"/>
        </w:rPr>
      </w:pPr>
    </w:p>
    <w:p>
      <w:pPr>
        <w:ind w:right="520"/>
        <w:spacing w:after="0" w:line="279" w:lineRule="auto"/>
        <w:rPr>
          <w:sz w:val="20"/>
          <w:szCs w:val="20"/>
          <w:color w:val="auto"/>
        </w:rPr>
      </w:pPr>
      <w:r>
        <w:rPr>
          <w:rFonts w:ascii="Times New Roman" w:cs="Times New Roman" w:eastAsia="Times New Roman" w:hAnsi="Times New Roman"/>
          <w:sz w:val="11"/>
          <w:szCs w:val="11"/>
          <w:color w:val="auto"/>
        </w:rPr>
        <w:t>In June 2021, we exercised our option to extend the maturity date of the EUR 1 500 million revolving credit facility. Subsequent to the extension, EUR 1 412 million of the facility has its maturity in June 2026 and EUR 88 million of the facility has its maturity in June 2024.</w:t>
      </w:r>
    </w:p>
    <w:p>
      <w:pPr>
        <w:spacing w:after="0" w:line="54" w:lineRule="exact"/>
        <w:rPr>
          <w:sz w:val="20"/>
          <w:szCs w:val="20"/>
          <w:color w:val="auto"/>
        </w:rPr>
      </w:pPr>
    </w:p>
    <w:p>
      <w:pPr>
        <w:ind w:right="360"/>
        <w:spacing w:after="0" w:line="252" w:lineRule="auto"/>
        <w:rPr>
          <w:sz w:val="20"/>
          <w:szCs w:val="20"/>
          <w:color w:val="auto"/>
        </w:rPr>
      </w:pPr>
      <w:r>
        <w:rPr>
          <w:rFonts w:ascii="Times New Roman" w:cs="Times New Roman" w:eastAsia="Times New Roman" w:hAnsi="Times New Roman"/>
          <w:sz w:val="11"/>
          <w:szCs w:val="11"/>
          <w:color w:val="auto"/>
        </w:rPr>
        <w:t xml:space="preserve">We consider that with EUR 8 514 million of total cash and interest-bearing financial investments </w:t>
      </w: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xml:space="preserve"> and with our undrawn revolving credit facility, we have sufficient funds to satisfy our future working capital needs, capital expenditure, R&amp;D investments, structured finance, venture fund commitments, acquisitions and debt service requirements, at least through 2024. We further consider that with our current credit ratings of BBB- by S&amp;P Global Ratings, Ba1 by Moody’s, and BBB- by Fitch, we have access to the capital markets should any funding needs arise in 2024.</w:t>
      </w:r>
    </w:p>
    <w:p>
      <w:pPr>
        <w:spacing w:after="0" w:line="20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aim to maintain investment grade credit ratings.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Off-balance sheet arrangements</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There are no material off-balance sheet arrangements that have, or are reasonably likely to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have, a current or future effect on our financial condition, revenues or expenses, results of</w:t>
      </w:r>
    </w:p>
    <w:p>
      <w:pPr>
        <w:spacing w:after="0" w:line="10" w:lineRule="exact"/>
        <w:rPr>
          <w:sz w:val="20"/>
          <w:szCs w:val="20"/>
          <w:color w:val="auto"/>
        </w:rPr>
      </w:pPr>
    </w:p>
    <w:p>
      <w:pPr>
        <w:ind w:right="460"/>
        <w:spacing w:after="0" w:line="259" w:lineRule="auto"/>
        <w:rPr>
          <w:sz w:val="20"/>
          <w:szCs w:val="20"/>
          <w:color w:val="auto"/>
        </w:rPr>
      </w:pPr>
      <w:r>
        <w:rPr>
          <w:rFonts w:ascii="Times New Roman" w:cs="Times New Roman" w:eastAsia="Times New Roman" w:hAnsi="Times New Roman"/>
          <w:sz w:val="11"/>
          <w:szCs w:val="11"/>
          <w:color w:val="auto"/>
        </w:rPr>
        <w:t>operations, liquidity, capital expenditures or capital resources that are material to investors, except for the purchase obligations and lease commitments, as well as guarantees and financing</w:t>
      </w:r>
    </w:p>
    <w:p>
      <w:pPr>
        <w:spacing w:after="0"/>
        <w:tabs>
          <w:tab w:leader="none" w:pos="1620" w:val="left"/>
          <w:tab w:leader="none" w:pos="4480" w:val="left"/>
        </w:tabs>
        <w:rPr>
          <w:sz w:val="20"/>
          <w:szCs w:val="20"/>
          <w:color w:val="auto"/>
        </w:rPr>
      </w:pPr>
      <w:r>
        <w:rPr>
          <w:rFonts w:ascii="Times New Roman" w:cs="Times New Roman" w:eastAsia="Times New Roman" w:hAnsi="Times New Roman"/>
          <w:sz w:val="11"/>
          <w:szCs w:val="11"/>
          <w:color w:val="auto"/>
        </w:rPr>
        <w:t>commitments disclosed in Note</w:t>
      </w:r>
      <w:r>
        <w:rPr>
          <w:sz w:val="20"/>
          <w:szCs w:val="20"/>
          <w:color w:val="auto"/>
        </w:rPr>
        <w:tab/>
      </w:r>
      <w:r>
        <w:rPr>
          <w:rFonts w:ascii="Times New Roman" w:cs="Times New Roman" w:eastAsia="Times New Roman" w:hAnsi="Times New Roman"/>
          <w:sz w:val="11"/>
          <w:szCs w:val="11"/>
          <w:color w:val="auto"/>
        </w:rPr>
        <w:t>6.1. Commitments, contingencies and legal proceedings</w:t>
      </w:r>
      <w:r>
        <w:rPr>
          <w:sz w:val="20"/>
          <w:szCs w:val="20"/>
          <w:color w:val="auto"/>
        </w:rPr>
        <w:tab/>
      </w:r>
      <w:r>
        <w:rPr>
          <w:rFonts w:ascii="Times New Roman" w:cs="Times New Roman" w:eastAsia="Times New Roman" w:hAnsi="Times New Roman"/>
          <w:sz w:val="8"/>
          <w:szCs w:val="8"/>
          <w:color w:val="auto"/>
        </w:rPr>
        <w:t>,</w:t>
      </w:r>
    </w:p>
    <w:p>
      <w:pPr>
        <w:spacing w:after="0" w:line="10" w:lineRule="exact"/>
        <w:rPr>
          <w:sz w:val="20"/>
          <w:szCs w:val="20"/>
          <w:color w:val="auto"/>
        </w:rPr>
      </w:pPr>
    </w:p>
    <w:p>
      <w:pPr>
        <w:spacing w:after="0"/>
        <w:tabs>
          <w:tab w:leader="none" w:pos="2160" w:val="left"/>
        </w:tabs>
        <w:rPr>
          <w:sz w:val="20"/>
          <w:szCs w:val="20"/>
          <w:color w:val="auto"/>
        </w:rPr>
      </w:pPr>
      <w:r>
        <w:rPr>
          <w:rFonts w:ascii="Times New Roman" w:cs="Times New Roman" w:eastAsia="Times New Roman" w:hAnsi="Times New Roman"/>
          <w:sz w:val="11"/>
          <w:szCs w:val="11"/>
          <w:color w:val="auto"/>
        </w:rPr>
        <w:t>and in Note  5.4. Financial risk management</w:t>
        <w:tab/>
        <w:t>, of our consolidated financial statements.</w:t>
      </w:r>
    </w:p>
    <w:p>
      <w:pPr>
        <w:spacing w:after="0" w:line="93" w:lineRule="exact"/>
        <w:rPr>
          <w:sz w:val="20"/>
          <w:szCs w:val="20"/>
          <w:color w:val="auto"/>
        </w:rPr>
      </w:pPr>
    </w:p>
    <w:p>
      <w:pPr>
        <w:ind w:left="200" w:right="460" w:hanging="199"/>
        <w:spacing w:after="0" w:line="269" w:lineRule="auto"/>
        <w:tabs>
          <w:tab w:leader="none" w:pos="200" w:val="left"/>
        </w:tabs>
        <w:numPr>
          <w:ilvl w:val="0"/>
          <w:numId w:val="6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Non-IFRS measures. For the definition and reconciliation of non-IFRS measures to the most directly comparable IFRS measures, refer to “Alternative performance measures” section.</w:t>
      </w:r>
    </w:p>
    <w:p>
      <w:pPr>
        <w:spacing w:after="0" w:line="2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Venture fund investments and commitments</w:t>
      </w:r>
    </w:p>
    <w:p>
      <w:pPr>
        <w:spacing w:after="0" w:line="32" w:lineRule="exact"/>
        <w:rPr>
          <w:sz w:val="20"/>
          <w:szCs w:val="20"/>
          <w:color w:val="auto"/>
        </w:rPr>
      </w:pPr>
    </w:p>
    <w:p>
      <w:pPr>
        <w:ind w:right="540"/>
        <w:spacing w:after="0" w:line="275" w:lineRule="auto"/>
        <w:rPr>
          <w:sz w:val="20"/>
          <w:szCs w:val="20"/>
          <w:color w:val="auto"/>
        </w:rPr>
      </w:pPr>
      <w:r>
        <w:rPr>
          <w:rFonts w:ascii="Times New Roman" w:cs="Times New Roman" w:eastAsia="Times New Roman" w:hAnsi="Times New Roman"/>
          <w:sz w:val="11"/>
          <w:szCs w:val="11"/>
          <w:color w:val="auto"/>
        </w:rPr>
        <w:t>We make financing commitments to a number of unlisted venture funds that make technology-related investments. The majority of the investments are managed by NGP Capital, a global venture capital firm backing exceptional entrepreneurs driving the convergence of the physical and virtual world.</w:t>
      </w:r>
    </w:p>
    <w:p>
      <w:pPr>
        <w:spacing w:after="0" w:line="57"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1220" w:type="dxa"/>
            <w:vAlign w:val="bottom"/>
          </w:tcPr>
          <w:p>
            <w:pPr>
              <w:spacing w:after="0"/>
              <w:rPr>
                <w:sz w:val="20"/>
                <w:szCs w:val="20"/>
                <w:color w:val="auto"/>
              </w:rPr>
            </w:pPr>
            <w:r>
              <w:rPr>
                <w:rFonts w:ascii="Times New Roman" w:cs="Times New Roman" w:eastAsia="Times New Roman" w:hAnsi="Times New Roman"/>
                <w:sz w:val="11"/>
                <w:szCs w:val="11"/>
                <w:color w:val="auto"/>
              </w:rPr>
              <w:t>As of 31 December 2023</w:t>
            </w:r>
          </w:p>
        </w:tc>
        <w:tc>
          <w:tcPr>
            <w:tcW w:w="60" w:type="dxa"/>
            <w:vAlign w:val="bottom"/>
          </w:tcPr>
          <w:p>
            <w:pPr>
              <w:spacing w:after="0"/>
              <w:rPr>
                <w:sz w:val="11"/>
                <w:szCs w:val="11"/>
                <w:color w:val="auto"/>
              </w:rPr>
            </w:pPr>
          </w:p>
        </w:tc>
        <w:tc>
          <w:tcPr>
            <w:tcW w:w="22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 our venture fund investments equaled EUR</w:t>
            </w:r>
          </w:p>
        </w:tc>
        <w:tc>
          <w:tcPr>
            <w:tcW w:w="2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784</w:t>
            </w:r>
          </w:p>
        </w:tc>
        <w:tc>
          <w:tcPr>
            <w:tcW w:w="96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million, compared</w:t>
            </w:r>
          </w:p>
        </w:tc>
      </w:tr>
      <w:tr>
        <w:trPr>
          <w:trHeight w:val="142"/>
        </w:trPr>
        <w:tc>
          <w:tcPr>
            <w:tcW w:w="1220" w:type="dxa"/>
            <w:vAlign w:val="bottom"/>
          </w:tcPr>
          <w:p>
            <w:pPr>
              <w:spacing w:after="0"/>
              <w:rPr>
                <w:sz w:val="20"/>
                <w:szCs w:val="20"/>
                <w:color w:val="auto"/>
              </w:rPr>
            </w:pPr>
            <w:r>
              <w:rPr>
                <w:rFonts w:ascii="Times New Roman" w:cs="Times New Roman" w:eastAsia="Times New Roman" w:hAnsi="Times New Roman"/>
                <w:sz w:val="11"/>
                <w:szCs w:val="11"/>
                <w:color w:val="auto"/>
              </w:rPr>
              <w:t>to EUR 828 million as of</w:t>
            </w:r>
          </w:p>
        </w:tc>
        <w:tc>
          <w:tcPr>
            <w:tcW w:w="96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31 December 2022</w:t>
            </w:r>
          </w:p>
        </w:tc>
        <w:tc>
          <w:tcPr>
            <w:tcW w:w="2540" w:type="dxa"/>
            <w:vAlign w:val="bottom"/>
            <w:gridSpan w:val="4"/>
          </w:tcPr>
          <w:p>
            <w:pPr>
              <w:ind w:left="60"/>
              <w:spacing w:after="0"/>
              <w:rPr>
                <w:sz w:val="20"/>
                <w:szCs w:val="20"/>
                <w:color w:val="auto"/>
              </w:rPr>
            </w:pPr>
            <w:r>
              <w:rPr>
                <w:rFonts w:ascii="Times New Roman" w:cs="Times New Roman" w:eastAsia="Times New Roman" w:hAnsi="Times New Roman"/>
                <w:sz w:val="11"/>
                <w:szCs w:val="11"/>
                <w:color w:val="auto"/>
              </w:rPr>
              <w:t>. For more information on the fair value of our</w:t>
            </w:r>
          </w:p>
        </w:tc>
      </w:tr>
      <w:tr>
        <w:trPr>
          <w:trHeight w:val="142"/>
        </w:trPr>
        <w:tc>
          <w:tcPr>
            <w:tcW w:w="19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venture fund investments, refer to Note</w:t>
            </w:r>
          </w:p>
        </w:tc>
        <w:tc>
          <w:tcPr>
            <w:tcW w:w="1820" w:type="dxa"/>
            <w:vAlign w:val="bottom"/>
            <w:gridSpan w:val="3"/>
          </w:tcPr>
          <w:p>
            <w:pPr>
              <w:jc w:val="right"/>
              <w:ind w:right="43"/>
              <w:spacing w:after="0"/>
              <w:rPr>
                <w:sz w:val="20"/>
                <w:szCs w:val="20"/>
                <w:color w:val="auto"/>
              </w:rPr>
            </w:pPr>
            <w:r>
              <w:rPr>
                <w:rFonts w:ascii="Times New Roman" w:cs="Times New Roman" w:eastAsia="Times New Roman" w:hAnsi="Times New Roman"/>
                <w:sz w:val="11"/>
                <w:szCs w:val="11"/>
                <w:color w:val="auto"/>
              </w:rPr>
              <w:t>5.2. Financial assets and liabilities</w:t>
            </w:r>
          </w:p>
        </w:tc>
        <w:tc>
          <w:tcPr>
            <w:tcW w:w="96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 of our consolidated</w:t>
            </w:r>
          </w:p>
        </w:tc>
      </w:tr>
      <w:tr>
        <w:trPr>
          <w:trHeight w:val="148"/>
        </w:trPr>
        <w:tc>
          <w:tcPr>
            <w:tcW w:w="1220" w:type="dxa"/>
            <w:vAlign w:val="bottom"/>
          </w:tcPr>
          <w:p>
            <w:pPr>
              <w:spacing w:after="0"/>
              <w:rPr>
                <w:sz w:val="20"/>
                <w:szCs w:val="20"/>
                <w:color w:val="auto"/>
              </w:rPr>
            </w:pPr>
            <w:r>
              <w:rPr>
                <w:rFonts w:ascii="Times New Roman" w:cs="Times New Roman" w:eastAsia="Times New Roman" w:hAnsi="Times New Roman"/>
                <w:sz w:val="11"/>
                <w:szCs w:val="11"/>
                <w:color w:val="auto"/>
              </w:rPr>
              <w:t>financial statements.</w:t>
            </w:r>
          </w:p>
        </w:tc>
        <w:tc>
          <w:tcPr>
            <w:tcW w:w="60" w:type="dxa"/>
            <w:vAlign w:val="bottom"/>
          </w:tcPr>
          <w:p>
            <w:pPr>
              <w:spacing w:after="0"/>
              <w:rPr>
                <w:sz w:val="12"/>
                <w:szCs w:val="12"/>
                <w:color w:val="auto"/>
              </w:rPr>
            </w:pPr>
          </w:p>
        </w:tc>
        <w:tc>
          <w:tcPr>
            <w:tcW w:w="660" w:type="dxa"/>
            <w:vAlign w:val="bottom"/>
          </w:tcPr>
          <w:p>
            <w:pPr>
              <w:spacing w:after="0"/>
              <w:rPr>
                <w:sz w:val="12"/>
                <w:szCs w:val="12"/>
                <w:color w:val="auto"/>
              </w:rPr>
            </w:pPr>
          </w:p>
        </w:tc>
        <w:tc>
          <w:tcPr>
            <w:tcW w:w="240" w:type="dxa"/>
            <w:vAlign w:val="bottom"/>
          </w:tcPr>
          <w:p>
            <w:pPr>
              <w:spacing w:after="0"/>
              <w:rPr>
                <w:sz w:val="12"/>
                <w:szCs w:val="12"/>
                <w:color w:val="auto"/>
              </w:rPr>
            </w:pPr>
          </w:p>
        </w:tc>
        <w:tc>
          <w:tcPr>
            <w:tcW w:w="1300" w:type="dxa"/>
            <w:vAlign w:val="bottom"/>
          </w:tcPr>
          <w:p>
            <w:pPr>
              <w:spacing w:after="0"/>
              <w:rPr>
                <w:sz w:val="12"/>
                <w:szCs w:val="12"/>
                <w:color w:val="auto"/>
              </w:rPr>
            </w:pPr>
          </w:p>
        </w:tc>
        <w:tc>
          <w:tcPr>
            <w:tcW w:w="28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420" w:type="dxa"/>
            <w:vAlign w:val="bottom"/>
          </w:tcPr>
          <w:p>
            <w:pPr>
              <w:spacing w:after="0"/>
              <w:rPr>
                <w:sz w:val="12"/>
                <w:szCs w:val="12"/>
                <w:color w:val="auto"/>
              </w:rPr>
            </w:pPr>
          </w:p>
        </w:tc>
      </w:tr>
      <w:tr>
        <w:trPr>
          <w:trHeight w:val="206"/>
        </w:trPr>
        <w:tc>
          <w:tcPr>
            <w:tcW w:w="1220" w:type="dxa"/>
            <w:vAlign w:val="bottom"/>
          </w:tcPr>
          <w:p>
            <w:pPr>
              <w:spacing w:after="0"/>
              <w:rPr>
                <w:sz w:val="20"/>
                <w:szCs w:val="20"/>
                <w:color w:val="auto"/>
              </w:rPr>
            </w:pPr>
            <w:r>
              <w:rPr>
                <w:rFonts w:ascii="Times New Roman" w:cs="Times New Roman" w:eastAsia="Times New Roman" w:hAnsi="Times New Roman"/>
                <w:sz w:val="11"/>
                <w:szCs w:val="11"/>
                <w:color w:val="auto"/>
              </w:rPr>
              <w:t>As of 31 December 2023</w:t>
            </w:r>
          </w:p>
        </w:tc>
        <w:tc>
          <w:tcPr>
            <w:tcW w:w="60" w:type="dxa"/>
            <w:vAlign w:val="bottom"/>
          </w:tcPr>
          <w:p>
            <w:pPr>
              <w:spacing w:after="0"/>
              <w:rPr>
                <w:sz w:val="17"/>
                <w:szCs w:val="17"/>
                <w:color w:val="auto"/>
              </w:rPr>
            </w:pPr>
          </w:p>
        </w:tc>
        <w:tc>
          <w:tcPr>
            <w:tcW w:w="22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 our venture fund commitments equaled EUR</w:t>
            </w:r>
          </w:p>
        </w:tc>
        <w:tc>
          <w:tcPr>
            <w:tcW w:w="124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381 million, compared</w:t>
            </w:r>
          </w:p>
        </w:tc>
      </w:tr>
      <w:tr>
        <w:trPr>
          <w:trHeight w:val="131"/>
        </w:trPr>
        <w:tc>
          <w:tcPr>
            <w:tcW w:w="1220" w:type="dxa"/>
            <w:vAlign w:val="bottom"/>
          </w:tcPr>
          <w:p>
            <w:pPr>
              <w:spacing w:after="0"/>
              <w:rPr>
                <w:sz w:val="20"/>
                <w:szCs w:val="20"/>
                <w:color w:val="auto"/>
              </w:rPr>
            </w:pPr>
            <w:r>
              <w:rPr>
                <w:rFonts w:ascii="Times New Roman" w:cs="Times New Roman" w:eastAsia="Times New Roman" w:hAnsi="Times New Roman"/>
                <w:sz w:val="11"/>
                <w:szCs w:val="11"/>
                <w:color w:val="auto"/>
              </w:rPr>
              <w:t>to EUR 433 million as of</w:t>
            </w:r>
          </w:p>
        </w:tc>
        <w:tc>
          <w:tcPr>
            <w:tcW w:w="96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31 December 2022</w:t>
            </w:r>
          </w:p>
        </w:tc>
        <w:tc>
          <w:tcPr>
            <w:tcW w:w="2540" w:type="dxa"/>
            <w:vAlign w:val="bottom"/>
            <w:gridSpan w:val="4"/>
          </w:tcPr>
          <w:p>
            <w:pPr>
              <w:ind w:left="60"/>
              <w:spacing w:after="0"/>
              <w:rPr>
                <w:sz w:val="20"/>
                <w:szCs w:val="20"/>
                <w:color w:val="auto"/>
              </w:rPr>
            </w:pPr>
            <w:r>
              <w:rPr>
                <w:rFonts w:ascii="Times New Roman" w:cs="Times New Roman" w:eastAsia="Times New Roman" w:hAnsi="Times New Roman"/>
                <w:sz w:val="11"/>
                <w:szCs w:val="11"/>
                <w:color w:val="auto"/>
              </w:rPr>
              <w:t>. As a limited partner in venture funds, we are</w:t>
            </w:r>
          </w:p>
        </w:tc>
      </w:tr>
      <w:tr>
        <w:trPr>
          <w:trHeight w:val="142"/>
        </w:trPr>
        <w:tc>
          <w:tcPr>
            <w:tcW w:w="4720" w:type="dxa"/>
            <w:vAlign w:val="bottom"/>
            <w:gridSpan w:val="8"/>
          </w:tcPr>
          <w:p>
            <w:pPr>
              <w:spacing w:after="0"/>
              <w:rPr>
                <w:sz w:val="20"/>
                <w:szCs w:val="20"/>
                <w:color w:val="auto"/>
              </w:rPr>
            </w:pPr>
            <w:r>
              <w:rPr>
                <w:rFonts w:ascii="Times New Roman" w:cs="Times New Roman" w:eastAsia="Times New Roman" w:hAnsi="Times New Roman"/>
                <w:sz w:val="11"/>
                <w:szCs w:val="11"/>
                <w:color w:val="auto"/>
              </w:rPr>
              <w:t>committed to capital contributions and entitled to cash distributions according to the respective</w:t>
            </w:r>
          </w:p>
        </w:tc>
      </w:tr>
      <w:tr>
        <w:trPr>
          <w:trHeight w:val="142"/>
        </w:trPr>
        <w:tc>
          <w:tcPr>
            <w:tcW w:w="430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partnership agreements and underlying fund activities. For more information on venture fund</w:t>
            </w:r>
          </w:p>
        </w:tc>
        <w:tc>
          <w:tcPr>
            <w:tcW w:w="420" w:type="dxa"/>
            <w:vAlign w:val="bottom"/>
          </w:tcPr>
          <w:p>
            <w:pPr>
              <w:spacing w:after="0"/>
              <w:rPr>
                <w:sz w:val="12"/>
                <w:szCs w:val="12"/>
                <w:color w:val="auto"/>
              </w:rPr>
            </w:pPr>
          </w:p>
        </w:tc>
      </w:tr>
      <w:tr>
        <w:trPr>
          <w:trHeight w:val="143"/>
        </w:trPr>
        <w:tc>
          <w:tcPr>
            <w:tcW w:w="12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commitments, refer to Note</w:t>
            </w:r>
          </w:p>
        </w:tc>
        <w:tc>
          <w:tcPr>
            <w:tcW w:w="3020" w:type="dxa"/>
            <w:vAlign w:val="bottom"/>
            <w:gridSpan w:val="5"/>
          </w:tcPr>
          <w:p>
            <w:pPr>
              <w:ind w:left="200"/>
              <w:spacing w:after="0"/>
              <w:rPr>
                <w:sz w:val="20"/>
                <w:szCs w:val="20"/>
                <w:color w:val="auto"/>
              </w:rPr>
            </w:pPr>
            <w:r>
              <w:rPr>
                <w:rFonts w:ascii="Times New Roman" w:cs="Times New Roman" w:eastAsia="Times New Roman" w:hAnsi="Times New Roman"/>
                <w:sz w:val="11"/>
                <w:szCs w:val="11"/>
                <w:color w:val="auto"/>
              </w:rPr>
              <w:t>6.1. Commitments, contingencies and legal proceedings</w:t>
            </w:r>
          </w:p>
        </w:tc>
        <w:tc>
          <w:tcPr>
            <w:tcW w:w="4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 of our</w:t>
            </w:r>
          </w:p>
        </w:tc>
      </w:tr>
    </w:tbl>
    <w:p>
      <w:pPr>
        <w:spacing w:after="0"/>
        <w:rPr>
          <w:sz w:val="20"/>
          <w:szCs w:val="20"/>
          <w:color w:val="auto"/>
        </w:rPr>
      </w:pPr>
      <w:r>
        <w:rPr>
          <w:rFonts w:ascii="Times New Roman" w:cs="Times New Roman" w:eastAsia="Times New Roman" w:hAnsi="Times New Roman"/>
          <w:sz w:val="11"/>
          <w:szCs w:val="11"/>
          <w:color w:val="auto"/>
        </w:rPr>
        <w:t>consolidated financial statements.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Treasury policy</w:t>
      </w:r>
    </w:p>
    <w:p>
      <w:pPr>
        <w:spacing w:after="0" w:line="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Treasury activities are governed by the Nokia Treasury Policy approved by the President</w:t>
      </w:r>
    </w:p>
    <w:p>
      <w:pPr>
        <w:spacing w:after="0" w:line="17" w:lineRule="exact"/>
        <w:rPr>
          <w:sz w:val="20"/>
          <w:szCs w:val="20"/>
          <w:color w:val="auto"/>
        </w:rPr>
      </w:pPr>
    </w:p>
    <w:p>
      <w:pPr>
        <w:ind w:right="480"/>
        <w:spacing w:after="0" w:line="265" w:lineRule="auto"/>
        <w:rPr>
          <w:sz w:val="20"/>
          <w:szCs w:val="20"/>
          <w:color w:val="auto"/>
        </w:rPr>
      </w:pPr>
      <w:r>
        <w:rPr>
          <w:rFonts w:ascii="Times New Roman" w:cs="Times New Roman" w:eastAsia="Times New Roman" w:hAnsi="Times New Roman"/>
          <w:sz w:val="11"/>
          <w:szCs w:val="11"/>
          <w:color w:val="auto"/>
        </w:rPr>
        <w:t>and CEO within the authority granted by the Board of Directors and supplemented by operating procedures approved by the CFO, covering specific areas such as foreign exchange risk, interest rate risk, credit risk and liquidity risk. The objective of treasury’s liquidity and capital structure management activities is to ensure that we have sufficient liquidity to go through unfavorable periods without being severely constrained by the availability of funds to execute Nokia’s business plans and implement Nokia’s long-term business strategy. We are risk-averse in our treasury activities.</w:t>
      </w:r>
    </w:p>
    <w:p>
      <w:pPr>
        <w:sectPr>
          <w:pgSz w:w="11900" w:h="16838" w:orient="portrait"/>
          <w:cols w:equalWidth="0" w:num="2">
            <w:col w:w="4840" w:space="260"/>
            <w:col w:w="4880"/>
          </w:cols>
          <w:pgMar w:left="960" w:top="409" w:right="959" w:bottom="1440" w:gutter="0" w:footer="0" w:header="0"/>
          <w:type w:val="continuous"/>
        </w:sectPr>
      </w:pPr>
    </w:p>
    <w:bookmarkStart w:id="91" w:name="page92"/>
    <w:bookmarkEnd w:id="9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84</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Operating and financial review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Foreign exchange impact</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are a company with global operations and net sales derived from various countries, invoiced</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various currencies. Therefore, our business and results from operations are exposed to</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changes in exchange rates between the euro, our reporting currency, and other currencies, such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 the US dollar. The magnitude of foreign exchange exposures changes over time as a function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our net sales and costs in different markets, as well as the prevalent currencies used for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transactions in those markets. Significant changes in exchange rates may also impact our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competitive position and related price pressures through their impact on our competitors.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mitigate the impact of changes in exchange rates on our results, we hedge material net</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foreign exchange exposures (net sales less costs in a currency) typically with a hedging horizon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approximately 12 months. For the majority of these hedges, hedge accounting is applied to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reduce income statement volatility.</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 approximately 25% of Group net sales and 30% of total costs were denominated in</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euros, and approximately 50% of Group net sales and 45% of total costs were denominated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US dollars. In 2023 , approximately 5% of Group net sales and total costs were denominated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Chinese yuan and approximately 5% of Group net sales and total costs were denominated in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Indian rupee.</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average currency mix for Group net sales and total costs:</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140" w:type="dxa"/>
            <w:vAlign w:val="bottom"/>
          </w:tcPr>
          <w:p>
            <w:pPr>
              <w:spacing w:after="0"/>
              <w:rPr>
                <w:sz w:val="9"/>
                <w:szCs w:val="9"/>
                <w:color w:val="auto"/>
              </w:rPr>
            </w:pPr>
          </w:p>
        </w:tc>
        <w:tc>
          <w:tcPr>
            <w:tcW w:w="1780" w:type="dxa"/>
            <w:vAlign w:val="bottom"/>
            <w:gridSpan w:val="2"/>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Pr>
          <w:p>
            <w:pPr>
              <w:spacing w:after="0"/>
              <w:rPr>
                <w:sz w:val="9"/>
                <w:szCs w:val="9"/>
                <w:color w:val="auto"/>
              </w:rPr>
            </w:pPr>
          </w:p>
        </w:tc>
        <w:tc>
          <w:tcPr>
            <w:tcW w:w="960" w:type="dxa"/>
            <w:vAlign w:val="bottom"/>
            <w:gridSpan w:val="2"/>
          </w:tcPr>
          <w:p>
            <w:pPr>
              <w:jc w:val="right"/>
              <w:ind w:right="4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20" w:type="dxa"/>
            <w:vAlign w:val="bottom"/>
          </w:tcPr>
          <w:p>
            <w:pPr>
              <w:spacing w:after="0"/>
              <w:rPr>
                <w:sz w:val="9"/>
                <w:szCs w:val="9"/>
                <w:color w:val="auto"/>
              </w:rPr>
            </w:pPr>
          </w:p>
        </w:tc>
      </w:tr>
      <w:tr>
        <w:trPr>
          <w:trHeight w:val="132"/>
        </w:trPr>
        <w:tc>
          <w:tcPr>
            <w:tcW w:w="1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Currency</w:t>
            </w:r>
          </w:p>
        </w:tc>
        <w:tc>
          <w:tcPr>
            <w:tcW w:w="960" w:type="dxa"/>
            <w:vAlign w:val="bottom"/>
            <w:tcBorders>
              <w:bottom w:val="single" w:sz="8" w:color="005AFF"/>
            </w:tcBorders>
          </w:tcPr>
          <w:p>
            <w:pPr>
              <w:spacing w:after="0"/>
              <w:rPr>
                <w:sz w:val="11"/>
                <w:szCs w:val="11"/>
                <w:color w:val="auto"/>
              </w:rPr>
            </w:pPr>
          </w:p>
        </w:tc>
        <w:tc>
          <w:tcPr>
            <w:tcW w:w="820" w:type="dxa"/>
            <w:vAlign w:val="bottom"/>
            <w:tcBorders>
              <w:top w:val="single" w:sz="8" w:color="005AFF"/>
              <w:bottom w:val="single" w:sz="8" w:color="005AFF"/>
            </w:tcBorders>
          </w:tcPr>
          <w:p>
            <w:pPr>
              <w:jc w:val="right"/>
              <w:ind w:right="171"/>
              <w:spacing w:after="0"/>
              <w:rPr>
                <w:sz w:val="20"/>
                <w:szCs w:val="20"/>
                <w:color w:val="auto"/>
              </w:rPr>
            </w:pPr>
            <w:r>
              <w:rPr>
                <w:rFonts w:ascii="Times New Roman" w:cs="Times New Roman" w:eastAsia="Times New Roman" w:hAnsi="Times New Roman"/>
                <w:sz w:val="8"/>
                <w:szCs w:val="8"/>
                <w:b w:val="1"/>
                <w:bCs w:val="1"/>
                <w:color w:val="005AFF"/>
              </w:rPr>
              <w:t>Net sales</w:t>
            </w:r>
          </w:p>
        </w:tc>
        <w:tc>
          <w:tcPr>
            <w:tcW w:w="540" w:type="dxa"/>
            <w:vAlign w:val="bottom"/>
            <w:tcBorders>
              <w:top w:val="single" w:sz="8" w:color="005AFF"/>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Total costs</w:t>
            </w:r>
          </w:p>
        </w:tc>
        <w:tc>
          <w:tcPr>
            <w:tcW w:w="120" w:type="dxa"/>
            <w:vAlign w:val="bottom"/>
            <w:tcBorders>
              <w:bottom w:val="single" w:sz="8" w:color="005AFF"/>
            </w:tcBorders>
          </w:tcPr>
          <w:p>
            <w:pPr>
              <w:spacing w:after="0"/>
              <w:rPr>
                <w:sz w:val="11"/>
                <w:szCs w:val="11"/>
                <w:color w:val="auto"/>
              </w:rPr>
            </w:pPr>
          </w:p>
        </w:tc>
        <w:tc>
          <w:tcPr>
            <w:tcW w:w="840" w:type="dxa"/>
            <w:vAlign w:val="bottom"/>
            <w:tcBorders>
              <w:top w:val="single" w:sz="8" w:color="005AFF"/>
              <w:bottom w:val="single" w:sz="8" w:color="005AFF"/>
            </w:tcBorders>
          </w:tcPr>
          <w:p>
            <w:pPr>
              <w:jc w:val="right"/>
              <w:ind w:right="180"/>
              <w:spacing w:after="0"/>
              <w:rPr>
                <w:sz w:val="20"/>
                <w:szCs w:val="20"/>
                <w:color w:val="auto"/>
              </w:rPr>
            </w:pPr>
            <w:r>
              <w:rPr>
                <w:rFonts w:ascii="Times New Roman" w:cs="Times New Roman" w:eastAsia="Times New Roman" w:hAnsi="Times New Roman"/>
                <w:sz w:val="8"/>
                <w:szCs w:val="8"/>
                <w:b w:val="1"/>
                <w:bCs w:val="1"/>
                <w:color w:val="005AFF"/>
              </w:rPr>
              <w:t>Net sales</w:t>
            </w:r>
          </w:p>
        </w:tc>
        <w:tc>
          <w:tcPr>
            <w:tcW w:w="520" w:type="dxa"/>
            <w:vAlign w:val="bottom"/>
            <w:tcBorders>
              <w:top w:val="single" w:sz="8" w:color="005AFF"/>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Total costs</w:t>
            </w:r>
          </w:p>
        </w:tc>
      </w:tr>
      <w:tr>
        <w:trPr>
          <w:trHeight w:val="140"/>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EUR</w:t>
            </w:r>
          </w:p>
        </w:tc>
        <w:tc>
          <w:tcPr>
            <w:tcW w:w="960" w:type="dxa"/>
            <w:vAlign w:val="bottom"/>
          </w:tcPr>
          <w:p>
            <w:pPr>
              <w:spacing w:after="0"/>
              <w:rPr>
                <w:sz w:val="12"/>
                <w:szCs w:val="12"/>
                <w:color w:val="auto"/>
              </w:rPr>
            </w:pPr>
          </w:p>
        </w:tc>
        <w:tc>
          <w:tcPr>
            <w:tcW w:w="82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~25%</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~30%</w:t>
            </w:r>
          </w:p>
        </w:tc>
        <w:tc>
          <w:tcPr>
            <w:tcW w:w="960" w:type="dxa"/>
            <w:vAlign w:val="bottom"/>
            <w:gridSpan w:val="2"/>
          </w:tcPr>
          <w:p>
            <w:pPr>
              <w:jc w:val="right"/>
              <w:ind w:right="180"/>
              <w:spacing w:after="0"/>
              <w:rPr>
                <w:sz w:val="20"/>
                <w:szCs w:val="20"/>
                <w:color w:val="auto"/>
              </w:rPr>
            </w:pPr>
            <w:r>
              <w:rPr>
                <w:rFonts w:ascii="Times New Roman" w:cs="Times New Roman" w:eastAsia="Times New Roman" w:hAnsi="Times New Roman"/>
                <w:sz w:val="10"/>
                <w:szCs w:val="10"/>
                <w:color w:val="0D0D0D"/>
              </w:rPr>
              <w:t>~25%</w:t>
            </w:r>
          </w:p>
        </w:tc>
        <w:tc>
          <w:tcPr>
            <w:tcW w:w="5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~25%</w:t>
            </w: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USD</w:t>
            </w:r>
          </w:p>
        </w:tc>
        <w:tc>
          <w:tcPr>
            <w:tcW w:w="960" w:type="dxa"/>
            <w:vAlign w:val="bottom"/>
          </w:tcPr>
          <w:p>
            <w:pPr>
              <w:spacing w:after="0"/>
              <w:rPr>
                <w:sz w:val="14"/>
                <w:szCs w:val="14"/>
                <w:color w:val="auto"/>
              </w:rPr>
            </w:pPr>
          </w:p>
        </w:tc>
        <w:tc>
          <w:tcPr>
            <w:tcW w:w="82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~50%</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~45%</w:t>
            </w:r>
          </w:p>
        </w:tc>
        <w:tc>
          <w:tcPr>
            <w:tcW w:w="960" w:type="dxa"/>
            <w:vAlign w:val="bottom"/>
            <w:gridSpan w:val="2"/>
          </w:tcPr>
          <w:p>
            <w:pPr>
              <w:jc w:val="right"/>
              <w:ind w:right="180"/>
              <w:spacing w:after="0"/>
              <w:rPr>
                <w:sz w:val="20"/>
                <w:szCs w:val="20"/>
                <w:color w:val="auto"/>
              </w:rPr>
            </w:pPr>
            <w:r>
              <w:rPr>
                <w:rFonts w:ascii="Times New Roman" w:cs="Times New Roman" w:eastAsia="Times New Roman" w:hAnsi="Times New Roman"/>
                <w:sz w:val="10"/>
                <w:szCs w:val="10"/>
                <w:color w:val="0D0D0D"/>
              </w:rPr>
              <w:t>~50%</w:t>
            </w:r>
          </w:p>
        </w:tc>
        <w:tc>
          <w:tcPr>
            <w:tcW w:w="5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~50%</w:t>
            </w: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CNY</w:t>
            </w:r>
          </w:p>
        </w:tc>
        <w:tc>
          <w:tcPr>
            <w:tcW w:w="960" w:type="dxa"/>
            <w:vAlign w:val="bottom"/>
          </w:tcPr>
          <w:p>
            <w:pPr>
              <w:spacing w:after="0"/>
              <w:rPr>
                <w:sz w:val="14"/>
                <w:szCs w:val="14"/>
                <w:color w:val="auto"/>
              </w:rPr>
            </w:pPr>
          </w:p>
        </w:tc>
        <w:tc>
          <w:tcPr>
            <w:tcW w:w="82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~5%</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w:t>
            </w:r>
          </w:p>
        </w:tc>
        <w:tc>
          <w:tcPr>
            <w:tcW w:w="960" w:type="dxa"/>
            <w:vAlign w:val="bottom"/>
            <w:gridSpan w:val="2"/>
          </w:tcPr>
          <w:p>
            <w:pPr>
              <w:jc w:val="right"/>
              <w:ind w:right="160"/>
              <w:spacing w:after="0"/>
              <w:rPr>
                <w:sz w:val="20"/>
                <w:szCs w:val="20"/>
                <w:color w:val="auto"/>
              </w:rPr>
            </w:pPr>
            <w:r>
              <w:rPr>
                <w:rFonts w:ascii="Times New Roman" w:cs="Times New Roman" w:eastAsia="Times New Roman" w:hAnsi="Times New Roman"/>
                <w:sz w:val="10"/>
                <w:szCs w:val="10"/>
                <w:color w:val="0D0D0D"/>
              </w:rPr>
              <w:t>~5%</w:t>
            </w:r>
          </w:p>
        </w:tc>
        <w:tc>
          <w:tcPr>
            <w:tcW w:w="5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r>
      <w:tr>
        <w:trPr>
          <w:trHeight w:val="162"/>
        </w:trPr>
        <w:tc>
          <w:tcPr>
            <w:tcW w:w="1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INR</w:t>
            </w:r>
          </w:p>
        </w:tc>
        <w:tc>
          <w:tcPr>
            <w:tcW w:w="960" w:type="dxa"/>
            <w:vAlign w:val="bottom"/>
          </w:tcPr>
          <w:p>
            <w:pPr>
              <w:spacing w:after="0"/>
              <w:rPr>
                <w:sz w:val="14"/>
                <w:szCs w:val="14"/>
                <w:color w:val="auto"/>
              </w:rPr>
            </w:pPr>
          </w:p>
        </w:tc>
        <w:tc>
          <w:tcPr>
            <w:tcW w:w="82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~5%</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w:t>
            </w:r>
          </w:p>
        </w:tc>
        <w:tc>
          <w:tcPr>
            <w:tcW w:w="960" w:type="dxa"/>
            <w:vAlign w:val="bottom"/>
            <w:gridSpan w:val="2"/>
          </w:tcPr>
          <w:p>
            <w:pPr>
              <w:jc w:val="right"/>
              <w:ind w:right="160"/>
              <w:spacing w:after="0"/>
              <w:rPr>
                <w:sz w:val="20"/>
                <w:szCs w:val="20"/>
                <w:color w:val="auto"/>
              </w:rPr>
            </w:pPr>
            <w:r>
              <w:rPr>
                <w:rFonts w:ascii="Times New Roman" w:cs="Times New Roman" w:eastAsia="Times New Roman" w:hAnsi="Times New Roman"/>
                <w:sz w:val="10"/>
                <w:szCs w:val="10"/>
                <w:color w:val="0D0D0D"/>
              </w:rPr>
              <w:t>~0%</w:t>
            </w:r>
          </w:p>
        </w:tc>
        <w:tc>
          <w:tcPr>
            <w:tcW w:w="5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r>
      <w:tr>
        <w:trPr>
          <w:trHeight w:val="167"/>
        </w:trPr>
        <w:tc>
          <w:tcPr>
            <w:tcW w:w="1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96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~15%</w:t>
            </w: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~15%</w:t>
            </w:r>
          </w:p>
        </w:tc>
        <w:tc>
          <w:tcPr>
            <w:tcW w:w="960" w:type="dxa"/>
            <w:vAlign w:val="bottom"/>
            <w:tcBorders>
              <w:bottom w:val="single" w:sz="8" w:color="005AFF"/>
            </w:tcBorders>
            <w:gridSpan w:val="2"/>
          </w:tcPr>
          <w:p>
            <w:pPr>
              <w:jc w:val="right"/>
              <w:ind w:right="180"/>
              <w:spacing w:after="0"/>
              <w:rPr>
                <w:sz w:val="20"/>
                <w:szCs w:val="20"/>
                <w:color w:val="auto"/>
              </w:rPr>
            </w:pPr>
            <w:r>
              <w:rPr>
                <w:rFonts w:ascii="Times New Roman" w:cs="Times New Roman" w:eastAsia="Times New Roman" w:hAnsi="Times New Roman"/>
                <w:sz w:val="10"/>
                <w:szCs w:val="10"/>
                <w:color w:val="0D0D0D"/>
              </w:rPr>
              <w:t>~20%</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~15%</w:t>
            </w:r>
          </w:p>
        </w:tc>
      </w:tr>
      <w:tr>
        <w:trPr>
          <w:trHeight w:val="142"/>
        </w:trPr>
        <w:tc>
          <w:tcPr>
            <w:tcW w:w="1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960" w:type="dxa"/>
            <w:vAlign w:val="bottom"/>
            <w:tcBorders>
              <w:bottom w:val="single" w:sz="8" w:color="005AFF"/>
            </w:tcBorders>
          </w:tcPr>
          <w:p>
            <w:pPr>
              <w:spacing w:after="0"/>
              <w:rPr>
                <w:sz w:val="12"/>
                <w:szCs w:val="12"/>
                <w:color w:val="auto"/>
              </w:rPr>
            </w:pPr>
          </w:p>
        </w:tc>
        <w:tc>
          <w:tcPr>
            <w:tcW w:w="820" w:type="dxa"/>
            <w:vAlign w:val="bottom"/>
            <w:tcBorders>
              <w:bottom w:val="single" w:sz="8" w:color="005AFF"/>
            </w:tcBorders>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b w:val="1"/>
                <w:bCs w:val="1"/>
                <w:color w:val="005AFF"/>
              </w:rPr>
              <w:t>~100%</w:t>
            </w: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~100%</w:t>
            </w:r>
          </w:p>
        </w:tc>
        <w:tc>
          <w:tcPr>
            <w:tcW w:w="960" w:type="dxa"/>
            <w:vAlign w:val="bottom"/>
            <w:tcBorders>
              <w:bottom w:val="single" w:sz="8" w:color="005AFF"/>
            </w:tcBorders>
            <w:gridSpan w:val="2"/>
          </w:tcPr>
          <w:p>
            <w:pPr>
              <w:jc w:val="right"/>
              <w:ind w:right="180"/>
              <w:spacing w:after="0"/>
              <w:rPr>
                <w:sz w:val="20"/>
                <w:szCs w:val="20"/>
                <w:color w:val="auto"/>
              </w:rPr>
            </w:pPr>
            <w:r>
              <w:rPr>
                <w:rFonts w:ascii="Times New Roman" w:cs="Times New Roman" w:eastAsia="Times New Roman" w:hAnsi="Times New Roman"/>
                <w:sz w:val="10"/>
                <w:szCs w:val="10"/>
                <w:b w:val="1"/>
                <w:bCs w:val="1"/>
                <w:color w:val="auto"/>
              </w:rPr>
              <w:t>~100%</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~100%</w:t>
            </w:r>
          </w:p>
        </w:tc>
      </w:tr>
      <w:tr>
        <w:trPr>
          <w:trHeight w:val="245"/>
        </w:trPr>
        <w:tc>
          <w:tcPr>
            <w:tcW w:w="1140" w:type="dxa"/>
            <w:vAlign w:val="bottom"/>
          </w:tcPr>
          <w:p>
            <w:pPr>
              <w:spacing w:after="0"/>
              <w:rPr>
                <w:sz w:val="20"/>
                <w:szCs w:val="20"/>
                <w:color w:val="auto"/>
              </w:rPr>
            </w:pPr>
            <w:r>
              <w:rPr>
                <w:rFonts w:ascii="Times New Roman" w:cs="Times New Roman" w:eastAsia="Times New Roman" w:hAnsi="Times New Roman"/>
                <w:sz w:val="11"/>
                <w:szCs w:val="11"/>
                <w:color w:val="auto"/>
              </w:rPr>
              <w:t>For the full year  2023</w:t>
            </w:r>
          </w:p>
        </w:tc>
        <w:tc>
          <w:tcPr>
            <w:tcW w:w="3800" w:type="dxa"/>
            <w:vAlign w:val="bottom"/>
            <w:gridSpan w:val="6"/>
          </w:tcPr>
          <w:p>
            <w:pPr>
              <w:jc w:val="right"/>
              <w:ind w:right="351"/>
              <w:spacing w:after="0"/>
              <w:rPr>
                <w:sz w:val="20"/>
                <w:szCs w:val="20"/>
                <w:color w:val="auto"/>
              </w:rPr>
            </w:pPr>
            <w:r>
              <w:rPr>
                <w:rFonts w:ascii="Times New Roman" w:cs="Times New Roman" w:eastAsia="Times New Roman" w:hAnsi="Times New Roman"/>
                <w:sz w:val="11"/>
                <w:szCs w:val="11"/>
                <w:color w:val="auto"/>
              </w:rPr>
              <w:t>compared to the previous year, the US dollar was weaker against the euro.</w:t>
            </w:r>
          </w:p>
        </w:tc>
      </w:tr>
      <w:tr>
        <w:trPr>
          <w:trHeight w:val="148"/>
        </w:trPr>
        <w:tc>
          <w:tcPr>
            <w:tcW w:w="1140" w:type="dxa"/>
            <w:vAlign w:val="bottom"/>
          </w:tcPr>
          <w:p>
            <w:pPr>
              <w:spacing w:after="0"/>
              <w:rPr>
                <w:sz w:val="20"/>
                <w:szCs w:val="20"/>
                <w:color w:val="auto"/>
              </w:rPr>
            </w:pPr>
            <w:r>
              <w:rPr>
                <w:rFonts w:ascii="Times New Roman" w:cs="Times New Roman" w:eastAsia="Times New Roman" w:hAnsi="Times New Roman"/>
                <w:sz w:val="11"/>
                <w:szCs w:val="11"/>
                <w:color w:val="auto"/>
              </w:rPr>
              <w:t>The weaker US dollar in</w:t>
            </w:r>
          </w:p>
        </w:tc>
        <w:tc>
          <w:tcPr>
            <w:tcW w:w="3280" w:type="dxa"/>
            <w:vAlign w:val="bottom"/>
            <w:gridSpan w:val="5"/>
          </w:tcPr>
          <w:p>
            <w:pPr>
              <w:jc w:val="right"/>
              <w:ind w:right="40"/>
              <w:spacing w:after="0"/>
              <w:rPr>
                <w:sz w:val="20"/>
                <w:szCs w:val="20"/>
                <w:color w:val="auto"/>
              </w:rPr>
            </w:pPr>
            <w:r>
              <w:rPr>
                <w:rFonts w:ascii="Times New Roman" w:cs="Times New Roman" w:eastAsia="Times New Roman" w:hAnsi="Times New Roman"/>
                <w:sz w:val="11"/>
                <w:szCs w:val="11"/>
                <w:color w:val="auto"/>
              </w:rPr>
              <w:t>2023 on a year-on-year basis had a negative impact on our net sales</w:t>
            </w:r>
          </w:p>
        </w:tc>
        <w:tc>
          <w:tcPr>
            <w:tcW w:w="520" w:type="dxa"/>
            <w:vAlign w:val="bottom"/>
          </w:tcPr>
          <w:p>
            <w:pPr>
              <w:spacing w:after="0"/>
              <w:rPr>
                <w:sz w:val="12"/>
                <w:szCs w:val="12"/>
                <w:color w:val="auto"/>
              </w:rPr>
            </w:pPr>
          </w:p>
        </w:tc>
      </w:tr>
    </w:tbl>
    <w:p>
      <w:pPr>
        <w:spacing w:after="0"/>
        <w:rPr>
          <w:sz w:val="20"/>
          <w:szCs w:val="20"/>
          <w:color w:val="auto"/>
        </w:rPr>
      </w:pPr>
      <w:r>
        <w:rPr>
          <w:rFonts w:ascii="Times New Roman" w:cs="Times New Roman" w:eastAsia="Times New Roman" w:hAnsi="Times New Roman"/>
          <w:sz w:val="11"/>
          <w:szCs w:val="11"/>
          <w:color w:val="auto"/>
        </w:rPr>
        <w:t>reported in euros. However, the weaker US dollar also contributed to slightly lower costs of sales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operating expenses on a year-on-year basis. In total, before hedging, the weaker US dollar</w:t>
      </w:r>
    </w:p>
    <w:p>
      <w:pPr>
        <w:spacing w:after="0" w:line="10"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3820" w:type="dxa"/>
            <w:vAlign w:val="bottom"/>
          </w:tcPr>
          <w:p>
            <w:pPr>
              <w:spacing w:after="0"/>
              <w:rPr>
                <w:sz w:val="20"/>
                <w:szCs w:val="20"/>
                <w:color w:val="auto"/>
              </w:rPr>
            </w:pPr>
            <w:r>
              <w:rPr>
                <w:rFonts w:ascii="Times New Roman" w:cs="Times New Roman" w:eastAsia="Times New Roman" w:hAnsi="Times New Roman"/>
                <w:sz w:val="11"/>
                <w:szCs w:val="11"/>
                <w:color w:val="auto"/>
              </w:rPr>
              <w:t>on a year-on-year basis had a slightly negative effect on our operating profit in</w:t>
            </w:r>
          </w:p>
        </w:tc>
        <w:tc>
          <w:tcPr>
            <w:tcW w:w="54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r>
    </w:tbl>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 a discussion of the instruments used by us in connection with our hedging activities, refer to</w:t>
      </w:r>
    </w:p>
    <w:p>
      <w:pPr>
        <w:spacing w:after="0" w:line="22" w:lineRule="exact"/>
        <w:rPr>
          <w:sz w:val="20"/>
          <w:szCs w:val="20"/>
          <w:color w:val="auto"/>
        </w:rPr>
      </w:pPr>
    </w:p>
    <w:p>
      <w:pPr>
        <w:spacing w:after="0"/>
        <w:tabs>
          <w:tab w:leader="none" w:pos="1820" w:val="left"/>
        </w:tabs>
        <w:rPr>
          <w:sz w:val="20"/>
          <w:szCs w:val="20"/>
          <w:color w:val="auto"/>
        </w:rPr>
      </w:pPr>
      <w:r>
        <w:rPr>
          <w:rFonts w:ascii="Times New Roman" w:cs="Times New Roman" w:eastAsia="Times New Roman" w:hAnsi="Times New Roman"/>
          <w:sz w:val="11"/>
          <w:szCs w:val="11"/>
          <w:color w:val="auto"/>
        </w:rPr>
        <w:t>Note 5.4. Financial risk management</w:t>
        <w:tab/>
        <w:t>, of our consolidated financial statements. Refer also to the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“Risk factors” section.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92" w:name="page93"/>
    <w:bookmarkEnd w:id="92"/>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FFFFFF"/>
        </w:rPr>
        <w:t>Sustainability and corporate responsibility</w:t>
      </w:r>
    </w:p>
    <w:p>
      <w:pPr>
        <w:spacing w:after="0" w:line="262" w:lineRule="exact"/>
        <w:rPr>
          <w:sz w:val="20"/>
          <w:szCs w:val="20"/>
          <w:color w:val="auto"/>
        </w:rPr>
      </w:pPr>
    </w:p>
    <w:p>
      <w:pPr>
        <w:jc w:val="both"/>
        <w:ind w:right="440"/>
        <w:spacing w:after="0" w:line="235" w:lineRule="auto"/>
        <w:rPr>
          <w:sz w:val="20"/>
          <w:szCs w:val="20"/>
          <w:color w:val="auto"/>
        </w:rPr>
      </w:pPr>
      <w:r>
        <w:rPr>
          <w:rFonts w:ascii="Times New Roman" w:cs="Times New Roman" w:eastAsia="Times New Roman" w:hAnsi="Times New Roman"/>
          <w:sz w:val="45"/>
          <w:szCs w:val="45"/>
          <w:color w:val="FFFFFF"/>
        </w:rPr>
        <w:t>Sustainability and corporate responsibility</w:t>
      </w:r>
    </w:p>
    <w:p>
      <w:pPr>
        <w:spacing w:after="0" w:line="394"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3"/>
          <w:szCs w:val="13"/>
          <w:color w:val="FFFFFF"/>
        </w:rPr>
        <w:t>We believe that the positive impact of the technology we create provides our greatest contribution to realizing the United Nations Sustainable Development Goals (SDGs) and outweighs potential negative impacts of the technology.</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35" w:lineRule="exact"/>
        <w:rPr>
          <w:sz w:val="20"/>
          <w:szCs w:val="20"/>
          <w:color w:val="auto"/>
        </w:rPr>
      </w:pPr>
    </w:p>
    <w:p>
      <w:pPr>
        <w:ind w:left="560" w:right="20" w:hanging="560"/>
        <w:spacing w:after="0" w:line="182" w:lineRule="auto"/>
        <w:rPr>
          <w:sz w:val="20"/>
          <w:szCs w:val="20"/>
          <w:color w:val="auto"/>
        </w:rPr>
      </w:pPr>
      <w:r>
        <w:rPr>
          <w:rFonts w:ascii="Times New Roman" w:cs="Times New Roman" w:eastAsia="Times New Roman" w:hAnsi="Times New Roman"/>
          <w:sz w:val="46"/>
          <w:szCs w:val="46"/>
          <w:color w:val="005AFF"/>
        </w:rPr>
        <w:t>O</w:t>
      </w:r>
      <w:r>
        <w:rPr>
          <w:rFonts w:ascii="Times New Roman" w:cs="Times New Roman" w:eastAsia="Times New Roman" w:hAnsi="Times New Roman"/>
          <w:sz w:val="10"/>
          <w:szCs w:val="10"/>
          <w:color w:val="000000"/>
        </w:rPr>
        <w:t>ur purpose is to create technology that helps the</w:t>
      </w:r>
      <w:r>
        <w:rPr>
          <w:rFonts w:ascii="Times New Roman" w:cs="Times New Roman" w:eastAsia="Times New Roman" w:hAnsi="Times New Roman"/>
          <w:sz w:val="46"/>
          <w:szCs w:val="46"/>
          <w:color w:val="005AFF"/>
        </w:rPr>
        <w:t xml:space="preserve"> </w:t>
      </w:r>
      <w:r>
        <w:rPr>
          <w:rFonts w:ascii="Times New Roman" w:cs="Times New Roman" w:eastAsia="Times New Roman" w:hAnsi="Times New Roman"/>
          <w:sz w:val="10"/>
          <w:szCs w:val="10"/>
          <w:color w:val="000000"/>
        </w:rPr>
        <w:t>world act together. We believe that digitalization and enhanced connectivity will play an increasingly significant role in helping industries and economies</w:t>
      </w:r>
    </w:p>
    <w:p>
      <w:pPr>
        <w:spacing w:after="0" w:line="1" w:lineRule="exact"/>
        <w:rPr>
          <w:sz w:val="20"/>
          <w:szCs w:val="20"/>
          <w:color w:val="auto"/>
        </w:rPr>
      </w:pPr>
    </w:p>
    <w:p>
      <w:pPr>
        <w:jc w:val="both"/>
        <w:ind w:right="200"/>
        <w:spacing w:after="0" w:line="273" w:lineRule="auto"/>
        <w:rPr>
          <w:sz w:val="20"/>
          <w:szCs w:val="20"/>
          <w:color w:val="auto"/>
        </w:rPr>
      </w:pPr>
      <w:r>
        <w:rPr>
          <w:rFonts w:ascii="Times New Roman" w:cs="Times New Roman" w:eastAsia="Times New Roman" w:hAnsi="Times New Roman"/>
          <w:sz w:val="11"/>
          <w:szCs w:val="11"/>
          <w:color w:val="auto"/>
        </w:rPr>
        <w:t>decarbonize while enabling a more inclusive society. These technology enablers are critical to achieving the Sustainable Development Goals of 2030 .</w:t>
      </w:r>
    </w:p>
    <w:p>
      <w:pPr>
        <w:spacing w:after="0" w:line="57"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We see the potential of digital technologies to create a more sustainable, productive, and accessible world. At Nokia, we take a two-pronged approach to sustainability. First, we minimize our potentially negative environmental and value chain impact – our “footprint”. Second, we maximize our potentially positive environmental impact on industries and economies as well</w:t>
      </w:r>
    </w:p>
    <w:p>
      <w:pPr>
        <w:spacing w:after="0" w:line="3" w:lineRule="exact"/>
        <w:rPr>
          <w:sz w:val="20"/>
          <w:szCs w:val="20"/>
          <w:color w:val="auto"/>
        </w:rPr>
      </w:pPr>
    </w:p>
    <w:p>
      <w:pPr>
        <w:ind w:right="60"/>
        <w:spacing w:after="0" w:line="265" w:lineRule="auto"/>
        <w:rPr>
          <w:sz w:val="20"/>
          <w:szCs w:val="20"/>
          <w:color w:val="auto"/>
        </w:rPr>
      </w:pPr>
      <w:r>
        <w:rPr>
          <w:rFonts w:ascii="Times New Roman" w:cs="Times New Roman" w:eastAsia="Times New Roman" w:hAnsi="Times New Roman"/>
          <w:sz w:val="11"/>
          <w:szCs w:val="11"/>
          <w:color w:val="auto"/>
        </w:rPr>
        <w:t>as our social impact in the communities we operate in – our “handprint”. We believe that our potential handprint far outweighs our current footprint. Industry studies such as the GSMA study on the impact of mobile communications technologies on carbon emission reductions, have shown the potential of digitalization and enhanced connectivity on several industrial sectors and consumers.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ind w:right="20"/>
        <w:spacing w:after="0"/>
        <w:rPr>
          <w:sz w:val="20"/>
          <w:szCs w:val="20"/>
          <w:color w:val="auto"/>
        </w:rPr>
      </w:pPr>
      <w:r>
        <w:rPr>
          <w:rFonts w:ascii="Times New Roman" w:cs="Times New Roman" w:eastAsia="Times New Roman" w:hAnsi="Times New Roman"/>
          <w:sz w:val="12"/>
          <w:szCs w:val="12"/>
          <w:color w:val="auto"/>
        </w:rPr>
        <w:t>85</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80"/>
        <w:spacing w:after="0" w:line="275" w:lineRule="auto"/>
        <w:rPr>
          <w:sz w:val="20"/>
          <w:szCs w:val="20"/>
          <w:color w:val="auto"/>
        </w:rPr>
      </w:pPr>
      <w:r>
        <w:rPr>
          <w:rFonts w:ascii="Times New Roman" w:cs="Times New Roman" w:eastAsia="Times New Roman" w:hAnsi="Times New Roman"/>
          <w:sz w:val="11"/>
          <w:szCs w:val="11"/>
          <w:color w:val="auto"/>
        </w:rPr>
        <w:t>A critical component of Nokia’s sustainability approach also rests on our focus on governance and culture. We maintain robust policies, processes, and management systems across our value chain to align with regulation and global frameworks.</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Our strategy, purpose, and targets</w:t>
      </w:r>
    </w:p>
    <w:p>
      <w:pPr>
        <w:spacing w:after="0" w:line="36" w:lineRule="exact"/>
        <w:rPr>
          <w:sz w:val="20"/>
          <w:szCs w:val="20"/>
          <w:color w:val="auto"/>
        </w:rPr>
      </w:pPr>
    </w:p>
    <w:p>
      <w:pPr>
        <w:ind w:right="320"/>
        <w:spacing w:after="0" w:line="266" w:lineRule="auto"/>
        <w:rPr>
          <w:sz w:val="20"/>
          <w:szCs w:val="20"/>
          <w:color w:val="auto"/>
        </w:rPr>
      </w:pPr>
      <w:r>
        <w:rPr>
          <w:rFonts w:ascii="Times New Roman" w:cs="Times New Roman" w:eastAsia="Times New Roman" w:hAnsi="Times New Roman"/>
          <w:sz w:val="11"/>
          <w:szCs w:val="11"/>
          <w:color w:val="auto"/>
        </w:rPr>
        <w:t>Our approach to sustainability is built on our company’s purpose – to create technology that helps the world act together. In 2023, Nokia took a step forward in embedding sustainability into our corporate strategy by announcing the ambition to develop ESG as a competitive advantage, integrated into Nokia’s 2030 Technology Vision and continued to deliver on it as part of our company purpose. Our sustainability initiatives and approaches in 2023 were built on our existing impact materiality matrix.</w:t>
      </w:r>
    </w:p>
    <w:p>
      <w:pPr>
        <w:spacing w:after="0" w:line="193" w:lineRule="exact"/>
        <w:rPr>
          <w:sz w:val="20"/>
          <w:szCs w:val="20"/>
          <w:color w:val="auto"/>
        </w:rPr>
      </w:pPr>
    </w:p>
    <w:p>
      <w:pPr>
        <w:jc w:val="both"/>
        <w:ind w:right="500"/>
        <w:spacing w:after="0" w:line="275" w:lineRule="auto"/>
        <w:rPr>
          <w:sz w:val="20"/>
          <w:szCs w:val="20"/>
          <w:color w:val="auto"/>
        </w:rPr>
      </w:pPr>
      <w:r>
        <w:rPr>
          <w:rFonts w:ascii="Times New Roman" w:cs="Times New Roman" w:eastAsia="Times New Roman" w:hAnsi="Times New Roman"/>
          <w:sz w:val="11"/>
          <w:szCs w:val="11"/>
          <w:color w:val="auto"/>
        </w:rPr>
        <w:t>Nokia’s sustainability strategy is based on topics where we believe we can have the greatest impact on ESG risks and opportunities. The five pillars of our sustainability strategy are shown in the following diagram.</w:t>
      </w:r>
    </w:p>
    <w:p>
      <w:pPr>
        <w:spacing w:after="0" w:line="316" w:lineRule="exact"/>
        <w:rPr>
          <w:sz w:val="20"/>
          <w:szCs w:val="20"/>
          <w:color w:val="auto"/>
        </w:rPr>
      </w:pPr>
    </w:p>
    <w:p>
      <w:pPr>
        <w:sectPr>
          <w:pgSz w:w="11900" w:h="16838" w:orient="portrait"/>
          <w:cols w:equalWidth="0" w:num="3">
            <w:col w:w="2940" w:space="460"/>
            <w:col w:w="2960" w:space="440"/>
            <w:col w:w="3200"/>
          </w:cols>
          <w:pgMar w:left="960" w:top="409" w:right="939"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pacing w:after="0" w:line="20" w:lineRule="exact"/>
        <w:rPr>
          <w:sz w:val="20"/>
          <w:szCs w:val="20"/>
          <w:color w:val="auto"/>
        </w:rPr>
      </w:pPr>
      <w:r>
        <w:rPr>
          <w:sz w:val="20"/>
          <w:szCs w:val="20"/>
          <w:color w:val="auto"/>
        </w:rPr>
        <w:br w:type="column"/>
      </w:r>
    </w:p>
    <w:p>
      <w:pPr>
        <w:spacing w:after="0" w:line="108"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1"/>
        </w:trPr>
        <w:tc>
          <w:tcPr>
            <w:tcW w:w="140" w:type="dxa"/>
            <w:vAlign w:val="bottom"/>
            <w:shd w:val="clear" w:color="auto" w:fill="F0F5FF"/>
          </w:tcPr>
          <w:p>
            <w:pPr>
              <w:spacing w:after="0"/>
              <w:rPr>
                <w:sz w:val="11"/>
                <w:szCs w:val="11"/>
                <w:color w:val="auto"/>
              </w:rPr>
            </w:pPr>
          </w:p>
        </w:tc>
        <w:tc>
          <w:tcPr>
            <w:tcW w:w="2020" w:type="dxa"/>
            <w:vAlign w:val="bottom"/>
            <w:vMerge w:val="restart"/>
            <w:shd w:val="clear" w:color="auto" w:fill="F0F5FF"/>
          </w:tcPr>
          <w:p>
            <w:pPr>
              <w:ind w:left="40"/>
              <w:spacing w:after="0"/>
              <w:rPr>
                <w:sz w:val="20"/>
                <w:szCs w:val="20"/>
                <w:color w:val="auto"/>
              </w:rPr>
            </w:pPr>
            <w:r>
              <w:rPr>
                <w:rFonts w:ascii="Times New Roman" w:cs="Times New Roman" w:eastAsia="Times New Roman" w:hAnsi="Times New Roman"/>
                <w:sz w:val="16"/>
                <w:szCs w:val="16"/>
                <w:color w:val="005AFF"/>
              </w:rPr>
              <w:t>5 ESG pillars</w:t>
            </w:r>
          </w:p>
        </w:tc>
        <w:tc>
          <w:tcPr>
            <w:tcW w:w="140" w:type="dxa"/>
            <w:vAlign w:val="bottom"/>
            <w:shd w:val="clear" w:color="auto" w:fill="F0F5FF"/>
          </w:tcPr>
          <w:p>
            <w:pPr>
              <w:spacing w:after="0"/>
              <w:rPr>
                <w:sz w:val="11"/>
                <w:szCs w:val="11"/>
                <w:color w:val="auto"/>
              </w:rPr>
            </w:pPr>
          </w:p>
        </w:tc>
        <w:tc>
          <w:tcPr>
            <w:tcW w:w="2020" w:type="dxa"/>
            <w:vAlign w:val="bottom"/>
            <w:shd w:val="clear" w:color="auto" w:fill="F0F5FF"/>
          </w:tcPr>
          <w:p>
            <w:pPr>
              <w:spacing w:after="0"/>
              <w:rPr>
                <w:sz w:val="11"/>
                <w:szCs w:val="11"/>
                <w:color w:val="auto"/>
              </w:rPr>
            </w:pPr>
          </w:p>
        </w:tc>
        <w:tc>
          <w:tcPr>
            <w:tcW w:w="120" w:type="dxa"/>
            <w:vAlign w:val="bottom"/>
            <w:shd w:val="clear" w:color="auto" w:fill="F0F5FF"/>
          </w:tcPr>
          <w:p>
            <w:pPr>
              <w:spacing w:after="0"/>
              <w:rPr>
                <w:sz w:val="11"/>
                <w:szCs w:val="11"/>
                <w:color w:val="auto"/>
              </w:rPr>
            </w:pPr>
          </w:p>
        </w:tc>
        <w:tc>
          <w:tcPr>
            <w:tcW w:w="2020" w:type="dxa"/>
            <w:vAlign w:val="bottom"/>
            <w:shd w:val="clear" w:color="auto" w:fill="F0F5FF"/>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220"/>
        </w:trPr>
        <w:tc>
          <w:tcPr>
            <w:tcW w:w="140" w:type="dxa"/>
            <w:vAlign w:val="bottom"/>
          </w:tcPr>
          <w:p>
            <w:pPr>
              <w:spacing w:after="0"/>
              <w:rPr>
                <w:sz w:val="19"/>
                <w:szCs w:val="19"/>
                <w:color w:val="auto"/>
              </w:rPr>
            </w:pPr>
          </w:p>
        </w:tc>
        <w:tc>
          <w:tcPr>
            <w:tcW w:w="2020" w:type="dxa"/>
            <w:vAlign w:val="bottom"/>
            <w:vMerge w:val="continue"/>
            <w:shd w:val="clear" w:color="auto" w:fill="F0F5FF"/>
          </w:tcPr>
          <w:p>
            <w:pPr>
              <w:spacing w:after="0"/>
              <w:rPr>
                <w:sz w:val="19"/>
                <w:szCs w:val="19"/>
                <w:color w:val="auto"/>
              </w:rPr>
            </w:pPr>
          </w:p>
        </w:tc>
        <w:tc>
          <w:tcPr>
            <w:tcW w:w="140" w:type="dxa"/>
            <w:vAlign w:val="bottom"/>
            <w:shd w:val="clear" w:color="auto" w:fill="F0F5FF"/>
          </w:tcPr>
          <w:p>
            <w:pPr>
              <w:spacing w:after="0"/>
              <w:rPr>
                <w:sz w:val="19"/>
                <w:szCs w:val="19"/>
                <w:color w:val="auto"/>
              </w:rPr>
            </w:pPr>
          </w:p>
        </w:tc>
        <w:tc>
          <w:tcPr>
            <w:tcW w:w="2020" w:type="dxa"/>
            <w:vAlign w:val="bottom"/>
            <w:shd w:val="clear" w:color="auto" w:fill="F0F5FF"/>
          </w:tcPr>
          <w:p>
            <w:pPr>
              <w:spacing w:after="0"/>
              <w:rPr>
                <w:sz w:val="19"/>
                <w:szCs w:val="19"/>
                <w:color w:val="auto"/>
              </w:rPr>
            </w:pPr>
          </w:p>
        </w:tc>
        <w:tc>
          <w:tcPr>
            <w:tcW w:w="120" w:type="dxa"/>
            <w:vAlign w:val="bottom"/>
            <w:shd w:val="clear" w:color="auto" w:fill="F0F5FF"/>
          </w:tcPr>
          <w:p>
            <w:pPr>
              <w:spacing w:after="0"/>
              <w:rPr>
                <w:sz w:val="19"/>
                <w:szCs w:val="19"/>
                <w:color w:val="auto"/>
              </w:rPr>
            </w:pPr>
          </w:p>
        </w:tc>
        <w:tc>
          <w:tcPr>
            <w:tcW w:w="2020" w:type="dxa"/>
            <w:vAlign w:val="bottom"/>
            <w:shd w:val="clear" w:color="auto" w:fill="F0F5FF"/>
          </w:tcPr>
          <w:p>
            <w:pPr>
              <w:spacing w:after="0"/>
              <w:rPr>
                <w:sz w:val="19"/>
                <w:szCs w:val="19"/>
                <w:color w:val="auto"/>
              </w:rPr>
            </w:pPr>
          </w:p>
        </w:tc>
        <w:tc>
          <w:tcPr>
            <w:tcW w:w="140" w:type="dxa"/>
            <w:vAlign w:val="bottom"/>
            <w:shd w:val="clear" w:color="auto" w:fill="F0F5FF"/>
          </w:tcPr>
          <w:p>
            <w:pPr>
              <w:spacing w:after="0"/>
              <w:rPr>
                <w:sz w:val="19"/>
                <w:szCs w:val="19"/>
                <w:color w:val="auto"/>
              </w:rPr>
            </w:pPr>
          </w:p>
        </w:tc>
        <w:tc>
          <w:tcPr>
            <w:tcW w:w="0" w:type="dxa"/>
            <w:vAlign w:val="bottom"/>
          </w:tcPr>
          <w:p>
            <w:pPr>
              <w:spacing w:after="0"/>
              <w:rPr>
                <w:sz w:val="1"/>
                <w:szCs w:val="1"/>
                <w:color w:val="auto"/>
              </w:rPr>
            </w:pPr>
          </w:p>
        </w:tc>
      </w:tr>
      <w:tr>
        <w:trPr>
          <w:trHeight w:val="73"/>
        </w:trPr>
        <w:tc>
          <w:tcPr>
            <w:tcW w:w="140" w:type="dxa"/>
            <w:vAlign w:val="bottom"/>
          </w:tcPr>
          <w:p>
            <w:pPr>
              <w:spacing w:after="0"/>
              <w:rPr>
                <w:sz w:val="6"/>
                <w:szCs w:val="6"/>
                <w:color w:val="auto"/>
              </w:rPr>
            </w:pPr>
          </w:p>
        </w:tc>
        <w:tc>
          <w:tcPr>
            <w:tcW w:w="2020" w:type="dxa"/>
            <w:vAlign w:val="bottom"/>
            <w:shd w:val="clear" w:color="auto" w:fill="F0F5FF"/>
          </w:tcPr>
          <w:p>
            <w:pPr>
              <w:spacing w:after="0"/>
              <w:rPr>
                <w:sz w:val="6"/>
                <w:szCs w:val="6"/>
                <w:color w:val="auto"/>
              </w:rPr>
            </w:pPr>
          </w:p>
        </w:tc>
        <w:tc>
          <w:tcPr>
            <w:tcW w:w="140" w:type="dxa"/>
            <w:vAlign w:val="bottom"/>
            <w:shd w:val="clear" w:color="auto" w:fill="F0F5FF"/>
          </w:tcPr>
          <w:p>
            <w:pPr>
              <w:spacing w:after="0"/>
              <w:rPr>
                <w:sz w:val="6"/>
                <w:szCs w:val="6"/>
                <w:color w:val="auto"/>
              </w:rPr>
            </w:pPr>
          </w:p>
        </w:tc>
        <w:tc>
          <w:tcPr>
            <w:tcW w:w="2020" w:type="dxa"/>
            <w:vAlign w:val="bottom"/>
            <w:shd w:val="clear" w:color="auto" w:fill="F0F5FF"/>
          </w:tcPr>
          <w:p>
            <w:pPr>
              <w:spacing w:after="0"/>
              <w:rPr>
                <w:sz w:val="6"/>
                <w:szCs w:val="6"/>
                <w:color w:val="auto"/>
              </w:rPr>
            </w:pPr>
          </w:p>
        </w:tc>
        <w:tc>
          <w:tcPr>
            <w:tcW w:w="120" w:type="dxa"/>
            <w:vAlign w:val="bottom"/>
            <w:shd w:val="clear" w:color="auto" w:fill="F0F5FF"/>
          </w:tcPr>
          <w:p>
            <w:pPr>
              <w:spacing w:after="0"/>
              <w:rPr>
                <w:sz w:val="6"/>
                <w:szCs w:val="6"/>
                <w:color w:val="auto"/>
              </w:rPr>
            </w:pPr>
          </w:p>
        </w:tc>
        <w:tc>
          <w:tcPr>
            <w:tcW w:w="2020" w:type="dxa"/>
            <w:vAlign w:val="bottom"/>
            <w:shd w:val="clear" w:color="auto" w:fill="F0F5FF"/>
          </w:tcPr>
          <w:p>
            <w:pPr>
              <w:spacing w:after="0"/>
              <w:rPr>
                <w:sz w:val="6"/>
                <w:szCs w:val="6"/>
                <w:color w:val="auto"/>
              </w:rPr>
            </w:pPr>
          </w:p>
        </w:tc>
        <w:tc>
          <w:tcPr>
            <w:tcW w:w="140" w:type="dxa"/>
            <w:vAlign w:val="bottom"/>
            <w:shd w:val="clear" w:color="auto" w:fill="F0F5FF"/>
          </w:tcPr>
          <w:p>
            <w:pPr>
              <w:spacing w:after="0"/>
              <w:rPr>
                <w:sz w:val="6"/>
                <w:szCs w:val="6"/>
                <w:color w:val="auto"/>
              </w:rPr>
            </w:pPr>
          </w:p>
        </w:tc>
        <w:tc>
          <w:tcPr>
            <w:tcW w:w="0" w:type="dxa"/>
            <w:vAlign w:val="bottom"/>
          </w:tcPr>
          <w:p>
            <w:pPr>
              <w:spacing w:after="0"/>
              <w:rPr>
                <w:sz w:val="1"/>
                <w:szCs w:val="1"/>
                <w:color w:val="auto"/>
              </w:rPr>
            </w:pPr>
          </w:p>
        </w:tc>
      </w:tr>
      <w:tr>
        <w:trPr>
          <w:trHeight w:val="708"/>
        </w:trPr>
        <w:tc>
          <w:tcPr>
            <w:tcW w:w="140" w:type="dxa"/>
            <w:vAlign w:val="bottom"/>
          </w:tcPr>
          <w:p>
            <w:pPr>
              <w:spacing w:after="0"/>
              <w:rPr>
                <w:sz w:val="24"/>
                <w:szCs w:val="24"/>
                <w:color w:val="auto"/>
              </w:rPr>
            </w:pPr>
          </w:p>
        </w:tc>
        <w:tc>
          <w:tcPr>
            <w:tcW w:w="20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6"/>
                <w:szCs w:val="16"/>
                <w:color w:val="FFFFFF"/>
              </w:rPr>
              <w:t>Environment</w:t>
            </w:r>
          </w:p>
        </w:tc>
        <w:tc>
          <w:tcPr>
            <w:tcW w:w="140" w:type="dxa"/>
            <w:vAlign w:val="bottom"/>
          </w:tcPr>
          <w:p>
            <w:pPr>
              <w:spacing w:after="0"/>
              <w:rPr>
                <w:sz w:val="24"/>
                <w:szCs w:val="24"/>
                <w:color w:val="auto"/>
              </w:rPr>
            </w:pPr>
          </w:p>
        </w:tc>
        <w:tc>
          <w:tcPr>
            <w:tcW w:w="20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6"/>
                <w:szCs w:val="16"/>
                <w:color w:val="FFFFFF"/>
              </w:rPr>
              <w:t>Industrial digitalization</w:t>
            </w:r>
          </w:p>
        </w:tc>
        <w:tc>
          <w:tcPr>
            <w:tcW w:w="120" w:type="dxa"/>
            <w:vAlign w:val="bottom"/>
          </w:tcPr>
          <w:p>
            <w:pPr>
              <w:spacing w:after="0"/>
              <w:rPr>
                <w:sz w:val="24"/>
                <w:szCs w:val="24"/>
                <w:color w:val="auto"/>
              </w:rPr>
            </w:pPr>
          </w:p>
        </w:tc>
        <w:tc>
          <w:tcPr>
            <w:tcW w:w="2020" w:type="dxa"/>
            <w:vAlign w:val="bottom"/>
            <w:shd w:val="clear" w:color="auto" w:fill="005AFF"/>
          </w:tcPr>
          <w:p>
            <w:pPr>
              <w:ind w:left="100"/>
              <w:spacing w:after="0"/>
              <w:rPr>
                <w:sz w:val="20"/>
                <w:szCs w:val="20"/>
                <w:color w:val="auto"/>
              </w:rPr>
            </w:pPr>
            <w:r>
              <w:rPr>
                <w:rFonts w:ascii="Times New Roman" w:cs="Times New Roman" w:eastAsia="Times New Roman" w:hAnsi="Times New Roman"/>
                <w:sz w:val="16"/>
                <w:szCs w:val="16"/>
                <w:color w:val="FFFFFF"/>
              </w:rPr>
              <w:t>Security and privacy</w:t>
            </w:r>
          </w:p>
        </w:tc>
        <w:tc>
          <w:tcPr>
            <w:tcW w:w="14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95"/>
        </w:trPr>
        <w:tc>
          <w:tcPr>
            <w:tcW w:w="140" w:type="dxa"/>
            <w:vAlign w:val="bottom"/>
          </w:tcPr>
          <w:p>
            <w:pPr>
              <w:spacing w:after="0"/>
              <w:rPr>
                <w:sz w:val="16"/>
                <w:szCs w:val="16"/>
                <w:color w:val="auto"/>
              </w:rPr>
            </w:pPr>
          </w:p>
        </w:tc>
        <w:tc>
          <w:tcPr>
            <w:tcW w:w="20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Be the leader in energy efficiency</w:t>
            </w:r>
          </w:p>
        </w:tc>
        <w:tc>
          <w:tcPr>
            <w:tcW w:w="140" w:type="dxa"/>
            <w:vAlign w:val="bottom"/>
          </w:tcPr>
          <w:p>
            <w:pPr>
              <w:spacing w:after="0"/>
              <w:rPr>
                <w:sz w:val="16"/>
                <w:szCs w:val="16"/>
                <w:color w:val="auto"/>
              </w:rPr>
            </w:pPr>
          </w:p>
        </w:tc>
        <w:tc>
          <w:tcPr>
            <w:tcW w:w="20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We provide connectivity and</w:t>
            </w:r>
          </w:p>
        </w:tc>
        <w:tc>
          <w:tcPr>
            <w:tcW w:w="120" w:type="dxa"/>
            <w:vAlign w:val="bottom"/>
          </w:tcPr>
          <w:p>
            <w:pPr>
              <w:spacing w:after="0"/>
              <w:rPr>
                <w:sz w:val="16"/>
                <w:szCs w:val="16"/>
                <w:color w:val="auto"/>
              </w:rPr>
            </w:pPr>
          </w:p>
        </w:tc>
        <w:tc>
          <w:tcPr>
            <w:tcW w:w="216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Security and privacy become a</w:t>
            </w:r>
          </w:p>
        </w:tc>
        <w:tc>
          <w:tcPr>
            <w:tcW w:w="0" w:type="dxa"/>
            <w:vAlign w:val="bottom"/>
          </w:tcPr>
          <w:p>
            <w:pPr>
              <w:spacing w:after="0"/>
              <w:rPr>
                <w:sz w:val="1"/>
                <w:szCs w:val="1"/>
                <w:color w:val="auto"/>
              </w:rPr>
            </w:pPr>
          </w:p>
        </w:tc>
      </w:tr>
      <w:tr>
        <w:trPr>
          <w:trHeight w:val="121"/>
        </w:trPr>
        <w:tc>
          <w:tcPr>
            <w:tcW w:w="140" w:type="dxa"/>
            <w:vAlign w:val="bottom"/>
          </w:tcPr>
          <w:p>
            <w:pPr>
              <w:spacing w:after="0"/>
              <w:rPr>
                <w:sz w:val="10"/>
                <w:szCs w:val="10"/>
                <w:color w:val="auto"/>
              </w:rPr>
            </w:pPr>
          </w:p>
        </w:tc>
        <w:tc>
          <w:tcPr>
            <w:tcW w:w="20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and circular practices</w:t>
            </w:r>
          </w:p>
        </w:tc>
        <w:tc>
          <w:tcPr>
            <w:tcW w:w="140" w:type="dxa"/>
            <w:vAlign w:val="bottom"/>
          </w:tcPr>
          <w:p>
            <w:pPr>
              <w:spacing w:after="0"/>
              <w:rPr>
                <w:sz w:val="10"/>
                <w:szCs w:val="10"/>
                <w:color w:val="auto"/>
              </w:rPr>
            </w:pPr>
          </w:p>
        </w:tc>
        <w:tc>
          <w:tcPr>
            <w:tcW w:w="2020" w:type="dxa"/>
            <w:vAlign w:val="bottom"/>
          </w:tcPr>
          <w:p>
            <w:pPr>
              <w:ind w:left="100"/>
              <w:spacing w:after="0" w:line="122" w:lineRule="exact"/>
              <w:rPr>
                <w:sz w:val="20"/>
                <w:szCs w:val="20"/>
                <w:color w:val="auto"/>
              </w:rPr>
            </w:pPr>
            <w:r>
              <w:rPr>
                <w:rFonts w:ascii="Times New Roman" w:cs="Times New Roman" w:eastAsia="Times New Roman" w:hAnsi="Times New Roman"/>
                <w:sz w:val="11"/>
                <w:szCs w:val="11"/>
                <w:color w:val="auto"/>
              </w:rPr>
              <w:t>digital solutions that sustainably</w:t>
            </w:r>
          </w:p>
        </w:tc>
        <w:tc>
          <w:tcPr>
            <w:tcW w:w="120" w:type="dxa"/>
            <w:vAlign w:val="bottom"/>
          </w:tcPr>
          <w:p>
            <w:pPr>
              <w:spacing w:after="0"/>
              <w:rPr>
                <w:sz w:val="10"/>
                <w:szCs w:val="10"/>
                <w:color w:val="auto"/>
              </w:rPr>
            </w:pPr>
          </w:p>
        </w:tc>
        <w:tc>
          <w:tcPr>
            <w:tcW w:w="2160" w:type="dxa"/>
            <w:vAlign w:val="bottom"/>
            <w:gridSpan w:val="2"/>
          </w:tcPr>
          <w:p>
            <w:pPr>
              <w:ind w:left="120"/>
              <w:spacing w:after="0" w:line="122" w:lineRule="exact"/>
              <w:rPr>
                <w:sz w:val="20"/>
                <w:szCs w:val="20"/>
                <w:color w:val="auto"/>
              </w:rPr>
            </w:pPr>
            <w:r>
              <w:rPr>
                <w:rFonts w:ascii="Times New Roman" w:cs="Times New Roman" w:eastAsia="Times New Roman" w:hAnsi="Times New Roman"/>
                <w:sz w:val="11"/>
                <w:szCs w:val="11"/>
                <w:color w:val="auto"/>
              </w:rPr>
              <w:t>cornerstone of our reputation</w:t>
            </w:r>
          </w:p>
        </w:tc>
        <w:tc>
          <w:tcPr>
            <w:tcW w:w="0" w:type="dxa"/>
            <w:vAlign w:val="bottom"/>
          </w:tcPr>
          <w:p>
            <w:pPr>
              <w:spacing w:after="0"/>
              <w:rPr>
                <w:sz w:val="1"/>
                <w:szCs w:val="1"/>
                <w:color w:val="auto"/>
              </w:rPr>
            </w:pPr>
          </w:p>
        </w:tc>
      </w:tr>
      <w:tr>
        <w:trPr>
          <w:trHeight w:val="140"/>
        </w:trPr>
        <w:tc>
          <w:tcPr>
            <w:tcW w:w="140" w:type="dxa"/>
            <w:vAlign w:val="bottom"/>
          </w:tcPr>
          <w:p>
            <w:pPr>
              <w:spacing w:after="0"/>
              <w:rPr>
                <w:sz w:val="12"/>
                <w:szCs w:val="12"/>
                <w:color w:val="auto"/>
              </w:rPr>
            </w:pPr>
          </w:p>
        </w:tc>
        <w:tc>
          <w:tcPr>
            <w:tcW w:w="2020" w:type="dxa"/>
            <w:vAlign w:val="bottom"/>
          </w:tcPr>
          <w:p>
            <w:pPr>
              <w:spacing w:after="0"/>
              <w:rPr>
                <w:sz w:val="12"/>
                <w:szCs w:val="12"/>
                <w:color w:val="auto"/>
              </w:rPr>
            </w:pPr>
          </w:p>
        </w:tc>
        <w:tc>
          <w:tcPr>
            <w:tcW w:w="140" w:type="dxa"/>
            <w:vAlign w:val="bottom"/>
          </w:tcPr>
          <w:p>
            <w:pPr>
              <w:spacing w:after="0"/>
              <w:rPr>
                <w:sz w:val="12"/>
                <w:szCs w:val="12"/>
                <w:color w:val="auto"/>
              </w:rPr>
            </w:pPr>
          </w:p>
        </w:tc>
        <w:tc>
          <w:tcPr>
            <w:tcW w:w="202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transform physical industries</w:t>
            </w:r>
          </w:p>
        </w:tc>
        <w:tc>
          <w:tcPr>
            <w:tcW w:w="120" w:type="dxa"/>
            <w:vAlign w:val="bottom"/>
          </w:tcPr>
          <w:p>
            <w:pPr>
              <w:spacing w:after="0"/>
              <w:rPr>
                <w:sz w:val="12"/>
                <w:szCs w:val="12"/>
                <w:color w:val="auto"/>
              </w:rPr>
            </w:pPr>
          </w:p>
        </w:tc>
        <w:tc>
          <w:tcPr>
            <w:tcW w:w="216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and product proposition</w:t>
            </w:r>
          </w:p>
        </w:tc>
        <w:tc>
          <w:tcPr>
            <w:tcW w:w="0" w:type="dxa"/>
            <w:vAlign w:val="bottom"/>
          </w:tcPr>
          <w:p>
            <w:pPr>
              <w:spacing w:after="0"/>
              <w:rPr>
                <w:sz w:val="1"/>
                <w:szCs w:val="1"/>
                <w:color w:val="auto"/>
              </w:rPr>
            </w:pPr>
          </w:p>
        </w:tc>
      </w:tr>
      <w:tr>
        <w:trPr>
          <w:trHeight w:val="69"/>
        </w:trPr>
        <w:tc>
          <w:tcPr>
            <w:tcW w:w="140" w:type="dxa"/>
            <w:vAlign w:val="bottom"/>
          </w:tcPr>
          <w:p>
            <w:pPr>
              <w:spacing w:after="0"/>
              <w:rPr>
                <w:sz w:val="6"/>
                <w:szCs w:val="6"/>
                <w:color w:val="auto"/>
              </w:rPr>
            </w:pPr>
          </w:p>
        </w:tc>
        <w:tc>
          <w:tcPr>
            <w:tcW w:w="2020" w:type="dxa"/>
            <w:vAlign w:val="bottom"/>
          </w:tcPr>
          <w:p>
            <w:pPr>
              <w:spacing w:after="0"/>
              <w:rPr>
                <w:sz w:val="6"/>
                <w:szCs w:val="6"/>
                <w:color w:val="auto"/>
              </w:rPr>
            </w:pPr>
          </w:p>
        </w:tc>
        <w:tc>
          <w:tcPr>
            <w:tcW w:w="140" w:type="dxa"/>
            <w:vAlign w:val="bottom"/>
          </w:tcPr>
          <w:p>
            <w:pPr>
              <w:spacing w:after="0"/>
              <w:rPr>
                <w:sz w:val="6"/>
                <w:szCs w:val="6"/>
                <w:color w:val="auto"/>
              </w:rPr>
            </w:pPr>
          </w:p>
        </w:tc>
        <w:tc>
          <w:tcPr>
            <w:tcW w:w="2020" w:type="dxa"/>
            <w:vAlign w:val="bottom"/>
          </w:tcPr>
          <w:p>
            <w:pPr>
              <w:spacing w:after="0"/>
              <w:rPr>
                <w:sz w:val="6"/>
                <w:szCs w:val="6"/>
                <w:color w:val="auto"/>
              </w:rPr>
            </w:pPr>
          </w:p>
        </w:tc>
        <w:tc>
          <w:tcPr>
            <w:tcW w:w="120" w:type="dxa"/>
            <w:vAlign w:val="bottom"/>
          </w:tcPr>
          <w:p>
            <w:pPr>
              <w:spacing w:after="0"/>
              <w:rPr>
                <w:sz w:val="6"/>
                <w:szCs w:val="6"/>
                <w:color w:val="auto"/>
              </w:rPr>
            </w:pPr>
          </w:p>
        </w:tc>
        <w:tc>
          <w:tcPr>
            <w:tcW w:w="2020" w:type="dxa"/>
            <w:vAlign w:val="bottom"/>
          </w:tcPr>
          <w:p>
            <w:pPr>
              <w:spacing w:after="0"/>
              <w:rPr>
                <w:sz w:val="6"/>
                <w:szCs w:val="6"/>
                <w:color w:val="auto"/>
              </w:rPr>
            </w:pPr>
          </w:p>
        </w:tc>
        <w:tc>
          <w:tcPr>
            <w:tcW w:w="14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131"/>
        </w:trPr>
        <w:tc>
          <w:tcPr>
            <w:tcW w:w="140" w:type="dxa"/>
            <w:vAlign w:val="bottom"/>
          </w:tcPr>
          <w:p>
            <w:pPr>
              <w:spacing w:after="0"/>
              <w:rPr>
                <w:sz w:val="11"/>
                <w:szCs w:val="11"/>
                <w:color w:val="auto"/>
              </w:rPr>
            </w:pPr>
          </w:p>
        </w:tc>
        <w:tc>
          <w:tcPr>
            <w:tcW w:w="202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2020" w:type="dxa"/>
            <w:vAlign w:val="bottom"/>
            <w:shd w:val="clear" w:color="auto" w:fill="F0F5FF"/>
          </w:tcPr>
          <w:p>
            <w:pPr>
              <w:spacing w:after="0"/>
              <w:rPr>
                <w:sz w:val="11"/>
                <w:szCs w:val="11"/>
                <w:color w:val="auto"/>
              </w:rPr>
            </w:pPr>
          </w:p>
        </w:tc>
        <w:tc>
          <w:tcPr>
            <w:tcW w:w="120" w:type="dxa"/>
            <w:vAlign w:val="bottom"/>
          </w:tcPr>
          <w:p>
            <w:pPr>
              <w:spacing w:after="0"/>
              <w:rPr>
                <w:sz w:val="11"/>
                <w:szCs w:val="11"/>
                <w:color w:val="auto"/>
              </w:rPr>
            </w:pPr>
          </w:p>
        </w:tc>
        <w:tc>
          <w:tcPr>
            <w:tcW w:w="2020" w:type="dxa"/>
            <w:vAlign w:val="bottom"/>
            <w:shd w:val="clear" w:color="auto" w:fill="F0F5FF"/>
          </w:tcPr>
          <w:p>
            <w:pPr>
              <w:spacing w:after="0"/>
              <w:rPr>
                <w:sz w:val="11"/>
                <w:szCs w:val="11"/>
                <w:color w:val="auto"/>
              </w:rPr>
            </w:pPr>
          </w:p>
        </w:tc>
        <w:tc>
          <w:tcPr>
            <w:tcW w:w="1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475"/>
        </w:trPr>
        <w:tc>
          <w:tcPr>
            <w:tcW w:w="140" w:type="dxa"/>
            <w:vAlign w:val="bottom"/>
          </w:tcPr>
          <w:p>
            <w:pPr>
              <w:spacing w:after="0"/>
              <w:rPr>
                <w:sz w:val="24"/>
                <w:szCs w:val="24"/>
                <w:color w:val="auto"/>
              </w:rPr>
            </w:pPr>
          </w:p>
        </w:tc>
        <w:tc>
          <w:tcPr>
            <w:tcW w:w="2020" w:type="dxa"/>
            <w:vAlign w:val="bottom"/>
            <w:shd w:val="clear" w:color="auto" w:fill="005AFF"/>
          </w:tcPr>
          <w:p>
            <w:pPr>
              <w:spacing w:after="0"/>
              <w:rPr>
                <w:sz w:val="24"/>
                <w:szCs w:val="24"/>
                <w:color w:val="auto"/>
              </w:rPr>
            </w:pPr>
          </w:p>
        </w:tc>
        <w:tc>
          <w:tcPr>
            <w:tcW w:w="140" w:type="dxa"/>
            <w:vAlign w:val="bottom"/>
          </w:tcPr>
          <w:p>
            <w:pPr>
              <w:spacing w:after="0"/>
              <w:rPr>
                <w:sz w:val="24"/>
                <w:szCs w:val="24"/>
                <w:color w:val="auto"/>
              </w:rPr>
            </w:pPr>
          </w:p>
        </w:tc>
        <w:tc>
          <w:tcPr>
            <w:tcW w:w="2020" w:type="dxa"/>
            <w:vAlign w:val="bottom"/>
            <w:shd w:val="clear" w:color="auto" w:fill="005AFF"/>
          </w:tcPr>
          <w:p>
            <w:pPr>
              <w:spacing w:after="0"/>
              <w:rPr>
                <w:sz w:val="24"/>
                <w:szCs w:val="24"/>
                <w:color w:val="auto"/>
              </w:rPr>
            </w:pPr>
          </w:p>
        </w:tc>
        <w:tc>
          <w:tcPr>
            <w:tcW w:w="120" w:type="dxa"/>
            <w:vAlign w:val="bottom"/>
          </w:tcPr>
          <w:p>
            <w:pPr>
              <w:spacing w:after="0"/>
              <w:rPr>
                <w:sz w:val="24"/>
                <w:szCs w:val="24"/>
                <w:color w:val="auto"/>
              </w:rPr>
            </w:pPr>
          </w:p>
        </w:tc>
        <w:tc>
          <w:tcPr>
            <w:tcW w:w="202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p>
    <w:tbl>
      <w:tblPr>
        <w:tblLayout w:type="fixed"/>
        <w:tblInd w:w="140" w:type="dxa"/>
        <w:tblCellMar>
          <w:top w:w="0" w:type="dxa"/>
          <w:left w:w="0" w:type="dxa"/>
          <w:bottom w:w="0" w:type="dxa"/>
          <w:right w:w="0" w:type="dxa"/>
        </w:tblCellMar>
      </w:tblPr>
      <w:tr>
        <w:trPr>
          <w:trHeight w:val="213"/>
        </w:trPr>
        <w:tc>
          <w:tcPr>
            <w:tcW w:w="60" w:type="dxa"/>
            <w:vAlign w:val="bottom"/>
          </w:tcPr>
          <w:p>
            <w:pPr>
              <w:spacing w:after="0"/>
              <w:rPr>
                <w:sz w:val="18"/>
                <w:szCs w:val="18"/>
                <w:color w:val="auto"/>
              </w:rPr>
            </w:pPr>
          </w:p>
        </w:tc>
        <w:tc>
          <w:tcPr>
            <w:tcW w:w="1960" w:type="dxa"/>
            <w:vAlign w:val="bottom"/>
            <w:shd w:val="clear" w:color="auto" w:fill="005AFF"/>
          </w:tcPr>
          <w:p>
            <w:pPr>
              <w:ind w:left="40"/>
              <w:spacing w:after="0"/>
              <w:rPr>
                <w:sz w:val="20"/>
                <w:szCs w:val="20"/>
                <w:color w:val="auto"/>
              </w:rPr>
            </w:pPr>
            <w:r>
              <w:rPr>
                <w:rFonts w:ascii="Times New Roman" w:cs="Times New Roman" w:eastAsia="Times New Roman" w:hAnsi="Times New Roman"/>
                <w:sz w:val="16"/>
                <w:szCs w:val="16"/>
                <w:color w:val="FFFFFF"/>
              </w:rPr>
              <w:t>Bridging the digital divide</w:t>
            </w:r>
          </w:p>
        </w:tc>
        <w:tc>
          <w:tcPr>
            <w:tcW w:w="200" w:type="dxa"/>
            <w:vAlign w:val="bottom"/>
          </w:tcPr>
          <w:p>
            <w:pPr>
              <w:spacing w:after="0"/>
              <w:rPr>
                <w:sz w:val="18"/>
                <w:szCs w:val="18"/>
                <w:color w:val="auto"/>
              </w:rPr>
            </w:pPr>
          </w:p>
        </w:tc>
        <w:tc>
          <w:tcPr>
            <w:tcW w:w="1960" w:type="dxa"/>
            <w:vAlign w:val="bottom"/>
            <w:shd w:val="clear" w:color="auto" w:fill="005AFF"/>
          </w:tcPr>
          <w:p>
            <w:pPr>
              <w:ind w:left="40"/>
              <w:spacing w:after="0"/>
              <w:rPr>
                <w:sz w:val="20"/>
                <w:szCs w:val="20"/>
                <w:color w:val="auto"/>
              </w:rPr>
            </w:pPr>
            <w:r>
              <w:rPr>
                <w:rFonts w:ascii="Times New Roman" w:cs="Times New Roman" w:eastAsia="Times New Roman" w:hAnsi="Times New Roman"/>
                <w:sz w:val="16"/>
                <w:szCs w:val="16"/>
                <w:color w:val="FFFFFF"/>
              </w:rPr>
              <w:t>Responsible business</w:t>
            </w:r>
          </w:p>
        </w:tc>
      </w:tr>
      <w:tr>
        <w:trPr>
          <w:trHeight w:val="195"/>
        </w:trPr>
        <w:tc>
          <w:tcPr>
            <w:tcW w:w="60" w:type="dxa"/>
            <w:vAlign w:val="bottom"/>
          </w:tcPr>
          <w:p>
            <w:pPr>
              <w:spacing w:after="0"/>
              <w:rPr>
                <w:sz w:val="16"/>
                <w:szCs w:val="16"/>
                <w:color w:val="auto"/>
              </w:rPr>
            </w:pPr>
          </w:p>
        </w:tc>
        <w:tc>
          <w:tcPr>
            <w:tcW w:w="19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We are a bridge for digital inclusion</w:t>
            </w:r>
          </w:p>
        </w:tc>
        <w:tc>
          <w:tcPr>
            <w:tcW w:w="200" w:type="dxa"/>
            <w:vAlign w:val="bottom"/>
          </w:tcPr>
          <w:p>
            <w:pPr>
              <w:spacing w:after="0"/>
              <w:rPr>
                <w:sz w:val="16"/>
                <w:szCs w:val="16"/>
                <w:color w:val="auto"/>
              </w:rPr>
            </w:pPr>
          </w:p>
        </w:tc>
        <w:tc>
          <w:tcPr>
            <w:tcW w:w="19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Take a proactive and values-driven</w:t>
            </w:r>
          </w:p>
        </w:tc>
      </w:tr>
      <w:tr>
        <w:trPr>
          <w:trHeight w:val="121"/>
        </w:trPr>
        <w:tc>
          <w:tcPr>
            <w:tcW w:w="60" w:type="dxa"/>
            <w:vAlign w:val="bottom"/>
          </w:tcPr>
          <w:p>
            <w:pPr>
              <w:spacing w:after="0"/>
              <w:rPr>
                <w:sz w:val="10"/>
                <w:szCs w:val="10"/>
                <w:color w:val="auto"/>
              </w:rPr>
            </w:pPr>
          </w:p>
        </w:tc>
        <w:tc>
          <w:tcPr>
            <w:tcW w:w="1960" w:type="dxa"/>
            <w:vAlign w:val="bottom"/>
          </w:tcPr>
          <w:p>
            <w:pPr>
              <w:ind w:left="40"/>
              <w:spacing w:after="0" w:line="122" w:lineRule="exact"/>
              <w:rPr>
                <w:sz w:val="20"/>
                <w:szCs w:val="20"/>
                <w:color w:val="auto"/>
              </w:rPr>
            </w:pPr>
            <w:r>
              <w:rPr>
                <w:rFonts w:ascii="Times New Roman" w:cs="Times New Roman" w:eastAsia="Times New Roman" w:hAnsi="Times New Roman"/>
                <w:sz w:val="11"/>
                <w:szCs w:val="11"/>
                <w:color w:val="auto"/>
              </w:rPr>
              <w:t>through our connectivity and digital</w:t>
            </w:r>
          </w:p>
        </w:tc>
        <w:tc>
          <w:tcPr>
            <w:tcW w:w="200" w:type="dxa"/>
            <w:vAlign w:val="bottom"/>
          </w:tcPr>
          <w:p>
            <w:pPr>
              <w:spacing w:after="0"/>
              <w:rPr>
                <w:sz w:val="10"/>
                <w:szCs w:val="10"/>
                <w:color w:val="auto"/>
              </w:rPr>
            </w:pPr>
          </w:p>
        </w:tc>
        <w:tc>
          <w:tcPr>
            <w:tcW w:w="1960" w:type="dxa"/>
            <w:vAlign w:val="bottom"/>
          </w:tcPr>
          <w:p>
            <w:pPr>
              <w:ind w:left="40"/>
              <w:spacing w:after="0" w:line="122" w:lineRule="exact"/>
              <w:rPr>
                <w:sz w:val="20"/>
                <w:szCs w:val="20"/>
                <w:color w:val="auto"/>
              </w:rPr>
            </w:pPr>
            <w:r>
              <w:rPr>
                <w:rFonts w:ascii="Times New Roman" w:cs="Times New Roman" w:eastAsia="Times New Roman" w:hAnsi="Times New Roman"/>
                <w:sz w:val="11"/>
                <w:szCs w:val="11"/>
                <w:color w:val="auto"/>
              </w:rPr>
              <w:t>role in driving responsible business</w:t>
            </w:r>
          </w:p>
        </w:tc>
      </w:tr>
      <w:tr>
        <w:trPr>
          <w:trHeight w:val="111"/>
        </w:trPr>
        <w:tc>
          <w:tcPr>
            <w:tcW w:w="60" w:type="dxa"/>
            <w:vAlign w:val="bottom"/>
          </w:tcPr>
          <w:p>
            <w:pPr>
              <w:spacing w:after="0"/>
              <w:rPr>
                <w:sz w:val="9"/>
                <w:szCs w:val="9"/>
                <w:color w:val="auto"/>
              </w:rPr>
            </w:pPr>
          </w:p>
        </w:tc>
        <w:tc>
          <w:tcPr>
            <w:tcW w:w="1960" w:type="dxa"/>
            <w:vAlign w:val="bottom"/>
          </w:tcPr>
          <w:p>
            <w:pPr>
              <w:ind w:left="40"/>
              <w:spacing w:after="0" w:line="112" w:lineRule="exact"/>
              <w:rPr>
                <w:sz w:val="20"/>
                <w:szCs w:val="20"/>
                <w:color w:val="auto"/>
              </w:rPr>
            </w:pPr>
            <w:r>
              <w:rPr>
                <w:rFonts w:ascii="Times New Roman" w:cs="Times New Roman" w:eastAsia="Times New Roman" w:hAnsi="Times New Roman"/>
                <w:sz w:val="11"/>
                <w:szCs w:val="11"/>
                <w:color w:val="auto"/>
              </w:rPr>
              <w:t>skill building solutions</w:t>
            </w:r>
          </w:p>
        </w:tc>
        <w:tc>
          <w:tcPr>
            <w:tcW w:w="200" w:type="dxa"/>
            <w:vAlign w:val="bottom"/>
          </w:tcPr>
          <w:p>
            <w:pPr>
              <w:spacing w:after="0"/>
              <w:rPr>
                <w:sz w:val="9"/>
                <w:szCs w:val="9"/>
                <w:color w:val="auto"/>
              </w:rPr>
            </w:pPr>
          </w:p>
        </w:tc>
        <w:tc>
          <w:tcPr>
            <w:tcW w:w="1960" w:type="dxa"/>
            <w:vAlign w:val="bottom"/>
          </w:tcPr>
          <w:p>
            <w:pPr>
              <w:ind w:left="40"/>
              <w:spacing w:after="0" w:line="112" w:lineRule="exact"/>
              <w:rPr>
                <w:sz w:val="20"/>
                <w:szCs w:val="20"/>
                <w:color w:val="auto"/>
              </w:rPr>
            </w:pPr>
            <w:r>
              <w:rPr>
                <w:rFonts w:ascii="Times New Roman" w:cs="Times New Roman" w:eastAsia="Times New Roman" w:hAnsi="Times New Roman"/>
                <w:sz w:val="11"/>
                <w:szCs w:val="11"/>
                <w:color w:val="auto"/>
              </w:rPr>
              <w:t>practices internally and in our</w:t>
            </w:r>
          </w:p>
        </w:tc>
      </w:tr>
      <w:tr>
        <w:trPr>
          <w:trHeight w:val="140"/>
        </w:trPr>
        <w:tc>
          <w:tcPr>
            <w:tcW w:w="60" w:type="dxa"/>
            <w:vAlign w:val="bottom"/>
          </w:tcPr>
          <w:p>
            <w:pPr>
              <w:spacing w:after="0"/>
              <w:rPr>
                <w:sz w:val="12"/>
                <w:szCs w:val="12"/>
                <w:color w:val="auto"/>
              </w:rPr>
            </w:pPr>
          </w:p>
        </w:tc>
        <w:tc>
          <w:tcPr>
            <w:tcW w:w="1960" w:type="dxa"/>
            <w:vAlign w:val="bottom"/>
          </w:tcPr>
          <w:p>
            <w:pPr>
              <w:spacing w:after="0"/>
              <w:rPr>
                <w:sz w:val="12"/>
                <w:szCs w:val="12"/>
                <w:color w:val="auto"/>
              </w:rPr>
            </w:pPr>
          </w:p>
        </w:tc>
        <w:tc>
          <w:tcPr>
            <w:tcW w:w="200" w:type="dxa"/>
            <w:vAlign w:val="bottom"/>
          </w:tcPr>
          <w:p>
            <w:pPr>
              <w:spacing w:after="0"/>
              <w:rPr>
                <w:sz w:val="12"/>
                <w:szCs w:val="12"/>
                <w:color w:val="auto"/>
              </w:rPr>
            </w:pPr>
          </w:p>
        </w:tc>
        <w:tc>
          <w:tcPr>
            <w:tcW w:w="19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value chain</w:t>
            </w:r>
          </w:p>
        </w:tc>
      </w:tr>
      <w:tr>
        <w:trPr>
          <w:trHeight w:val="69"/>
        </w:trPr>
        <w:tc>
          <w:tcPr>
            <w:tcW w:w="60" w:type="dxa"/>
            <w:vAlign w:val="bottom"/>
          </w:tcPr>
          <w:p>
            <w:pPr>
              <w:spacing w:after="0"/>
              <w:rPr>
                <w:sz w:val="6"/>
                <w:szCs w:val="6"/>
                <w:color w:val="auto"/>
              </w:rPr>
            </w:pPr>
          </w:p>
        </w:tc>
        <w:tc>
          <w:tcPr>
            <w:tcW w:w="1960" w:type="dxa"/>
            <w:vAlign w:val="bottom"/>
          </w:tcPr>
          <w:p>
            <w:pPr>
              <w:spacing w:after="0"/>
              <w:rPr>
                <w:sz w:val="6"/>
                <w:szCs w:val="6"/>
                <w:color w:val="auto"/>
              </w:rPr>
            </w:pPr>
          </w:p>
        </w:tc>
        <w:tc>
          <w:tcPr>
            <w:tcW w:w="200" w:type="dxa"/>
            <w:vAlign w:val="bottom"/>
          </w:tcPr>
          <w:p>
            <w:pPr>
              <w:spacing w:after="0"/>
              <w:rPr>
                <w:sz w:val="6"/>
                <w:szCs w:val="6"/>
                <w:color w:val="auto"/>
              </w:rPr>
            </w:pPr>
          </w:p>
        </w:tc>
        <w:tc>
          <w:tcPr>
            <w:tcW w:w="1960" w:type="dxa"/>
            <w:vAlign w:val="bottom"/>
          </w:tcPr>
          <w:p>
            <w:pPr>
              <w:spacing w:after="0"/>
              <w:rPr>
                <w:sz w:val="6"/>
                <w:szCs w:val="6"/>
                <w:color w:val="auto"/>
              </w:rPr>
            </w:pPr>
          </w:p>
        </w:tc>
      </w:tr>
      <w:tr>
        <w:trPr>
          <w:trHeight w:val="131"/>
        </w:trPr>
        <w:tc>
          <w:tcPr>
            <w:tcW w:w="60" w:type="dxa"/>
            <w:vAlign w:val="bottom"/>
            <w:shd w:val="clear" w:color="auto" w:fill="F0F5FF"/>
          </w:tcPr>
          <w:p>
            <w:pPr>
              <w:spacing w:after="0"/>
              <w:rPr>
                <w:sz w:val="11"/>
                <w:szCs w:val="11"/>
                <w:color w:val="auto"/>
              </w:rPr>
            </w:pPr>
          </w:p>
        </w:tc>
        <w:tc>
          <w:tcPr>
            <w:tcW w:w="1960" w:type="dxa"/>
            <w:vAlign w:val="bottom"/>
            <w:shd w:val="clear" w:color="auto" w:fill="F0F5FF"/>
          </w:tcPr>
          <w:p>
            <w:pPr>
              <w:spacing w:after="0"/>
              <w:rPr>
                <w:sz w:val="11"/>
                <w:szCs w:val="11"/>
                <w:color w:val="auto"/>
              </w:rPr>
            </w:pPr>
          </w:p>
        </w:tc>
        <w:tc>
          <w:tcPr>
            <w:tcW w:w="200" w:type="dxa"/>
            <w:vAlign w:val="bottom"/>
            <w:tcBorders>
              <w:right w:val="single" w:sz="8" w:color="F0F5FF"/>
            </w:tcBorders>
          </w:tcPr>
          <w:p>
            <w:pPr>
              <w:spacing w:after="0"/>
              <w:rPr>
                <w:sz w:val="11"/>
                <w:szCs w:val="11"/>
                <w:color w:val="auto"/>
              </w:rPr>
            </w:pPr>
          </w:p>
        </w:tc>
        <w:tc>
          <w:tcPr>
            <w:tcW w:w="1960" w:type="dxa"/>
            <w:vAlign w:val="bottom"/>
            <w:shd w:val="clear" w:color="auto" w:fill="F0F5FF"/>
          </w:tcPr>
          <w:p>
            <w:pPr>
              <w:spacing w:after="0"/>
              <w:rPr>
                <w:sz w:val="11"/>
                <w:szCs w:val="11"/>
                <w:color w:val="auto"/>
              </w:rPr>
            </w:pPr>
          </w:p>
        </w:tc>
      </w:tr>
    </w:tbl>
    <w:p>
      <w:pPr>
        <w:sectPr>
          <w:pgSz w:w="11900" w:h="16838" w:orient="portrait"/>
          <w:cols w:equalWidth="0" w:num="2">
            <w:col w:w="2680" w:space="720"/>
            <w:col w:w="6600"/>
          </w:cols>
          <w:pgMar w:left="960" w:top="409" w:right="939" w:bottom="1440" w:gutter="0" w:footer="0" w:header="0"/>
          <w:type w:val="continuous"/>
        </w:sectPr>
      </w:pPr>
    </w:p>
    <w:bookmarkStart w:id="93" w:name="page94"/>
    <w:bookmarkEnd w:id="93"/>
    <w:p>
      <w:pPr>
        <w:spacing w:after="0" w:line="1" w:lineRule="exact"/>
        <w:rPr>
          <w:sz w:val="20"/>
          <w:szCs w:val="20"/>
          <w:color w:val="auto"/>
        </w:rPr>
      </w:pP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24" w:lineRule="exact"/>
        <w:rPr>
          <w:sz w:val="20"/>
          <w:szCs w:val="20"/>
          <w:color w:val="auto"/>
        </w:rPr>
      </w:pPr>
    </w:p>
    <w:p>
      <w:pPr>
        <w:spacing w:after="0" w:line="267" w:lineRule="auto"/>
        <w:rPr>
          <w:sz w:val="20"/>
          <w:szCs w:val="20"/>
          <w:color w:val="auto"/>
        </w:rPr>
      </w:pPr>
      <w:r>
        <w:rPr>
          <w:rFonts w:ascii="Times New Roman" w:cs="Times New Roman" w:eastAsia="Times New Roman" w:hAnsi="Times New Roman"/>
          <w:sz w:val="11"/>
          <w:szCs w:val="11"/>
          <w:color w:val="auto"/>
          <w:highlight w:val="white"/>
        </w:rPr>
        <w:t xml:space="preserve">For the </w:t>
      </w:r>
      <w:r>
        <w:rPr>
          <w:rFonts w:ascii="Times New Roman" w:cs="Times New Roman" w:eastAsia="Times New Roman" w:hAnsi="Times New Roman"/>
          <w:sz w:val="11"/>
          <w:szCs w:val="11"/>
          <w:b w:val="1"/>
          <w:bCs w:val="1"/>
          <w:color w:val="auto"/>
          <w:highlight w:val="white"/>
        </w:rPr>
        <w:t>environment</w:t>
      </w:r>
      <w:r>
        <w:rPr>
          <w:rFonts w:ascii="Times New Roman" w:cs="Times New Roman" w:eastAsia="Times New Roman" w:hAnsi="Times New Roman"/>
          <w:sz w:val="11"/>
          <w:szCs w:val="11"/>
          <w:color w:val="auto"/>
          <w:highlight w:val="white"/>
        </w:rPr>
        <w:t xml:space="preserve"> , </w:t>
      </w:r>
      <w:r>
        <w:rPr>
          <w:rFonts w:ascii="Times New Roman" w:cs="Times New Roman" w:eastAsia="Times New Roman" w:hAnsi="Times New Roman"/>
          <w:sz w:val="11"/>
          <w:szCs w:val="11"/>
          <w:color w:val="auto"/>
        </w:rPr>
        <w:t>we emphasize two areas: climate and</w:t>
      </w:r>
      <w:r>
        <w:rPr>
          <w:rFonts w:ascii="Times New Roman" w:cs="Times New Roman" w:eastAsia="Times New Roman" w:hAnsi="Times New Roman"/>
          <w:sz w:val="11"/>
          <w:szCs w:val="11"/>
          <w:color w:val="auto"/>
          <w:highlight w:val="white"/>
        </w:rPr>
        <w:t xml:space="preserve"> </w:t>
      </w:r>
      <w:r>
        <w:rPr>
          <w:rFonts w:ascii="Times New Roman" w:cs="Times New Roman" w:eastAsia="Times New Roman" w:hAnsi="Times New Roman"/>
          <w:sz w:val="11"/>
          <w:szCs w:val="11"/>
          <w:color w:val="auto"/>
        </w:rPr>
        <w:t>circularity. For climate, we look to be the leader in energy efficiency in silicon, software, and systems, providing the networks and operations skills to scale smart energy solutions. We also intend to accelerate our first mover ambition in energy efficiency in 5G-Advanced and 6G through early engagement in standardization and ecosystem development. For circularity, we focus on opportunities to promote hardware circularity and manage the sourcing and reuse of key source materials.</w:t>
      </w:r>
    </w:p>
    <w:p>
      <w:pPr>
        <w:spacing w:after="0" w:line="58" w:lineRule="exact"/>
        <w:rPr>
          <w:sz w:val="20"/>
          <w:szCs w:val="20"/>
          <w:color w:val="auto"/>
        </w:rPr>
      </w:pPr>
    </w:p>
    <w:p>
      <w:pPr>
        <w:ind w:right="120"/>
        <w:spacing w:after="0" w:line="257" w:lineRule="auto"/>
        <w:rPr>
          <w:sz w:val="20"/>
          <w:szCs w:val="20"/>
          <w:color w:val="auto"/>
        </w:rPr>
      </w:pPr>
      <w:r>
        <w:rPr>
          <w:rFonts w:ascii="Times New Roman" w:cs="Times New Roman" w:eastAsia="Times New Roman" w:hAnsi="Times New Roman"/>
          <w:sz w:val="11"/>
          <w:szCs w:val="11"/>
          <w:b w:val="1"/>
          <w:bCs w:val="1"/>
          <w:color w:val="auto"/>
          <w:highlight w:val="white"/>
        </w:rPr>
        <w:t xml:space="preserve">Industrial digitalization </w:t>
      </w:r>
      <w:r>
        <w:rPr>
          <w:sz w:val="1"/>
          <w:szCs w:val="1"/>
          <w:color w:val="auto"/>
        </w:rPr>
        <w:drawing>
          <wp:inline distT="0" distB="0" distL="0" distR="0">
            <wp:extent cx="19050" cy="7683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extLst>
                    </a:blip>
                    <a:srcRect/>
                    <a:stretch>
                      <a:fillRect/>
                    </a:stretch>
                  </pic:blipFill>
                  <pic:spPr bwMode="auto">
                    <a:xfrm>
                      <a:off x="0" y="0"/>
                      <a:ext cx="19050" cy="76835"/>
                    </a:xfrm>
                    <a:prstGeom prst="rect">
                      <a:avLst/>
                    </a:prstGeom>
                    <a:noFill/>
                    <a:ln>
                      <a:noFill/>
                    </a:ln>
                  </pic:spPr>
                </pic:pic>
              </a:graphicData>
            </a:graphic>
          </wp:inline>
        </w:drawing>
      </w:r>
      <w:r>
        <w:rPr>
          <w:rFonts w:ascii="Times New Roman" w:cs="Times New Roman" w:eastAsia="Times New Roman" w:hAnsi="Times New Roman"/>
          <w:sz w:val="11"/>
          <w:szCs w:val="11"/>
          <w:color w:val="auto"/>
        </w:rPr>
        <w:t>provides the opportunity to sustainably transform physical industries and cities through digitalization and connectivity. Our offering for industries and cities can enable decarbonization, resource efficiency, and improved safety. We are excited by the opportunities in digitalization enablement, cloud-based service delivery and partnership-driven use case solutions to enable net zero</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key industries.</w:t>
      </w:r>
    </w:p>
    <w:p>
      <w:pPr>
        <w:spacing w:after="0" w:line="87" w:lineRule="exact"/>
        <w:rPr>
          <w:sz w:val="20"/>
          <w:szCs w:val="20"/>
          <w:color w:val="auto"/>
        </w:rPr>
      </w:pPr>
    </w:p>
    <w:p>
      <w:pPr>
        <w:ind w:right="80"/>
        <w:spacing w:after="0" w:line="269" w:lineRule="auto"/>
        <w:rPr>
          <w:sz w:val="20"/>
          <w:szCs w:val="20"/>
          <w:color w:val="auto"/>
        </w:rPr>
      </w:pPr>
      <w:r>
        <w:rPr>
          <w:rFonts w:ascii="Times New Roman" w:cs="Times New Roman" w:eastAsia="Times New Roman" w:hAnsi="Times New Roman"/>
          <w:sz w:val="11"/>
          <w:szCs w:val="11"/>
          <w:b w:val="1"/>
          <w:bCs w:val="1"/>
          <w:color w:val="auto"/>
          <w:highlight w:val="white"/>
        </w:rPr>
        <w:t xml:space="preserve">Security and privacy </w:t>
      </w:r>
      <w:r>
        <w:rPr>
          <w:rFonts w:ascii="Times New Roman" w:cs="Times New Roman" w:eastAsia="Times New Roman" w:hAnsi="Times New Roman"/>
          <w:sz w:val="11"/>
          <w:szCs w:val="11"/>
          <w:color w:val="auto"/>
        </w:rPr>
        <w:t>are positioned as the cornerstone of</w:t>
      </w:r>
      <w:r>
        <w:rPr>
          <w:rFonts w:ascii="Times New Roman" w:cs="Times New Roman" w:eastAsia="Times New Roman" w:hAnsi="Times New Roman"/>
          <w:sz w:val="11"/>
          <w:szCs w:val="11"/>
          <w:b w:val="1"/>
          <w:bCs w:val="1"/>
          <w:color w:val="auto"/>
          <w:highlight w:val="white"/>
        </w:rPr>
        <w:t xml:space="preserve"> </w:t>
      </w:r>
      <w:r>
        <w:rPr>
          <w:rFonts w:ascii="Times New Roman" w:cs="Times New Roman" w:eastAsia="Times New Roman" w:hAnsi="Times New Roman"/>
          <w:sz w:val="11"/>
          <w:szCs w:val="11"/>
          <w:color w:val="auto"/>
          <w:highlight w:val="white"/>
        </w:rPr>
        <w:t>our product proposition. Product development follows the “Design for Security” methodology, and Nokia’s security team partners with our customers to build and maintain secure networks, compliant with national regulations for critical telecom infrastructure.</w:t>
      </w:r>
    </w:p>
    <w:p>
      <w:pPr>
        <w:spacing w:after="0" w:line="49" w:lineRule="exact"/>
        <w:rPr>
          <w:sz w:val="20"/>
          <w:szCs w:val="20"/>
          <w:color w:val="auto"/>
        </w:rPr>
      </w:pPr>
    </w:p>
    <w:p>
      <w:pPr>
        <w:ind w:right="20"/>
        <w:spacing w:after="0" w:line="260" w:lineRule="auto"/>
        <w:rPr>
          <w:sz w:val="20"/>
          <w:szCs w:val="20"/>
          <w:color w:val="auto"/>
        </w:rPr>
      </w:pPr>
      <w:r>
        <w:rPr>
          <w:rFonts w:ascii="Times New Roman" w:cs="Times New Roman" w:eastAsia="Times New Roman" w:hAnsi="Times New Roman"/>
          <w:sz w:val="11"/>
          <w:szCs w:val="11"/>
          <w:color w:val="auto"/>
          <w:highlight w:val="white"/>
        </w:rPr>
        <w:t xml:space="preserve">We aim to </w:t>
      </w:r>
      <w:r>
        <w:rPr>
          <w:rFonts w:ascii="Times New Roman" w:cs="Times New Roman" w:eastAsia="Times New Roman" w:hAnsi="Times New Roman"/>
          <w:sz w:val="11"/>
          <w:szCs w:val="11"/>
          <w:b w:val="1"/>
          <w:bCs w:val="1"/>
          <w:color w:val="auto"/>
          <w:highlight w:val="white"/>
        </w:rPr>
        <w:t xml:space="preserve">bridge the digital divide </w:t>
      </w:r>
      <w:r>
        <w:rPr>
          <w:sz w:val="1"/>
          <w:szCs w:val="1"/>
          <w:color w:val="auto"/>
        </w:rPr>
        <w:drawing>
          <wp:inline distT="0" distB="0" distL="0" distR="0">
            <wp:extent cx="19050" cy="8318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extLst>
                    </a:blip>
                    <a:srcRect/>
                    <a:stretch>
                      <a:fillRect/>
                    </a:stretch>
                  </pic:blipFill>
                  <pic:spPr bwMode="auto">
                    <a:xfrm>
                      <a:off x="0" y="0"/>
                      <a:ext cx="19050" cy="83185"/>
                    </a:xfrm>
                    <a:prstGeom prst="rect">
                      <a:avLst/>
                    </a:prstGeom>
                    <a:noFill/>
                    <a:ln>
                      <a:noFill/>
                    </a:ln>
                  </pic:spPr>
                </pic:pic>
              </a:graphicData>
            </a:graphic>
          </wp:inline>
        </w:drawing>
      </w:r>
      <w:r>
        <w:rPr>
          <w:rFonts w:ascii="Times New Roman" w:cs="Times New Roman" w:eastAsia="Times New Roman" w:hAnsi="Times New Roman"/>
          <w:sz w:val="11"/>
          <w:szCs w:val="11"/>
          <w:color w:val="auto"/>
        </w:rPr>
        <w:t>using our broad product portfolio across terrestrial and non-terrestrial networks and focused partnering to address different demographics through digital skill building. Connectivity, combined with digital skills, enables increased equality of access to healthcare, education and employment for individuals and the opportunity to participate in the digital economy for small businesses.</w:t>
      </w:r>
    </w:p>
    <w:p>
      <w:pPr>
        <w:spacing w:after="0" w:line="54"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 xml:space="preserve">In </w:t>
      </w:r>
      <w:r>
        <w:rPr>
          <w:rFonts w:ascii="Times New Roman" w:cs="Times New Roman" w:eastAsia="Times New Roman" w:hAnsi="Times New Roman"/>
          <w:sz w:val="11"/>
          <w:szCs w:val="11"/>
          <w:b w:val="1"/>
          <w:bCs w:val="1"/>
          <w:color w:val="auto"/>
          <w:highlight w:val="white"/>
        </w:rPr>
        <w:t>responsible business</w:t>
      </w:r>
      <w:r>
        <w:rPr>
          <w:rFonts w:ascii="Times New Roman" w:cs="Times New Roman" w:eastAsia="Times New Roman" w:hAnsi="Times New Roman"/>
          <w:sz w:val="11"/>
          <w:szCs w:val="11"/>
          <w:color w:val="auto"/>
        </w:rPr>
        <w:t xml:space="preserve"> we work to ensure our business practices are aligned to our ethical and responsible values across our value chain. We collaborate closely with customers and suppliers to engage on systemic issues related to the environment, health and safety, mitigating the misuse of technology (and advocating for responsible AI principles), ethics, human rights and working conditions, as well as focusing on diversity, equity and inclusion in Nokia’s own workforce.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86</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3"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6"/>
          <w:szCs w:val="16"/>
          <w:color w:val="005AFF"/>
        </w:rPr>
        <w:t>Our materiality matrix</w:t>
      </w:r>
    </w:p>
    <w:p>
      <w:pPr>
        <w:spacing w:after="0" w:line="36" w:lineRule="exact"/>
        <w:rPr>
          <w:sz w:val="20"/>
          <w:szCs w:val="20"/>
          <w:color w:val="auto"/>
        </w:rPr>
      </w:pPr>
    </w:p>
    <w:p>
      <w:pPr>
        <w:ind w:left="140" w:right="980"/>
        <w:spacing w:after="0" w:line="275" w:lineRule="auto"/>
        <w:rPr>
          <w:sz w:val="20"/>
          <w:szCs w:val="20"/>
          <w:color w:val="auto"/>
        </w:rPr>
      </w:pPr>
      <w:r>
        <w:rPr>
          <w:rFonts w:ascii="Times New Roman" w:cs="Times New Roman" w:eastAsia="Times New Roman" w:hAnsi="Times New Roman"/>
          <w:sz w:val="11"/>
          <w:szCs w:val="11"/>
          <w:color w:val="auto"/>
        </w:rPr>
        <w:t>In 2023, our sustainability approach was based on our existing impact materiality assessment, which was completed in 2022. The following diagram shows the top-right quadrant of the impact materiality assessment matrix, which displays the topics identified through the assessment as most relevant to our business and stakeholders, the economy and the environment in 2023. Of these, the most important topics for Nokia are:</w:t>
      </w:r>
    </w:p>
    <w:p>
      <w:pPr>
        <w:spacing w:after="0" w:line="47" w:lineRule="exact"/>
        <w:rPr>
          <w:sz w:val="20"/>
          <w:szCs w:val="20"/>
          <w:color w:val="auto"/>
        </w:rPr>
      </w:pPr>
    </w:p>
    <w:p>
      <w:pPr>
        <w:ind w:left="320" w:hanging="166"/>
        <w:spacing w:after="0"/>
        <w:tabs>
          <w:tab w:leader="none" w:pos="320" w:val="left"/>
        </w:tabs>
        <w:numPr>
          <w:ilvl w:val="0"/>
          <w:numId w:val="6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Climate impact through products</w:t>
      </w:r>
    </w:p>
    <w:p>
      <w:pPr>
        <w:spacing w:after="0" w:line="21" w:lineRule="exact"/>
        <w:rPr>
          <w:rFonts w:ascii="Times New Roman" w:cs="Times New Roman" w:eastAsia="Times New Roman" w:hAnsi="Times New Roman"/>
          <w:sz w:val="11"/>
          <w:szCs w:val="11"/>
          <w:color w:val="005AFF"/>
        </w:rPr>
      </w:pPr>
    </w:p>
    <w:p>
      <w:pPr>
        <w:ind w:left="320" w:right="4740" w:hanging="166"/>
        <w:spacing w:after="0" w:line="262" w:lineRule="auto"/>
        <w:tabs>
          <w:tab w:leader="none" w:pos="320" w:val="left"/>
        </w:tabs>
        <w:numPr>
          <w:ilvl w:val="0"/>
          <w:numId w:val="6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Environmental impact through products and enabling transformation in other industries</w:t>
      </w:r>
    </w:p>
    <w:p>
      <w:pPr>
        <w:ind w:left="320" w:right="4560" w:hanging="166"/>
        <w:spacing w:after="0" w:line="259" w:lineRule="auto"/>
        <w:tabs>
          <w:tab w:leader="none" w:pos="320" w:val="left"/>
        </w:tabs>
        <w:numPr>
          <w:ilvl w:val="0"/>
          <w:numId w:val="6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Ethical business practices and ethical use of new technologies</w:t>
      </w:r>
    </w:p>
    <w:p>
      <w:pPr>
        <w:ind w:left="320" w:hanging="166"/>
        <w:spacing w:after="0"/>
        <w:tabs>
          <w:tab w:leader="none" w:pos="320" w:val="left"/>
        </w:tabs>
        <w:numPr>
          <w:ilvl w:val="0"/>
          <w:numId w:val="6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Privacy and security</w:t>
      </w:r>
    </w:p>
    <w:p>
      <w:pPr>
        <w:spacing w:after="0" w:line="10" w:lineRule="exact"/>
        <w:rPr>
          <w:rFonts w:ascii="Times New Roman" w:cs="Times New Roman" w:eastAsia="Times New Roman" w:hAnsi="Times New Roman"/>
          <w:sz w:val="11"/>
          <w:szCs w:val="11"/>
          <w:color w:val="005AFF"/>
        </w:rPr>
      </w:pPr>
    </w:p>
    <w:p>
      <w:pPr>
        <w:ind w:left="320" w:hanging="166"/>
        <w:spacing w:after="0"/>
        <w:tabs>
          <w:tab w:leader="none" w:pos="320" w:val="left"/>
        </w:tabs>
        <w:numPr>
          <w:ilvl w:val="0"/>
          <w:numId w:val="6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Responsible sourcing</w:t>
      </w:r>
    </w:p>
    <w:p>
      <w:pPr>
        <w:spacing w:after="0" w:line="145"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Climate, ethical business practices,</w:t>
      </w:r>
    </w:p>
    <w:p>
      <w:pPr>
        <w:spacing w:after="0" w:line="17"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and how Nokia’s products can enable</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change in other industries, cities and</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society continued to be among the</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most material topics. The most</w:t>
      </w:r>
    </w:p>
    <w:p>
      <w:pPr>
        <w:spacing w:after="0" w:line="15"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significant growth in importance</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among stakeholders was seen in</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privacy and security, responsible</w:t>
      </w:r>
    </w:p>
    <w:p>
      <w:pPr>
        <w:spacing w:after="0" w:line="10"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sourcing and circularity.</w:t>
      </w:r>
    </w:p>
    <w:p>
      <w:pPr>
        <w:sectPr>
          <w:pgSz w:w="11900" w:h="16838" w:orient="portrait"/>
          <w:cols w:equalWidth="0" w:num="2">
            <w:col w:w="2960" w:space="440"/>
            <w:col w:w="6580"/>
          </w:cols>
          <w:pgMar w:left="960" w:top="409" w:right="959" w:bottom="1440" w:gutter="0" w:footer="0" w:header="0"/>
        </w:sectPr>
      </w:pPr>
    </w:p>
    <w:bookmarkStart w:id="94" w:name="page95"/>
    <w:bookmarkEnd w:id="9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Sustainable Development Goals</w:t>
      </w:r>
    </w:p>
    <w:p>
      <w:pPr>
        <w:spacing w:after="0" w:line="46" w:lineRule="exact"/>
        <w:rPr>
          <w:sz w:val="20"/>
          <w:szCs w:val="20"/>
          <w:color w:val="auto"/>
        </w:rPr>
      </w:pPr>
    </w:p>
    <w:p>
      <w:pPr>
        <w:ind w:right="820"/>
        <w:spacing w:after="0" w:line="265" w:lineRule="auto"/>
        <w:rPr>
          <w:sz w:val="20"/>
          <w:szCs w:val="20"/>
          <w:color w:val="auto"/>
        </w:rPr>
      </w:pPr>
      <w:r>
        <w:rPr>
          <w:rFonts w:ascii="Times New Roman" w:cs="Times New Roman" w:eastAsia="Times New Roman" w:hAnsi="Times New Roman"/>
          <w:sz w:val="11"/>
          <w:szCs w:val="11"/>
          <w:color w:val="auto"/>
        </w:rPr>
        <w:t>The United Nations SDGs and their targets remain a key framework for our sustainability</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87</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1222" w:lineRule="exact"/>
        <w:rPr>
          <w:sz w:val="20"/>
          <w:szCs w:val="20"/>
          <w:color w:val="auto"/>
        </w:rPr>
      </w:pPr>
    </w:p>
    <w:p>
      <w:pPr>
        <w:sectPr>
          <w:pgSz w:w="11900" w:h="16838" w:orient="portrait"/>
          <w:cols w:equalWidth="0" w:num="2">
            <w:col w:w="2920" w:space="480"/>
            <w:col w:w="6580"/>
          </w:cols>
          <w:pgMar w:left="960" w:top="409" w:right="959" w:bottom="1440" w:gutter="0" w:footer="0" w:header="0"/>
        </w:sectPr>
      </w:pPr>
    </w:p>
    <w:p>
      <w:pPr>
        <w:jc w:val="both"/>
        <w:ind w:right="580"/>
        <w:spacing w:after="0" w:line="262" w:lineRule="auto"/>
        <w:rPr>
          <w:sz w:val="20"/>
          <w:szCs w:val="20"/>
          <w:color w:val="auto"/>
        </w:rPr>
      </w:pPr>
      <w:r>
        <w:rPr>
          <w:rFonts w:ascii="Times New Roman" w:cs="Times New Roman" w:eastAsia="Times New Roman" w:hAnsi="Times New Roman"/>
          <w:sz w:val="11"/>
          <w:szCs w:val="11"/>
          <w:color w:val="auto"/>
        </w:rPr>
        <w:t>work. SDGs 8, 9 and 13 are the most material for our business and reflect the areas in which we can have the greatest positive impact.</w:t>
      </w:r>
    </w:p>
    <w:p>
      <w:pPr>
        <w:ind w:right="480"/>
        <w:spacing w:after="0" w:line="266" w:lineRule="auto"/>
        <w:rPr>
          <w:sz w:val="20"/>
          <w:szCs w:val="20"/>
          <w:color w:val="auto"/>
        </w:rPr>
      </w:pPr>
      <w:r>
        <w:rPr>
          <w:rFonts w:ascii="Times New Roman" w:cs="Times New Roman" w:eastAsia="Times New Roman" w:hAnsi="Times New Roman"/>
          <w:sz w:val="11"/>
          <w:szCs w:val="11"/>
          <w:color w:val="auto"/>
        </w:rPr>
        <w:t>We believe that digitalization and enhanced connectivity will continue to play a critical role in accelerating and achieving all 17 SDGs. Here are examples of how the work we do actively contributes to our most material SDGs.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Promote inclusive and sustainable</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economic growth, employment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decent work</w:t>
      </w:r>
    </w:p>
    <w:p>
      <w:pPr>
        <w:spacing w:after="0" w:line="211"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In 2023, Nokia deployed the Rural Connect Solution in Middle East and Africa to connect the unconnected and bridge the coverage gap in remote areas of sub-Saharan Africa. The solution takes a new approach to evolving radio access network sites with a focus on reducing energy consumption. It incorporates baseband units with AirScale power rectifiers and long-lasting lithium batteries in a compact, portable package that can be installed almost anywhere.</w:t>
      </w:r>
    </w:p>
    <w:p>
      <w:pPr>
        <w:spacing w:after="0" w:line="203" w:lineRule="exact"/>
        <w:rPr>
          <w:sz w:val="20"/>
          <w:szCs w:val="20"/>
          <w:color w:val="auto"/>
        </w:rPr>
      </w:pPr>
    </w:p>
    <w:p>
      <w:pPr>
        <w:ind w:right="40"/>
        <w:spacing w:after="0" w:line="260" w:lineRule="auto"/>
        <w:rPr>
          <w:sz w:val="20"/>
          <w:szCs w:val="20"/>
          <w:color w:val="auto"/>
        </w:rPr>
      </w:pPr>
      <w:r>
        <w:rPr>
          <w:rFonts w:ascii="Times New Roman" w:cs="Times New Roman" w:eastAsia="Times New Roman" w:hAnsi="Times New Roman"/>
          <w:sz w:val="11"/>
          <w:szCs w:val="11"/>
          <w:color w:val="auto"/>
        </w:rPr>
        <w:t>Nokia is collaborating with UNICEF to bridge the digital divide by helping to improve digital education and training in schools in select parts of Senegal, West Africa. The principal beneficiaries are teachers, as well as middle school students in underserved areas. The scope of work includes specific sessions on digital skills, as well as upgrading equipment and connectivity.</w:t>
      </w:r>
    </w:p>
    <w:p>
      <w:pPr>
        <w:spacing w:after="0" w:line="20" w:lineRule="exact"/>
        <w:rPr>
          <w:sz w:val="20"/>
          <w:szCs w:val="20"/>
          <w:color w:val="auto"/>
        </w:rPr>
      </w:pPr>
      <w:r>
        <w:rPr>
          <w:sz w:val="20"/>
          <w:szCs w:val="20"/>
          <w:color w:val="auto"/>
        </w:rPr>
        <w:br w:type="column"/>
      </w:r>
    </w:p>
    <w:p>
      <w:pPr>
        <w:spacing w:after="0" w:line="92" w:lineRule="exact"/>
        <w:rPr>
          <w:sz w:val="20"/>
          <w:szCs w:val="20"/>
          <w:color w:val="auto"/>
        </w:rPr>
      </w:pPr>
    </w:p>
    <w:p>
      <w:pPr>
        <w:ind w:right="140"/>
        <w:spacing w:after="0" w:line="281" w:lineRule="auto"/>
        <w:rPr>
          <w:sz w:val="20"/>
          <w:szCs w:val="20"/>
          <w:color w:val="auto"/>
        </w:rPr>
      </w:pPr>
      <w:r>
        <w:rPr>
          <w:rFonts w:ascii="Times New Roman" w:cs="Times New Roman" w:eastAsia="Times New Roman" w:hAnsi="Times New Roman"/>
          <w:sz w:val="11"/>
          <w:szCs w:val="11"/>
          <w:b w:val="1"/>
          <w:bCs w:val="1"/>
          <w:color w:val="auto"/>
        </w:rPr>
        <w:t>Build resilient infrastructure, promote sustainable industrialization and foster innovation</w:t>
      </w:r>
    </w:p>
    <w:p>
      <w:pPr>
        <w:spacing w:after="0" w:line="175"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In 2023, Nokia partnered with DXC Technology, to launch DXC Signal Private LTE and 5G, a managed secure private wireless network and digitalization platform solution that helps industrial enterprises digitally transform their operations, especially in key market segments including manufacturing, energy, healthcare, logistics, transportation, and education.</w:t>
      </w:r>
    </w:p>
    <w:p>
      <w:pPr>
        <w:spacing w:after="0" w:line="203" w:lineRule="exact"/>
        <w:rPr>
          <w:sz w:val="20"/>
          <w:szCs w:val="20"/>
          <w:color w:val="auto"/>
        </w:rPr>
      </w:pPr>
    </w:p>
    <w:p>
      <w:pPr>
        <w:ind w:right="120"/>
        <w:spacing w:after="0" w:line="260" w:lineRule="auto"/>
        <w:rPr>
          <w:sz w:val="20"/>
          <w:szCs w:val="20"/>
          <w:color w:val="auto"/>
        </w:rPr>
      </w:pPr>
      <w:r>
        <w:rPr>
          <w:rFonts w:ascii="Times New Roman" w:cs="Times New Roman" w:eastAsia="Times New Roman" w:hAnsi="Times New Roman"/>
          <w:sz w:val="11"/>
          <w:szCs w:val="11"/>
          <w:color w:val="auto"/>
        </w:rPr>
        <w:t>During the year we also announced that we will work with US energy provider Xcel Energy to help modernize grid operations. The project will include the deployment of Nokia private LTE network technology, helping support secure, reliable data connectivity and new levels of automation. The network technologies will back a growing mix of renewable power sources for Xcel Energy and optimize the delivery of electricity to its millions of customers.</w:t>
      </w:r>
    </w:p>
    <w:p>
      <w:pPr>
        <w:spacing w:after="0" w:line="20" w:lineRule="exact"/>
        <w:rPr>
          <w:sz w:val="20"/>
          <w:szCs w:val="20"/>
          <w:color w:val="auto"/>
        </w:rPr>
      </w:pPr>
      <w:r>
        <w:rPr>
          <w:sz w:val="20"/>
          <w:szCs w:val="20"/>
          <w:color w:val="auto"/>
        </w:rPr>
        <w:br w:type="column"/>
      </w:r>
    </w:p>
    <w:p>
      <w:pPr>
        <w:spacing w:after="0" w:line="92" w:lineRule="exact"/>
        <w:rPr>
          <w:sz w:val="20"/>
          <w:szCs w:val="20"/>
          <w:color w:val="auto"/>
        </w:rPr>
      </w:pPr>
    </w:p>
    <w:p>
      <w:pPr>
        <w:ind w:right="140"/>
        <w:spacing w:after="0" w:line="294" w:lineRule="auto"/>
        <w:rPr>
          <w:sz w:val="20"/>
          <w:szCs w:val="20"/>
          <w:color w:val="auto"/>
        </w:rPr>
      </w:pPr>
      <w:r>
        <w:rPr>
          <w:rFonts w:ascii="Times New Roman" w:cs="Times New Roman" w:eastAsia="Times New Roman" w:hAnsi="Times New Roman"/>
          <w:sz w:val="11"/>
          <w:szCs w:val="11"/>
          <w:b w:val="1"/>
          <w:bCs w:val="1"/>
          <w:color w:val="auto"/>
        </w:rPr>
        <w:t>Take urgent action to combat climate change and its impacts</w:t>
      </w:r>
    </w:p>
    <w:p>
      <w:pPr>
        <w:spacing w:after="0" w:line="309" w:lineRule="exact"/>
        <w:rPr>
          <w:sz w:val="20"/>
          <w:szCs w:val="20"/>
          <w:color w:val="auto"/>
        </w:rPr>
      </w:pPr>
    </w:p>
    <w:p>
      <w:pPr>
        <w:ind w:right="40"/>
        <w:spacing w:after="0" w:line="254" w:lineRule="auto"/>
        <w:rPr>
          <w:sz w:val="20"/>
          <w:szCs w:val="20"/>
          <w:color w:val="auto"/>
        </w:rPr>
      </w:pPr>
      <w:r>
        <w:rPr>
          <w:rFonts w:ascii="Times New Roman" w:cs="Times New Roman" w:eastAsia="Times New Roman" w:hAnsi="Times New Roman"/>
          <w:sz w:val="11"/>
          <w:szCs w:val="11"/>
          <w:color w:val="auto"/>
        </w:rPr>
        <w:t>In 2023, Nokia announced a new update in its optics portfolio with the sixth-generation super-coherent photonic service engine, PSE-6s, which can reduce network power consumption in optical transport by up to 60% per bit. We also announced Habrok massive MIMO radios, which offer improved energy efficiency by using up to 30%</w:t>
      </w:r>
    </w:p>
    <w:p>
      <w:pPr>
        <w:spacing w:after="0" w:line="1" w:lineRule="exact"/>
        <w:rPr>
          <w:sz w:val="20"/>
          <w:szCs w:val="20"/>
          <w:color w:val="auto"/>
        </w:rPr>
      </w:pPr>
    </w:p>
    <w:p>
      <w:pPr>
        <w:ind w:right="340"/>
        <w:spacing w:after="0" w:line="267" w:lineRule="auto"/>
        <w:rPr>
          <w:sz w:val="20"/>
          <w:szCs w:val="20"/>
          <w:color w:val="auto"/>
        </w:rPr>
      </w:pPr>
      <w:r>
        <w:rPr>
          <w:rFonts w:ascii="Times New Roman" w:cs="Times New Roman" w:eastAsia="Times New Roman" w:hAnsi="Times New Roman"/>
          <w:sz w:val="11"/>
          <w:szCs w:val="11"/>
          <w:color w:val="auto"/>
        </w:rPr>
        <w:t>less energy through a combination of software, hardware and services.</w:t>
      </w:r>
    </w:p>
    <w:p>
      <w:pPr>
        <w:spacing w:after="0" w:line="50" w:lineRule="exact"/>
        <w:rPr>
          <w:sz w:val="20"/>
          <w:szCs w:val="20"/>
          <w:color w:val="auto"/>
        </w:rPr>
      </w:pPr>
    </w:p>
    <w:p>
      <w:pPr>
        <w:ind w:right="40"/>
        <w:spacing w:after="0" w:line="257" w:lineRule="auto"/>
        <w:rPr>
          <w:sz w:val="20"/>
          <w:szCs w:val="20"/>
          <w:color w:val="auto"/>
        </w:rPr>
      </w:pPr>
      <w:r>
        <w:rPr>
          <w:rFonts w:ascii="Times New Roman" w:cs="Times New Roman" w:eastAsia="Times New Roman" w:hAnsi="Times New Roman"/>
          <w:sz w:val="11"/>
          <w:szCs w:val="11"/>
          <w:color w:val="auto"/>
        </w:rPr>
        <w:t>During the year we also communicated that we helped Vietnamese communications service provider MobiFone achieve overall energy savings of almost 14% in the first trial of our new Digital Design service. The service analyzes each individual cell in the network and recommends the most appropriate radio link power balance</w:t>
      </w:r>
    </w:p>
    <w:p>
      <w:pPr>
        <w:spacing w:after="0" w:line="1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reduce transmit power.</w:t>
      </w:r>
    </w:p>
    <w:p>
      <w:pPr>
        <w:spacing w:after="0" w:line="79" w:lineRule="exact"/>
        <w:rPr>
          <w:sz w:val="20"/>
          <w:szCs w:val="20"/>
          <w:color w:val="auto"/>
        </w:rPr>
      </w:pPr>
    </w:p>
    <w:p>
      <w:pPr>
        <w:ind w:right="80"/>
        <w:spacing w:after="0" w:line="254" w:lineRule="auto"/>
        <w:rPr>
          <w:sz w:val="20"/>
          <w:szCs w:val="20"/>
          <w:color w:val="auto"/>
        </w:rPr>
      </w:pPr>
      <w:r>
        <w:rPr>
          <w:rFonts w:ascii="Times New Roman" w:cs="Times New Roman" w:eastAsia="Times New Roman" w:hAnsi="Times New Roman"/>
          <w:sz w:val="11"/>
          <w:szCs w:val="11"/>
          <w:color w:val="auto"/>
        </w:rPr>
        <w:t>Nokia joined with Orange under the Switch to Circular Economy Value Chains initiative, run by UNIDO (United Nations Industrial Development Organization). The project aims to support corporates in accelerating their circularity efforts, including with their partners in developing countries. Nokia will work closely with Orange to further develop circular approaches in network equipment, including setting up a new refurbishment and repair center in Egypt, which will extend the lifetime of Nokia products.</w:t>
      </w:r>
    </w:p>
    <w:p>
      <w:pPr>
        <w:sectPr>
          <w:pgSz w:w="11900" w:h="16838" w:orient="portrait"/>
          <w:cols w:equalWidth="0" w:num="4">
            <w:col w:w="2680" w:space="720"/>
            <w:col w:w="1920" w:space="400"/>
            <w:col w:w="1960" w:space="340"/>
            <w:col w:w="1960"/>
          </w:cols>
          <w:pgMar w:left="960" w:top="409" w:right="959" w:bottom="1440" w:gutter="0" w:footer="0" w:header="0"/>
          <w:type w:val="continuous"/>
        </w:sectPr>
      </w:pPr>
    </w:p>
    <w:bookmarkStart w:id="95" w:name="page96"/>
    <w:bookmarkEnd w:id="9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88</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Key sustainability targets</w:t>
      </w:r>
    </w:p>
    <w:p>
      <w:pPr>
        <w:spacing w:after="0" w:line="46" w:lineRule="exact"/>
        <w:rPr>
          <w:sz w:val="20"/>
          <w:szCs w:val="20"/>
          <w:color w:val="auto"/>
        </w:rPr>
      </w:pPr>
    </w:p>
    <w:p>
      <w:pPr>
        <w:ind w:right="1120"/>
        <w:spacing w:after="0" w:line="290" w:lineRule="auto"/>
        <w:rPr>
          <w:sz w:val="20"/>
          <w:szCs w:val="20"/>
          <w:color w:val="auto"/>
        </w:rPr>
      </w:pPr>
      <w:r>
        <w:rPr>
          <w:rFonts w:ascii="Times New Roman" w:cs="Times New Roman" w:eastAsia="Times New Roman" w:hAnsi="Times New Roman"/>
          <w:sz w:val="11"/>
          <w:szCs w:val="11"/>
          <w:color w:val="auto"/>
        </w:rPr>
        <w:t>Our ESG targets are determined based on our sustainability strategy and material topics and are distributed across short, medium and long term. The key targets are listed in the table below which shows progress against selected targets.</w:t>
      </w:r>
    </w:p>
    <w:p>
      <w:pPr>
        <w:spacing w:after="0" w:line="48" w:lineRule="exact"/>
        <w:rPr>
          <w:sz w:val="20"/>
          <w:szCs w:val="20"/>
          <w:color w:val="auto"/>
        </w:rPr>
      </w:pPr>
    </w:p>
    <w:tbl>
      <w:tblPr>
        <w:tblLayout w:type="fixed"/>
        <w:tblInd w:w="0" w:type="dxa"/>
        <w:tblCellMar>
          <w:top w:w="0" w:type="dxa"/>
          <w:left w:w="0" w:type="dxa"/>
          <w:bottom w:w="0" w:type="dxa"/>
          <w:right w:w="0" w:type="dxa"/>
        </w:tblCellMar>
      </w:tblPr>
      <w:tr>
        <w:trPr>
          <w:trHeight w:val="174"/>
        </w:trPr>
        <w:tc>
          <w:tcPr>
            <w:tcW w:w="2300" w:type="dxa"/>
            <w:vAlign w:val="bottom"/>
            <w:gridSpan w:val="6"/>
          </w:tcPr>
          <w:p>
            <w:pPr>
              <w:spacing w:after="0"/>
              <w:rPr>
                <w:sz w:val="20"/>
                <w:szCs w:val="20"/>
                <w:color w:val="auto"/>
              </w:rPr>
            </w:pPr>
            <w:r>
              <w:rPr>
                <w:rFonts w:ascii="Times New Roman" w:cs="Times New Roman" w:eastAsia="Times New Roman" w:hAnsi="Times New Roman"/>
                <w:sz w:val="13"/>
                <w:szCs w:val="13"/>
                <w:color w:val="auto"/>
              </w:rPr>
              <w:t>Progress against select ESG targets in</w:t>
            </w:r>
          </w:p>
        </w:tc>
        <w:tc>
          <w:tcPr>
            <w:tcW w:w="1640" w:type="dxa"/>
            <w:vAlign w:val="bottom"/>
          </w:tcPr>
          <w:p>
            <w:pPr>
              <w:jc w:val="right"/>
              <w:ind w:right="1273"/>
              <w:spacing w:after="0"/>
              <w:rPr>
                <w:sz w:val="20"/>
                <w:szCs w:val="20"/>
                <w:color w:val="auto"/>
              </w:rPr>
            </w:pPr>
            <w:r>
              <w:rPr>
                <w:rFonts w:ascii="Times New Roman" w:cs="Times New Roman" w:eastAsia="Times New Roman" w:hAnsi="Times New Roman"/>
                <w:sz w:val="13"/>
                <w:szCs w:val="13"/>
                <w:color w:val="auto"/>
              </w:rPr>
              <w:t>2023</w:t>
            </w:r>
          </w:p>
        </w:tc>
        <w:tc>
          <w:tcPr>
            <w:tcW w:w="320" w:type="dxa"/>
            <w:vAlign w:val="bottom"/>
          </w:tcPr>
          <w:p>
            <w:pPr>
              <w:spacing w:after="0"/>
              <w:rPr>
                <w:sz w:val="15"/>
                <w:szCs w:val="15"/>
                <w:color w:val="auto"/>
              </w:rPr>
            </w:pPr>
          </w:p>
        </w:tc>
        <w:tc>
          <w:tcPr>
            <w:tcW w:w="180" w:type="dxa"/>
            <w:vAlign w:val="bottom"/>
          </w:tcPr>
          <w:p>
            <w:pPr>
              <w:spacing w:after="0"/>
              <w:rPr>
                <w:sz w:val="15"/>
                <w:szCs w:val="15"/>
                <w:color w:val="auto"/>
              </w:rPr>
            </w:pPr>
          </w:p>
        </w:tc>
        <w:tc>
          <w:tcPr>
            <w:tcW w:w="2320" w:type="dxa"/>
            <w:vAlign w:val="bottom"/>
          </w:tcPr>
          <w:p>
            <w:pPr>
              <w:spacing w:after="0"/>
              <w:rPr>
                <w:sz w:val="15"/>
                <w:szCs w:val="15"/>
                <w:color w:val="auto"/>
              </w:rPr>
            </w:pPr>
          </w:p>
        </w:tc>
        <w:tc>
          <w:tcPr>
            <w:tcW w:w="380" w:type="dxa"/>
            <w:vAlign w:val="bottom"/>
          </w:tcPr>
          <w:p>
            <w:pPr>
              <w:spacing w:after="0"/>
              <w:rPr>
                <w:sz w:val="15"/>
                <w:szCs w:val="15"/>
                <w:color w:val="auto"/>
              </w:rPr>
            </w:pPr>
          </w:p>
        </w:tc>
        <w:tc>
          <w:tcPr>
            <w:tcW w:w="340" w:type="dxa"/>
            <w:vAlign w:val="bottom"/>
          </w:tcPr>
          <w:p>
            <w:pPr>
              <w:spacing w:after="0"/>
              <w:rPr>
                <w:sz w:val="15"/>
                <w:szCs w:val="15"/>
                <w:color w:val="auto"/>
              </w:rPr>
            </w:pPr>
          </w:p>
        </w:tc>
        <w:tc>
          <w:tcPr>
            <w:tcW w:w="1840" w:type="dxa"/>
            <w:vAlign w:val="bottom"/>
          </w:tcPr>
          <w:p>
            <w:pPr>
              <w:spacing w:after="0"/>
              <w:rPr>
                <w:sz w:val="15"/>
                <w:szCs w:val="15"/>
                <w:color w:val="auto"/>
              </w:rPr>
            </w:pPr>
          </w:p>
        </w:tc>
        <w:tc>
          <w:tcPr>
            <w:tcW w:w="720" w:type="dxa"/>
            <w:vAlign w:val="bottom"/>
          </w:tcPr>
          <w:p>
            <w:pPr>
              <w:spacing w:after="0"/>
              <w:rPr>
                <w:sz w:val="15"/>
                <w:szCs w:val="15"/>
                <w:color w:val="auto"/>
              </w:rPr>
            </w:pPr>
          </w:p>
        </w:tc>
        <w:tc>
          <w:tcPr>
            <w:tcW w:w="0" w:type="dxa"/>
            <w:vAlign w:val="bottom"/>
          </w:tcPr>
          <w:p>
            <w:pPr>
              <w:spacing w:after="0"/>
              <w:rPr>
                <w:sz w:val="1"/>
                <w:szCs w:val="1"/>
                <w:color w:val="auto"/>
              </w:rPr>
            </w:pPr>
          </w:p>
        </w:tc>
      </w:tr>
      <w:tr>
        <w:trPr>
          <w:trHeight w:val="31"/>
        </w:trPr>
        <w:tc>
          <w:tcPr>
            <w:tcW w:w="940" w:type="dxa"/>
            <w:vAlign w:val="bottom"/>
            <w:vMerge w:val="restart"/>
          </w:tcPr>
          <w:p>
            <w:pPr>
              <w:jc w:val="center"/>
              <w:ind w:right="465"/>
              <w:spacing w:after="0"/>
              <w:rPr>
                <w:sz w:val="20"/>
                <w:szCs w:val="20"/>
                <w:color w:val="auto"/>
              </w:rPr>
            </w:pPr>
            <w:r>
              <w:rPr>
                <w:rFonts w:ascii="Times New Roman" w:cs="Times New Roman" w:eastAsia="Times New Roman" w:hAnsi="Times New Roman"/>
                <w:sz w:val="8"/>
                <w:szCs w:val="8"/>
                <w:b w:val="1"/>
                <w:bCs w:val="1"/>
                <w:color w:val="005AFF"/>
                <w:w w:val="97"/>
              </w:rPr>
              <w:t>Strategic</w:t>
            </w:r>
          </w:p>
        </w:tc>
        <w:tc>
          <w:tcPr>
            <w:tcW w:w="20" w:type="dxa"/>
            <w:vAlign w:val="bottom"/>
          </w:tcPr>
          <w:p>
            <w:pPr>
              <w:spacing w:after="0"/>
              <w:rPr>
                <w:sz w:val="2"/>
                <w:szCs w:val="2"/>
                <w:color w:val="auto"/>
              </w:rPr>
            </w:pPr>
          </w:p>
        </w:tc>
        <w:tc>
          <w:tcPr>
            <w:tcW w:w="480" w:type="dxa"/>
            <w:vAlign w:val="bottom"/>
            <w:vMerge w:val="restart"/>
          </w:tcPr>
          <w:p>
            <w:pPr>
              <w:ind w:left="20"/>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20" w:type="dxa"/>
            <w:vAlign w:val="bottom"/>
          </w:tcPr>
          <w:p>
            <w:pPr>
              <w:spacing w:after="0"/>
              <w:rPr>
                <w:sz w:val="2"/>
                <w:szCs w:val="2"/>
                <w:color w:val="auto"/>
              </w:rPr>
            </w:pPr>
          </w:p>
        </w:tc>
        <w:tc>
          <w:tcPr>
            <w:tcW w:w="520" w:type="dxa"/>
            <w:vAlign w:val="bottom"/>
            <w:vMerge w:val="restart"/>
          </w:tcPr>
          <w:p>
            <w:pPr>
              <w:ind w:left="20"/>
              <w:spacing w:after="0"/>
              <w:rPr>
                <w:sz w:val="20"/>
                <w:szCs w:val="20"/>
                <w:color w:val="auto"/>
              </w:rPr>
            </w:pPr>
            <w:r>
              <w:rPr>
                <w:rFonts w:ascii="Times New Roman" w:cs="Times New Roman" w:eastAsia="Times New Roman" w:hAnsi="Times New Roman"/>
                <w:sz w:val="8"/>
                <w:szCs w:val="8"/>
                <w:b w:val="1"/>
                <w:bCs w:val="1"/>
                <w:color w:val="005AFF"/>
              </w:rPr>
              <w:t>Base</w:t>
            </w:r>
          </w:p>
        </w:tc>
        <w:tc>
          <w:tcPr>
            <w:tcW w:w="320" w:type="dxa"/>
            <w:vAlign w:val="bottom"/>
          </w:tcPr>
          <w:p>
            <w:pPr>
              <w:spacing w:after="0"/>
              <w:rPr>
                <w:sz w:val="2"/>
                <w:szCs w:val="2"/>
                <w:color w:val="auto"/>
              </w:rPr>
            </w:pPr>
          </w:p>
        </w:tc>
        <w:tc>
          <w:tcPr>
            <w:tcW w:w="1640" w:type="dxa"/>
            <w:vAlign w:val="bottom"/>
          </w:tcPr>
          <w:p>
            <w:pPr>
              <w:spacing w:after="0"/>
              <w:rPr>
                <w:sz w:val="2"/>
                <w:szCs w:val="2"/>
                <w:color w:val="auto"/>
              </w:rPr>
            </w:pPr>
          </w:p>
        </w:tc>
        <w:tc>
          <w:tcPr>
            <w:tcW w:w="320" w:type="dxa"/>
            <w:vAlign w:val="bottom"/>
          </w:tcPr>
          <w:p>
            <w:pPr>
              <w:spacing w:after="0"/>
              <w:rPr>
                <w:sz w:val="2"/>
                <w:szCs w:val="2"/>
                <w:color w:val="auto"/>
              </w:rPr>
            </w:pPr>
          </w:p>
        </w:tc>
        <w:tc>
          <w:tcPr>
            <w:tcW w:w="180" w:type="dxa"/>
            <w:vAlign w:val="bottom"/>
          </w:tcPr>
          <w:p>
            <w:pPr>
              <w:spacing w:after="0"/>
              <w:rPr>
                <w:sz w:val="2"/>
                <w:szCs w:val="2"/>
                <w:color w:val="auto"/>
              </w:rPr>
            </w:pPr>
          </w:p>
        </w:tc>
        <w:tc>
          <w:tcPr>
            <w:tcW w:w="2320" w:type="dxa"/>
            <w:vAlign w:val="bottom"/>
          </w:tcPr>
          <w:p>
            <w:pPr>
              <w:spacing w:after="0"/>
              <w:rPr>
                <w:sz w:val="2"/>
                <w:szCs w:val="2"/>
                <w:color w:val="auto"/>
              </w:rPr>
            </w:pPr>
          </w:p>
        </w:tc>
        <w:tc>
          <w:tcPr>
            <w:tcW w:w="380" w:type="dxa"/>
            <w:vAlign w:val="bottom"/>
          </w:tcPr>
          <w:p>
            <w:pPr>
              <w:spacing w:after="0"/>
              <w:rPr>
                <w:sz w:val="2"/>
                <w:szCs w:val="2"/>
                <w:color w:val="auto"/>
              </w:rPr>
            </w:pPr>
          </w:p>
        </w:tc>
        <w:tc>
          <w:tcPr>
            <w:tcW w:w="340" w:type="dxa"/>
            <w:vAlign w:val="bottom"/>
          </w:tcPr>
          <w:p>
            <w:pPr>
              <w:spacing w:after="0"/>
              <w:rPr>
                <w:sz w:val="2"/>
                <w:szCs w:val="2"/>
                <w:color w:val="auto"/>
              </w:rPr>
            </w:pPr>
          </w:p>
        </w:tc>
        <w:tc>
          <w:tcPr>
            <w:tcW w:w="1840" w:type="dxa"/>
            <w:vAlign w:val="bottom"/>
          </w:tcPr>
          <w:p>
            <w:pPr>
              <w:spacing w:after="0"/>
              <w:rPr>
                <w:sz w:val="2"/>
                <w:szCs w:val="2"/>
                <w:color w:val="auto"/>
              </w:rPr>
            </w:pPr>
          </w:p>
        </w:tc>
        <w:tc>
          <w:tcPr>
            <w:tcW w:w="720" w:type="dxa"/>
            <w:vAlign w:val="bottom"/>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10"/>
        </w:trPr>
        <w:tc>
          <w:tcPr>
            <w:tcW w:w="940" w:type="dxa"/>
            <w:vAlign w:val="bottom"/>
            <w:vMerge w:val="continue"/>
          </w:tcPr>
          <w:p>
            <w:pPr>
              <w:spacing w:after="0"/>
              <w:rPr>
                <w:sz w:val="9"/>
                <w:szCs w:val="9"/>
                <w:color w:val="auto"/>
              </w:rPr>
            </w:pPr>
          </w:p>
        </w:tc>
        <w:tc>
          <w:tcPr>
            <w:tcW w:w="20" w:type="dxa"/>
            <w:vAlign w:val="bottom"/>
            <w:shd w:val="clear" w:color="auto" w:fill="005AFF"/>
          </w:tcPr>
          <w:p>
            <w:pPr>
              <w:spacing w:after="0"/>
              <w:rPr>
                <w:sz w:val="9"/>
                <w:szCs w:val="9"/>
                <w:color w:val="auto"/>
              </w:rPr>
            </w:pPr>
          </w:p>
        </w:tc>
        <w:tc>
          <w:tcPr>
            <w:tcW w:w="480" w:type="dxa"/>
            <w:vAlign w:val="bottom"/>
            <w:vMerge w:val="continue"/>
          </w:tcPr>
          <w:p>
            <w:pPr>
              <w:spacing w:after="0"/>
              <w:rPr>
                <w:sz w:val="9"/>
                <w:szCs w:val="9"/>
                <w:color w:val="auto"/>
              </w:rPr>
            </w:pPr>
          </w:p>
        </w:tc>
        <w:tc>
          <w:tcPr>
            <w:tcW w:w="20" w:type="dxa"/>
            <w:vAlign w:val="bottom"/>
            <w:shd w:val="clear" w:color="auto" w:fill="005AFF"/>
          </w:tcPr>
          <w:p>
            <w:pPr>
              <w:spacing w:after="0"/>
              <w:rPr>
                <w:sz w:val="9"/>
                <w:szCs w:val="9"/>
                <w:color w:val="auto"/>
              </w:rPr>
            </w:pPr>
          </w:p>
        </w:tc>
        <w:tc>
          <w:tcPr>
            <w:tcW w:w="520" w:type="dxa"/>
            <w:vAlign w:val="bottom"/>
            <w:vMerge w:val="continue"/>
          </w:tcPr>
          <w:p>
            <w:pPr>
              <w:spacing w:after="0"/>
              <w:rPr>
                <w:sz w:val="9"/>
                <w:szCs w:val="9"/>
                <w:color w:val="auto"/>
              </w:rPr>
            </w:pPr>
          </w:p>
        </w:tc>
        <w:tc>
          <w:tcPr>
            <w:tcW w:w="320" w:type="dxa"/>
            <w:vAlign w:val="bottom"/>
            <w:tcBorders>
              <w:left w:val="single" w:sz="8" w:color="005AFF"/>
            </w:tcBorders>
          </w:tcPr>
          <w:p>
            <w:pPr>
              <w:spacing w:after="0"/>
              <w:rPr>
                <w:sz w:val="9"/>
                <w:szCs w:val="9"/>
                <w:color w:val="auto"/>
              </w:rPr>
            </w:pPr>
          </w:p>
        </w:tc>
        <w:tc>
          <w:tcPr>
            <w:tcW w:w="1640" w:type="dxa"/>
            <w:vAlign w:val="bottom"/>
          </w:tcPr>
          <w:p>
            <w:pPr>
              <w:spacing w:after="0"/>
              <w:rPr>
                <w:sz w:val="9"/>
                <w:szCs w:val="9"/>
                <w:color w:val="auto"/>
              </w:rPr>
            </w:pPr>
          </w:p>
        </w:tc>
        <w:tc>
          <w:tcPr>
            <w:tcW w:w="320" w:type="dxa"/>
            <w:vAlign w:val="bottom"/>
          </w:tcPr>
          <w:p>
            <w:pPr>
              <w:spacing w:after="0"/>
              <w:rPr>
                <w:sz w:val="9"/>
                <w:szCs w:val="9"/>
                <w:color w:val="auto"/>
              </w:rPr>
            </w:pPr>
          </w:p>
        </w:tc>
        <w:tc>
          <w:tcPr>
            <w:tcW w:w="180" w:type="dxa"/>
            <w:vAlign w:val="bottom"/>
            <w:tcBorders>
              <w:right w:val="single" w:sz="8" w:color="005AFF"/>
            </w:tcBorders>
          </w:tcPr>
          <w:p>
            <w:pPr>
              <w:spacing w:after="0"/>
              <w:rPr>
                <w:sz w:val="9"/>
                <w:szCs w:val="9"/>
                <w:color w:val="auto"/>
              </w:rPr>
            </w:pPr>
          </w:p>
        </w:tc>
        <w:tc>
          <w:tcPr>
            <w:tcW w:w="2320" w:type="dxa"/>
            <w:vAlign w:val="bottom"/>
          </w:tcPr>
          <w:p>
            <w:pPr>
              <w:spacing w:after="0"/>
              <w:rPr>
                <w:sz w:val="9"/>
                <w:szCs w:val="9"/>
                <w:color w:val="auto"/>
              </w:rPr>
            </w:pPr>
          </w:p>
        </w:tc>
        <w:tc>
          <w:tcPr>
            <w:tcW w:w="380" w:type="dxa"/>
            <w:vAlign w:val="bottom"/>
          </w:tcPr>
          <w:p>
            <w:pPr>
              <w:spacing w:after="0"/>
              <w:rPr>
                <w:sz w:val="9"/>
                <w:szCs w:val="9"/>
                <w:color w:val="auto"/>
              </w:rPr>
            </w:pPr>
          </w:p>
        </w:tc>
        <w:tc>
          <w:tcPr>
            <w:tcW w:w="340" w:type="dxa"/>
            <w:vAlign w:val="bottom"/>
          </w:tcPr>
          <w:p>
            <w:pPr>
              <w:spacing w:after="0"/>
              <w:rPr>
                <w:sz w:val="9"/>
                <w:szCs w:val="9"/>
                <w:color w:val="auto"/>
              </w:rPr>
            </w:pPr>
          </w:p>
        </w:tc>
        <w:tc>
          <w:tcPr>
            <w:tcW w:w="1840" w:type="dxa"/>
            <w:vAlign w:val="bottom"/>
            <w:tcBorders>
              <w:right w:val="single" w:sz="8" w:color="005AFF"/>
            </w:tcBorders>
          </w:tcPr>
          <w:p>
            <w:pPr>
              <w:spacing w:after="0"/>
              <w:rPr>
                <w:sz w:val="9"/>
                <w:szCs w:val="9"/>
                <w:color w:val="auto"/>
              </w:rPr>
            </w:pPr>
          </w:p>
        </w:tc>
        <w:tc>
          <w:tcPr>
            <w:tcW w:w="7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14"/>
        </w:trPr>
        <w:tc>
          <w:tcPr>
            <w:tcW w:w="940" w:type="dxa"/>
            <w:vAlign w:val="bottom"/>
          </w:tcPr>
          <w:p>
            <w:pPr>
              <w:jc w:val="center"/>
              <w:ind w:right="465"/>
              <w:spacing w:after="0"/>
              <w:rPr>
                <w:sz w:val="20"/>
                <w:szCs w:val="20"/>
                <w:color w:val="auto"/>
              </w:rPr>
            </w:pPr>
            <w:r>
              <w:rPr>
                <w:rFonts w:ascii="Times New Roman" w:cs="Times New Roman" w:eastAsia="Times New Roman" w:hAnsi="Times New Roman"/>
                <w:sz w:val="8"/>
                <w:szCs w:val="8"/>
                <w:b w:val="1"/>
                <w:bCs w:val="1"/>
                <w:color w:val="005AFF"/>
                <w:w w:val="97"/>
              </w:rPr>
              <w:t>focus area</w:t>
            </w:r>
          </w:p>
        </w:tc>
        <w:tc>
          <w:tcPr>
            <w:tcW w:w="20" w:type="dxa"/>
            <w:vAlign w:val="bottom"/>
            <w:shd w:val="clear" w:color="auto" w:fill="005AFF"/>
          </w:tcPr>
          <w:p>
            <w:pPr>
              <w:spacing w:after="0"/>
              <w:rPr>
                <w:sz w:val="9"/>
                <w:szCs w:val="9"/>
                <w:color w:val="auto"/>
              </w:rPr>
            </w:pPr>
          </w:p>
        </w:tc>
        <w:tc>
          <w:tcPr>
            <w:tcW w:w="48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year</w:t>
            </w:r>
          </w:p>
        </w:tc>
        <w:tc>
          <w:tcPr>
            <w:tcW w:w="20" w:type="dxa"/>
            <w:vAlign w:val="bottom"/>
            <w:shd w:val="clear" w:color="auto" w:fill="005AFF"/>
          </w:tcPr>
          <w:p>
            <w:pPr>
              <w:spacing w:after="0"/>
              <w:rPr>
                <w:sz w:val="9"/>
                <w:szCs w:val="9"/>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year</w:t>
            </w:r>
          </w:p>
        </w:tc>
        <w:tc>
          <w:tcPr>
            <w:tcW w:w="320" w:type="dxa"/>
            <w:vAlign w:val="bottom"/>
            <w:tcBorders>
              <w:left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1640" w:type="dxa"/>
            <w:vAlign w:val="bottom"/>
          </w:tcPr>
          <w:p>
            <w:pPr>
              <w:spacing w:after="0"/>
              <w:rPr>
                <w:sz w:val="9"/>
                <w:szCs w:val="9"/>
                <w:color w:val="auto"/>
              </w:rPr>
            </w:pPr>
          </w:p>
        </w:tc>
        <w:tc>
          <w:tcPr>
            <w:tcW w:w="320" w:type="dxa"/>
            <w:vAlign w:val="bottom"/>
          </w:tcPr>
          <w:p>
            <w:pPr>
              <w:spacing w:after="0"/>
              <w:rPr>
                <w:sz w:val="9"/>
                <w:szCs w:val="9"/>
                <w:color w:val="auto"/>
              </w:rPr>
            </w:pPr>
          </w:p>
        </w:tc>
        <w:tc>
          <w:tcPr>
            <w:tcW w:w="180" w:type="dxa"/>
            <w:vAlign w:val="bottom"/>
            <w:tcBorders>
              <w:right w:val="single" w:sz="8" w:color="005AFF"/>
            </w:tcBorders>
          </w:tcPr>
          <w:p>
            <w:pPr>
              <w:spacing w:after="0"/>
              <w:rPr>
                <w:sz w:val="9"/>
                <w:szCs w:val="9"/>
                <w:color w:val="auto"/>
              </w:rPr>
            </w:pPr>
          </w:p>
        </w:tc>
        <w:tc>
          <w:tcPr>
            <w:tcW w:w="232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2023 results</w:t>
            </w:r>
          </w:p>
        </w:tc>
        <w:tc>
          <w:tcPr>
            <w:tcW w:w="380" w:type="dxa"/>
            <w:vAlign w:val="bottom"/>
          </w:tcPr>
          <w:p>
            <w:pPr>
              <w:spacing w:after="0"/>
              <w:rPr>
                <w:sz w:val="9"/>
                <w:szCs w:val="9"/>
                <w:color w:val="auto"/>
              </w:rPr>
            </w:pPr>
          </w:p>
        </w:tc>
        <w:tc>
          <w:tcPr>
            <w:tcW w:w="340" w:type="dxa"/>
            <w:vAlign w:val="bottom"/>
          </w:tcPr>
          <w:p>
            <w:pPr>
              <w:spacing w:after="0"/>
              <w:rPr>
                <w:sz w:val="9"/>
                <w:szCs w:val="9"/>
                <w:color w:val="auto"/>
              </w:rPr>
            </w:pPr>
          </w:p>
        </w:tc>
        <w:tc>
          <w:tcPr>
            <w:tcW w:w="1840" w:type="dxa"/>
            <w:vAlign w:val="bottom"/>
            <w:tcBorders>
              <w:right w:val="single" w:sz="8" w:color="005AFF"/>
            </w:tcBorders>
          </w:tcPr>
          <w:p>
            <w:pPr>
              <w:spacing w:after="0"/>
              <w:rPr>
                <w:sz w:val="9"/>
                <w:szCs w:val="9"/>
                <w:color w:val="auto"/>
              </w:rPr>
            </w:pPr>
          </w:p>
        </w:tc>
        <w:tc>
          <w:tcPr>
            <w:tcW w:w="72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Status</w:t>
            </w:r>
          </w:p>
        </w:tc>
        <w:tc>
          <w:tcPr>
            <w:tcW w:w="0" w:type="dxa"/>
            <w:vAlign w:val="bottom"/>
          </w:tcPr>
          <w:p>
            <w:pPr>
              <w:spacing w:after="0"/>
              <w:rPr>
                <w:sz w:val="1"/>
                <w:szCs w:val="1"/>
                <w:color w:val="auto"/>
              </w:rPr>
            </w:pPr>
          </w:p>
        </w:tc>
      </w:tr>
      <w:tr>
        <w:trPr>
          <w:trHeight w:val="266"/>
        </w:trPr>
        <w:tc>
          <w:tcPr>
            <w:tcW w:w="940" w:type="dxa"/>
            <w:vAlign w:val="bottom"/>
            <w:tcBorders>
              <w:bottom w:val="single" w:sz="8" w:color="005AFF"/>
            </w:tcBorders>
            <w:shd w:val="clear" w:color="auto" w:fill="005AFF"/>
          </w:tcPr>
          <w:p>
            <w:pPr>
              <w:spacing w:after="0"/>
              <w:rPr>
                <w:sz w:val="22"/>
                <w:szCs w:val="22"/>
                <w:color w:val="auto"/>
              </w:rPr>
            </w:pPr>
          </w:p>
        </w:tc>
        <w:tc>
          <w:tcPr>
            <w:tcW w:w="20" w:type="dxa"/>
            <w:vAlign w:val="bottom"/>
            <w:tcBorders>
              <w:bottom w:val="single" w:sz="8" w:color="005AFF"/>
            </w:tcBorders>
            <w:shd w:val="clear" w:color="auto" w:fill="005AFF"/>
          </w:tcPr>
          <w:p>
            <w:pPr>
              <w:spacing w:after="0"/>
              <w:rPr>
                <w:sz w:val="22"/>
                <w:szCs w:val="22"/>
                <w:color w:val="auto"/>
              </w:rPr>
            </w:pPr>
          </w:p>
        </w:tc>
        <w:tc>
          <w:tcPr>
            <w:tcW w:w="480" w:type="dxa"/>
            <w:vAlign w:val="bottom"/>
            <w:tcBorders>
              <w:bottom w:val="single" w:sz="8" w:color="005AFF"/>
            </w:tcBorders>
            <w:shd w:val="clear" w:color="auto" w:fill="005AFF"/>
          </w:tcPr>
          <w:p>
            <w:pPr>
              <w:spacing w:after="0"/>
              <w:rPr>
                <w:sz w:val="22"/>
                <w:szCs w:val="22"/>
                <w:color w:val="auto"/>
              </w:rPr>
            </w:pPr>
          </w:p>
        </w:tc>
        <w:tc>
          <w:tcPr>
            <w:tcW w:w="20" w:type="dxa"/>
            <w:vAlign w:val="bottom"/>
            <w:tcBorders>
              <w:bottom w:val="single" w:sz="8" w:color="005AFF"/>
            </w:tcBorders>
            <w:shd w:val="clear" w:color="auto" w:fill="005AFF"/>
          </w:tcPr>
          <w:p>
            <w:pPr>
              <w:spacing w:after="0"/>
              <w:rPr>
                <w:sz w:val="22"/>
                <w:szCs w:val="22"/>
                <w:color w:val="auto"/>
              </w:rPr>
            </w:pPr>
          </w:p>
        </w:tc>
        <w:tc>
          <w:tcPr>
            <w:tcW w:w="520" w:type="dxa"/>
            <w:vAlign w:val="bottom"/>
            <w:tcBorders>
              <w:bottom w:val="single" w:sz="8" w:color="005AFF"/>
            </w:tcBorders>
            <w:shd w:val="clear" w:color="auto" w:fill="005AFF"/>
          </w:tcPr>
          <w:p>
            <w:pPr>
              <w:spacing w:after="0"/>
              <w:rPr>
                <w:sz w:val="22"/>
                <w:szCs w:val="22"/>
                <w:color w:val="auto"/>
              </w:rPr>
            </w:pPr>
          </w:p>
        </w:tc>
        <w:tc>
          <w:tcPr>
            <w:tcW w:w="320" w:type="dxa"/>
            <w:vAlign w:val="bottom"/>
            <w:tcBorders>
              <w:left w:val="single" w:sz="8" w:color="005AFF"/>
              <w:bottom w:val="single" w:sz="8" w:color="005AFF"/>
            </w:tcBorders>
            <w:shd w:val="clear" w:color="auto" w:fill="005AFF"/>
          </w:tcPr>
          <w:p>
            <w:pPr>
              <w:spacing w:after="0"/>
              <w:rPr>
                <w:sz w:val="22"/>
                <w:szCs w:val="22"/>
                <w:color w:val="auto"/>
              </w:rPr>
            </w:pPr>
          </w:p>
        </w:tc>
        <w:tc>
          <w:tcPr>
            <w:tcW w:w="1640" w:type="dxa"/>
            <w:vAlign w:val="bottom"/>
            <w:tcBorders>
              <w:bottom w:val="single" w:sz="8" w:color="005AFF"/>
            </w:tcBorders>
            <w:shd w:val="clear" w:color="auto" w:fill="005AFF"/>
          </w:tcPr>
          <w:p>
            <w:pPr>
              <w:spacing w:after="0"/>
              <w:rPr>
                <w:sz w:val="22"/>
                <w:szCs w:val="22"/>
                <w:color w:val="auto"/>
              </w:rPr>
            </w:pPr>
          </w:p>
        </w:tc>
        <w:tc>
          <w:tcPr>
            <w:tcW w:w="320" w:type="dxa"/>
            <w:vAlign w:val="bottom"/>
            <w:tcBorders>
              <w:bottom w:val="single" w:sz="8" w:color="005AFF"/>
            </w:tcBorders>
            <w:shd w:val="clear" w:color="auto" w:fill="005AFF"/>
          </w:tcPr>
          <w:p>
            <w:pPr>
              <w:spacing w:after="0"/>
              <w:rPr>
                <w:sz w:val="22"/>
                <w:szCs w:val="22"/>
                <w:color w:val="auto"/>
              </w:rPr>
            </w:pPr>
          </w:p>
        </w:tc>
        <w:tc>
          <w:tcPr>
            <w:tcW w:w="180" w:type="dxa"/>
            <w:vAlign w:val="bottom"/>
            <w:tcBorders>
              <w:bottom w:val="single" w:sz="8" w:color="005AFF"/>
              <w:right w:val="single" w:sz="8" w:color="005AFF"/>
            </w:tcBorders>
            <w:shd w:val="clear" w:color="auto" w:fill="005AFF"/>
          </w:tcPr>
          <w:p>
            <w:pPr>
              <w:spacing w:after="0"/>
              <w:rPr>
                <w:sz w:val="22"/>
                <w:szCs w:val="22"/>
                <w:color w:val="auto"/>
              </w:rPr>
            </w:pPr>
          </w:p>
        </w:tc>
        <w:tc>
          <w:tcPr>
            <w:tcW w:w="2320" w:type="dxa"/>
            <w:vAlign w:val="bottom"/>
            <w:tcBorders>
              <w:bottom w:val="single" w:sz="8" w:color="005AFF"/>
            </w:tcBorders>
            <w:shd w:val="clear" w:color="auto" w:fill="005AFF"/>
          </w:tcPr>
          <w:p>
            <w:pPr>
              <w:ind w:left="240"/>
              <w:spacing w:after="0"/>
              <w:rPr>
                <w:sz w:val="20"/>
                <w:szCs w:val="20"/>
                <w:color w:val="auto"/>
              </w:rPr>
            </w:pPr>
            <w:r>
              <w:rPr>
                <w:rFonts w:ascii="Times New Roman" w:cs="Times New Roman" w:eastAsia="Times New Roman" w:hAnsi="Times New Roman"/>
                <w:sz w:val="11"/>
                <w:szCs w:val="11"/>
                <w:b w:val="1"/>
                <w:bCs w:val="1"/>
                <w:color w:val="FFFFFF"/>
              </w:rPr>
              <w:t>Environment</w:t>
            </w:r>
          </w:p>
        </w:tc>
        <w:tc>
          <w:tcPr>
            <w:tcW w:w="380" w:type="dxa"/>
            <w:vAlign w:val="bottom"/>
            <w:tcBorders>
              <w:bottom w:val="single" w:sz="8" w:color="005AFF"/>
            </w:tcBorders>
            <w:shd w:val="clear" w:color="auto" w:fill="005AFF"/>
          </w:tcPr>
          <w:p>
            <w:pPr>
              <w:spacing w:after="0"/>
              <w:rPr>
                <w:sz w:val="22"/>
                <w:szCs w:val="22"/>
                <w:color w:val="auto"/>
              </w:rPr>
            </w:pPr>
          </w:p>
        </w:tc>
        <w:tc>
          <w:tcPr>
            <w:tcW w:w="340" w:type="dxa"/>
            <w:vAlign w:val="bottom"/>
            <w:tcBorders>
              <w:bottom w:val="single" w:sz="8" w:color="005AFF"/>
            </w:tcBorders>
            <w:shd w:val="clear" w:color="auto" w:fill="005AFF"/>
          </w:tcPr>
          <w:p>
            <w:pPr>
              <w:spacing w:after="0"/>
              <w:rPr>
                <w:sz w:val="22"/>
                <w:szCs w:val="22"/>
                <w:color w:val="auto"/>
              </w:rPr>
            </w:pPr>
          </w:p>
        </w:tc>
        <w:tc>
          <w:tcPr>
            <w:tcW w:w="1840" w:type="dxa"/>
            <w:vAlign w:val="bottom"/>
            <w:tcBorders>
              <w:bottom w:val="single" w:sz="8" w:color="005AFF"/>
              <w:right w:val="single" w:sz="8" w:color="005AFF"/>
            </w:tcBorders>
            <w:shd w:val="clear" w:color="auto" w:fill="005AFF"/>
          </w:tcPr>
          <w:p>
            <w:pPr>
              <w:spacing w:after="0"/>
              <w:rPr>
                <w:sz w:val="22"/>
                <w:szCs w:val="22"/>
                <w:color w:val="auto"/>
              </w:rPr>
            </w:pPr>
          </w:p>
        </w:tc>
        <w:tc>
          <w:tcPr>
            <w:tcW w:w="720" w:type="dxa"/>
            <w:vAlign w:val="bottom"/>
            <w:tcBorders>
              <w:bottom w:val="single" w:sz="8" w:color="005AFF"/>
            </w:tcBorders>
            <w:shd w:val="clear" w:color="auto" w:fill="005AFF"/>
          </w:tcPr>
          <w:p>
            <w:pPr>
              <w:spacing w:after="0"/>
              <w:rPr>
                <w:sz w:val="22"/>
                <w:szCs w:val="22"/>
                <w:color w:val="auto"/>
              </w:rPr>
            </w:pPr>
          </w:p>
        </w:tc>
        <w:tc>
          <w:tcPr>
            <w:tcW w:w="0" w:type="dxa"/>
            <w:vAlign w:val="bottom"/>
          </w:tcPr>
          <w:p>
            <w:pPr>
              <w:spacing w:after="0"/>
              <w:rPr>
                <w:sz w:val="1"/>
                <w:szCs w:val="1"/>
                <w:color w:val="auto"/>
              </w:rPr>
            </w:pPr>
          </w:p>
        </w:tc>
      </w:tr>
      <w:tr>
        <w:trPr>
          <w:trHeight w:val="132"/>
        </w:trPr>
        <w:tc>
          <w:tcPr>
            <w:tcW w:w="940" w:type="dxa"/>
            <w:vAlign w:val="bottom"/>
            <w:tcBorders>
              <w:top w:val="single" w:sz="8" w:color="7F7F7F"/>
            </w:tcBorders>
            <w:shd w:val="clear" w:color="auto" w:fill="000000"/>
          </w:tcPr>
          <w:p>
            <w:pPr>
              <w:spacing w:after="0"/>
              <w:rPr>
                <w:sz w:val="11"/>
                <w:szCs w:val="11"/>
                <w:color w:val="auto"/>
              </w:rPr>
            </w:pPr>
          </w:p>
        </w:tc>
        <w:tc>
          <w:tcPr>
            <w:tcW w:w="500" w:type="dxa"/>
            <w:vAlign w:val="bottom"/>
            <w:tcBorders>
              <w:top w:val="single" w:sz="8" w:color="7F7F7F"/>
            </w:tcBorders>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tcBorders>
              <w:top w:val="single" w:sz="8" w:color="7F7F7F"/>
            </w:tcBorders>
            <w:shd w:val="clear" w:color="auto" w:fill="005AFF"/>
          </w:tcPr>
          <w:p>
            <w:pPr>
              <w:spacing w:after="0"/>
              <w:rPr>
                <w:sz w:val="11"/>
                <w:szCs w:val="11"/>
                <w:color w:val="auto"/>
              </w:rPr>
            </w:pPr>
          </w:p>
        </w:tc>
        <w:tc>
          <w:tcPr>
            <w:tcW w:w="52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2280" w:type="dxa"/>
            <w:vAlign w:val="bottom"/>
            <w:tcBorders>
              <w:top w:val="single" w:sz="8" w:color="7F7F7F"/>
              <w:left w:val="single" w:sz="8" w:color="005AFF"/>
            </w:tcBorders>
            <w:gridSpan w:val="3"/>
          </w:tcPr>
          <w:p>
            <w:pPr>
              <w:ind w:left="40"/>
              <w:spacing w:after="0" w:line="132" w:lineRule="exact"/>
              <w:rPr>
                <w:sz w:val="20"/>
                <w:szCs w:val="20"/>
                <w:color w:val="auto"/>
              </w:rPr>
            </w:pPr>
            <w:r>
              <w:rPr>
                <w:rFonts w:ascii="Times New Roman" w:cs="Times New Roman" w:eastAsia="Times New Roman" w:hAnsi="Times New Roman"/>
                <w:sz w:val="11"/>
                <w:szCs w:val="11"/>
                <w:color w:val="auto"/>
              </w:rPr>
              <w:t xml:space="preserve">Our science-based target (SBT   </w:t>
            </w:r>
            <w:r>
              <w:rPr>
                <w:rFonts w:ascii="Times New Roman" w:cs="Times New Roman" w:eastAsia="Times New Roman" w:hAnsi="Times New Roman"/>
                <w:sz w:val="14"/>
                <w:szCs w:val="14"/>
                <w:color w:val="auto"/>
                <w:vertAlign w:val="superscript"/>
              </w:rPr>
              <w:t>(1)</w:t>
            </w:r>
            <w:r>
              <w:rPr>
                <w:rFonts w:ascii="Times New Roman" w:cs="Times New Roman" w:eastAsia="Times New Roman" w:hAnsi="Times New Roman"/>
                <w:sz w:val="11"/>
                <w:szCs w:val="11"/>
                <w:color w:val="auto"/>
              </w:rPr>
              <w:t>): Reduce</w:t>
            </w:r>
          </w:p>
        </w:tc>
        <w:tc>
          <w:tcPr>
            <w:tcW w:w="180" w:type="dxa"/>
            <w:vAlign w:val="bottom"/>
            <w:tcBorders>
              <w:top w:val="single" w:sz="8" w:color="7F7F7F"/>
              <w:right w:val="single" w:sz="8" w:color="005AFF"/>
            </w:tcBorders>
          </w:tcPr>
          <w:p>
            <w:pPr>
              <w:spacing w:after="0"/>
              <w:rPr>
                <w:sz w:val="11"/>
                <w:szCs w:val="11"/>
                <w:color w:val="auto"/>
              </w:rPr>
            </w:pPr>
          </w:p>
        </w:tc>
        <w:tc>
          <w:tcPr>
            <w:tcW w:w="2700" w:type="dxa"/>
            <w:vAlign w:val="bottom"/>
            <w:tcBorders>
              <w:top w:val="single" w:sz="8" w:color="7F7F7F"/>
            </w:tcBorders>
            <w:gridSpan w:val="2"/>
          </w:tcPr>
          <w:p>
            <w:pPr>
              <w:ind w:left="20"/>
              <w:spacing w:after="0"/>
              <w:rPr>
                <w:sz w:val="20"/>
                <w:szCs w:val="20"/>
                <w:color w:val="auto"/>
              </w:rPr>
            </w:pPr>
            <w:r>
              <w:rPr>
                <w:rFonts w:ascii="Times New Roman" w:cs="Times New Roman" w:eastAsia="Times New Roman" w:hAnsi="Times New Roman"/>
                <w:sz w:val="11"/>
                <w:szCs w:val="11"/>
                <w:color w:val="auto"/>
              </w:rPr>
              <w:t>Emissions covered by our SBT were 34 319 800 tons CO</w:t>
            </w:r>
          </w:p>
        </w:tc>
        <w:tc>
          <w:tcPr>
            <w:tcW w:w="2180" w:type="dxa"/>
            <w:vAlign w:val="bottom"/>
            <w:tcBorders>
              <w:top w:val="single" w:sz="8" w:color="7F7F7F"/>
              <w:right w:val="single" w:sz="8" w:color="005AFF"/>
            </w:tcBorders>
            <w:gridSpan w:val="2"/>
          </w:tcPr>
          <w:p>
            <w:pPr>
              <w:ind w:left="40"/>
              <w:spacing w:after="0" w:line="132" w:lineRule="exact"/>
              <w:rPr>
                <w:sz w:val="20"/>
                <w:szCs w:val="20"/>
                <w:color w:val="auto"/>
              </w:rPr>
            </w:pP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w:t>
            </w:r>
            <w:r>
              <w:rPr>
                <w:rFonts w:ascii="Times New Roman" w:cs="Times New Roman" w:eastAsia="Times New Roman" w:hAnsi="Times New Roman"/>
                <w:sz w:val="14"/>
                <w:szCs w:val="14"/>
                <w:color w:val="auto"/>
                <w:vertAlign w:val="superscript"/>
              </w:rPr>
              <w:t>(2)</w:t>
            </w:r>
            <w:r>
              <w:rPr>
                <w:rFonts w:ascii="Times New Roman" w:cs="Times New Roman" w:eastAsia="Times New Roman" w:hAnsi="Times New Roman"/>
                <w:sz w:val="11"/>
                <w:szCs w:val="11"/>
                <w:color w:val="auto"/>
              </w:rPr>
              <w:t xml:space="preserve"> which is a 9% decrease from 2022.</w:t>
            </w:r>
          </w:p>
        </w:tc>
        <w:tc>
          <w:tcPr>
            <w:tcW w:w="72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Not on track</w:t>
            </w:r>
          </w:p>
        </w:tc>
        <w:tc>
          <w:tcPr>
            <w:tcW w:w="0" w:type="dxa"/>
            <w:vAlign w:val="bottom"/>
          </w:tcPr>
          <w:p>
            <w:pPr>
              <w:spacing w:after="0"/>
              <w:rPr>
                <w:sz w:val="1"/>
                <w:szCs w:val="1"/>
                <w:color w:val="auto"/>
              </w:rPr>
            </w:pPr>
          </w:p>
        </w:tc>
      </w:tr>
      <w:tr>
        <w:trPr>
          <w:trHeight w:val="129"/>
        </w:trPr>
        <w:tc>
          <w:tcPr>
            <w:tcW w:w="940" w:type="dxa"/>
            <w:vAlign w:val="bottom"/>
            <w:shd w:val="clear" w:color="auto" w:fill="000000"/>
          </w:tcPr>
          <w:p>
            <w:pPr>
              <w:spacing w:after="0"/>
              <w:rPr>
                <w:sz w:val="11"/>
                <w:szCs w:val="11"/>
                <w:color w:val="auto"/>
              </w:rPr>
            </w:pPr>
          </w:p>
        </w:tc>
        <w:tc>
          <w:tcPr>
            <w:tcW w:w="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20" w:type="dxa"/>
            <w:vAlign w:val="bottom"/>
            <w:shd w:val="clear" w:color="auto" w:fill="005AFF"/>
          </w:tcPr>
          <w:p>
            <w:pPr>
              <w:spacing w:after="0"/>
              <w:rPr>
                <w:sz w:val="11"/>
                <w:szCs w:val="11"/>
                <w:color w:val="auto"/>
              </w:rPr>
            </w:pPr>
          </w:p>
        </w:tc>
        <w:tc>
          <w:tcPr>
            <w:tcW w:w="520" w:type="dxa"/>
            <w:vAlign w:val="bottom"/>
          </w:tcPr>
          <w:p>
            <w:pPr>
              <w:spacing w:after="0"/>
              <w:rPr>
                <w:sz w:val="11"/>
                <w:szCs w:val="11"/>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our greenhouse gas (GHG) emissions across</w:t>
            </w: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Despite this decrease, our current SBT emissions are now at the same level as the 2019</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940" w:type="dxa"/>
            <w:vAlign w:val="bottom"/>
            <w:shd w:val="clear" w:color="auto" w:fill="000000"/>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our value chain (Scope 1, 2 and 3) by 50%</w:t>
            </w:r>
          </w:p>
        </w:tc>
        <w:tc>
          <w:tcPr>
            <w:tcW w:w="180" w:type="dxa"/>
            <w:vAlign w:val="bottom"/>
            <w:tcBorders>
              <w:right w:val="single" w:sz="8" w:color="005AFF"/>
            </w:tcBorders>
          </w:tcPr>
          <w:p>
            <w:pPr>
              <w:spacing w:after="0"/>
              <w:rPr>
                <w:sz w:val="12"/>
                <w:szCs w:val="12"/>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baseline year. This means that the 2030 SBT is still not on track with a linear reduction</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940" w:type="dxa"/>
            <w:vAlign w:val="bottom"/>
            <w:shd w:val="clear" w:color="auto" w:fill="000000"/>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between 2019 and 2030, and reach net zero</w:t>
            </w:r>
          </w:p>
        </w:tc>
        <w:tc>
          <w:tcPr>
            <w:tcW w:w="180" w:type="dxa"/>
            <w:vAlign w:val="bottom"/>
            <w:tcBorders>
              <w:right w:val="single" w:sz="8" w:color="005AFF"/>
            </w:tcBorders>
          </w:tcPr>
          <w:p>
            <w:pPr>
              <w:spacing w:after="0"/>
              <w:rPr>
                <w:sz w:val="12"/>
                <w:szCs w:val="12"/>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trajectory. While we continue to accelerate innovations in product energy efficiency and</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940" w:type="dxa"/>
            <w:vAlign w:val="bottom"/>
            <w:shd w:val="clear" w:color="auto" w:fill="000000"/>
          </w:tcPr>
          <w:p>
            <w:pPr>
              <w:spacing w:after="0"/>
              <w:rPr>
                <w:sz w:val="11"/>
                <w:szCs w:val="11"/>
                <w:color w:val="auto"/>
              </w:rPr>
            </w:pPr>
          </w:p>
        </w:tc>
        <w:tc>
          <w:tcPr>
            <w:tcW w:w="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20" w:type="dxa"/>
            <w:vAlign w:val="bottom"/>
            <w:shd w:val="clear" w:color="auto" w:fill="005AFF"/>
          </w:tcPr>
          <w:p>
            <w:pPr>
              <w:spacing w:after="0"/>
              <w:rPr>
                <w:sz w:val="11"/>
                <w:szCs w:val="11"/>
                <w:color w:val="auto"/>
              </w:rPr>
            </w:pPr>
          </w:p>
        </w:tc>
        <w:tc>
          <w:tcPr>
            <w:tcW w:w="520" w:type="dxa"/>
            <w:vAlign w:val="bottom"/>
          </w:tcPr>
          <w:p>
            <w:pPr>
              <w:spacing w:after="0"/>
              <w:rPr>
                <w:sz w:val="11"/>
                <w:szCs w:val="11"/>
                <w:color w:val="auto"/>
              </w:rPr>
            </w:pPr>
          </w:p>
        </w:tc>
        <w:tc>
          <w:tcPr>
            <w:tcW w:w="1960" w:type="dxa"/>
            <w:vAlign w:val="bottom"/>
            <w:tcBorders>
              <w:left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by 2050.</w:t>
            </w:r>
          </w:p>
        </w:tc>
        <w:tc>
          <w:tcPr>
            <w:tcW w:w="320" w:type="dxa"/>
            <w:vAlign w:val="bottom"/>
          </w:tcPr>
          <w:p>
            <w:pPr>
              <w:spacing w:after="0"/>
              <w:rPr>
                <w:sz w:val="11"/>
                <w:szCs w:val="11"/>
                <w:color w:val="auto"/>
              </w:rPr>
            </w:pP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supplier collaboration, the availability and take-up of renewable energy by Nokia's customers</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6"/>
        </w:trPr>
        <w:tc>
          <w:tcPr>
            <w:tcW w:w="940" w:type="dxa"/>
            <w:vAlign w:val="bottom"/>
            <w:tcBorders>
              <w:bottom w:val="single" w:sz="8" w:color="auto"/>
            </w:tcBorders>
            <w:shd w:val="clear" w:color="auto" w:fill="000000"/>
          </w:tcPr>
          <w:p>
            <w:pPr>
              <w:spacing w:after="0"/>
              <w:rPr>
                <w:sz w:val="13"/>
                <w:szCs w:val="13"/>
                <w:color w:val="auto"/>
              </w:rPr>
            </w:pPr>
          </w:p>
        </w:tc>
        <w:tc>
          <w:tcPr>
            <w:tcW w:w="2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spacing w:after="0"/>
              <w:rPr>
                <w:sz w:val="13"/>
                <w:szCs w:val="13"/>
                <w:color w:val="auto"/>
              </w:rPr>
            </w:pPr>
          </w:p>
        </w:tc>
        <w:tc>
          <w:tcPr>
            <w:tcW w:w="20" w:type="dxa"/>
            <w:vAlign w:val="bottom"/>
            <w:tcBorders>
              <w:bottom w:val="single" w:sz="8" w:color="005AFF"/>
            </w:tcBorders>
            <w:shd w:val="clear" w:color="auto" w:fill="005AFF"/>
          </w:tcPr>
          <w:p>
            <w:pPr>
              <w:spacing w:after="0"/>
              <w:rPr>
                <w:sz w:val="13"/>
                <w:szCs w:val="13"/>
                <w:color w:val="auto"/>
              </w:rPr>
            </w:pPr>
          </w:p>
        </w:tc>
        <w:tc>
          <w:tcPr>
            <w:tcW w:w="520" w:type="dxa"/>
            <w:vAlign w:val="bottom"/>
            <w:tcBorders>
              <w:bottom w:val="single" w:sz="8" w:color="005AFF"/>
            </w:tcBorders>
          </w:tcPr>
          <w:p>
            <w:pPr>
              <w:spacing w:after="0"/>
              <w:rPr>
                <w:sz w:val="13"/>
                <w:szCs w:val="13"/>
                <w:color w:val="auto"/>
              </w:rPr>
            </w:pPr>
          </w:p>
        </w:tc>
        <w:tc>
          <w:tcPr>
            <w:tcW w:w="320" w:type="dxa"/>
            <w:vAlign w:val="bottom"/>
            <w:tcBorders>
              <w:left w:val="single" w:sz="8" w:color="005AFF"/>
              <w:bottom w:val="single" w:sz="8" w:color="005AFF"/>
            </w:tcBorders>
          </w:tcPr>
          <w:p>
            <w:pPr>
              <w:spacing w:after="0"/>
              <w:rPr>
                <w:sz w:val="13"/>
                <w:szCs w:val="13"/>
                <w:color w:val="auto"/>
              </w:rPr>
            </w:pPr>
          </w:p>
        </w:tc>
        <w:tc>
          <w:tcPr>
            <w:tcW w:w="1640" w:type="dxa"/>
            <w:vAlign w:val="bottom"/>
            <w:tcBorders>
              <w:bottom w:val="single" w:sz="8" w:color="005AFF"/>
            </w:tcBorders>
          </w:tcPr>
          <w:p>
            <w:pPr>
              <w:spacing w:after="0"/>
              <w:rPr>
                <w:sz w:val="13"/>
                <w:szCs w:val="13"/>
                <w:color w:val="auto"/>
              </w:rPr>
            </w:pPr>
          </w:p>
        </w:tc>
        <w:tc>
          <w:tcPr>
            <w:tcW w:w="320" w:type="dxa"/>
            <w:vAlign w:val="bottom"/>
            <w:tcBorders>
              <w:bottom w:val="single" w:sz="8" w:color="005AFF"/>
            </w:tcBorders>
          </w:tcPr>
          <w:p>
            <w:pPr>
              <w:spacing w:after="0"/>
              <w:rPr>
                <w:sz w:val="13"/>
                <w:szCs w:val="13"/>
                <w:color w:val="auto"/>
              </w:rPr>
            </w:pPr>
          </w:p>
        </w:tc>
        <w:tc>
          <w:tcPr>
            <w:tcW w:w="180" w:type="dxa"/>
            <w:vAlign w:val="bottom"/>
            <w:tcBorders>
              <w:bottom w:val="single" w:sz="8" w:color="005AFF"/>
              <w:right w:val="single" w:sz="8" w:color="005AFF"/>
            </w:tcBorders>
          </w:tcPr>
          <w:p>
            <w:pPr>
              <w:spacing w:after="0"/>
              <w:rPr>
                <w:sz w:val="13"/>
                <w:szCs w:val="13"/>
                <w:color w:val="auto"/>
              </w:rPr>
            </w:pPr>
          </w:p>
        </w:tc>
        <w:tc>
          <w:tcPr>
            <w:tcW w:w="4880" w:type="dxa"/>
            <w:vAlign w:val="bottom"/>
            <w:tcBorders>
              <w:bottom w:val="single" w:sz="8" w:color="005AFF"/>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must rapidly increase to support the achievement of the interim target.</w:t>
            </w: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40"/>
        </w:trPr>
        <w:tc>
          <w:tcPr>
            <w:tcW w:w="940" w:type="dxa"/>
            <w:vAlign w:val="bottom"/>
            <w:shd w:val="clear" w:color="auto" w:fill="000000"/>
          </w:tcPr>
          <w:p>
            <w:pPr>
              <w:spacing w:after="0"/>
              <w:rPr>
                <w:sz w:val="12"/>
                <w:szCs w:val="12"/>
                <w:color w:val="auto"/>
              </w:rPr>
            </w:pP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shd w:val="clear" w:color="auto" w:fill="005AFF"/>
          </w:tcPr>
          <w:p>
            <w:pPr>
              <w:spacing w:after="0"/>
              <w:rPr>
                <w:sz w:val="12"/>
                <w:szCs w:val="12"/>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1960" w:type="dxa"/>
            <w:vAlign w:val="bottom"/>
            <w:tcBorders>
              <w:left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Our final assembly suppliers reach zero</w:t>
            </w:r>
          </w:p>
        </w:tc>
        <w:tc>
          <w:tcPr>
            <w:tcW w:w="320" w:type="dxa"/>
            <w:vAlign w:val="bottom"/>
          </w:tcPr>
          <w:p>
            <w:pPr>
              <w:spacing w:after="0"/>
              <w:rPr>
                <w:sz w:val="12"/>
                <w:szCs w:val="12"/>
                <w:color w:val="auto"/>
              </w:rPr>
            </w:pPr>
          </w:p>
        </w:tc>
        <w:tc>
          <w:tcPr>
            <w:tcW w:w="180" w:type="dxa"/>
            <w:vAlign w:val="bottom"/>
            <w:tcBorders>
              <w:right w:val="single" w:sz="8" w:color="005AFF"/>
            </w:tcBorders>
          </w:tcPr>
          <w:p>
            <w:pPr>
              <w:spacing w:after="0"/>
              <w:rPr>
                <w:sz w:val="12"/>
                <w:szCs w:val="12"/>
                <w:color w:val="auto"/>
              </w:rPr>
            </w:pPr>
          </w:p>
        </w:tc>
        <w:tc>
          <w:tcPr>
            <w:tcW w:w="304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Our final assembly suppliers’ emissions were 38 500 tons CO</w:t>
            </w:r>
          </w:p>
        </w:tc>
        <w:tc>
          <w:tcPr>
            <w:tcW w:w="1840" w:type="dxa"/>
            <w:vAlign w:val="bottom"/>
            <w:tcBorders>
              <w:right w:val="single" w:sz="8" w:color="005AFF"/>
            </w:tcBorders>
          </w:tcPr>
          <w:p>
            <w:pPr>
              <w:ind w:left="100"/>
              <w:spacing w:after="0" w:line="140" w:lineRule="exact"/>
              <w:rPr>
                <w:sz w:val="20"/>
                <w:szCs w:val="20"/>
                <w:color w:val="auto"/>
              </w:rPr>
            </w:pP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which is a 49% reduction</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55"/>
        </w:trPr>
        <w:tc>
          <w:tcPr>
            <w:tcW w:w="940" w:type="dxa"/>
            <w:vAlign w:val="bottom"/>
            <w:tcBorders>
              <w:bottom w:val="single" w:sz="8" w:color="auto"/>
            </w:tcBorders>
            <w:shd w:val="clear" w:color="auto" w:fill="000000"/>
          </w:tcPr>
          <w:p>
            <w:pPr>
              <w:spacing w:after="0"/>
              <w:rPr>
                <w:sz w:val="13"/>
                <w:szCs w:val="13"/>
                <w:color w:val="auto"/>
              </w:rPr>
            </w:pPr>
          </w:p>
        </w:tc>
        <w:tc>
          <w:tcPr>
            <w:tcW w:w="2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spacing w:after="0"/>
              <w:rPr>
                <w:sz w:val="13"/>
                <w:szCs w:val="13"/>
                <w:color w:val="auto"/>
              </w:rPr>
            </w:pPr>
          </w:p>
        </w:tc>
        <w:tc>
          <w:tcPr>
            <w:tcW w:w="20" w:type="dxa"/>
            <w:vAlign w:val="bottom"/>
            <w:tcBorders>
              <w:bottom w:val="single" w:sz="8" w:color="005AFF"/>
            </w:tcBorders>
            <w:shd w:val="clear" w:color="auto" w:fill="005AFF"/>
          </w:tcPr>
          <w:p>
            <w:pPr>
              <w:spacing w:after="0"/>
              <w:rPr>
                <w:sz w:val="13"/>
                <w:szCs w:val="13"/>
                <w:color w:val="auto"/>
              </w:rPr>
            </w:pPr>
          </w:p>
        </w:tc>
        <w:tc>
          <w:tcPr>
            <w:tcW w:w="520" w:type="dxa"/>
            <w:vAlign w:val="bottom"/>
            <w:tcBorders>
              <w:bottom w:val="single" w:sz="8" w:color="005AFF"/>
            </w:tcBorders>
          </w:tcPr>
          <w:p>
            <w:pPr>
              <w:spacing w:after="0"/>
              <w:rPr>
                <w:sz w:val="13"/>
                <w:szCs w:val="13"/>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emissions by 2030.</w:t>
            </w:r>
          </w:p>
        </w:tc>
        <w:tc>
          <w:tcPr>
            <w:tcW w:w="320" w:type="dxa"/>
            <w:vAlign w:val="bottom"/>
            <w:tcBorders>
              <w:bottom w:val="single" w:sz="8" w:color="005AFF"/>
            </w:tcBorders>
          </w:tcPr>
          <w:p>
            <w:pPr>
              <w:spacing w:after="0"/>
              <w:rPr>
                <w:sz w:val="13"/>
                <w:szCs w:val="13"/>
                <w:color w:val="auto"/>
              </w:rPr>
            </w:pPr>
          </w:p>
        </w:tc>
        <w:tc>
          <w:tcPr>
            <w:tcW w:w="180" w:type="dxa"/>
            <w:vAlign w:val="bottom"/>
            <w:tcBorders>
              <w:bottom w:val="single" w:sz="8" w:color="005AFF"/>
              <w:right w:val="single" w:sz="8" w:color="005AFF"/>
            </w:tcBorders>
          </w:tcPr>
          <w:p>
            <w:pPr>
              <w:spacing w:after="0"/>
              <w:rPr>
                <w:sz w:val="13"/>
                <w:szCs w:val="13"/>
                <w:color w:val="auto"/>
              </w:rPr>
            </w:pPr>
          </w:p>
        </w:tc>
        <w:tc>
          <w:tcPr>
            <w:tcW w:w="232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from 2019.</w:t>
            </w:r>
          </w:p>
        </w:tc>
        <w:tc>
          <w:tcPr>
            <w:tcW w:w="380" w:type="dxa"/>
            <w:vAlign w:val="bottom"/>
            <w:tcBorders>
              <w:bottom w:val="single" w:sz="8" w:color="005AFF"/>
            </w:tcBorders>
          </w:tcPr>
          <w:p>
            <w:pPr>
              <w:spacing w:after="0"/>
              <w:rPr>
                <w:sz w:val="13"/>
                <w:szCs w:val="13"/>
                <w:color w:val="auto"/>
              </w:rPr>
            </w:pPr>
          </w:p>
        </w:tc>
        <w:tc>
          <w:tcPr>
            <w:tcW w:w="340" w:type="dxa"/>
            <w:vAlign w:val="bottom"/>
            <w:tcBorders>
              <w:bottom w:val="single" w:sz="8" w:color="005AFF"/>
            </w:tcBorders>
          </w:tcPr>
          <w:p>
            <w:pPr>
              <w:spacing w:after="0"/>
              <w:rPr>
                <w:sz w:val="13"/>
                <w:szCs w:val="13"/>
                <w:color w:val="auto"/>
              </w:rPr>
            </w:pPr>
          </w:p>
        </w:tc>
        <w:tc>
          <w:tcPr>
            <w:tcW w:w="18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5"/>
        </w:trPr>
        <w:tc>
          <w:tcPr>
            <w:tcW w:w="940" w:type="dxa"/>
            <w:vAlign w:val="bottom"/>
            <w:vMerge w:val="restart"/>
            <w:shd w:val="clear" w:color="auto" w:fill="000000"/>
          </w:tcPr>
          <w:p>
            <w:pPr>
              <w:jc w:val="center"/>
              <w:spacing w:after="0"/>
              <w:rPr>
                <w:sz w:val="20"/>
                <w:szCs w:val="20"/>
                <w:color w:val="auto"/>
              </w:rPr>
            </w:pPr>
            <w:r>
              <w:rPr>
                <w:rFonts w:ascii="Times New Roman" w:cs="Times New Roman" w:eastAsia="Times New Roman" w:hAnsi="Times New Roman"/>
                <w:sz w:val="11"/>
                <w:szCs w:val="11"/>
                <w:b w:val="1"/>
                <w:bCs w:val="1"/>
                <w:color w:val="FFFFFF"/>
              </w:rPr>
              <w:t>Climate</w:t>
            </w: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shd w:val="clear" w:color="auto" w:fill="005AFF"/>
          </w:tcPr>
          <w:p>
            <w:pPr>
              <w:spacing w:after="0"/>
              <w:rPr>
                <w:sz w:val="11"/>
                <w:szCs w:val="11"/>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Our suppliers reduce GHG emissions by 50%</w:t>
            </w:r>
          </w:p>
        </w:tc>
        <w:tc>
          <w:tcPr>
            <w:tcW w:w="180" w:type="dxa"/>
            <w:vAlign w:val="bottom"/>
            <w:tcBorders>
              <w:right w:val="single" w:sz="8" w:color="005AFF"/>
            </w:tcBorders>
          </w:tcPr>
          <w:p>
            <w:pPr>
              <w:spacing w:after="0"/>
              <w:rPr>
                <w:sz w:val="11"/>
                <w:szCs w:val="11"/>
                <w:color w:val="auto"/>
              </w:rPr>
            </w:pPr>
          </w:p>
        </w:tc>
        <w:tc>
          <w:tcPr>
            <w:tcW w:w="23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Our suppliers’ emissions were 540 500 tons CO</w:t>
            </w:r>
          </w:p>
        </w:tc>
        <w:tc>
          <w:tcPr>
            <w:tcW w:w="2560" w:type="dxa"/>
            <w:vAlign w:val="bottom"/>
            <w:tcBorders>
              <w:right w:val="single" w:sz="8" w:color="005AFF"/>
            </w:tcBorders>
            <w:gridSpan w:val="3"/>
          </w:tcPr>
          <w:p>
            <w:pPr>
              <w:ind w:left="120"/>
              <w:spacing w:after="0" w:line="135" w:lineRule="exact"/>
              <w:rPr>
                <w:sz w:val="20"/>
                <w:szCs w:val="20"/>
                <w:color w:val="auto"/>
              </w:rPr>
            </w:pP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which is a 82% reduction from 2019.</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32"/>
        </w:trPr>
        <w:tc>
          <w:tcPr>
            <w:tcW w:w="940" w:type="dxa"/>
            <w:vAlign w:val="bottom"/>
            <w:vMerge w:val="continue"/>
            <w:shd w:val="clear" w:color="auto" w:fill="000000"/>
          </w:tcPr>
          <w:p>
            <w:pPr>
              <w:spacing w:after="0"/>
              <w:rPr>
                <w:sz w:val="11"/>
                <w:szCs w:val="11"/>
                <w:color w:val="auto"/>
              </w:rPr>
            </w:pPr>
          </w:p>
        </w:tc>
        <w:tc>
          <w:tcPr>
            <w:tcW w:w="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20" w:type="dxa"/>
            <w:vAlign w:val="bottom"/>
            <w:shd w:val="clear" w:color="auto" w:fill="005AFF"/>
          </w:tcPr>
          <w:p>
            <w:pPr>
              <w:spacing w:after="0"/>
              <w:rPr>
                <w:sz w:val="11"/>
                <w:szCs w:val="11"/>
                <w:color w:val="auto"/>
              </w:rPr>
            </w:pPr>
          </w:p>
        </w:tc>
        <w:tc>
          <w:tcPr>
            <w:tcW w:w="520" w:type="dxa"/>
            <w:vAlign w:val="bottom"/>
          </w:tcPr>
          <w:p>
            <w:pPr>
              <w:spacing w:after="0"/>
              <w:rPr>
                <w:sz w:val="11"/>
                <w:szCs w:val="11"/>
                <w:color w:val="auto"/>
              </w:rPr>
            </w:pPr>
          </w:p>
        </w:tc>
        <w:tc>
          <w:tcPr>
            <w:tcW w:w="1960" w:type="dxa"/>
            <w:vAlign w:val="bottom"/>
            <w:tcBorders>
              <w:left w:val="single" w:sz="8" w:color="005AFF"/>
            </w:tcBorders>
            <w:gridSpan w:val="2"/>
          </w:tcPr>
          <w:p>
            <w:pPr>
              <w:ind w:left="40"/>
              <w:spacing w:after="0" w:line="133" w:lineRule="exact"/>
              <w:rPr>
                <w:sz w:val="20"/>
                <w:szCs w:val="20"/>
                <w:color w:val="auto"/>
              </w:rPr>
            </w:pPr>
            <w:r>
              <w:rPr>
                <w:rFonts w:ascii="Times New Roman" w:cs="Times New Roman" w:eastAsia="Times New Roman" w:hAnsi="Times New Roman"/>
                <w:sz w:val="11"/>
                <w:szCs w:val="11"/>
                <w:color w:val="auto"/>
              </w:rPr>
              <w:t xml:space="preserve">by 2030. </w:t>
            </w:r>
            <w:r>
              <w:rPr>
                <w:rFonts w:ascii="Times New Roman" w:cs="Times New Roman" w:eastAsia="Times New Roman" w:hAnsi="Times New Roman"/>
                <w:sz w:val="14"/>
                <w:szCs w:val="14"/>
                <w:color w:val="auto"/>
                <w:vertAlign w:val="superscript"/>
              </w:rPr>
              <w:t>(3)</w:t>
            </w:r>
          </w:p>
        </w:tc>
        <w:tc>
          <w:tcPr>
            <w:tcW w:w="320" w:type="dxa"/>
            <w:vAlign w:val="bottom"/>
          </w:tcPr>
          <w:p>
            <w:pPr>
              <w:spacing w:after="0"/>
              <w:rPr>
                <w:sz w:val="11"/>
                <w:szCs w:val="11"/>
                <w:color w:val="auto"/>
              </w:rPr>
            </w:pP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However, as this includes emissions data from hundreds of suppliers and the quality of</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940" w:type="dxa"/>
            <w:vAlign w:val="bottom"/>
            <w:shd w:val="clear" w:color="auto" w:fill="000000"/>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320" w:type="dxa"/>
            <w:vAlign w:val="bottom"/>
            <w:tcBorders>
              <w:left w:val="single" w:sz="8" w:color="005AFF"/>
            </w:tcBorders>
          </w:tcPr>
          <w:p>
            <w:pPr>
              <w:spacing w:after="0"/>
              <w:rPr>
                <w:sz w:val="12"/>
                <w:szCs w:val="12"/>
                <w:color w:val="auto"/>
              </w:rPr>
            </w:pPr>
          </w:p>
        </w:tc>
        <w:tc>
          <w:tcPr>
            <w:tcW w:w="164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180" w:type="dxa"/>
            <w:vAlign w:val="bottom"/>
            <w:tcBorders>
              <w:right w:val="single" w:sz="8" w:color="005AFF"/>
            </w:tcBorders>
          </w:tcPr>
          <w:p>
            <w:pPr>
              <w:spacing w:after="0"/>
              <w:rPr>
                <w:sz w:val="12"/>
                <w:szCs w:val="12"/>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allocated emissions data has been of concern, we are conscious that some of the reductions</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940" w:type="dxa"/>
            <w:vAlign w:val="bottom"/>
            <w:shd w:val="clear" w:color="auto" w:fill="000000"/>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320" w:type="dxa"/>
            <w:vAlign w:val="bottom"/>
            <w:tcBorders>
              <w:left w:val="single" w:sz="8" w:color="005AFF"/>
            </w:tcBorders>
          </w:tcPr>
          <w:p>
            <w:pPr>
              <w:spacing w:after="0"/>
              <w:rPr>
                <w:sz w:val="12"/>
                <w:szCs w:val="12"/>
                <w:color w:val="auto"/>
              </w:rPr>
            </w:pPr>
          </w:p>
        </w:tc>
        <w:tc>
          <w:tcPr>
            <w:tcW w:w="1640" w:type="dxa"/>
            <w:vAlign w:val="bottom"/>
          </w:tcPr>
          <w:p>
            <w:pPr>
              <w:spacing w:after="0"/>
              <w:rPr>
                <w:sz w:val="12"/>
                <w:szCs w:val="12"/>
                <w:color w:val="auto"/>
              </w:rPr>
            </w:pPr>
          </w:p>
        </w:tc>
        <w:tc>
          <w:tcPr>
            <w:tcW w:w="320" w:type="dxa"/>
            <w:vAlign w:val="bottom"/>
          </w:tcPr>
          <w:p>
            <w:pPr>
              <w:spacing w:after="0"/>
              <w:rPr>
                <w:sz w:val="12"/>
                <w:szCs w:val="12"/>
                <w:color w:val="auto"/>
              </w:rPr>
            </w:pPr>
          </w:p>
        </w:tc>
        <w:tc>
          <w:tcPr>
            <w:tcW w:w="180" w:type="dxa"/>
            <w:vAlign w:val="bottom"/>
            <w:tcBorders>
              <w:right w:val="single" w:sz="8" w:color="005AFF"/>
            </w:tcBorders>
          </w:tcPr>
          <w:p>
            <w:pPr>
              <w:spacing w:after="0"/>
              <w:rPr>
                <w:sz w:val="12"/>
                <w:szCs w:val="12"/>
                <w:color w:val="auto"/>
              </w:rPr>
            </w:pPr>
          </w:p>
        </w:tc>
        <w:tc>
          <w:tcPr>
            <w:tcW w:w="23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may be due to the quality of the data reported.</w:t>
            </w:r>
          </w:p>
        </w:tc>
        <w:tc>
          <w:tcPr>
            <w:tcW w:w="38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184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27"/>
        </w:trPr>
        <w:tc>
          <w:tcPr>
            <w:tcW w:w="940" w:type="dxa"/>
            <w:vAlign w:val="bottom"/>
            <w:tcBorders>
              <w:bottom w:val="single" w:sz="8" w:color="auto"/>
            </w:tcBorders>
            <w:shd w:val="clear" w:color="auto" w:fill="000000"/>
          </w:tcPr>
          <w:p>
            <w:pPr>
              <w:spacing w:after="0"/>
              <w:rPr>
                <w:sz w:val="2"/>
                <w:szCs w:val="2"/>
                <w:color w:val="auto"/>
              </w:rPr>
            </w:pPr>
          </w:p>
        </w:tc>
        <w:tc>
          <w:tcPr>
            <w:tcW w:w="20" w:type="dxa"/>
            <w:vAlign w:val="bottom"/>
            <w:tcBorders>
              <w:bottom w:val="single" w:sz="8" w:color="005AFF"/>
            </w:tcBorders>
          </w:tcPr>
          <w:p>
            <w:pPr>
              <w:spacing w:after="0"/>
              <w:rPr>
                <w:sz w:val="2"/>
                <w:szCs w:val="2"/>
                <w:color w:val="auto"/>
              </w:rPr>
            </w:pPr>
          </w:p>
        </w:tc>
        <w:tc>
          <w:tcPr>
            <w:tcW w:w="480" w:type="dxa"/>
            <w:vAlign w:val="bottom"/>
            <w:tcBorders>
              <w:bottom w:val="single" w:sz="8" w:color="005AFF"/>
            </w:tcBorders>
          </w:tcPr>
          <w:p>
            <w:pPr>
              <w:spacing w:after="0"/>
              <w:rPr>
                <w:sz w:val="2"/>
                <w:szCs w:val="2"/>
                <w:color w:val="auto"/>
              </w:rPr>
            </w:pPr>
          </w:p>
        </w:tc>
        <w:tc>
          <w:tcPr>
            <w:tcW w:w="20" w:type="dxa"/>
            <w:vAlign w:val="bottom"/>
            <w:tcBorders>
              <w:bottom w:val="single" w:sz="8" w:color="005AFF"/>
            </w:tcBorders>
            <w:shd w:val="clear" w:color="auto" w:fill="005AFF"/>
          </w:tcPr>
          <w:p>
            <w:pPr>
              <w:spacing w:after="0"/>
              <w:rPr>
                <w:sz w:val="2"/>
                <w:szCs w:val="2"/>
                <w:color w:val="auto"/>
              </w:rPr>
            </w:pPr>
          </w:p>
        </w:tc>
        <w:tc>
          <w:tcPr>
            <w:tcW w:w="520" w:type="dxa"/>
            <w:vAlign w:val="bottom"/>
            <w:tcBorders>
              <w:bottom w:val="single" w:sz="8" w:color="005AFF"/>
            </w:tcBorders>
          </w:tcPr>
          <w:p>
            <w:pPr>
              <w:spacing w:after="0"/>
              <w:rPr>
                <w:sz w:val="2"/>
                <w:szCs w:val="2"/>
                <w:color w:val="auto"/>
              </w:rPr>
            </w:pPr>
          </w:p>
        </w:tc>
        <w:tc>
          <w:tcPr>
            <w:tcW w:w="2280" w:type="dxa"/>
            <w:vAlign w:val="bottom"/>
            <w:tcBorders>
              <w:left w:val="single" w:sz="8" w:color="005AFF"/>
              <w:bottom w:val="single" w:sz="8" w:color="005AFF"/>
            </w:tcBorders>
            <w:gridSpan w:val="3"/>
          </w:tcPr>
          <w:p>
            <w:pPr>
              <w:spacing w:after="0"/>
              <w:rPr>
                <w:sz w:val="2"/>
                <w:szCs w:val="2"/>
                <w:color w:val="auto"/>
              </w:rPr>
            </w:pPr>
          </w:p>
        </w:tc>
        <w:tc>
          <w:tcPr>
            <w:tcW w:w="180" w:type="dxa"/>
            <w:vAlign w:val="bottom"/>
            <w:tcBorders>
              <w:bottom w:val="single" w:sz="8" w:color="005AFF"/>
              <w:right w:val="single" w:sz="8" w:color="005AFF"/>
            </w:tcBorders>
          </w:tcPr>
          <w:p>
            <w:pPr>
              <w:spacing w:after="0"/>
              <w:rPr>
                <w:sz w:val="2"/>
                <w:szCs w:val="2"/>
                <w:color w:val="auto"/>
              </w:rPr>
            </w:pPr>
          </w:p>
        </w:tc>
        <w:tc>
          <w:tcPr>
            <w:tcW w:w="2320" w:type="dxa"/>
            <w:vAlign w:val="bottom"/>
            <w:tcBorders>
              <w:bottom w:val="single" w:sz="8" w:color="005AFF"/>
            </w:tcBorders>
          </w:tcPr>
          <w:p>
            <w:pPr>
              <w:spacing w:after="0"/>
              <w:rPr>
                <w:sz w:val="2"/>
                <w:szCs w:val="2"/>
                <w:color w:val="auto"/>
              </w:rPr>
            </w:pPr>
          </w:p>
        </w:tc>
        <w:tc>
          <w:tcPr>
            <w:tcW w:w="2560" w:type="dxa"/>
            <w:vAlign w:val="bottom"/>
            <w:tcBorders>
              <w:bottom w:val="single" w:sz="8" w:color="005AFF"/>
              <w:right w:val="single" w:sz="8" w:color="005AFF"/>
            </w:tcBorders>
            <w:gridSpan w:val="3"/>
          </w:tcPr>
          <w:p>
            <w:pPr>
              <w:spacing w:after="0"/>
              <w:rPr>
                <w:sz w:val="2"/>
                <w:szCs w:val="2"/>
                <w:color w:val="auto"/>
              </w:rPr>
            </w:pPr>
          </w:p>
        </w:tc>
        <w:tc>
          <w:tcPr>
            <w:tcW w:w="720" w:type="dxa"/>
            <w:vAlign w:val="bottom"/>
            <w:tcBorders>
              <w:bottom w:val="single" w:sz="8" w:color="005AFF"/>
            </w:tcBorders>
          </w:tcPr>
          <w:p>
            <w:pPr>
              <w:spacing w:after="0"/>
              <w:rPr>
                <w:sz w:val="2"/>
                <w:szCs w:val="2"/>
                <w:color w:val="auto"/>
              </w:rPr>
            </w:pPr>
          </w:p>
        </w:tc>
        <w:tc>
          <w:tcPr>
            <w:tcW w:w="0" w:type="dxa"/>
            <w:vAlign w:val="bottom"/>
          </w:tcPr>
          <w:p>
            <w:pPr>
              <w:spacing w:after="0"/>
              <w:rPr>
                <w:sz w:val="1"/>
                <w:szCs w:val="1"/>
                <w:color w:val="auto"/>
              </w:rPr>
            </w:pPr>
          </w:p>
        </w:tc>
      </w:tr>
      <w:tr>
        <w:trPr>
          <w:trHeight w:val="129"/>
        </w:trPr>
        <w:tc>
          <w:tcPr>
            <w:tcW w:w="940" w:type="dxa"/>
            <w:vAlign w:val="bottom"/>
            <w:shd w:val="clear" w:color="auto" w:fill="000000"/>
          </w:tcPr>
          <w:p>
            <w:pPr>
              <w:spacing w:after="0"/>
              <w:rPr>
                <w:sz w:val="11"/>
                <w:szCs w:val="11"/>
                <w:color w:val="auto"/>
              </w:rPr>
            </w:pP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shd w:val="clear" w:color="auto" w:fill="005AFF"/>
          </w:tcPr>
          <w:p>
            <w:pPr>
              <w:spacing w:after="0"/>
              <w:rPr>
                <w:sz w:val="11"/>
                <w:szCs w:val="11"/>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Our logistics’ GHG emissions reduced by 73%</w:t>
            </w:r>
          </w:p>
        </w:tc>
        <w:tc>
          <w:tcPr>
            <w:tcW w:w="180" w:type="dxa"/>
            <w:vAlign w:val="bottom"/>
            <w:tcBorders>
              <w:right w:val="single" w:sz="8" w:color="005AFF"/>
            </w:tcBorders>
          </w:tcPr>
          <w:p>
            <w:pPr>
              <w:spacing w:after="0"/>
              <w:rPr>
                <w:sz w:val="11"/>
                <w:szCs w:val="11"/>
                <w:color w:val="auto"/>
              </w:rPr>
            </w:pPr>
          </w:p>
        </w:tc>
        <w:tc>
          <w:tcPr>
            <w:tcW w:w="23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Our logistics emissions were 140 900 tons CO</w:t>
            </w:r>
          </w:p>
        </w:tc>
        <w:tc>
          <w:tcPr>
            <w:tcW w:w="2560" w:type="dxa"/>
            <w:vAlign w:val="bottom"/>
            <w:tcBorders>
              <w:right w:val="single" w:sz="8" w:color="005AFF"/>
            </w:tcBorders>
            <w:gridSpan w:val="3"/>
          </w:tcPr>
          <w:p>
            <w:pPr>
              <w:ind w:left="60"/>
              <w:spacing w:after="0" w:line="129" w:lineRule="exact"/>
              <w:rPr>
                <w:sz w:val="20"/>
                <w:szCs w:val="20"/>
                <w:color w:val="auto"/>
              </w:rPr>
            </w:pP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which is a 54% decrease from 2019.</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56"/>
        </w:trPr>
        <w:tc>
          <w:tcPr>
            <w:tcW w:w="940" w:type="dxa"/>
            <w:vAlign w:val="bottom"/>
            <w:tcBorders>
              <w:bottom w:val="single" w:sz="8" w:color="auto"/>
            </w:tcBorders>
            <w:shd w:val="clear" w:color="auto" w:fill="000000"/>
          </w:tcPr>
          <w:p>
            <w:pPr>
              <w:spacing w:after="0"/>
              <w:rPr>
                <w:sz w:val="13"/>
                <w:szCs w:val="13"/>
                <w:color w:val="auto"/>
              </w:rPr>
            </w:pPr>
          </w:p>
        </w:tc>
        <w:tc>
          <w:tcPr>
            <w:tcW w:w="2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spacing w:after="0"/>
              <w:rPr>
                <w:sz w:val="13"/>
                <w:szCs w:val="13"/>
                <w:color w:val="auto"/>
              </w:rPr>
            </w:pPr>
          </w:p>
        </w:tc>
        <w:tc>
          <w:tcPr>
            <w:tcW w:w="20" w:type="dxa"/>
            <w:vAlign w:val="bottom"/>
            <w:tcBorders>
              <w:bottom w:val="single" w:sz="8" w:color="005AFF"/>
            </w:tcBorders>
            <w:shd w:val="clear" w:color="auto" w:fill="005AFF"/>
          </w:tcPr>
          <w:p>
            <w:pPr>
              <w:spacing w:after="0"/>
              <w:rPr>
                <w:sz w:val="13"/>
                <w:szCs w:val="13"/>
                <w:color w:val="auto"/>
              </w:rPr>
            </w:pPr>
          </w:p>
        </w:tc>
        <w:tc>
          <w:tcPr>
            <w:tcW w:w="520" w:type="dxa"/>
            <w:vAlign w:val="bottom"/>
            <w:tcBorders>
              <w:bottom w:val="single" w:sz="8" w:color="005AFF"/>
            </w:tcBorders>
          </w:tcPr>
          <w:p>
            <w:pPr>
              <w:spacing w:after="0"/>
              <w:rPr>
                <w:sz w:val="13"/>
                <w:szCs w:val="13"/>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by 2030.</w:t>
            </w:r>
          </w:p>
        </w:tc>
        <w:tc>
          <w:tcPr>
            <w:tcW w:w="320" w:type="dxa"/>
            <w:vAlign w:val="bottom"/>
            <w:tcBorders>
              <w:bottom w:val="single" w:sz="8" w:color="005AFF"/>
            </w:tcBorders>
          </w:tcPr>
          <w:p>
            <w:pPr>
              <w:spacing w:after="0"/>
              <w:rPr>
                <w:sz w:val="13"/>
                <w:szCs w:val="13"/>
                <w:color w:val="auto"/>
              </w:rPr>
            </w:pPr>
          </w:p>
        </w:tc>
        <w:tc>
          <w:tcPr>
            <w:tcW w:w="180" w:type="dxa"/>
            <w:vAlign w:val="bottom"/>
            <w:tcBorders>
              <w:bottom w:val="single" w:sz="8" w:color="005AFF"/>
              <w:right w:val="single" w:sz="8" w:color="005AFF"/>
            </w:tcBorders>
          </w:tcPr>
          <w:p>
            <w:pPr>
              <w:spacing w:after="0"/>
              <w:rPr>
                <w:sz w:val="13"/>
                <w:szCs w:val="13"/>
                <w:color w:val="auto"/>
              </w:rPr>
            </w:pPr>
          </w:p>
        </w:tc>
        <w:tc>
          <w:tcPr>
            <w:tcW w:w="2320" w:type="dxa"/>
            <w:vAlign w:val="bottom"/>
            <w:tcBorders>
              <w:bottom w:val="single" w:sz="8" w:color="005AFF"/>
            </w:tcBorders>
          </w:tcPr>
          <w:p>
            <w:pPr>
              <w:spacing w:after="0"/>
              <w:rPr>
                <w:sz w:val="13"/>
                <w:szCs w:val="13"/>
                <w:color w:val="auto"/>
              </w:rPr>
            </w:pPr>
          </w:p>
        </w:tc>
        <w:tc>
          <w:tcPr>
            <w:tcW w:w="380" w:type="dxa"/>
            <w:vAlign w:val="bottom"/>
            <w:tcBorders>
              <w:bottom w:val="single" w:sz="8" w:color="005AFF"/>
            </w:tcBorders>
          </w:tcPr>
          <w:p>
            <w:pPr>
              <w:spacing w:after="0"/>
              <w:rPr>
                <w:sz w:val="13"/>
                <w:szCs w:val="13"/>
                <w:color w:val="auto"/>
              </w:rPr>
            </w:pPr>
          </w:p>
        </w:tc>
        <w:tc>
          <w:tcPr>
            <w:tcW w:w="340" w:type="dxa"/>
            <w:vAlign w:val="bottom"/>
            <w:tcBorders>
              <w:bottom w:val="single" w:sz="8" w:color="005AFF"/>
            </w:tcBorders>
          </w:tcPr>
          <w:p>
            <w:pPr>
              <w:spacing w:after="0"/>
              <w:rPr>
                <w:sz w:val="13"/>
                <w:szCs w:val="13"/>
                <w:color w:val="auto"/>
              </w:rPr>
            </w:pPr>
          </w:p>
        </w:tc>
        <w:tc>
          <w:tcPr>
            <w:tcW w:w="18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940" w:type="dxa"/>
            <w:vAlign w:val="bottom"/>
            <w:shd w:val="clear" w:color="auto" w:fill="000000"/>
          </w:tcPr>
          <w:p>
            <w:pPr>
              <w:spacing w:after="0"/>
              <w:rPr>
                <w:sz w:val="11"/>
                <w:szCs w:val="11"/>
                <w:color w:val="auto"/>
              </w:rPr>
            </w:pP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2023</w:t>
            </w:r>
          </w:p>
        </w:tc>
        <w:tc>
          <w:tcPr>
            <w:tcW w:w="20" w:type="dxa"/>
            <w:vAlign w:val="bottom"/>
            <w:shd w:val="clear" w:color="auto" w:fill="005AFF"/>
          </w:tcPr>
          <w:p>
            <w:pPr>
              <w:spacing w:after="0"/>
              <w:rPr>
                <w:sz w:val="11"/>
                <w:szCs w:val="11"/>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Reach 75% renewable electricity in our own</w:t>
            </w:r>
          </w:p>
        </w:tc>
        <w:tc>
          <w:tcPr>
            <w:tcW w:w="180" w:type="dxa"/>
            <w:vAlign w:val="bottom"/>
            <w:tcBorders>
              <w:right w:val="single" w:sz="8" w:color="005AFF"/>
            </w:tcBorders>
          </w:tcPr>
          <w:p>
            <w:pPr>
              <w:spacing w:after="0"/>
              <w:rPr>
                <w:sz w:val="11"/>
                <w:szCs w:val="11"/>
                <w:color w:val="auto"/>
              </w:rPr>
            </w:pPr>
          </w:p>
        </w:tc>
        <w:tc>
          <w:tcPr>
            <w:tcW w:w="270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Reached 75% renewable electricity in our own facilities.</w:t>
            </w:r>
          </w:p>
        </w:tc>
        <w:tc>
          <w:tcPr>
            <w:tcW w:w="340" w:type="dxa"/>
            <w:vAlign w:val="bottom"/>
          </w:tcPr>
          <w:p>
            <w:pPr>
              <w:spacing w:after="0"/>
              <w:rPr>
                <w:sz w:val="11"/>
                <w:szCs w:val="11"/>
                <w:color w:val="auto"/>
              </w:rPr>
            </w:pPr>
          </w:p>
        </w:tc>
        <w:tc>
          <w:tcPr>
            <w:tcW w:w="1840" w:type="dxa"/>
            <w:vAlign w:val="bottom"/>
            <w:tcBorders>
              <w:right w:val="single" w:sz="8" w:color="005AFF"/>
            </w:tcBorders>
          </w:tcPr>
          <w:p>
            <w:pPr>
              <w:spacing w:after="0"/>
              <w:rPr>
                <w:sz w:val="11"/>
                <w:szCs w:val="11"/>
                <w:color w:val="auto"/>
              </w:rPr>
            </w:pP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Achieved</w:t>
            </w:r>
          </w:p>
        </w:tc>
        <w:tc>
          <w:tcPr>
            <w:tcW w:w="0" w:type="dxa"/>
            <w:vAlign w:val="bottom"/>
          </w:tcPr>
          <w:p>
            <w:pPr>
              <w:spacing w:after="0"/>
              <w:rPr>
                <w:sz w:val="1"/>
                <w:szCs w:val="1"/>
                <w:color w:val="auto"/>
              </w:rPr>
            </w:pPr>
          </w:p>
        </w:tc>
      </w:tr>
      <w:tr>
        <w:trPr>
          <w:trHeight w:val="156"/>
        </w:trPr>
        <w:tc>
          <w:tcPr>
            <w:tcW w:w="940" w:type="dxa"/>
            <w:vAlign w:val="bottom"/>
            <w:tcBorders>
              <w:bottom w:val="single" w:sz="8" w:color="auto"/>
            </w:tcBorders>
            <w:shd w:val="clear" w:color="auto" w:fill="000000"/>
          </w:tcPr>
          <w:p>
            <w:pPr>
              <w:spacing w:after="0"/>
              <w:rPr>
                <w:sz w:val="13"/>
                <w:szCs w:val="13"/>
                <w:color w:val="auto"/>
              </w:rPr>
            </w:pPr>
          </w:p>
        </w:tc>
        <w:tc>
          <w:tcPr>
            <w:tcW w:w="2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spacing w:after="0"/>
              <w:rPr>
                <w:sz w:val="13"/>
                <w:szCs w:val="13"/>
                <w:color w:val="auto"/>
              </w:rPr>
            </w:pPr>
          </w:p>
        </w:tc>
        <w:tc>
          <w:tcPr>
            <w:tcW w:w="20" w:type="dxa"/>
            <w:vAlign w:val="bottom"/>
            <w:tcBorders>
              <w:bottom w:val="single" w:sz="8" w:color="005AFF"/>
            </w:tcBorders>
            <w:shd w:val="clear" w:color="auto" w:fill="005AFF"/>
          </w:tcPr>
          <w:p>
            <w:pPr>
              <w:spacing w:after="0"/>
              <w:rPr>
                <w:sz w:val="13"/>
                <w:szCs w:val="13"/>
                <w:color w:val="auto"/>
              </w:rPr>
            </w:pPr>
          </w:p>
        </w:tc>
        <w:tc>
          <w:tcPr>
            <w:tcW w:w="520" w:type="dxa"/>
            <w:vAlign w:val="bottom"/>
            <w:tcBorders>
              <w:bottom w:val="single" w:sz="8" w:color="005AFF"/>
            </w:tcBorders>
          </w:tcPr>
          <w:p>
            <w:pPr>
              <w:spacing w:after="0"/>
              <w:rPr>
                <w:sz w:val="13"/>
                <w:szCs w:val="13"/>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facilities.</w:t>
            </w:r>
          </w:p>
        </w:tc>
        <w:tc>
          <w:tcPr>
            <w:tcW w:w="320" w:type="dxa"/>
            <w:vAlign w:val="bottom"/>
            <w:tcBorders>
              <w:bottom w:val="single" w:sz="8" w:color="005AFF"/>
            </w:tcBorders>
          </w:tcPr>
          <w:p>
            <w:pPr>
              <w:spacing w:after="0"/>
              <w:rPr>
                <w:sz w:val="13"/>
                <w:szCs w:val="13"/>
                <w:color w:val="auto"/>
              </w:rPr>
            </w:pPr>
          </w:p>
        </w:tc>
        <w:tc>
          <w:tcPr>
            <w:tcW w:w="180" w:type="dxa"/>
            <w:vAlign w:val="bottom"/>
            <w:tcBorders>
              <w:bottom w:val="single" w:sz="8" w:color="005AFF"/>
              <w:right w:val="single" w:sz="8" w:color="005AFF"/>
            </w:tcBorders>
          </w:tcPr>
          <w:p>
            <w:pPr>
              <w:spacing w:after="0"/>
              <w:rPr>
                <w:sz w:val="13"/>
                <w:szCs w:val="13"/>
                <w:color w:val="auto"/>
              </w:rPr>
            </w:pPr>
          </w:p>
        </w:tc>
        <w:tc>
          <w:tcPr>
            <w:tcW w:w="2320" w:type="dxa"/>
            <w:vAlign w:val="bottom"/>
            <w:tcBorders>
              <w:bottom w:val="single" w:sz="8" w:color="005AFF"/>
            </w:tcBorders>
          </w:tcPr>
          <w:p>
            <w:pPr>
              <w:spacing w:after="0"/>
              <w:rPr>
                <w:sz w:val="13"/>
                <w:szCs w:val="13"/>
                <w:color w:val="auto"/>
              </w:rPr>
            </w:pPr>
          </w:p>
        </w:tc>
        <w:tc>
          <w:tcPr>
            <w:tcW w:w="380" w:type="dxa"/>
            <w:vAlign w:val="bottom"/>
            <w:tcBorders>
              <w:bottom w:val="single" w:sz="8" w:color="005AFF"/>
            </w:tcBorders>
          </w:tcPr>
          <w:p>
            <w:pPr>
              <w:spacing w:after="0"/>
              <w:rPr>
                <w:sz w:val="13"/>
                <w:szCs w:val="13"/>
                <w:color w:val="auto"/>
              </w:rPr>
            </w:pPr>
          </w:p>
        </w:tc>
        <w:tc>
          <w:tcPr>
            <w:tcW w:w="340" w:type="dxa"/>
            <w:vAlign w:val="bottom"/>
            <w:tcBorders>
              <w:bottom w:val="single" w:sz="8" w:color="005AFF"/>
            </w:tcBorders>
          </w:tcPr>
          <w:p>
            <w:pPr>
              <w:spacing w:after="0"/>
              <w:rPr>
                <w:sz w:val="13"/>
                <w:szCs w:val="13"/>
                <w:color w:val="auto"/>
              </w:rPr>
            </w:pPr>
          </w:p>
        </w:tc>
        <w:tc>
          <w:tcPr>
            <w:tcW w:w="18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940" w:type="dxa"/>
            <w:vAlign w:val="bottom"/>
            <w:shd w:val="clear" w:color="auto" w:fill="000000"/>
          </w:tcPr>
          <w:p>
            <w:pPr>
              <w:spacing w:after="0"/>
              <w:rPr>
                <w:sz w:val="11"/>
                <w:szCs w:val="11"/>
                <w:color w:val="auto"/>
              </w:rPr>
            </w:pP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2023</w:t>
            </w:r>
          </w:p>
        </w:tc>
        <w:tc>
          <w:tcPr>
            <w:tcW w:w="20" w:type="dxa"/>
            <w:vAlign w:val="bottom"/>
            <w:shd w:val="clear" w:color="auto" w:fill="005AFF"/>
          </w:tcPr>
          <w:p>
            <w:pPr>
              <w:spacing w:after="0"/>
              <w:rPr>
                <w:sz w:val="11"/>
                <w:szCs w:val="11"/>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Reach 65% reduction of our facilities' GHG</w:t>
            </w:r>
          </w:p>
        </w:tc>
        <w:tc>
          <w:tcPr>
            <w:tcW w:w="180" w:type="dxa"/>
            <w:vAlign w:val="bottom"/>
            <w:tcBorders>
              <w:right w:val="single" w:sz="8" w:color="005AFF"/>
            </w:tcBorders>
          </w:tcPr>
          <w:p>
            <w:pPr>
              <w:spacing w:after="0"/>
              <w:rPr>
                <w:sz w:val="11"/>
                <w:szCs w:val="11"/>
                <w:color w:val="auto"/>
              </w:rPr>
            </w:pPr>
          </w:p>
        </w:tc>
        <w:tc>
          <w:tcPr>
            <w:tcW w:w="270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Reached 69% reduction of our facilities’ GHG emissions.</w:t>
            </w:r>
          </w:p>
        </w:tc>
        <w:tc>
          <w:tcPr>
            <w:tcW w:w="340" w:type="dxa"/>
            <w:vAlign w:val="bottom"/>
          </w:tcPr>
          <w:p>
            <w:pPr>
              <w:spacing w:after="0"/>
              <w:rPr>
                <w:sz w:val="11"/>
                <w:szCs w:val="11"/>
                <w:color w:val="auto"/>
              </w:rPr>
            </w:pPr>
          </w:p>
        </w:tc>
        <w:tc>
          <w:tcPr>
            <w:tcW w:w="1840" w:type="dxa"/>
            <w:vAlign w:val="bottom"/>
            <w:tcBorders>
              <w:right w:val="single" w:sz="8" w:color="005AFF"/>
            </w:tcBorders>
          </w:tcPr>
          <w:p>
            <w:pPr>
              <w:spacing w:after="0"/>
              <w:rPr>
                <w:sz w:val="11"/>
                <w:szCs w:val="11"/>
                <w:color w:val="auto"/>
              </w:rPr>
            </w:pP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Achieved</w:t>
            </w:r>
          </w:p>
        </w:tc>
        <w:tc>
          <w:tcPr>
            <w:tcW w:w="0" w:type="dxa"/>
            <w:vAlign w:val="bottom"/>
          </w:tcPr>
          <w:p>
            <w:pPr>
              <w:spacing w:after="0"/>
              <w:rPr>
                <w:sz w:val="1"/>
                <w:szCs w:val="1"/>
                <w:color w:val="auto"/>
              </w:rPr>
            </w:pPr>
          </w:p>
        </w:tc>
      </w:tr>
      <w:tr>
        <w:trPr>
          <w:trHeight w:val="156"/>
        </w:trPr>
        <w:tc>
          <w:tcPr>
            <w:tcW w:w="940" w:type="dxa"/>
            <w:vAlign w:val="bottom"/>
            <w:tcBorders>
              <w:bottom w:val="single" w:sz="8" w:color="7F7F7F"/>
            </w:tcBorders>
            <w:shd w:val="clear" w:color="auto" w:fill="000000"/>
          </w:tcPr>
          <w:p>
            <w:pPr>
              <w:spacing w:after="0"/>
              <w:rPr>
                <w:sz w:val="13"/>
                <w:szCs w:val="13"/>
                <w:color w:val="auto"/>
              </w:rPr>
            </w:pPr>
          </w:p>
        </w:tc>
        <w:tc>
          <w:tcPr>
            <w:tcW w:w="2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spacing w:after="0"/>
              <w:rPr>
                <w:sz w:val="13"/>
                <w:szCs w:val="13"/>
                <w:color w:val="auto"/>
              </w:rPr>
            </w:pPr>
          </w:p>
        </w:tc>
        <w:tc>
          <w:tcPr>
            <w:tcW w:w="20" w:type="dxa"/>
            <w:vAlign w:val="bottom"/>
            <w:tcBorders>
              <w:bottom w:val="single" w:sz="8" w:color="005AFF"/>
            </w:tcBorders>
            <w:shd w:val="clear" w:color="auto" w:fill="005AFF"/>
          </w:tcPr>
          <w:p>
            <w:pPr>
              <w:spacing w:after="0"/>
              <w:rPr>
                <w:sz w:val="13"/>
                <w:szCs w:val="13"/>
                <w:color w:val="auto"/>
              </w:rPr>
            </w:pPr>
          </w:p>
        </w:tc>
        <w:tc>
          <w:tcPr>
            <w:tcW w:w="520" w:type="dxa"/>
            <w:vAlign w:val="bottom"/>
            <w:tcBorders>
              <w:bottom w:val="single" w:sz="8" w:color="005AFF"/>
            </w:tcBorders>
          </w:tcPr>
          <w:p>
            <w:pPr>
              <w:spacing w:after="0"/>
              <w:rPr>
                <w:sz w:val="13"/>
                <w:szCs w:val="13"/>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emissions compared to 2019.</w:t>
            </w:r>
          </w:p>
        </w:tc>
        <w:tc>
          <w:tcPr>
            <w:tcW w:w="320" w:type="dxa"/>
            <w:vAlign w:val="bottom"/>
            <w:tcBorders>
              <w:bottom w:val="single" w:sz="8" w:color="005AFF"/>
            </w:tcBorders>
          </w:tcPr>
          <w:p>
            <w:pPr>
              <w:spacing w:after="0"/>
              <w:rPr>
                <w:sz w:val="13"/>
                <w:szCs w:val="13"/>
                <w:color w:val="auto"/>
              </w:rPr>
            </w:pPr>
          </w:p>
        </w:tc>
        <w:tc>
          <w:tcPr>
            <w:tcW w:w="180" w:type="dxa"/>
            <w:vAlign w:val="bottom"/>
            <w:tcBorders>
              <w:bottom w:val="single" w:sz="8" w:color="005AFF"/>
              <w:right w:val="single" w:sz="8" w:color="005AFF"/>
            </w:tcBorders>
          </w:tcPr>
          <w:p>
            <w:pPr>
              <w:spacing w:after="0"/>
              <w:rPr>
                <w:sz w:val="13"/>
                <w:szCs w:val="13"/>
                <w:color w:val="auto"/>
              </w:rPr>
            </w:pPr>
          </w:p>
        </w:tc>
        <w:tc>
          <w:tcPr>
            <w:tcW w:w="2320" w:type="dxa"/>
            <w:vAlign w:val="bottom"/>
            <w:tcBorders>
              <w:bottom w:val="single" w:sz="8" w:color="005AFF"/>
            </w:tcBorders>
          </w:tcPr>
          <w:p>
            <w:pPr>
              <w:spacing w:after="0"/>
              <w:rPr>
                <w:sz w:val="13"/>
                <w:szCs w:val="13"/>
                <w:color w:val="auto"/>
              </w:rPr>
            </w:pPr>
          </w:p>
        </w:tc>
        <w:tc>
          <w:tcPr>
            <w:tcW w:w="380" w:type="dxa"/>
            <w:vAlign w:val="bottom"/>
            <w:tcBorders>
              <w:bottom w:val="single" w:sz="8" w:color="005AFF"/>
            </w:tcBorders>
          </w:tcPr>
          <w:p>
            <w:pPr>
              <w:spacing w:after="0"/>
              <w:rPr>
                <w:sz w:val="13"/>
                <w:szCs w:val="13"/>
                <w:color w:val="auto"/>
              </w:rPr>
            </w:pPr>
          </w:p>
        </w:tc>
        <w:tc>
          <w:tcPr>
            <w:tcW w:w="340" w:type="dxa"/>
            <w:vAlign w:val="bottom"/>
            <w:tcBorders>
              <w:bottom w:val="single" w:sz="8" w:color="005AFF"/>
            </w:tcBorders>
          </w:tcPr>
          <w:p>
            <w:pPr>
              <w:spacing w:after="0"/>
              <w:rPr>
                <w:sz w:val="13"/>
                <w:szCs w:val="13"/>
                <w:color w:val="auto"/>
              </w:rPr>
            </w:pPr>
          </w:p>
        </w:tc>
        <w:tc>
          <w:tcPr>
            <w:tcW w:w="18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940" w:type="dxa"/>
            <w:vAlign w:val="bottom"/>
            <w:vMerge w:val="restart"/>
            <w:shd w:val="clear" w:color="auto" w:fill="B6B6B6"/>
          </w:tcPr>
          <w:p>
            <w:pPr>
              <w:jc w:val="center"/>
              <w:spacing w:after="0"/>
              <w:rPr>
                <w:sz w:val="20"/>
                <w:szCs w:val="20"/>
                <w:color w:val="auto"/>
              </w:rPr>
            </w:pPr>
            <w:r>
              <w:rPr>
                <w:rFonts w:ascii="Times New Roman" w:cs="Times New Roman" w:eastAsia="Times New Roman" w:hAnsi="Times New Roman"/>
                <w:sz w:val="11"/>
                <w:szCs w:val="11"/>
                <w:b w:val="1"/>
                <w:bCs w:val="1"/>
                <w:color w:val="0D0D0D"/>
              </w:rPr>
              <w:t>Circularity</w:t>
            </w:r>
          </w:p>
        </w:tc>
        <w:tc>
          <w:tcPr>
            <w:tcW w:w="5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shd w:val="clear" w:color="auto" w:fill="005AFF"/>
          </w:tcPr>
          <w:p>
            <w:pPr>
              <w:spacing w:after="0"/>
              <w:rPr>
                <w:sz w:val="11"/>
                <w:szCs w:val="11"/>
                <w:color w:val="auto"/>
              </w:rPr>
            </w:pPr>
          </w:p>
        </w:tc>
        <w:tc>
          <w:tcPr>
            <w:tcW w:w="5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2019</w:t>
            </w:r>
          </w:p>
        </w:tc>
        <w:tc>
          <w:tcPr>
            <w:tcW w:w="1960" w:type="dxa"/>
            <w:vAlign w:val="bottom"/>
            <w:tcBorders>
              <w:left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95% circularity rate for waste from our</w:t>
            </w:r>
          </w:p>
        </w:tc>
        <w:tc>
          <w:tcPr>
            <w:tcW w:w="320" w:type="dxa"/>
            <w:vAlign w:val="bottom"/>
          </w:tcPr>
          <w:p>
            <w:pPr>
              <w:spacing w:after="0"/>
              <w:rPr>
                <w:sz w:val="11"/>
                <w:szCs w:val="11"/>
                <w:color w:val="auto"/>
              </w:rPr>
            </w:pP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We have recognized areas where a high circularity rate has already been achieved and also</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940" w:type="dxa"/>
            <w:vAlign w:val="bottom"/>
            <w:vMerge w:val="continue"/>
            <w:shd w:val="clear" w:color="auto" w:fill="B6B6B6"/>
          </w:tcPr>
          <w:p>
            <w:pPr>
              <w:spacing w:after="0"/>
              <w:rPr>
                <w:sz w:val="11"/>
                <w:szCs w:val="11"/>
                <w:color w:val="auto"/>
              </w:rPr>
            </w:pPr>
          </w:p>
        </w:tc>
        <w:tc>
          <w:tcPr>
            <w:tcW w:w="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20" w:type="dxa"/>
            <w:vAlign w:val="bottom"/>
            <w:shd w:val="clear" w:color="auto" w:fill="005AFF"/>
          </w:tcPr>
          <w:p>
            <w:pPr>
              <w:spacing w:after="0"/>
              <w:rPr>
                <w:sz w:val="11"/>
                <w:szCs w:val="11"/>
                <w:color w:val="auto"/>
              </w:rPr>
            </w:pPr>
          </w:p>
        </w:tc>
        <w:tc>
          <w:tcPr>
            <w:tcW w:w="520" w:type="dxa"/>
            <w:vAlign w:val="bottom"/>
          </w:tcPr>
          <w:p>
            <w:pPr>
              <w:spacing w:after="0"/>
              <w:rPr>
                <w:sz w:val="11"/>
                <w:szCs w:val="11"/>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offices, labs, manufacturing, installation and</w:t>
            </w: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areas requiring further action. There are still data gaps to be closed but data accuracy has</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6"/>
        </w:trPr>
        <w:tc>
          <w:tcPr>
            <w:tcW w:w="940" w:type="dxa"/>
            <w:vAlign w:val="bottom"/>
            <w:tcBorders>
              <w:bottom w:val="single" w:sz="8" w:color="7F7F7F"/>
            </w:tcBorders>
            <w:shd w:val="clear" w:color="auto" w:fill="B6B6B6"/>
          </w:tcPr>
          <w:p>
            <w:pPr>
              <w:spacing w:after="0"/>
              <w:rPr>
                <w:sz w:val="14"/>
                <w:szCs w:val="14"/>
                <w:color w:val="auto"/>
              </w:rPr>
            </w:pPr>
          </w:p>
        </w:tc>
        <w:tc>
          <w:tcPr>
            <w:tcW w:w="2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20" w:type="dxa"/>
            <w:vAlign w:val="bottom"/>
            <w:tcBorders>
              <w:bottom w:val="single" w:sz="8" w:color="005AFF"/>
            </w:tcBorders>
            <w:shd w:val="clear" w:color="auto" w:fill="005AFF"/>
          </w:tcPr>
          <w:p>
            <w:pPr>
              <w:spacing w:after="0"/>
              <w:rPr>
                <w:sz w:val="14"/>
                <w:szCs w:val="14"/>
                <w:color w:val="auto"/>
              </w:rPr>
            </w:pPr>
          </w:p>
        </w:tc>
        <w:tc>
          <w:tcPr>
            <w:tcW w:w="520" w:type="dxa"/>
            <w:vAlign w:val="bottom"/>
            <w:tcBorders>
              <w:bottom w:val="single" w:sz="8" w:color="005AFF"/>
            </w:tcBorders>
          </w:tcPr>
          <w:p>
            <w:pPr>
              <w:spacing w:after="0"/>
              <w:rPr>
                <w:sz w:val="14"/>
                <w:szCs w:val="14"/>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product takeback by 2030.</w:t>
            </w:r>
          </w:p>
        </w:tc>
        <w:tc>
          <w:tcPr>
            <w:tcW w:w="320" w:type="dxa"/>
            <w:vAlign w:val="bottom"/>
            <w:tcBorders>
              <w:bottom w:val="single" w:sz="8" w:color="005AFF"/>
            </w:tcBorders>
          </w:tcPr>
          <w:p>
            <w:pPr>
              <w:spacing w:after="0"/>
              <w:rPr>
                <w:sz w:val="14"/>
                <w:szCs w:val="14"/>
                <w:color w:val="auto"/>
              </w:rPr>
            </w:pPr>
          </w:p>
        </w:tc>
        <w:tc>
          <w:tcPr>
            <w:tcW w:w="180" w:type="dxa"/>
            <w:vAlign w:val="bottom"/>
            <w:tcBorders>
              <w:bottom w:val="single" w:sz="8" w:color="005AFF"/>
              <w:right w:val="single" w:sz="8" w:color="005AFF"/>
            </w:tcBorders>
          </w:tcPr>
          <w:p>
            <w:pPr>
              <w:spacing w:after="0"/>
              <w:rPr>
                <w:sz w:val="14"/>
                <w:szCs w:val="14"/>
                <w:color w:val="auto"/>
              </w:rPr>
            </w:pPr>
          </w:p>
        </w:tc>
        <w:tc>
          <w:tcPr>
            <w:tcW w:w="3040" w:type="dxa"/>
            <w:vAlign w:val="bottom"/>
            <w:tcBorders>
              <w:bottom w:val="single" w:sz="8" w:color="005AFF"/>
            </w:tcBorders>
            <w:gridSpan w:val="3"/>
          </w:tcPr>
          <w:p>
            <w:pPr>
              <w:ind w:left="20"/>
              <w:spacing w:after="0"/>
              <w:rPr>
                <w:sz w:val="20"/>
                <w:szCs w:val="20"/>
                <w:color w:val="auto"/>
              </w:rPr>
            </w:pPr>
            <w:r>
              <w:rPr>
                <w:rFonts w:ascii="Times New Roman" w:cs="Times New Roman" w:eastAsia="Times New Roman" w:hAnsi="Times New Roman"/>
                <w:sz w:val="11"/>
                <w:szCs w:val="11"/>
                <w:color w:val="auto"/>
              </w:rPr>
              <w:t>increased. Annual waste circularity outcome for 2023 was 86%.</w:t>
            </w:r>
          </w:p>
        </w:tc>
        <w:tc>
          <w:tcPr>
            <w:tcW w:w="1840" w:type="dxa"/>
            <w:vAlign w:val="bottom"/>
            <w:tcBorders>
              <w:bottom w:val="single" w:sz="8" w:color="005AFF"/>
              <w:right w:val="single" w:sz="8" w:color="005AFF"/>
            </w:tcBorders>
          </w:tcPr>
          <w:p>
            <w:pPr>
              <w:spacing w:after="0"/>
              <w:rPr>
                <w:sz w:val="14"/>
                <w:szCs w:val="14"/>
                <w:color w:val="auto"/>
              </w:rPr>
            </w:pPr>
          </w:p>
        </w:tc>
        <w:tc>
          <w:tcPr>
            <w:tcW w:w="72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246"/>
        </w:trPr>
        <w:tc>
          <w:tcPr>
            <w:tcW w:w="940" w:type="dxa"/>
            <w:vAlign w:val="bottom"/>
            <w:tcBorders>
              <w:bottom w:val="single" w:sz="8" w:color="005AFF"/>
            </w:tcBorders>
            <w:shd w:val="clear" w:color="auto" w:fill="005AFF"/>
          </w:tcPr>
          <w:p>
            <w:pPr>
              <w:spacing w:after="0"/>
              <w:rPr>
                <w:sz w:val="20"/>
                <w:szCs w:val="20"/>
                <w:color w:val="auto"/>
              </w:rPr>
            </w:pPr>
          </w:p>
        </w:tc>
        <w:tc>
          <w:tcPr>
            <w:tcW w:w="20" w:type="dxa"/>
            <w:vAlign w:val="bottom"/>
            <w:tcBorders>
              <w:bottom w:val="single" w:sz="8" w:color="005AFF"/>
            </w:tcBorders>
            <w:shd w:val="clear" w:color="auto" w:fill="005AFF"/>
          </w:tcPr>
          <w:p>
            <w:pPr>
              <w:spacing w:after="0"/>
              <w:rPr>
                <w:sz w:val="20"/>
                <w:szCs w:val="20"/>
                <w:color w:val="auto"/>
              </w:rPr>
            </w:pPr>
          </w:p>
        </w:tc>
        <w:tc>
          <w:tcPr>
            <w:tcW w:w="480" w:type="dxa"/>
            <w:vAlign w:val="bottom"/>
            <w:tcBorders>
              <w:bottom w:val="single" w:sz="8" w:color="005AFF"/>
            </w:tcBorders>
            <w:shd w:val="clear" w:color="auto" w:fill="005AFF"/>
          </w:tcPr>
          <w:p>
            <w:pPr>
              <w:spacing w:after="0"/>
              <w:rPr>
                <w:sz w:val="20"/>
                <w:szCs w:val="20"/>
                <w:color w:val="auto"/>
              </w:rPr>
            </w:pPr>
          </w:p>
        </w:tc>
        <w:tc>
          <w:tcPr>
            <w:tcW w:w="20" w:type="dxa"/>
            <w:vAlign w:val="bottom"/>
            <w:tcBorders>
              <w:bottom w:val="single" w:sz="8" w:color="005AFF"/>
            </w:tcBorders>
            <w:shd w:val="clear" w:color="auto" w:fill="005AFF"/>
          </w:tcPr>
          <w:p>
            <w:pPr>
              <w:spacing w:after="0"/>
              <w:rPr>
                <w:sz w:val="20"/>
                <w:szCs w:val="20"/>
                <w:color w:val="auto"/>
              </w:rPr>
            </w:pPr>
          </w:p>
        </w:tc>
        <w:tc>
          <w:tcPr>
            <w:tcW w:w="520" w:type="dxa"/>
            <w:vAlign w:val="bottom"/>
            <w:tcBorders>
              <w:bottom w:val="single" w:sz="8" w:color="005AFF"/>
            </w:tcBorders>
            <w:shd w:val="clear" w:color="auto" w:fill="005AFF"/>
          </w:tcPr>
          <w:p>
            <w:pPr>
              <w:spacing w:after="0"/>
              <w:rPr>
                <w:sz w:val="20"/>
                <w:szCs w:val="20"/>
                <w:color w:val="auto"/>
              </w:rPr>
            </w:pPr>
          </w:p>
        </w:tc>
        <w:tc>
          <w:tcPr>
            <w:tcW w:w="320" w:type="dxa"/>
            <w:vAlign w:val="bottom"/>
            <w:tcBorders>
              <w:left w:val="single" w:sz="8" w:color="005AFF"/>
              <w:bottom w:val="single" w:sz="8" w:color="005AFF"/>
            </w:tcBorders>
            <w:shd w:val="clear" w:color="auto" w:fill="005AFF"/>
          </w:tcPr>
          <w:p>
            <w:pPr>
              <w:spacing w:after="0"/>
              <w:rPr>
                <w:sz w:val="20"/>
                <w:szCs w:val="20"/>
                <w:color w:val="auto"/>
              </w:rPr>
            </w:pPr>
          </w:p>
        </w:tc>
        <w:tc>
          <w:tcPr>
            <w:tcW w:w="1640" w:type="dxa"/>
            <w:vAlign w:val="bottom"/>
            <w:tcBorders>
              <w:bottom w:val="single" w:sz="8" w:color="005AFF"/>
            </w:tcBorders>
            <w:shd w:val="clear" w:color="auto" w:fill="005AFF"/>
          </w:tcPr>
          <w:p>
            <w:pPr>
              <w:spacing w:after="0"/>
              <w:rPr>
                <w:sz w:val="20"/>
                <w:szCs w:val="20"/>
                <w:color w:val="auto"/>
              </w:rPr>
            </w:pPr>
          </w:p>
        </w:tc>
        <w:tc>
          <w:tcPr>
            <w:tcW w:w="320" w:type="dxa"/>
            <w:vAlign w:val="bottom"/>
            <w:tcBorders>
              <w:bottom w:val="single" w:sz="8" w:color="005AFF"/>
            </w:tcBorders>
            <w:shd w:val="clear" w:color="auto" w:fill="005AFF"/>
          </w:tcPr>
          <w:p>
            <w:pPr>
              <w:spacing w:after="0"/>
              <w:rPr>
                <w:sz w:val="20"/>
                <w:szCs w:val="20"/>
                <w:color w:val="auto"/>
              </w:rPr>
            </w:pPr>
          </w:p>
        </w:tc>
        <w:tc>
          <w:tcPr>
            <w:tcW w:w="2500" w:type="dxa"/>
            <w:vAlign w:val="bottom"/>
            <w:tcBorders>
              <w:bottom w:val="single" w:sz="8" w:color="005AFF"/>
            </w:tcBorders>
            <w:gridSpan w:val="2"/>
            <w:shd w:val="clear" w:color="auto" w:fill="005AFF"/>
          </w:tcPr>
          <w:p>
            <w:pPr>
              <w:ind w:left="80"/>
              <w:spacing w:after="0"/>
              <w:rPr>
                <w:sz w:val="20"/>
                <w:szCs w:val="20"/>
                <w:color w:val="auto"/>
              </w:rPr>
            </w:pPr>
            <w:r>
              <w:rPr>
                <w:rFonts w:ascii="Times New Roman" w:cs="Times New Roman" w:eastAsia="Times New Roman" w:hAnsi="Times New Roman"/>
                <w:sz w:val="11"/>
                <w:szCs w:val="11"/>
                <w:b w:val="1"/>
                <w:bCs w:val="1"/>
                <w:color w:val="FFFFFF"/>
              </w:rPr>
              <w:t>Bridging the digital divide</w:t>
            </w:r>
          </w:p>
        </w:tc>
        <w:tc>
          <w:tcPr>
            <w:tcW w:w="380" w:type="dxa"/>
            <w:vAlign w:val="bottom"/>
            <w:tcBorders>
              <w:bottom w:val="single" w:sz="8" w:color="005AFF"/>
            </w:tcBorders>
            <w:shd w:val="clear" w:color="auto" w:fill="005AFF"/>
          </w:tcPr>
          <w:p>
            <w:pPr>
              <w:spacing w:after="0"/>
              <w:rPr>
                <w:sz w:val="20"/>
                <w:szCs w:val="20"/>
                <w:color w:val="auto"/>
              </w:rPr>
            </w:pPr>
          </w:p>
        </w:tc>
        <w:tc>
          <w:tcPr>
            <w:tcW w:w="340" w:type="dxa"/>
            <w:vAlign w:val="bottom"/>
            <w:tcBorders>
              <w:bottom w:val="single" w:sz="8" w:color="005AFF"/>
            </w:tcBorders>
            <w:shd w:val="clear" w:color="auto" w:fill="005AFF"/>
          </w:tcPr>
          <w:p>
            <w:pPr>
              <w:spacing w:after="0"/>
              <w:rPr>
                <w:sz w:val="20"/>
                <w:szCs w:val="20"/>
                <w:color w:val="auto"/>
              </w:rPr>
            </w:pPr>
          </w:p>
        </w:tc>
        <w:tc>
          <w:tcPr>
            <w:tcW w:w="1840" w:type="dxa"/>
            <w:vAlign w:val="bottom"/>
            <w:tcBorders>
              <w:bottom w:val="single" w:sz="8" w:color="005AFF"/>
              <w:right w:val="single" w:sz="8" w:color="005AFF"/>
            </w:tcBorders>
            <w:shd w:val="clear" w:color="auto" w:fill="005AFF"/>
          </w:tcPr>
          <w:p>
            <w:pPr>
              <w:spacing w:after="0"/>
              <w:rPr>
                <w:sz w:val="20"/>
                <w:szCs w:val="20"/>
                <w:color w:val="auto"/>
              </w:rPr>
            </w:pPr>
          </w:p>
        </w:tc>
        <w:tc>
          <w:tcPr>
            <w:tcW w:w="720" w:type="dxa"/>
            <w:vAlign w:val="bottom"/>
            <w:tcBorders>
              <w:bottom w:val="single" w:sz="8" w:color="005AFF"/>
            </w:tcBorders>
            <w:shd w:val="clear" w:color="auto" w:fill="005AFF"/>
          </w:tcPr>
          <w:p>
            <w:pPr>
              <w:spacing w:after="0"/>
              <w:rPr>
                <w:sz w:val="20"/>
                <w:szCs w:val="20"/>
                <w:color w:val="auto"/>
              </w:rPr>
            </w:pPr>
          </w:p>
        </w:tc>
        <w:tc>
          <w:tcPr>
            <w:tcW w:w="0" w:type="dxa"/>
            <w:vAlign w:val="bottom"/>
          </w:tcPr>
          <w:p>
            <w:pPr>
              <w:spacing w:after="0"/>
              <w:rPr>
                <w:sz w:val="1"/>
                <w:szCs w:val="1"/>
                <w:color w:val="auto"/>
              </w:rPr>
            </w:pPr>
          </w:p>
        </w:tc>
      </w:tr>
      <w:tr>
        <w:trPr>
          <w:trHeight w:val="129"/>
        </w:trPr>
        <w:tc>
          <w:tcPr>
            <w:tcW w:w="940" w:type="dxa"/>
            <w:vAlign w:val="bottom"/>
            <w:tcBorders>
              <w:top w:val="single" w:sz="8" w:color="auto"/>
            </w:tcBorders>
            <w:shd w:val="clear" w:color="auto" w:fill="000000"/>
          </w:tcPr>
          <w:p>
            <w:pPr>
              <w:spacing w:after="0"/>
              <w:rPr>
                <w:sz w:val="11"/>
                <w:szCs w:val="11"/>
                <w:color w:val="auto"/>
              </w:rPr>
            </w:pPr>
          </w:p>
        </w:tc>
        <w:tc>
          <w:tcPr>
            <w:tcW w:w="500" w:type="dxa"/>
            <w:vAlign w:val="bottom"/>
            <w:tcBorders>
              <w:top w:val="single" w:sz="8" w:color="7F7F7F"/>
            </w:tcBorders>
            <w:gridSpan w:val="2"/>
          </w:tcPr>
          <w:p>
            <w:pPr>
              <w:ind w:left="40"/>
              <w:spacing w:after="0"/>
              <w:rPr>
                <w:sz w:val="20"/>
                <w:szCs w:val="20"/>
                <w:color w:val="auto"/>
              </w:rPr>
            </w:pPr>
            <w:r>
              <w:rPr>
                <w:rFonts w:ascii="Times New Roman" w:cs="Times New Roman" w:eastAsia="Times New Roman" w:hAnsi="Times New Roman"/>
                <w:sz w:val="11"/>
                <w:szCs w:val="11"/>
                <w:color w:val="auto"/>
              </w:rPr>
              <w:t>2030</w:t>
            </w:r>
          </w:p>
        </w:tc>
        <w:tc>
          <w:tcPr>
            <w:tcW w:w="20" w:type="dxa"/>
            <w:vAlign w:val="bottom"/>
            <w:tcBorders>
              <w:top w:val="single" w:sz="8" w:color="7F7F7F"/>
            </w:tcBorders>
            <w:shd w:val="clear" w:color="auto" w:fill="005AFF"/>
          </w:tcPr>
          <w:p>
            <w:pPr>
              <w:spacing w:after="0"/>
              <w:rPr>
                <w:sz w:val="11"/>
                <w:szCs w:val="11"/>
                <w:color w:val="auto"/>
              </w:rPr>
            </w:pPr>
          </w:p>
        </w:tc>
        <w:tc>
          <w:tcPr>
            <w:tcW w:w="52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2021</w:t>
            </w:r>
          </w:p>
        </w:tc>
        <w:tc>
          <w:tcPr>
            <w:tcW w:w="2280" w:type="dxa"/>
            <w:vAlign w:val="bottom"/>
            <w:tcBorders>
              <w:top w:val="single" w:sz="8" w:color="7F7F7F"/>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Helping our customers to connect the next</w:t>
            </w:r>
          </w:p>
        </w:tc>
        <w:tc>
          <w:tcPr>
            <w:tcW w:w="180" w:type="dxa"/>
            <w:vAlign w:val="bottom"/>
            <w:tcBorders>
              <w:top w:val="single" w:sz="8" w:color="7F7F7F"/>
              <w:right w:val="single" w:sz="8" w:color="005AFF"/>
            </w:tcBorders>
          </w:tcPr>
          <w:p>
            <w:pPr>
              <w:spacing w:after="0"/>
              <w:rPr>
                <w:sz w:val="11"/>
                <w:szCs w:val="11"/>
                <w:color w:val="auto"/>
              </w:rPr>
            </w:pPr>
          </w:p>
        </w:tc>
        <w:tc>
          <w:tcPr>
            <w:tcW w:w="4880" w:type="dxa"/>
            <w:vAlign w:val="bottom"/>
            <w:tcBorders>
              <w:top w:val="single" w:sz="8" w:color="7F7F7F"/>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In line with Nokia’s long term goal, we work with our customers to provide broadband based</w:t>
            </w:r>
          </w:p>
        </w:tc>
        <w:tc>
          <w:tcPr>
            <w:tcW w:w="72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31"/>
        </w:trPr>
        <w:tc>
          <w:tcPr>
            <w:tcW w:w="940" w:type="dxa"/>
            <w:vAlign w:val="bottom"/>
            <w:shd w:val="clear" w:color="auto" w:fill="000000"/>
          </w:tcPr>
          <w:p>
            <w:pPr>
              <w:spacing w:after="0"/>
              <w:rPr>
                <w:sz w:val="11"/>
                <w:szCs w:val="11"/>
                <w:color w:val="auto"/>
              </w:rPr>
            </w:pPr>
          </w:p>
        </w:tc>
        <w:tc>
          <w:tcPr>
            <w:tcW w:w="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20" w:type="dxa"/>
            <w:vAlign w:val="bottom"/>
            <w:shd w:val="clear" w:color="auto" w:fill="005AFF"/>
          </w:tcPr>
          <w:p>
            <w:pPr>
              <w:spacing w:after="0"/>
              <w:rPr>
                <w:sz w:val="11"/>
                <w:szCs w:val="11"/>
                <w:color w:val="auto"/>
              </w:rPr>
            </w:pPr>
          </w:p>
        </w:tc>
        <w:tc>
          <w:tcPr>
            <w:tcW w:w="520" w:type="dxa"/>
            <w:vAlign w:val="bottom"/>
          </w:tcPr>
          <w:p>
            <w:pPr>
              <w:spacing w:after="0"/>
              <w:rPr>
                <w:sz w:val="11"/>
                <w:szCs w:val="11"/>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2 billion measured by number of subscriptions</w:t>
            </w:r>
          </w:p>
        </w:tc>
        <w:tc>
          <w:tcPr>
            <w:tcW w:w="180" w:type="dxa"/>
            <w:vAlign w:val="bottom"/>
            <w:tcBorders>
              <w:right w:val="single" w:sz="8" w:color="005AFF"/>
            </w:tcBorders>
          </w:tcPr>
          <w:p>
            <w:pPr>
              <w:spacing w:after="0"/>
              <w:rPr>
                <w:sz w:val="11"/>
                <w:szCs w:val="11"/>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digital services on more subscriptions. The number of mobile broadband subscriptions in</w:t>
            </w: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1"/>
        </w:trPr>
        <w:tc>
          <w:tcPr>
            <w:tcW w:w="940" w:type="dxa"/>
            <w:vAlign w:val="bottom"/>
            <w:vMerge w:val="restart"/>
            <w:shd w:val="clear" w:color="auto" w:fill="000000"/>
          </w:tcPr>
          <w:p>
            <w:pPr>
              <w:jc w:val="center"/>
              <w:spacing w:after="0"/>
              <w:rPr>
                <w:sz w:val="20"/>
                <w:szCs w:val="20"/>
                <w:color w:val="auto"/>
              </w:rPr>
            </w:pPr>
            <w:r>
              <w:rPr>
                <w:rFonts w:ascii="Times New Roman" w:cs="Times New Roman" w:eastAsia="Times New Roman" w:hAnsi="Times New Roman"/>
                <w:sz w:val="11"/>
                <w:szCs w:val="11"/>
                <w:b w:val="1"/>
                <w:bCs w:val="1"/>
                <w:color w:val="FFFFFF"/>
              </w:rPr>
              <w:t>Connecting the</w:t>
            </w: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2280" w:type="dxa"/>
            <w:vAlign w:val="bottom"/>
            <w:tcBorders>
              <w:left w:val="single" w:sz="8" w:color="005AFF"/>
            </w:tcBorders>
            <w:gridSpan w:val="3"/>
          </w:tcPr>
          <w:p>
            <w:pPr>
              <w:ind w:left="40"/>
              <w:spacing w:after="0"/>
              <w:rPr>
                <w:sz w:val="20"/>
                <w:szCs w:val="20"/>
                <w:color w:val="auto"/>
              </w:rPr>
            </w:pPr>
            <w:r>
              <w:rPr>
                <w:rFonts w:ascii="Times New Roman" w:cs="Times New Roman" w:eastAsia="Times New Roman" w:hAnsi="Times New Roman"/>
                <w:sz w:val="11"/>
                <w:szCs w:val="11"/>
                <w:color w:val="auto"/>
              </w:rPr>
              <w:t>in Nokia radio customers’ networks by 2030.</w:t>
            </w:r>
          </w:p>
        </w:tc>
        <w:tc>
          <w:tcPr>
            <w:tcW w:w="180" w:type="dxa"/>
            <w:vAlign w:val="bottom"/>
            <w:tcBorders>
              <w:right w:val="single" w:sz="8" w:color="005AFF"/>
            </w:tcBorders>
          </w:tcPr>
          <w:p>
            <w:pPr>
              <w:spacing w:after="0"/>
              <w:rPr>
                <w:sz w:val="12"/>
                <w:szCs w:val="12"/>
                <w:color w:val="auto"/>
              </w:rPr>
            </w:pPr>
          </w:p>
        </w:tc>
        <w:tc>
          <w:tcPr>
            <w:tcW w:w="4880" w:type="dxa"/>
            <w:vAlign w:val="bottom"/>
            <w:tcBorders>
              <w:right w:val="single" w:sz="8" w:color="005AFF"/>
            </w:tcBorders>
            <w:gridSpan w:val="4"/>
          </w:tcPr>
          <w:p>
            <w:pPr>
              <w:ind w:left="20"/>
              <w:spacing w:after="0"/>
              <w:rPr>
                <w:sz w:val="20"/>
                <w:szCs w:val="20"/>
                <w:color w:val="auto"/>
              </w:rPr>
            </w:pPr>
            <w:r>
              <w:rPr>
                <w:rFonts w:ascii="Times New Roman" w:cs="Times New Roman" w:eastAsia="Times New Roman" w:hAnsi="Times New Roman"/>
                <w:sz w:val="11"/>
                <w:szCs w:val="11"/>
                <w:color w:val="auto"/>
              </w:rPr>
              <w:t>Nokia radio customers’ networks has increased from 2022 to the end of 2023 by 372 million</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15"/>
        </w:trPr>
        <w:tc>
          <w:tcPr>
            <w:tcW w:w="940" w:type="dxa"/>
            <w:vAlign w:val="bottom"/>
            <w:vMerge w:val="continue"/>
            <w:shd w:val="clear" w:color="auto" w:fill="000000"/>
          </w:tcPr>
          <w:p>
            <w:pPr>
              <w:spacing w:after="0"/>
              <w:rPr>
                <w:sz w:val="9"/>
                <w:szCs w:val="9"/>
                <w:color w:val="auto"/>
              </w:rPr>
            </w:pPr>
          </w:p>
        </w:tc>
        <w:tc>
          <w:tcPr>
            <w:tcW w:w="20" w:type="dxa"/>
            <w:vAlign w:val="bottom"/>
          </w:tcPr>
          <w:p>
            <w:pPr>
              <w:spacing w:after="0"/>
              <w:rPr>
                <w:sz w:val="9"/>
                <w:szCs w:val="9"/>
                <w:color w:val="auto"/>
              </w:rPr>
            </w:pPr>
          </w:p>
        </w:tc>
        <w:tc>
          <w:tcPr>
            <w:tcW w:w="480" w:type="dxa"/>
            <w:vAlign w:val="bottom"/>
          </w:tcPr>
          <w:p>
            <w:pPr>
              <w:spacing w:after="0"/>
              <w:rPr>
                <w:sz w:val="9"/>
                <w:szCs w:val="9"/>
                <w:color w:val="auto"/>
              </w:rPr>
            </w:pPr>
          </w:p>
        </w:tc>
        <w:tc>
          <w:tcPr>
            <w:tcW w:w="20" w:type="dxa"/>
            <w:vAlign w:val="bottom"/>
            <w:shd w:val="clear" w:color="auto" w:fill="005AFF"/>
          </w:tcPr>
          <w:p>
            <w:pPr>
              <w:spacing w:after="0"/>
              <w:rPr>
                <w:sz w:val="9"/>
                <w:szCs w:val="9"/>
                <w:color w:val="auto"/>
              </w:rPr>
            </w:pPr>
          </w:p>
        </w:tc>
        <w:tc>
          <w:tcPr>
            <w:tcW w:w="520" w:type="dxa"/>
            <w:vAlign w:val="bottom"/>
          </w:tcPr>
          <w:p>
            <w:pPr>
              <w:spacing w:after="0"/>
              <w:rPr>
                <w:sz w:val="9"/>
                <w:szCs w:val="9"/>
                <w:color w:val="auto"/>
              </w:rPr>
            </w:pPr>
          </w:p>
        </w:tc>
        <w:tc>
          <w:tcPr>
            <w:tcW w:w="320" w:type="dxa"/>
            <w:vAlign w:val="bottom"/>
            <w:tcBorders>
              <w:left w:val="single" w:sz="8" w:color="005AFF"/>
            </w:tcBorders>
          </w:tcPr>
          <w:p>
            <w:pPr>
              <w:spacing w:after="0"/>
              <w:rPr>
                <w:sz w:val="9"/>
                <w:szCs w:val="9"/>
                <w:color w:val="auto"/>
              </w:rPr>
            </w:pPr>
          </w:p>
        </w:tc>
        <w:tc>
          <w:tcPr>
            <w:tcW w:w="1640" w:type="dxa"/>
            <w:vAlign w:val="bottom"/>
          </w:tcPr>
          <w:p>
            <w:pPr>
              <w:spacing w:after="0"/>
              <w:rPr>
                <w:sz w:val="9"/>
                <w:szCs w:val="9"/>
                <w:color w:val="auto"/>
              </w:rPr>
            </w:pPr>
          </w:p>
        </w:tc>
        <w:tc>
          <w:tcPr>
            <w:tcW w:w="320" w:type="dxa"/>
            <w:vAlign w:val="bottom"/>
          </w:tcPr>
          <w:p>
            <w:pPr>
              <w:spacing w:after="0"/>
              <w:rPr>
                <w:sz w:val="9"/>
                <w:szCs w:val="9"/>
                <w:color w:val="auto"/>
              </w:rPr>
            </w:pPr>
          </w:p>
        </w:tc>
        <w:tc>
          <w:tcPr>
            <w:tcW w:w="180" w:type="dxa"/>
            <w:vAlign w:val="bottom"/>
            <w:tcBorders>
              <w:right w:val="single" w:sz="8" w:color="005AFF"/>
            </w:tcBorders>
          </w:tcPr>
          <w:p>
            <w:pPr>
              <w:spacing w:after="0"/>
              <w:rPr>
                <w:sz w:val="9"/>
                <w:szCs w:val="9"/>
                <w:color w:val="auto"/>
              </w:rPr>
            </w:pPr>
          </w:p>
        </w:tc>
        <w:tc>
          <w:tcPr>
            <w:tcW w:w="2320" w:type="dxa"/>
            <w:vAlign w:val="bottom"/>
          </w:tcPr>
          <w:p>
            <w:pPr>
              <w:ind w:left="20"/>
              <w:spacing w:after="0" w:line="115" w:lineRule="exact"/>
              <w:rPr>
                <w:sz w:val="20"/>
                <w:szCs w:val="20"/>
                <w:color w:val="auto"/>
              </w:rPr>
            </w:pPr>
            <w:r>
              <w:rPr>
                <w:rFonts w:ascii="Times New Roman" w:cs="Times New Roman" w:eastAsia="Times New Roman" w:hAnsi="Times New Roman"/>
                <w:sz w:val="11"/>
                <w:szCs w:val="11"/>
                <w:color w:val="auto"/>
              </w:rPr>
              <w:t xml:space="preserve">(2022-2023: 772 million)  </w:t>
            </w:r>
            <w:r>
              <w:rPr>
                <w:rFonts w:ascii="Times New Roman" w:cs="Times New Roman" w:eastAsia="Times New Roman" w:hAnsi="Times New Roman"/>
                <w:sz w:val="13"/>
                <w:szCs w:val="13"/>
                <w:color w:val="auto"/>
                <w:vertAlign w:val="superscript"/>
              </w:rPr>
              <w:t>(4)</w:t>
            </w:r>
            <w:r>
              <w:rPr>
                <w:rFonts w:ascii="Times New Roman" w:cs="Times New Roman" w:eastAsia="Times New Roman" w:hAnsi="Times New Roman"/>
                <w:sz w:val="11"/>
                <w:szCs w:val="11"/>
                <w:color w:val="auto"/>
              </w:rPr>
              <w:t>.</w:t>
            </w:r>
          </w:p>
        </w:tc>
        <w:tc>
          <w:tcPr>
            <w:tcW w:w="380" w:type="dxa"/>
            <w:vAlign w:val="bottom"/>
          </w:tcPr>
          <w:p>
            <w:pPr>
              <w:spacing w:after="0"/>
              <w:rPr>
                <w:sz w:val="9"/>
                <w:szCs w:val="9"/>
                <w:color w:val="auto"/>
              </w:rPr>
            </w:pPr>
          </w:p>
        </w:tc>
        <w:tc>
          <w:tcPr>
            <w:tcW w:w="340" w:type="dxa"/>
            <w:vAlign w:val="bottom"/>
          </w:tcPr>
          <w:p>
            <w:pPr>
              <w:spacing w:after="0"/>
              <w:rPr>
                <w:sz w:val="9"/>
                <w:szCs w:val="9"/>
                <w:color w:val="auto"/>
              </w:rPr>
            </w:pPr>
          </w:p>
        </w:tc>
        <w:tc>
          <w:tcPr>
            <w:tcW w:w="1840" w:type="dxa"/>
            <w:vAlign w:val="bottom"/>
            <w:tcBorders>
              <w:right w:val="single" w:sz="8" w:color="005AFF"/>
            </w:tcBorders>
          </w:tcPr>
          <w:p>
            <w:pPr>
              <w:spacing w:after="0"/>
              <w:rPr>
                <w:sz w:val="9"/>
                <w:szCs w:val="9"/>
                <w:color w:val="auto"/>
              </w:rPr>
            </w:pPr>
          </w:p>
        </w:tc>
        <w:tc>
          <w:tcPr>
            <w:tcW w:w="7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61"/>
        </w:trPr>
        <w:tc>
          <w:tcPr>
            <w:tcW w:w="940" w:type="dxa"/>
            <w:vAlign w:val="bottom"/>
            <w:tcBorders>
              <w:bottom w:val="single" w:sz="8" w:color="auto"/>
            </w:tcBorders>
            <w:vMerge w:val="restart"/>
            <w:shd w:val="clear" w:color="auto" w:fill="000000"/>
          </w:tcPr>
          <w:p>
            <w:pPr>
              <w:jc w:val="center"/>
              <w:ind w:right="5"/>
              <w:spacing w:after="0" w:line="117" w:lineRule="exact"/>
              <w:rPr>
                <w:sz w:val="20"/>
                <w:szCs w:val="20"/>
                <w:color w:val="auto"/>
              </w:rPr>
            </w:pPr>
            <w:r>
              <w:rPr>
                <w:rFonts w:ascii="Times New Roman" w:cs="Times New Roman" w:eastAsia="Times New Roman" w:hAnsi="Times New Roman"/>
                <w:sz w:val="11"/>
                <w:szCs w:val="11"/>
                <w:b w:val="1"/>
                <w:bCs w:val="1"/>
                <w:color w:val="FFFFFF"/>
              </w:rPr>
              <w:t>unconnected</w:t>
            </w:r>
          </w:p>
        </w:tc>
        <w:tc>
          <w:tcPr>
            <w:tcW w:w="20" w:type="dxa"/>
            <w:vAlign w:val="bottom"/>
            <w:tcBorders>
              <w:bottom w:val="single" w:sz="8" w:color="005AFF"/>
            </w:tcBorders>
          </w:tcPr>
          <w:p>
            <w:pPr>
              <w:spacing w:after="0"/>
              <w:rPr>
                <w:sz w:val="5"/>
                <w:szCs w:val="5"/>
                <w:color w:val="auto"/>
              </w:rPr>
            </w:pPr>
          </w:p>
        </w:tc>
        <w:tc>
          <w:tcPr>
            <w:tcW w:w="480" w:type="dxa"/>
            <w:vAlign w:val="bottom"/>
            <w:tcBorders>
              <w:bottom w:val="single" w:sz="8" w:color="005AFF"/>
            </w:tcBorders>
          </w:tcPr>
          <w:p>
            <w:pPr>
              <w:spacing w:after="0"/>
              <w:rPr>
                <w:sz w:val="5"/>
                <w:szCs w:val="5"/>
                <w:color w:val="auto"/>
              </w:rPr>
            </w:pPr>
          </w:p>
        </w:tc>
        <w:tc>
          <w:tcPr>
            <w:tcW w:w="20" w:type="dxa"/>
            <w:vAlign w:val="bottom"/>
            <w:tcBorders>
              <w:bottom w:val="single" w:sz="8" w:color="005AFF"/>
            </w:tcBorders>
            <w:shd w:val="clear" w:color="auto" w:fill="005AFF"/>
          </w:tcPr>
          <w:p>
            <w:pPr>
              <w:spacing w:after="0"/>
              <w:rPr>
                <w:sz w:val="5"/>
                <w:szCs w:val="5"/>
                <w:color w:val="auto"/>
              </w:rPr>
            </w:pPr>
          </w:p>
        </w:tc>
        <w:tc>
          <w:tcPr>
            <w:tcW w:w="520" w:type="dxa"/>
            <w:vAlign w:val="bottom"/>
            <w:tcBorders>
              <w:bottom w:val="single" w:sz="8" w:color="005AFF"/>
            </w:tcBorders>
          </w:tcPr>
          <w:p>
            <w:pPr>
              <w:spacing w:after="0"/>
              <w:rPr>
                <w:sz w:val="5"/>
                <w:szCs w:val="5"/>
                <w:color w:val="auto"/>
              </w:rPr>
            </w:pPr>
          </w:p>
        </w:tc>
        <w:tc>
          <w:tcPr>
            <w:tcW w:w="320" w:type="dxa"/>
            <w:vAlign w:val="bottom"/>
            <w:tcBorders>
              <w:left w:val="single" w:sz="8" w:color="005AFF"/>
              <w:bottom w:val="single" w:sz="8" w:color="005AFF"/>
            </w:tcBorders>
          </w:tcPr>
          <w:p>
            <w:pPr>
              <w:spacing w:after="0"/>
              <w:rPr>
                <w:sz w:val="5"/>
                <w:szCs w:val="5"/>
                <w:color w:val="auto"/>
              </w:rPr>
            </w:pPr>
          </w:p>
        </w:tc>
        <w:tc>
          <w:tcPr>
            <w:tcW w:w="1640" w:type="dxa"/>
            <w:vAlign w:val="bottom"/>
            <w:tcBorders>
              <w:bottom w:val="single" w:sz="8" w:color="005AFF"/>
            </w:tcBorders>
          </w:tcPr>
          <w:p>
            <w:pPr>
              <w:spacing w:after="0"/>
              <w:rPr>
                <w:sz w:val="5"/>
                <w:szCs w:val="5"/>
                <w:color w:val="auto"/>
              </w:rPr>
            </w:pPr>
          </w:p>
        </w:tc>
        <w:tc>
          <w:tcPr>
            <w:tcW w:w="320" w:type="dxa"/>
            <w:vAlign w:val="bottom"/>
            <w:tcBorders>
              <w:bottom w:val="single" w:sz="8" w:color="005AFF"/>
            </w:tcBorders>
          </w:tcPr>
          <w:p>
            <w:pPr>
              <w:spacing w:after="0"/>
              <w:rPr>
                <w:sz w:val="5"/>
                <w:szCs w:val="5"/>
                <w:color w:val="auto"/>
              </w:rPr>
            </w:pPr>
          </w:p>
        </w:tc>
        <w:tc>
          <w:tcPr>
            <w:tcW w:w="180" w:type="dxa"/>
            <w:vAlign w:val="bottom"/>
            <w:tcBorders>
              <w:bottom w:val="single" w:sz="8" w:color="005AFF"/>
              <w:right w:val="single" w:sz="8" w:color="005AFF"/>
            </w:tcBorders>
          </w:tcPr>
          <w:p>
            <w:pPr>
              <w:spacing w:after="0"/>
              <w:rPr>
                <w:sz w:val="5"/>
                <w:szCs w:val="5"/>
                <w:color w:val="auto"/>
              </w:rPr>
            </w:pPr>
          </w:p>
        </w:tc>
        <w:tc>
          <w:tcPr>
            <w:tcW w:w="2320" w:type="dxa"/>
            <w:vAlign w:val="bottom"/>
            <w:tcBorders>
              <w:bottom w:val="single" w:sz="8" w:color="005AFF"/>
            </w:tcBorders>
          </w:tcPr>
          <w:p>
            <w:pPr>
              <w:spacing w:after="0"/>
              <w:rPr>
                <w:sz w:val="5"/>
                <w:szCs w:val="5"/>
                <w:color w:val="auto"/>
              </w:rPr>
            </w:pPr>
          </w:p>
        </w:tc>
        <w:tc>
          <w:tcPr>
            <w:tcW w:w="380" w:type="dxa"/>
            <w:vAlign w:val="bottom"/>
            <w:tcBorders>
              <w:bottom w:val="single" w:sz="8" w:color="005AFF"/>
            </w:tcBorders>
          </w:tcPr>
          <w:p>
            <w:pPr>
              <w:spacing w:after="0"/>
              <w:rPr>
                <w:sz w:val="5"/>
                <w:szCs w:val="5"/>
                <w:color w:val="auto"/>
              </w:rPr>
            </w:pPr>
          </w:p>
        </w:tc>
        <w:tc>
          <w:tcPr>
            <w:tcW w:w="340" w:type="dxa"/>
            <w:vAlign w:val="bottom"/>
            <w:tcBorders>
              <w:bottom w:val="single" w:sz="8" w:color="005AFF"/>
            </w:tcBorders>
          </w:tcPr>
          <w:p>
            <w:pPr>
              <w:spacing w:after="0"/>
              <w:rPr>
                <w:sz w:val="5"/>
                <w:szCs w:val="5"/>
                <w:color w:val="auto"/>
              </w:rPr>
            </w:pPr>
          </w:p>
        </w:tc>
        <w:tc>
          <w:tcPr>
            <w:tcW w:w="1840" w:type="dxa"/>
            <w:vAlign w:val="bottom"/>
            <w:tcBorders>
              <w:bottom w:val="single" w:sz="8" w:color="005AFF"/>
              <w:right w:val="single" w:sz="8" w:color="005AFF"/>
            </w:tcBorders>
          </w:tcPr>
          <w:p>
            <w:pPr>
              <w:spacing w:after="0"/>
              <w:rPr>
                <w:sz w:val="5"/>
                <w:szCs w:val="5"/>
                <w:color w:val="auto"/>
              </w:rPr>
            </w:pPr>
          </w:p>
        </w:tc>
        <w:tc>
          <w:tcPr>
            <w:tcW w:w="720" w:type="dxa"/>
            <w:vAlign w:val="bottom"/>
            <w:tcBorders>
              <w:bottom w:val="single" w:sz="8" w:color="005AFF"/>
            </w:tcBorders>
          </w:tcPr>
          <w:p>
            <w:pPr>
              <w:spacing w:after="0"/>
              <w:rPr>
                <w:sz w:val="5"/>
                <w:szCs w:val="5"/>
                <w:color w:val="auto"/>
              </w:rPr>
            </w:pPr>
          </w:p>
        </w:tc>
        <w:tc>
          <w:tcPr>
            <w:tcW w:w="0" w:type="dxa"/>
            <w:vAlign w:val="bottom"/>
          </w:tcPr>
          <w:p>
            <w:pPr>
              <w:spacing w:after="0"/>
              <w:rPr>
                <w:sz w:val="1"/>
                <w:szCs w:val="1"/>
                <w:color w:val="auto"/>
              </w:rPr>
            </w:pPr>
          </w:p>
        </w:tc>
      </w:tr>
      <w:tr>
        <w:trPr>
          <w:trHeight w:val="36"/>
        </w:trPr>
        <w:tc>
          <w:tcPr>
            <w:tcW w:w="940" w:type="dxa"/>
            <w:vAlign w:val="bottom"/>
            <w:vMerge w:val="continue"/>
            <w:shd w:val="clear" w:color="auto" w:fill="000000"/>
          </w:tcPr>
          <w:p>
            <w:pPr>
              <w:spacing w:after="0"/>
              <w:rPr>
                <w:sz w:val="3"/>
                <w:szCs w:val="3"/>
                <w:color w:val="auto"/>
              </w:rPr>
            </w:pPr>
          </w:p>
        </w:tc>
        <w:tc>
          <w:tcPr>
            <w:tcW w:w="500" w:type="dxa"/>
            <w:vAlign w:val="bottom"/>
            <w:gridSpan w:val="2"/>
            <w:vMerge w:val="restart"/>
          </w:tcPr>
          <w:p>
            <w:pPr>
              <w:ind w:left="40"/>
              <w:spacing w:after="0"/>
              <w:rPr>
                <w:sz w:val="20"/>
                <w:szCs w:val="20"/>
                <w:color w:val="auto"/>
              </w:rPr>
            </w:pPr>
            <w:r>
              <w:rPr>
                <w:rFonts w:ascii="Times New Roman" w:cs="Times New Roman" w:eastAsia="Times New Roman" w:hAnsi="Times New Roman"/>
                <w:sz w:val="11"/>
                <w:szCs w:val="11"/>
                <w:color w:val="auto"/>
              </w:rPr>
              <w:t>2025</w:t>
            </w:r>
          </w:p>
        </w:tc>
        <w:tc>
          <w:tcPr>
            <w:tcW w:w="20" w:type="dxa"/>
            <w:vAlign w:val="bottom"/>
            <w:shd w:val="clear" w:color="auto" w:fill="005AFF"/>
          </w:tcPr>
          <w:p>
            <w:pPr>
              <w:spacing w:after="0"/>
              <w:rPr>
                <w:sz w:val="3"/>
                <w:szCs w:val="3"/>
                <w:color w:val="auto"/>
              </w:rPr>
            </w:pPr>
          </w:p>
        </w:tc>
        <w:tc>
          <w:tcPr>
            <w:tcW w:w="520" w:type="dxa"/>
            <w:vAlign w:val="bottom"/>
            <w:vMerge w:val="restart"/>
          </w:tcPr>
          <w:p>
            <w:pPr>
              <w:ind w:left="20"/>
              <w:spacing w:after="0"/>
              <w:rPr>
                <w:sz w:val="20"/>
                <w:szCs w:val="20"/>
                <w:color w:val="auto"/>
              </w:rPr>
            </w:pPr>
            <w:r>
              <w:rPr>
                <w:rFonts w:ascii="Times New Roman" w:cs="Times New Roman" w:eastAsia="Times New Roman" w:hAnsi="Times New Roman"/>
                <w:sz w:val="11"/>
                <w:szCs w:val="11"/>
                <w:color w:val="auto"/>
              </w:rPr>
              <w:t>2021</w:t>
            </w:r>
          </w:p>
        </w:tc>
        <w:tc>
          <w:tcPr>
            <w:tcW w:w="2280" w:type="dxa"/>
            <w:vAlign w:val="bottom"/>
            <w:tcBorders>
              <w:left w:val="single" w:sz="8" w:color="005AFF"/>
            </w:tcBorders>
            <w:gridSpan w:val="3"/>
            <w:vMerge w:val="restart"/>
          </w:tcPr>
          <w:p>
            <w:pPr>
              <w:ind w:left="40"/>
              <w:spacing w:after="0"/>
              <w:rPr>
                <w:sz w:val="20"/>
                <w:szCs w:val="20"/>
                <w:color w:val="auto"/>
              </w:rPr>
            </w:pPr>
            <w:r>
              <w:rPr>
                <w:rFonts w:ascii="Times New Roman" w:cs="Times New Roman" w:eastAsia="Times New Roman" w:hAnsi="Times New Roman"/>
                <w:sz w:val="11"/>
                <w:szCs w:val="11"/>
                <w:color w:val="auto"/>
              </w:rPr>
              <w:t>Harness Nokia technology, capabilities and</w:t>
            </w:r>
          </w:p>
        </w:tc>
        <w:tc>
          <w:tcPr>
            <w:tcW w:w="180" w:type="dxa"/>
            <w:vAlign w:val="bottom"/>
            <w:tcBorders>
              <w:right w:val="single" w:sz="8" w:color="005AFF"/>
            </w:tcBorders>
          </w:tcPr>
          <w:p>
            <w:pPr>
              <w:spacing w:after="0"/>
              <w:rPr>
                <w:sz w:val="3"/>
                <w:szCs w:val="3"/>
                <w:color w:val="auto"/>
              </w:rPr>
            </w:pPr>
          </w:p>
        </w:tc>
        <w:tc>
          <w:tcPr>
            <w:tcW w:w="2320" w:type="dxa"/>
            <w:vAlign w:val="bottom"/>
            <w:vMerge w:val="restart"/>
          </w:tcPr>
          <w:p>
            <w:pPr>
              <w:ind w:left="20"/>
              <w:spacing w:after="0"/>
              <w:rPr>
                <w:sz w:val="20"/>
                <w:szCs w:val="20"/>
                <w:color w:val="auto"/>
              </w:rPr>
            </w:pPr>
            <w:r>
              <w:rPr>
                <w:rFonts w:ascii="Times New Roman" w:cs="Times New Roman" w:eastAsia="Times New Roman" w:hAnsi="Times New Roman"/>
                <w:sz w:val="11"/>
                <w:szCs w:val="11"/>
                <w:color w:val="auto"/>
              </w:rPr>
              <w:t>We reached 130 832 reported direct beneficiaries</w:t>
            </w:r>
          </w:p>
        </w:tc>
        <w:tc>
          <w:tcPr>
            <w:tcW w:w="2560" w:type="dxa"/>
            <w:vAlign w:val="bottom"/>
            <w:tcBorders>
              <w:right w:val="single" w:sz="8" w:color="005AFF"/>
            </w:tcBorders>
            <w:gridSpan w:val="3"/>
            <w:vMerge w:val="restart"/>
          </w:tcPr>
          <w:p>
            <w:pPr>
              <w:ind w:left="240"/>
              <w:spacing w:after="0" w:line="129" w:lineRule="exact"/>
              <w:rPr>
                <w:sz w:val="20"/>
                <w:szCs w:val="20"/>
                <w:color w:val="auto"/>
              </w:rPr>
            </w:pPr>
            <w:r>
              <w:rPr>
                <w:rFonts w:ascii="Times New Roman" w:cs="Times New Roman" w:eastAsia="Times New Roman" w:hAnsi="Times New Roman"/>
                <w:sz w:val="14"/>
                <w:szCs w:val="14"/>
                <w:color w:val="auto"/>
                <w:vertAlign w:val="superscript"/>
              </w:rPr>
              <w:t>(6)</w:t>
            </w:r>
            <w:r>
              <w:rPr>
                <w:rFonts w:ascii="Times New Roman" w:cs="Times New Roman" w:eastAsia="Times New Roman" w:hAnsi="Times New Roman"/>
                <w:sz w:val="11"/>
                <w:szCs w:val="11"/>
                <w:color w:val="auto"/>
              </w:rPr>
              <w:t xml:space="preserve"> through social digitalization projects,</w:t>
            </w:r>
          </w:p>
        </w:tc>
        <w:tc>
          <w:tcPr>
            <w:tcW w:w="720" w:type="dxa"/>
            <w:vAlign w:val="bottom"/>
            <w:vMerge w:val="restart"/>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line="20" w:lineRule="exact"/>
              <w:rPr>
                <w:sz w:val="1"/>
                <w:szCs w:val="1"/>
                <w:color w:val="auto"/>
              </w:rPr>
            </w:pPr>
          </w:p>
        </w:tc>
      </w:tr>
      <w:tr>
        <w:trPr>
          <w:trHeight w:val="93"/>
        </w:trPr>
        <w:tc>
          <w:tcPr>
            <w:tcW w:w="940" w:type="dxa"/>
            <w:vAlign w:val="bottom"/>
            <w:vMerge w:val="restart"/>
            <w:shd w:val="clear" w:color="auto" w:fill="000000"/>
          </w:tcPr>
          <w:p>
            <w:pPr>
              <w:jc w:val="center"/>
              <w:spacing w:after="0"/>
              <w:rPr>
                <w:sz w:val="20"/>
                <w:szCs w:val="20"/>
                <w:color w:val="auto"/>
              </w:rPr>
            </w:pPr>
            <w:r>
              <w:rPr>
                <w:rFonts w:ascii="Times New Roman" w:cs="Times New Roman" w:eastAsia="Times New Roman" w:hAnsi="Times New Roman"/>
                <w:sz w:val="11"/>
                <w:szCs w:val="11"/>
                <w:b w:val="1"/>
                <w:bCs w:val="1"/>
                <w:color w:val="FFFFFF"/>
              </w:rPr>
              <w:t>and under-</w:t>
            </w:r>
          </w:p>
        </w:tc>
        <w:tc>
          <w:tcPr>
            <w:tcW w:w="500" w:type="dxa"/>
            <w:vAlign w:val="bottom"/>
            <w:gridSpan w:val="2"/>
            <w:vMerge w:val="continue"/>
          </w:tcPr>
          <w:p>
            <w:pPr>
              <w:spacing w:after="0"/>
              <w:rPr>
                <w:sz w:val="8"/>
                <w:szCs w:val="8"/>
                <w:color w:val="auto"/>
              </w:rPr>
            </w:pPr>
          </w:p>
        </w:tc>
        <w:tc>
          <w:tcPr>
            <w:tcW w:w="20" w:type="dxa"/>
            <w:vAlign w:val="bottom"/>
            <w:shd w:val="clear" w:color="auto" w:fill="005AFF"/>
          </w:tcPr>
          <w:p>
            <w:pPr>
              <w:spacing w:after="0"/>
              <w:rPr>
                <w:sz w:val="8"/>
                <w:szCs w:val="8"/>
                <w:color w:val="auto"/>
              </w:rPr>
            </w:pPr>
          </w:p>
        </w:tc>
        <w:tc>
          <w:tcPr>
            <w:tcW w:w="520" w:type="dxa"/>
            <w:vAlign w:val="bottom"/>
            <w:vMerge w:val="continue"/>
          </w:tcPr>
          <w:p>
            <w:pPr>
              <w:spacing w:after="0"/>
              <w:rPr>
                <w:sz w:val="8"/>
                <w:szCs w:val="8"/>
                <w:color w:val="auto"/>
              </w:rPr>
            </w:pPr>
          </w:p>
        </w:tc>
        <w:tc>
          <w:tcPr>
            <w:tcW w:w="2280" w:type="dxa"/>
            <w:vAlign w:val="bottom"/>
            <w:tcBorders>
              <w:left w:val="single" w:sz="8" w:color="005AFF"/>
            </w:tcBorders>
            <w:gridSpan w:val="3"/>
            <w:vMerge w:val="continue"/>
          </w:tcPr>
          <w:p>
            <w:pPr>
              <w:spacing w:after="0"/>
              <w:rPr>
                <w:sz w:val="8"/>
                <w:szCs w:val="8"/>
                <w:color w:val="auto"/>
              </w:rPr>
            </w:pPr>
          </w:p>
        </w:tc>
        <w:tc>
          <w:tcPr>
            <w:tcW w:w="180" w:type="dxa"/>
            <w:vAlign w:val="bottom"/>
            <w:tcBorders>
              <w:right w:val="single" w:sz="8" w:color="005AFF"/>
            </w:tcBorders>
          </w:tcPr>
          <w:p>
            <w:pPr>
              <w:spacing w:after="0"/>
              <w:rPr>
                <w:sz w:val="8"/>
                <w:szCs w:val="8"/>
                <w:color w:val="auto"/>
              </w:rPr>
            </w:pPr>
          </w:p>
        </w:tc>
        <w:tc>
          <w:tcPr>
            <w:tcW w:w="2320" w:type="dxa"/>
            <w:vAlign w:val="bottom"/>
            <w:vMerge w:val="continue"/>
          </w:tcPr>
          <w:p>
            <w:pPr>
              <w:spacing w:after="0"/>
              <w:rPr>
                <w:sz w:val="8"/>
                <w:szCs w:val="8"/>
                <w:color w:val="auto"/>
              </w:rPr>
            </w:pPr>
          </w:p>
        </w:tc>
        <w:tc>
          <w:tcPr>
            <w:tcW w:w="2560" w:type="dxa"/>
            <w:vAlign w:val="bottom"/>
            <w:tcBorders>
              <w:right w:val="single" w:sz="8" w:color="005AFF"/>
            </w:tcBorders>
            <w:gridSpan w:val="3"/>
            <w:vMerge w:val="continue"/>
          </w:tcPr>
          <w:p>
            <w:pPr>
              <w:spacing w:after="0"/>
              <w:rPr>
                <w:sz w:val="8"/>
                <w:szCs w:val="8"/>
                <w:color w:val="auto"/>
              </w:rPr>
            </w:pPr>
          </w:p>
        </w:tc>
        <w:tc>
          <w:tcPr>
            <w:tcW w:w="720" w:type="dxa"/>
            <w:vAlign w:val="bottom"/>
            <w:vMerge w:val="continue"/>
          </w:tcPr>
          <w:p>
            <w:pPr>
              <w:spacing w:after="0"/>
              <w:rPr>
                <w:sz w:val="8"/>
                <w:szCs w:val="8"/>
                <w:color w:val="auto"/>
              </w:rPr>
            </w:pPr>
          </w:p>
        </w:tc>
        <w:tc>
          <w:tcPr>
            <w:tcW w:w="0" w:type="dxa"/>
            <w:vAlign w:val="bottom"/>
          </w:tcPr>
          <w:p>
            <w:pPr>
              <w:spacing w:after="0"/>
              <w:rPr>
                <w:sz w:val="1"/>
                <w:szCs w:val="1"/>
                <w:color w:val="auto"/>
              </w:rPr>
            </w:pPr>
          </w:p>
        </w:tc>
      </w:tr>
      <w:tr>
        <w:trPr>
          <w:trHeight w:val="49"/>
        </w:trPr>
        <w:tc>
          <w:tcPr>
            <w:tcW w:w="940" w:type="dxa"/>
            <w:vAlign w:val="bottom"/>
            <w:vMerge w:val="continue"/>
            <w:shd w:val="clear" w:color="auto" w:fill="000000"/>
          </w:tcPr>
          <w:p>
            <w:pPr>
              <w:spacing w:after="0"/>
              <w:rPr>
                <w:sz w:val="4"/>
                <w:szCs w:val="4"/>
                <w:color w:val="auto"/>
              </w:rPr>
            </w:pPr>
          </w:p>
        </w:tc>
        <w:tc>
          <w:tcPr>
            <w:tcW w:w="20" w:type="dxa"/>
            <w:vAlign w:val="bottom"/>
          </w:tcPr>
          <w:p>
            <w:pPr>
              <w:spacing w:after="0"/>
              <w:rPr>
                <w:sz w:val="4"/>
                <w:szCs w:val="4"/>
                <w:color w:val="auto"/>
              </w:rPr>
            </w:pPr>
          </w:p>
        </w:tc>
        <w:tc>
          <w:tcPr>
            <w:tcW w:w="480" w:type="dxa"/>
            <w:vAlign w:val="bottom"/>
          </w:tcPr>
          <w:p>
            <w:pPr>
              <w:spacing w:after="0"/>
              <w:rPr>
                <w:sz w:val="4"/>
                <w:szCs w:val="4"/>
                <w:color w:val="auto"/>
              </w:rPr>
            </w:pPr>
          </w:p>
        </w:tc>
        <w:tc>
          <w:tcPr>
            <w:tcW w:w="20" w:type="dxa"/>
            <w:vAlign w:val="bottom"/>
            <w:shd w:val="clear" w:color="auto" w:fill="005AFF"/>
          </w:tcPr>
          <w:p>
            <w:pPr>
              <w:spacing w:after="0"/>
              <w:rPr>
                <w:sz w:val="4"/>
                <w:szCs w:val="4"/>
                <w:color w:val="auto"/>
              </w:rPr>
            </w:pPr>
          </w:p>
        </w:tc>
        <w:tc>
          <w:tcPr>
            <w:tcW w:w="520" w:type="dxa"/>
            <w:vAlign w:val="bottom"/>
          </w:tcPr>
          <w:p>
            <w:pPr>
              <w:spacing w:after="0"/>
              <w:rPr>
                <w:sz w:val="4"/>
                <w:szCs w:val="4"/>
                <w:color w:val="auto"/>
              </w:rPr>
            </w:pPr>
          </w:p>
        </w:tc>
        <w:tc>
          <w:tcPr>
            <w:tcW w:w="1960" w:type="dxa"/>
            <w:vAlign w:val="bottom"/>
            <w:tcBorders>
              <w:left w:val="single" w:sz="8" w:color="005AFF"/>
            </w:tcBorders>
            <w:gridSpan w:val="2"/>
            <w:vMerge w:val="restart"/>
          </w:tcPr>
          <w:p>
            <w:pPr>
              <w:ind w:left="40"/>
              <w:spacing w:after="0"/>
              <w:rPr>
                <w:sz w:val="20"/>
                <w:szCs w:val="20"/>
                <w:color w:val="auto"/>
              </w:rPr>
            </w:pPr>
            <w:r>
              <w:rPr>
                <w:rFonts w:ascii="Times New Roman" w:cs="Times New Roman" w:eastAsia="Times New Roman" w:hAnsi="Times New Roman"/>
                <w:sz w:val="11"/>
                <w:szCs w:val="11"/>
                <w:color w:val="auto"/>
              </w:rPr>
              <w:t>funds to improve the lives of 1 500 000</w:t>
            </w:r>
          </w:p>
        </w:tc>
        <w:tc>
          <w:tcPr>
            <w:tcW w:w="320" w:type="dxa"/>
            <w:vAlign w:val="bottom"/>
          </w:tcPr>
          <w:p>
            <w:pPr>
              <w:spacing w:after="0"/>
              <w:rPr>
                <w:sz w:val="4"/>
                <w:szCs w:val="4"/>
                <w:color w:val="auto"/>
              </w:rPr>
            </w:pPr>
          </w:p>
        </w:tc>
        <w:tc>
          <w:tcPr>
            <w:tcW w:w="180" w:type="dxa"/>
            <w:vAlign w:val="bottom"/>
            <w:tcBorders>
              <w:right w:val="single" w:sz="8" w:color="005AFF"/>
            </w:tcBorders>
          </w:tcPr>
          <w:p>
            <w:pPr>
              <w:spacing w:after="0"/>
              <w:rPr>
                <w:sz w:val="4"/>
                <w:szCs w:val="4"/>
                <w:color w:val="auto"/>
              </w:rPr>
            </w:pPr>
          </w:p>
        </w:tc>
        <w:tc>
          <w:tcPr>
            <w:tcW w:w="4880" w:type="dxa"/>
            <w:vAlign w:val="bottom"/>
            <w:tcBorders>
              <w:right w:val="single" w:sz="8" w:color="005AFF"/>
            </w:tcBorders>
            <w:gridSpan w:val="4"/>
            <w:vMerge w:val="restart"/>
          </w:tcPr>
          <w:p>
            <w:pPr>
              <w:ind w:left="20"/>
              <w:spacing w:after="0"/>
              <w:rPr>
                <w:sz w:val="20"/>
                <w:szCs w:val="20"/>
                <w:color w:val="auto"/>
              </w:rPr>
            </w:pPr>
            <w:r>
              <w:rPr>
                <w:rFonts w:ascii="Times New Roman" w:cs="Times New Roman" w:eastAsia="Times New Roman" w:hAnsi="Times New Roman"/>
                <w:sz w:val="11"/>
                <w:szCs w:val="11"/>
                <w:color w:val="auto"/>
              </w:rPr>
              <w:t>building digital skills, connecting the unconnected or underserved and improving inclusion,</w:t>
            </w:r>
          </w:p>
        </w:tc>
        <w:tc>
          <w:tcPr>
            <w:tcW w:w="72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83"/>
        </w:trPr>
        <w:tc>
          <w:tcPr>
            <w:tcW w:w="940" w:type="dxa"/>
            <w:vAlign w:val="bottom"/>
            <w:vMerge w:val="restart"/>
            <w:shd w:val="clear" w:color="auto" w:fill="000000"/>
          </w:tcPr>
          <w:p>
            <w:pPr>
              <w:jc w:val="center"/>
              <w:spacing w:after="0"/>
              <w:rPr>
                <w:sz w:val="20"/>
                <w:szCs w:val="20"/>
                <w:color w:val="auto"/>
              </w:rPr>
            </w:pPr>
            <w:r>
              <w:rPr>
                <w:rFonts w:ascii="Times New Roman" w:cs="Times New Roman" w:eastAsia="Times New Roman" w:hAnsi="Times New Roman"/>
                <w:sz w:val="11"/>
                <w:szCs w:val="11"/>
                <w:b w:val="1"/>
                <w:bCs w:val="1"/>
                <w:color w:val="FFFFFF"/>
              </w:rPr>
              <w:t>served</w:t>
            </w:r>
          </w:p>
        </w:tc>
        <w:tc>
          <w:tcPr>
            <w:tcW w:w="20" w:type="dxa"/>
            <w:vAlign w:val="bottom"/>
          </w:tcPr>
          <w:p>
            <w:pPr>
              <w:spacing w:after="0"/>
              <w:rPr>
                <w:sz w:val="7"/>
                <w:szCs w:val="7"/>
                <w:color w:val="auto"/>
              </w:rPr>
            </w:pPr>
          </w:p>
        </w:tc>
        <w:tc>
          <w:tcPr>
            <w:tcW w:w="480" w:type="dxa"/>
            <w:vAlign w:val="bottom"/>
          </w:tcPr>
          <w:p>
            <w:pPr>
              <w:spacing w:after="0"/>
              <w:rPr>
                <w:sz w:val="7"/>
                <w:szCs w:val="7"/>
                <w:color w:val="auto"/>
              </w:rPr>
            </w:pPr>
          </w:p>
        </w:tc>
        <w:tc>
          <w:tcPr>
            <w:tcW w:w="20" w:type="dxa"/>
            <w:vAlign w:val="bottom"/>
            <w:shd w:val="clear" w:color="auto" w:fill="005AFF"/>
          </w:tcPr>
          <w:p>
            <w:pPr>
              <w:spacing w:after="0"/>
              <w:rPr>
                <w:sz w:val="7"/>
                <w:szCs w:val="7"/>
                <w:color w:val="auto"/>
              </w:rPr>
            </w:pPr>
          </w:p>
        </w:tc>
        <w:tc>
          <w:tcPr>
            <w:tcW w:w="520" w:type="dxa"/>
            <w:vAlign w:val="bottom"/>
          </w:tcPr>
          <w:p>
            <w:pPr>
              <w:spacing w:after="0"/>
              <w:rPr>
                <w:sz w:val="7"/>
                <w:szCs w:val="7"/>
                <w:color w:val="auto"/>
              </w:rPr>
            </w:pPr>
          </w:p>
        </w:tc>
        <w:tc>
          <w:tcPr>
            <w:tcW w:w="1960" w:type="dxa"/>
            <w:vAlign w:val="bottom"/>
            <w:tcBorders>
              <w:left w:val="single" w:sz="8" w:color="005AFF"/>
            </w:tcBorders>
            <w:gridSpan w:val="2"/>
            <w:vMerge w:val="continue"/>
          </w:tcPr>
          <w:p>
            <w:pPr>
              <w:spacing w:after="0"/>
              <w:rPr>
                <w:sz w:val="7"/>
                <w:szCs w:val="7"/>
                <w:color w:val="auto"/>
              </w:rPr>
            </w:pPr>
          </w:p>
        </w:tc>
        <w:tc>
          <w:tcPr>
            <w:tcW w:w="320" w:type="dxa"/>
            <w:vAlign w:val="bottom"/>
          </w:tcPr>
          <w:p>
            <w:pPr>
              <w:spacing w:after="0"/>
              <w:rPr>
                <w:sz w:val="7"/>
                <w:szCs w:val="7"/>
                <w:color w:val="auto"/>
              </w:rPr>
            </w:pPr>
          </w:p>
        </w:tc>
        <w:tc>
          <w:tcPr>
            <w:tcW w:w="180" w:type="dxa"/>
            <w:vAlign w:val="bottom"/>
            <w:tcBorders>
              <w:right w:val="single" w:sz="8" w:color="005AFF"/>
            </w:tcBorders>
          </w:tcPr>
          <w:p>
            <w:pPr>
              <w:spacing w:after="0"/>
              <w:rPr>
                <w:sz w:val="7"/>
                <w:szCs w:val="7"/>
                <w:color w:val="auto"/>
              </w:rPr>
            </w:pPr>
          </w:p>
        </w:tc>
        <w:tc>
          <w:tcPr>
            <w:tcW w:w="4880" w:type="dxa"/>
            <w:vAlign w:val="bottom"/>
            <w:tcBorders>
              <w:right w:val="single" w:sz="8" w:color="005AFF"/>
            </w:tcBorders>
            <w:gridSpan w:val="4"/>
            <w:vMerge w:val="continue"/>
          </w:tcPr>
          <w:p>
            <w:pPr>
              <w:spacing w:after="0"/>
              <w:rPr>
                <w:sz w:val="7"/>
                <w:szCs w:val="7"/>
                <w:color w:val="auto"/>
              </w:rPr>
            </w:pPr>
          </w:p>
        </w:tc>
        <w:tc>
          <w:tcPr>
            <w:tcW w:w="72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940" w:type="dxa"/>
            <w:vAlign w:val="bottom"/>
            <w:vMerge w:val="continue"/>
            <w:shd w:val="clear" w:color="auto" w:fill="000000"/>
          </w:tcPr>
          <w:p>
            <w:pPr>
              <w:spacing w:after="0"/>
              <w:rPr>
                <w:sz w:val="5"/>
                <w:szCs w:val="5"/>
                <w:color w:val="auto"/>
              </w:rPr>
            </w:pPr>
          </w:p>
        </w:tc>
        <w:tc>
          <w:tcPr>
            <w:tcW w:w="20" w:type="dxa"/>
            <w:vAlign w:val="bottom"/>
          </w:tcPr>
          <w:p>
            <w:pPr>
              <w:spacing w:after="0"/>
              <w:rPr>
                <w:sz w:val="5"/>
                <w:szCs w:val="5"/>
                <w:color w:val="auto"/>
              </w:rPr>
            </w:pPr>
          </w:p>
        </w:tc>
        <w:tc>
          <w:tcPr>
            <w:tcW w:w="480" w:type="dxa"/>
            <w:vAlign w:val="bottom"/>
          </w:tcPr>
          <w:p>
            <w:pPr>
              <w:spacing w:after="0"/>
              <w:rPr>
                <w:sz w:val="5"/>
                <w:szCs w:val="5"/>
                <w:color w:val="auto"/>
              </w:rPr>
            </w:pPr>
          </w:p>
        </w:tc>
        <w:tc>
          <w:tcPr>
            <w:tcW w:w="20" w:type="dxa"/>
            <w:vAlign w:val="bottom"/>
            <w:shd w:val="clear" w:color="auto" w:fill="005AFF"/>
          </w:tcPr>
          <w:p>
            <w:pPr>
              <w:spacing w:after="0"/>
              <w:rPr>
                <w:sz w:val="5"/>
                <w:szCs w:val="5"/>
                <w:color w:val="auto"/>
              </w:rPr>
            </w:pPr>
          </w:p>
        </w:tc>
        <w:tc>
          <w:tcPr>
            <w:tcW w:w="520" w:type="dxa"/>
            <w:vAlign w:val="bottom"/>
          </w:tcPr>
          <w:p>
            <w:pPr>
              <w:spacing w:after="0"/>
              <w:rPr>
                <w:sz w:val="5"/>
                <w:szCs w:val="5"/>
                <w:color w:val="auto"/>
              </w:rPr>
            </w:pPr>
          </w:p>
        </w:tc>
        <w:tc>
          <w:tcPr>
            <w:tcW w:w="1960" w:type="dxa"/>
            <w:vAlign w:val="bottom"/>
            <w:tcBorders>
              <w:left w:val="single" w:sz="8" w:color="005AFF"/>
            </w:tcBorders>
            <w:gridSpan w:val="2"/>
            <w:vMerge w:val="restart"/>
          </w:tcPr>
          <w:p>
            <w:pPr>
              <w:ind w:left="40"/>
              <w:spacing w:after="0"/>
              <w:rPr>
                <w:sz w:val="20"/>
                <w:szCs w:val="20"/>
                <w:color w:val="auto"/>
              </w:rPr>
            </w:pPr>
            <w:r>
              <w:rPr>
                <w:rFonts w:ascii="Times New Roman" w:cs="Times New Roman" w:eastAsia="Times New Roman" w:hAnsi="Times New Roman"/>
                <w:sz w:val="11"/>
                <w:szCs w:val="11"/>
                <w:color w:val="auto"/>
              </w:rPr>
              <w:t>through social digitalization projects,</w:t>
            </w:r>
          </w:p>
        </w:tc>
        <w:tc>
          <w:tcPr>
            <w:tcW w:w="320" w:type="dxa"/>
            <w:vAlign w:val="bottom"/>
          </w:tcPr>
          <w:p>
            <w:pPr>
              <w:spacing w:after="0"/>
              <w:rPr>
                <w:sz w:val="5"/>
                <w:szCs w:val="5"/>
                <w:color w:val="auto"/>
              </w:rPr>
            </w:pPr>
          </w:p>
        </w:tc>
        <w:tc>
          <w:tcPr>
            <w:tcW w:w="180" w:type="dxa"/>
            <w:vAlign w:val="bottom"/>
            <w:tcBorders>
              <w:right w:val="single" w:sz="8" w:color="005AFF"/>
            </w:tcBorders>
          </w:tcPr>
          <w:p>
            <w:pPr>
              <w:spacing w:after="0"/>
              <w:rPr>
                <w:sz w:val="5"/>
                <w:szCs w:val="5"/>
                <w:color w:val="auto"/>
              </w:rPr>
            </w:pPr>
          </w:p>
        </w:tc>
        <w:tc>
          <w:tcPr>
            <w:tcW w:w="4880" w:type="dxa"/>
            <w:vAlign w:val="bottom"/>
            <w:tcBorders>
              <w:right w:val="single" w:sz="8" w:color="005AFF"/>
            </w:tcBorders>
            <w:gridSpan w:val="4"/>
            <w:vMerge w:val="restart"/>
          </w:tcPr>
          <w:p>
            <w:pPr>
              <w:ind w:left="20"/>
              <w:spacing w:after="0"/>
              <w:rPr>
                <w:sz w:val="20"/>
                <w:szCs w:val="20"/>
                <w:color w:val="auto"/>
              </w:rPr>
            </w:pPr>
            <w:r>
              <w:rPr>
                <w:rFonts w:ascii="Times New Roman" w:cs="Times New Roman" w:eastAsia="Times New Roman" w:hAnsi="Times New Roman"/>
                <w:sz w:val="11"/>
                <w:szCs w:val="11"/>
                <w:color w:val="auto"/>
              </w:rPr>
              <w:t>equity and diversity. The current total reported direct beneficiaries for 2022 and 2023</w:t>
            </w:r>
          </w:p>
        </w:tc>
        <w:tc>
          <w:tcPr>
            <w:tcW w:w="72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74"/>
        </w:trPr>
        <w:tc>
          <w:tcPr>
            <w:tcW w:w="940" w:type="dxa"/>
            <w:vAlign w:val="bottom"/>
            <w:shd w:val="clear" w:color="auto" w:fill="000000"/>
          </w:tcPr>
          <w:p>
            <w:pPr>
              <w:spacing w:after="0"/>
              <w:rPr>
                <w:sz w:val="6"/>
                <w:szCs w:val="6"/>
                <w:color w:val="auto"/>
              </w:rPr>
            </w:pPr>
          </w:p>
        </w:tc>
        <w:tc>
          <w:tcPr>
            <w:tcW w:w="20" w:type="dxa"/>
            <w:vAlign w:val="bottom"/>
          </w:tcPr>
          <w:p>
            <w:pPr>
              <w:spacing w:after="0"/>
              <w:rPr>
                <w:sz w:val="6"/>
                <w:szCs w:val="6"/>
                <w:color w:val="auto"/>
              </w:rPr>
            </w:pPr>
          </w:p>
        </w:tc>
        <w:tc>
          <w:tcPr>
            <w:tcW w:w="480" w:type="dxa"/>
            <w:vAlign w:val="bottom"/>
          </w:tcPr>
          <w:p>
            <w:pPr>
              <w:spacing w:after="0"/>
              <w:rPr>
                <w:sz w:val="6"/>
                <w:szCs w:val="6"/>
                <w:color w:val="auto"/>
              </w:rPr>
            </w:pPr>
          </w:p>
        </w:tc>
        <w:tc>
          <w:tcPr>
            <w:tcW w:w="20" w:type="dxa"/>
            <w:vAlign w:val="bottom"/>
            <w:shd w:val="clear" w:color="auto" w:fill="005AFF"/>
          </w:tcPr>
          <w:p>
            <w:pPr>
              <w:spacing w:after="0"/>
              <w:rPr>
                <w:sz w:val="6"/>
                <w:szCs w:val="6"/>
                <w:color w:val="auto"/>
              </w:rPr>
            </w:pPr>
          </w:p>
        </w:tc>
        <w:tc>
          <w:tcPr>
            <w:tcW w:w="520" w:type="dxa"/>
            <w:vAlign w:val="bottom"/>
          </w:tcPr>
          <w:p>
            <w:pPr>
              <w:spacing w:after="0"/>
              <w:rPr>
                <w:sz w:val="6"/>
                <w:szCs w:val="6"/>
                <w:color w:val="auto"/>
              </w:rPr>
            </w:pPr>
          </w:p>
        </w:tc>
        <w:tc>
          <w:tcPr>
            <w:tcW w:w="1960" w:type="dxa"/>
            <w:vAlign w:val="bottom"/>
            <w:tcBorders>
              <w:left w:val="single" w:sz="8" w:color="005AFF"/>
            </w:tcBorders>
            <w:gridSpan w:val="2"/>
            <w:vMerge w:val="continue"/>
          </w:tcPr>
          <w:p>
            <w:pPr>
              <w:spacing w:after="0"/>
              <w:rPr>
                <w:sz w:val="6"/>
                <w:szCs w:val="6"/>
                <w:color w:val="auto"/>
              </w:rPr>
            </w:pPr>
          </w:p>
        </w:tc>
        <w:tc>
          <w:tcPr>
            <w:tcW w:w="320" w:type="dxa"/>
            <w:vAlign w:val="bottom"/>
          </w:tcPr>
          <w:p>
            <w:pPr>
              <w:spacing w:after="0"/>
              <w:rPr>
                <w:sz w:val="6"/>
                <w:szCs w:val="6"/>
                <w:color w:val="auto"/>
              </w:rPr>
            </w:pPr>
          </w:p>
        </w:tc>
        <w:tc>
          <w:tcPr>
            <w:tcW w:w="180" w:type="dxa"/>
            <w:vAlign w:val="bottom"/>
            <w:tcBorders>
              <w:right w:val="single" w:sz="8" w:color="005AFF"/>
            </w:tcBorders>
          </w:tcPr>
          <w:p>
            <w:pPr>
              <w:spacing w:after="0"/>
              <w:rPr>
                <w:sz w:val="6"/>
                <w:szCs w:val="6"/>
                <w:color w:val="auto"/>
              </w:rPr>
            </w:pPr>
          </w:p>
        </w:tc>
        <w:tc>
          <w:tcPr>
            <w:tcW w:w="4880" w:type="dxa"/>
            <w:vAlign w:val="bottom"/>
            <w:tcBorders>
              <w:right w:val="single" w:sz="8" w:color="005AFF"/>
            </w:tcBorders>
            <w:gridSpan w:val="4"/>
            <w:vMerge w:val="continue"/>
          </w:tcPr>
          <w:p>
            <w:pPr>
              <w:spacing w:after="0"/>
              <w:rPr>
                <w:sz w:val="6"/>
                <w:szCs w:val="6"/>
                <w:color w:val="auto"/>
              </w:rPr>
            </w:pPr>
          </w:p>
        </w:tc>
        <w:tc>
          <w:tcPr>
            <w:tcW w:w="72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142"/>
        </w:trPr>
        <w:tc>
          <w:tcPr>
            <w:tcW w:w="940" w:type="dxa"/>
            <w:vAlign w:val="bottom"/>
            <w:shd w:val="clear" w:color="auto" w:fill="000000"/>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520" w:type="dxa"/>
            <w:vAlign w:val="bottom"/>
          </w:tcPr>
          <w:p>
            <w:pPr>
              <w:spacing w:after="0"/>
              <w:rPr>
                <w:sz w:val="12"/>
                <w:szCs w:val="12"/>
                <w:color w:val="auto"/>
              </w:rPr>
            </w:pPr>
          </w:p>
        </w:tc>
        <w:tc>
          <w:tcPr>
            <w:tcW w:w="1960" w:type="dxa"/>
            <w:vAlign w:val="bottom"/>
            <w:tcBorders>
              <w:left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digital skills building, and connecting the</w:t>
            </w:r>
          </w:p>
        </w:tc>
        <w:tc>
          <w:tcPr>
            <w:tcW w:w="320" w:type="dxa"/>
            <w:vAlign w:val="bottom"/>
            <w:vMerge w:val="restart"/>
          </w:tcPr>
          <w:p>
            <w:pPr>
              <w:jc w:val="right"/>
              <w:ind w:right="163"/>
              <w:spacing w:after="0"/>
              <w:rPr>
                <w:sz w:val="20"/>
                <w:szCs w:val="20"/>
                <w:color w:val="auto"/>
              </w:rPr>
            </w:pPr>
            <w:r>
              <w:rPr>
                <w:rFonts w:ascii="Times New Roman" w:cs="Times New Roman" w:eastAsia="Times New Roman" w:hAnsi="Times New Roman"/>
                <w:sz w:val="7"/>
                <w:szCs w:val="7"/>
                <w:color w:val="auto"/>
                <w:w w:val="84"/>
              </w:rPr>
              <w:t>(5)</w:t>
            </w:r>
            <w:r>
              <w:rPr>
                <w:rFonts w:ascii="Times New Roman" w:cs="Times New Roman" w:eastAsia="Times New Roman" w:hAnsi="Times New Roman"/>
                <w:sz w:val="22"/>
                <w:szCs w:val="22"/>
                <w:color w:val="auto"/>
                <w:w w:val="84"/>
                <w:vertAlign w:val="subscript"/>
              </w:rPr>
              <w:t>.</w:t>
            </w:r>
          </w:p>
        </w:tc>
        <w:tc>
          <w:tcPr>
            <w:tcW w:w="180" w:type="dxa"/>
            <w:vAlign w:val="bottom"/>
            <w:tcBorders>
              <w:right w:val="single" w:sz="8" w:color="005AFF"/>
            </w:tcBorders>
          </w:tcPr>
          <w:p>
            <w:pPr>
              <w:spacing w:after="0"/>
              <w:rPr>
                <w:sz w:val="12"/>
                <w:szCs w:val="12"/>
                <w:color w:val="auto"/>
              </w:rPr>
            </w:pPr>
          </w:p>
        </w:tc>
        <w:tc>
          <w:tcPr>
            <w:tcW w:w="23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were 691 534.</w:t>
            </w:r>
          </w:p>
        </w:tc>
        <w:tc>
          <w:tcPr>
            <w:tcW w:w="38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184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940" w:type="dxa"/>
            <w:vAlign w:val="bottom"/>
            <w:tcBorders>
              <w:bottom w:val="single" w:sz="8" w:color="7F7F7F"/>
            </w:tcBorders>
            <w:shd w:val="clear" w:color="auto" w:fill="000000"/>
          </w:tcPr>
          <w:p>
            <w:pPr>
              <w:spacing w:after="0"/>
              <w:rPr>
                <w:sz w:val="14"/>
                <w:szCs w:val="14"/>
                <w:color w:val="auto"/>
              </w:rPr>
            </w:pPr>
          </w:p>
        </w:tc>
        <w:tc>
          <w:tcPr>
            <w:tcW w:w="2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20" w:type="dxa"/>
            <w:vAlign w:val="bottom"/>
            <w:tcBorders>
              <w:bottom w:val="single" w:sz="8" w:color="005AFF"/>
            </w:tcBorders>
            <w:shd w:val="clear" w:color="auto" w:fill="005AFF"/>
          </w:tcPr>
          <w:p>
            <w:pPr>
              <w:spacing w:after="0"/>
              <w:rPr>
                <w:sz w:val="14"/>
                <w:szCs w:val="14"/>
                <w:color w:val="auto"/>
              </w:rPr>
            </w:pPr>
          </w:p>
        </w:tc>
        <w:tc>
          <w:tcPr>
            <w:tcW w:w="520" w:type="dxa"/>
            <w:vAlign w:val="bottom"/>
            <w:tcBorders>
              <w:bottom w:val="single" w:sz="8" w:color="005AFF"/>
            </w:tcBorders>
          </w:tcPr>
          <w:p>
            <w:pPr>
              <w:spacing w:after="0"/>
              <w:rPr>
                <w:sz w:val="14"/>
                <w:szCs w:val="14"/>
                <w:color w:val="auto"/>
              </w:rPr>
            </w:pPr>
          </w:p>
        </w:tc>
        <w:tc>
          <w:tcPr>
            <w:tcW w:w="1960" w:type="dxa"/>
            <w:vAlign w:val="bottom"/>
            <w:tcBorders>
              <w:left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1"/>
                <w:szCs w:val="11"/>
                <w:color w:val="auto"/>
              </w:rPr>
              <w:t>unconnected or underserved by 2025</w:t>
            </w:r>
          </w:p>
        </w:tc>
        <w:tc>
          <w:tcPr>
            <w:tcW w:w="320" w:type="dxa"/>
            <w:vAlign w:val="bottom"/>
            <w:tcBorders>
              <w:bottom w:val="single" w:sz="8" w:color="005AFF"/>
            </w:tcBorders>
            <w:vMerge w:val="continue"/>
          </w:tcPr>
          <w:p>
            <w:pPr>
              <w:spacing w:after="0"/>
              <w:rPr>
                <w:sz w:val="14"/>
                <w:szCs w:val="14"/>
                <w:color w:val="auto"/>
              </w:rPr>
            </w:pPr>
          </w:p>
        </w:tc>
        <w:tc>
          <w:tcPr>
            <w:tcW w:w="180" w:type="dxa"/>
            <w:vAlign w:val="bottom"/>
            <w:tcBorders>
              <w:bottom w:val="single" w:sz="8" w:color="005AFF"/>
              <w:right w:val="single" w:sz="8" w:color="005AFF"/>
            </w:tcBorders>
          </w:tcPr>
          <w:p>
            <w:pPr>
              <w:spacing w:after="0"/>
              <w:rPr>
                <w:sz w:val="14"/>
                <w:szCs w:val="14"/>
                <w:color w:val="auto"/>
              </w:rPr>
            </w:pPr>
          </w:p>
        </w:tc>
        <w:tc>
          <w:tcPr>
            <w:tcW w:w="23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spacing w:after="0"/>
              <w:rPr>
                <w:sz w:val="14"/>
                <w:szCs w:val="14"/>
                <w:color w:val="auto"/>
              </w:rPr>
            </w:pPr>
          </w:p>
        </w:tc>
        <w:tc>
          <w:tcPr>
            <w:tcW w:w="340" w:type="dxa"/>
            <w:vAlign w:val="bottom"/>
            <w:tcBorders>
              <w:bottom w:val="single" w:sz="8" w:color="005AFF"/>
            </w:tcBorders>
          </w:tcPr>
          <w:p>
            <w:pPr>
              <w:spacing w:after="0"/>
              <w:rPr>
                <w:sz w:val="14"/>
                <w:szCs w:val="14"/>
                <w:color w:val="auto"/>
              </w:rPr>
            </w:pPr>
          </w:p>
        </w:tc>
        <w:tc>
          <w:tcPr>
            <w:tcW w:w="1840" w:type="dxa"/>
            <w:vAlign w:val="bottom"/>
            <w:tcBorders>
              <w:bottom w:val="single" w:sz="8" w:color="005AFF"/>
              <w:right w:val="single" w:sz="8" w:color="005AFF"/>
            </w:tcBorders>
          </w:tcPr>
          <w:p>
            <w:pPr>
              <w:spacing w:after="0"/>
              <w:rPr>
                <w:sz w:val="14"/>
                <w:szCs w:val="14"/>
                <w:color w:val="auto"/>
              </w:rPr>
            </w:pPr>
          </w:p>
        </w:tc>
        <w:tc>
          <w:tcPr>
            <w:tcW w:w="720" w:type="dxa"/>
            <w:vAlign w:val="bottom"/>
            <w:tcBorders>
              <w:bottom w:val="single" w:sz="8" w:color="005AFF"/>
            </w:tcBorders>
          </w:tcPr>
          <w:p>
            <w:pPr>
              <w:spacing w:after="0"/>
              <w:rPr>
                <w:sz w:val="14"/>
                <w:szCs w:val="1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32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09" w:right="899" w:bottom="1440" w:gutter="0" w:footer="0" w:header="0"/>
        </w:sectPr>
      </w:pPr>
    </w:p>
    <w:bookmarkStart w:id="96" w:name="page97"/>
    <w:bookmarkEnd w:id="96"/>
    <w:tbl>
      <w:tblPr>
        <w:tblLayout w:type="fixed"/>
        <w:tblInd w:w="0" w:type="dxa"/>
        <w:tblCellMar>
          <w:top w:w="0" w:type="dxa"/>
          <w:left w:w="0" w:type="dxa"/>
          <w:bottom w:w="0" w:type="dxa"/>
          <w:right w:w="0" w:type="dxa"/>
        </w:tblCellMar>
      </w:tblPr>
      <w:tr>
        <w:trPr>
          <w:trHeight w:val="111"/>
        </w:trPr>
        <w:tc>
          <w:tcPr>
            <w:tcW w:w="840" w:type="dxa"/>
            <w:vAlign w:val="bottom"/>
          </w:tcPr>
          <w:p>
            <w:pPr>
              <w:jc w:val="right"/>
              <w:ind w:right="429"/>
              <w:spacing w:after="0"/>
              <w:rPr>
                <w:sz w:val="20"/>
                <w:szCs w:val="20"/>
                <w:color w:val="auto"/>
              </w:rPr>
            </w:pPr>
            <w:r>
              <w:rPr>
                <w:rFonts w:ascii="Times New Roman" w:cs="Times New Roman" w:eastAsia="Times New Roman" w:hAnsi="Times New Roman"/>
                <w:sz w:val="9"/>
                <w:szCs w:val="9"/>
                <w:color w:val="auto"/>
              </w:rPr>
              <w:t>Business</w:t>
            </w:r>
          </w:p>
        </w:tc>
        <w:tc>
          <w:tcPr>
            <w:tcW w:w="600" w:type="dxa"/>
            <w:vAlign w:val="bottom"/>
            <w:gridSpan w:val="3"/>
          </w:tcPr>
          <w:p>
            <w:pPr>
              <w:ind w:left="80"/>
              <w:spacing w:after="0"/>
              <w:rPr>
                <w:sz w:val="20"/>
                <w:szCs w:val="20"/>
                <w:color w:val="auto"/>
              </w:rPr>
            </w:pPr>
            <w:r>
              <w:rPr>
                <w:rFonts w:ascii="Times New Roman" w:cs="Times New Roman" w:eastAsia="Times New Roman" w:hAnsi="Times New Roman"/>
                <w:sz w:val="9"/>
                <w:szCs w:val="9"/>
                <w:color w:val="auto"/>
              </w:rPr>
              <w:t>Corporate</w:t>
            </w:r>
          </w:p>
        </w:tc>
        <w:tc>
          <w:tcPr>
            <w:tcW w:w="20" w:type="dxa"/>
            <w:vAlign w:val="bottom"/>
          </w:tcPr>
          <w:p>
            <w:pPr>
              <w:spacing w:after="0"/>
              <w:rPr>
                <w:sz w:val="9"/>
                <w:szCs w:val="9"/>
                <w:color w:val="auto"/>
              </w:rPr>
            </w:pPr>
          </w:p>
        </w:tc>
        <w:tc>
          <w:tcPr>
            <w:tcW w:w="460" w:type="dxa"/>
            <w:vAlign w:val="bottom"/>
          </w:tcPr>
          <w:p>
            <w:pPr>
              <w:spacing w:after="0"/>
              <w:rPr>
                <w:sz w:val="9"/>
                <w:szCs w:val="9"/>
                <w:color w:val="auto"/>
              </w:rPr>
            </w:pPr>
          </w:p>
        </w:tc>
        <w:tc>
          <w:tcPr>
            <w:tcW w:w="124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240"/>
              <w:spacing w:after="0"/>
              <w:rPr>
                <w:sz w:val="20"/>
                <w:szCs w:val="20"/>
                <w:color w:val="auto"/>
              </w:rPr>
            </w:pPr>
            <w:r>
              <w:rPr>
                <w:rFonts w:ascii="Times New Roman" w:cs="Times New Roman" w:eastAsia="Times New Roman" w:hAnsi="Times New Roman"/>
                <w:sz w:val="9"/>
                <w:szCs w:val="9"/>
                <w:color w:val="auto"/>
              </w:rPr>
              <w:t>General facts</w:t>
            </w:r>
          </w:p>
        </w:tc>
        <w:tc>
          <w:tcPr>
            <w:tcW w:w="1060" w:type="dxa"/>
            <w:vAlign w:val="bottom"/>
          </w:tcPr>
          <w:p>
            <w:pPr>
              <w:ind w:left="40"/>
              <w:spacing w:after="0"/>
              <w:rPr>
                <w:sz w:val="20"/>
                <w:szCs w:val="20"/>
                <w:color w:val="auto"/>
              </w:rPr>
            </w:pPr>
            <w:r>
              <w:rPr>
                <w:rFonts w:ascii="Times New Roman" w:cs="Times New Roman" w:eastAsia="Times New Roman" w:hAnsi="Times New Roman"/>
                <w:sz w:val="9"/>
                <w:szCs w:val="9"/>
                <w:color w:val="auto"/>
              </w:rPr>
              <w:t>Financial</w:t>
            </w:r>
          </w:p>
        </w:tc>
        <w:tc>
          <w:tcPr>
            <w:tcW w:w="382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720" w:type="dxa"/>
            <w:vAlign w:val="bottom"/>
            <w:vMerge w:val="restart"/>
          </w:tcPr>
          <w:p>
            <w:pPr>
              <w:jc w:val="right"/>
              <w:ind w:right="7"/>
              <w:spacing w:after="0"/>
              <w:rPr>
                <w:sz w:val="20"/>
                <w:szCs w:val="20"/>
                <w:color w:val="auto"/>
              </w:rPr>
            </w:pPr>
            <w:r>
              <w:rPr>
                <w:rFonts w:ascii="Times New Roman" w:cs="Times New Roman" w:eastAsia="Times New Roman" w:hAnsi="Times New Roman"/>
                <w:sz w:val="12"/>
                <w:szCs w:val="12"/>
                <w:color w:val="auto"/>
              </w:rPr>
              <w:t>89</w:t>
            </w:r>
          </w:p>
        </w:tc>
        <w:tc>
          <w:tcPr>
            <w:tcW w:w="0" w:type="dxa"/>
            <w:vAlign w:val="bottom"/>
          </w:tcPr>
          <w:p>
            <w:pPr>
              <w:spacing w:after="0"/>
              <w:rPr>
                <w:sz w:val="1"/>
                <w:szCs w:val="1"/>
                <w:color w:val="auto"/>
              </w:rPr>
            </w:pPr>
          </w:p>
        </w:tc>
      </w:tr>
      <w:tr>
        <w:trPr>
          <w:trHeight w:val="130"/>
        </w:trPr>
        <w:tc>
          <w:tcPr>
            <w:tcW w:w="840" w:type="dxa"/>
            <w:vAlign w:val="bottom"/>
          </w:tcPr>
          <w:p>
            <w:pPr>
              <w:jc w:val="right"/>
              <w:ind w:right="429"/>
              <w:spacing w:after="0"/>
              <w:rPr>
                <w:sz w:val="20"/>
                <w:szCs w:val="20"/>
                <w:color w:val="auto"/>
              </w:rPr>
            </w:pPr>
            <w:r>
              <w:rPr>
                <w:rFonts w:ascii="Times New Roman" w:cs="Times New Roman" w:eastAsia="Times New Roman" w:hAnsi="Times New Roman"/>
                <w:sz w:val="9"/>
                <w:szCs w:val="9"/>
                <w:color w:val="auto"/>
              </w:rPr>
              <w:t>overview</w:t>
            </w:r>
          </w:p>
        </w:tc>
        <w:tc>
          <w:tcPr>
            <w:tcW w:w="600" w:type="dxa"/>
            <w:vAlign w:val="bottom"/>
            <w:gridSpan w:val="3"/>
          </w:tcPr>
          <w:p>
            <w:pPr>
              <w:ind w:left="80"/>
              <w:spacing w:after="0"/>
              <w:rPr>
                <w:sz w:val="20"/>
                <w:szCs w:val="20"/>
                <w:color w:val="auto"/>
              </w:rPr>
            </w:pPr>
            <w:r>
              <w:rPr>
                <w:rFonts w:ascii="Times New Roman" w:cs="Times New Roman" w:eastAsia="Times New Roman" w:hAnsi="Times New Roman"/>
                <w:sz w:val="9"/>
                <w:szCs w:val="9"/>
                <w:color w:val="auto"/>
              </w:rPr>
              <w:t>governance</w:t>
            </w:r>
          </w:p>
        </w:tc>
        <w:tc>
          <w:tcPr>
            <w:tcW w:w="2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124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240"/>
              <w:spacing w:after="0"/>
              <w:rPr>
                <w:sz w:val="20"/>
                <w:szCs w:val="20"/>
                <w:color w:val="auto"/>
              </w:rPr>
            </w:pPr>
            <w:r>
              <w:rPr>
                <w:rFonts w:ascii="Times New Roman" w:cs="Times New Roman" w:eastAsia="Times New Roman" w:hAnsi="Times New Roman"/>
                <w:sz w:val="9"/>
                <w:szCs w:val="9"/>
                <w:color w:val="auto"/>
              </w:rPr>
              <w:t>on Nokia</w:t>
            </w:r>
          </w:p>
        </w:tc>
        <w:tc>
          <w:tcPr>
            <w:tcW w:w="1060" w:type="dxa"/>
            <w:vAlign w:val="bottom"/>
          </w:tcPr>
          <w:p>
            <w:pPr>
              <w:ind w:left="40"/>
              <w:spacing w:after="0"/>
              <w:rPr>
                <w:sz w:val="20"/>
                <w:szCs w:val="20"/>
                <w:color w:val="auto"/>
              </w:rPr>
            </w:pPr>
            <w:r>
              <w:rPr>
                <w:rFonts w:ascii="Times New Roman" w:cs="Times New Roman" w:eastAsia="Times New Roman" w:hAnsi="Times New Roman"/>
                <w:sz w:val="9"/>
                <w:szCs w:val="9"/>
                <w:color w:val="auto"/>
              </w:rPr>
              <w:t>statements</w:t>
            </w:r>
          </w:p>
        </w:tc>
        <w:tc>
          <w:tcPr>
            <w:tcW w:w="382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7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920" w:type="dxa"/>
            <w:vAlign w:val="bottom"/>
            <w:gridSpan w:val="6"/>
          </w:tcPr>
          <w:p>
            <w:pPr>
              <w:spacing w:after="0"/>
              <w:rPr>
                <w:sz w:val="3"/>
                <w:szCs w:val="3"/>
                <w:color w:val="auto"/>
              </w:rPr>
            </w:pPr>
          </w:p>
        </w:tc>
        <w:tc>
          <w:tcPr>
            <w:tcW w:w="1000" w:type="dxa"/>
            <w:vAlign w:val="bottom"/>
            <w:tcBorders>
              <w:bottom w:val="single" w:sz="8" w:color="005AFF"/>
            </w:tcBorders>
            <w:gridSpan w:val="2"/>
          </w:tcPr>
          <w:p>
            <w:pPr>
              <w:spacing w:after="0"/>
              <w:rPr>
                <w:sz w:val="3"/>
                <w:szCs w:val="3"/>
                <w:color w:val="auto"/>
              </w:rPr>
            </w:pPr>
          </w:p>
        </w:tc>
        <w:tc>
          <w:tcPr>
            <w:tcW w:w="24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60" w:type="dxa"/>
            <w:vAlign w:val="bottom"/>
          </w:tcPr>
          <w:p>
            <w:pPr>
              <w:spacing w:after="0"/>
              <w:rPr>
                <w:sz w:val="3"/>
                <w:szCs w:val="3"/>
                <w:color w:val="auto"/>
              </w:rPr>
            </w:pPr>
          </w:p>
        </w:tc>
        <w:tc>
          <w:tcPr>
            <w:tcW w:w="3820" w:type="dxa"/>
            <w:vAlign w:val="bottom"/>
          </w:tcPr>
          <w:p>
            <w:pPr>
              <w:spacing w:after="0"/>
              <w:rPr>
                <w:sz w:val="3"/>
                <w:szCs w:val="3"/>
                <w:color w:val="auto"/>
              </w:rPr>
            </w:pPr>
          </w:p>
        </w:tc>
        <w:tc>
          <w:tcPr>
            <w:tcW w:w="7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3160" w:type="dxa"/>
            <w:vAlign w:val="bottom"/>
            <w:gridSpan w:val="9"/>
          </w:tcPr>
          <w:p>
            <w:pPr>
              <w:spacing w:after="0"/>
              <w:rPr>
                <w:sz w:val="20"/>
                <w:szCs w:val="20"/>
                <w:color w:val="auto"/>
              </w:rPr>
            </w:pPr>
            <w:r>
              <w:rPr>
                <w:rFonts w:ascii="Times New Roman" w:cs="Times New Roman" w:eastAsia="Times New Roman" w:hAnsi="Times New Roman"/>
                <w:sz w:val="13"/>
                <w:szCs w:val="13"/>
                <w:color w:val="005AFF"/>
              </w:rPr>
              <w:t>Sustainability and corporate responsibility  continued</w:t>
            </w:r>
          </w:p>
        </w:tc>
        <w:tc>
          <w:tcPr>
            <w:tcW w:w="1280" w:type="dxa"/>
            <w:vAlign w:val="bottom"/>
          </w:tcPr>
          <w:p>
            <w:pPr>
              <w:spacing w:after="0"/>
              <w:rPr>
                <w:sz w:val="24"/>
                <w:szCs w:val="24"/>
                <w:color w:val="auto"/>
              </w:rPr>
            </w:pPr>
          </w:p>
        </w:tc>
        <w:tc>
          <w:tcPr>
            <w:tcW w:w="1060" w:type="dxa"/>
            <w:vAlign w:val="bottom"/>
          </w:tcPr>
          <w:p>
            <w:pPr>
              <w:spacing w:after="0"/>
              <w:rPr>
                <w:sz w:val="24"/>
                <w:szCs w:val="24"/>
                <w:color w:val="auto"/>
              </w:rPr>
            </w:pPr>
          </w:p>
        </w:tc>
        <w:tc>
          <w:tcPr>
            <w:tcW w:w="382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324"/>
        </w:trPr>
        <w:tc>
          <w:tcPr>
            <w:tcW w:w="840" w:type="dxa"/>
            <w:vAlign w:val="bottom"/>
            <w:vMerge w:val="restart"/>
          </w:tcPr>
          <w:p>
            <w:pPr>
              <w:jc w:val="right"/>
              <w:ind w:right="429"/>
              <w:spacing w:after="0"/>
              <w:rPr>
                <w:sz w:val="20"/>
                <w:szCs w:val="20"/>
                <w:color w:val="auto"/>
              </w:rPr>
            </w:pPr>
            <w:r>
              <w:rPr>
                <w:rFonts w:ascii="Times New Roman" w:cs="Times New Roman" w:eastAsia="Times New Roman" w:hAnsi="Times New Roman"/>
                <w:sz w:val="8"/>
                <w:szCs w:val="8"/>
                <w:b w:val="1"/>
                <w:bCs w:val="1"/>
                <w:color w:val="005AFF"/>
              </w:rPr>
              <w:t>Strategic</w:t>
            </w:r>
          </w:p>
        </w:tc>
        <w:tc>
          <w:tcPr>
            <w:tcW w:w="10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480" w:type="dxa"/>
            <w:vAlign w:val="bottom"/>
            <w:vMerge w:val="restart"/>
          </w:tcPr>
          <w:p>
            <w:pPr>
              <w:ind w:left="20"/>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20" w:type="dxa"/>
            <w:vAlign w:val="bottom"/>
          </w:tcPr>
          <w:p>
            <w:pPr>
              <w:spacing w:after="0"/>
              <w:rPr>
                <w:sz w:val="24"/>
                <w:szCs w:val="24"/>
                <w:color w:val="auto"/>
              </w:rPr>
            </w:pPr>
          </w:p>
        </w:tc>
        <w:tc>
          <w:tcPr>
            <w:tcW w:w="460" w:type="dxa"/>
            <w:vAlign w:val="bottom"/>
            <w:vMerge w:val="restart"/>
          </w:tcPr>
          <w:p>
            <w:pPr>
              <w:ind w:left="20"/>
              <w:spacing w:after="0"/>
              <w:rPr>
                <w:sz w:val="20"/>
                <w:szCs w:val="20"/>
                <w:color w:val="auto"/>
              </w:rPr>
            </w:pPr>
            <w:r>
              <w:rPr>
                <w:rFonts w:ascii="Times New Roman" w:cs="Times New Roman" w:eastAsia="Times New Roman" w:hAnsi="Times New Roman"/>
                <w:sz w:val="8"/>
                <w:szCs w:val="8"/>
                <w:b w:val="1"/>
                <w:bCs w:val="1"/>
                <w:color w:val="005AFF"/>
              </w:rPr>
              <w:t>Base</w:t>
            </w:r>
          </w:p>
        </w:tc>
        <w:tc>
          <w:tcPr>
            <w:tcW w:w="80" w:type="dxa"/>
            <w:vAlign w:val="bottom"/>
          </w:tcPr>
          <w:p>
            <w:pPr>
              <w:spacing w:after="0"/>
              <w:rPr>
                <w:sz w:val="24"/>
                <w:szCs w:val="24"/>
                <w:color w:val="auto"/>
              </w:rPr>
            </w:pPr>
          </w:p>
        </w:tc>
        <w:tc>
          <w:tcPr>
            <w:tcW w:w="920" w:type="dxa"/>
            <w:vAlign w:val="bottom"/>
          </w:tcPr>
          <w:p>
            <w:pPr>
              <w:spacing w:after="0"/>
              <w:rPr>
                <w:sz w:val="24"/>
                <w:szCs w:val="24"/>
                <w:color w:val="auto"/>
              </w:rPr>
            </w:pPr>
          </w:p>
        </w:tc>
        <w:tc>
          <w:tcPr>
            <w:tcW w:w="240" w:type="dxa"/>
            <w:vAlign w:val="bottom"/>
          </w:tcPr>
          <w:p>
            <w:pPr>
              <w:spacing w:after="0"/>
              <w:rPr>
                <w:sz w:val="24"/>
                <w:szCs w:val="24"/>
                <w:color w:val="auto"/>
              </w:rPr>
            </w:pPr>
          </w:p>
        </w:tc>
        <w:tc>
          <w:tcPr>
            <w:tcW w:w="1280" w:type="dxa"/>
            <w:vAlign w:val="bottom"/>
          </w:tcPr>
          <w:p>
            <w:pPr>
              <w:spacing w:after="0"/>
              <w:rPr>
                <w:sz w:val="24"/>
                <w:szCs w:val="24"/>
                <w:color w:val="auto"/>
              </w:rPr>
            </w:pPr>
          </w:p>
        </w:tc>
        <w:tc>
          <w:tcPr>
            <w:tcW w:w="1060" w:type="dxa"/>
            <w:vAlign w:val="bottom"/>
          </w:tcPr>
          <w:p>
            <w:pPr>
              <w:spacing w:after="0"/>
              <w:rPr>
                <w:sz w:val="24"/>
                <w:szCs w:val="24"/>
                <w:color w:val="auto"/>
              </w:rPr>
            </w:pPr>
          </w:p>
        </w:tc>
        <w:tc>
          <w:tcPr>
            <w:tcW w:w="382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20"/>
        </w:trPr>
        <w:tc>
          <w:tcPr>
            <w:tcW w:w="840" w:type="dxa"/>
            <w:vAlign w:val="bottom"/>
            <w:vMerge w:val="continue"/>
          </w:tcPr>
          <w:p>
            <w:pPr>
              <w:spacing w:after="0"/>
              <w:rPr>
                <w:sz w:val="10"/>
                <w:szCs w:val="10"/>
                <w:color w:val="auto"/>
              </w:rPr>
            </w:pPr>
          </w:p>
        </w:tc>
        <w:tc>
          <w:tcPr>
            <w:tcW w:w="100" w:type="dxa"/>
            <w:vAlign w:val="bottom"/>
          </w:tcPr>
          <w:p>
            <w:pPr>
              <w:spacing w:after="0"/>
              <w:rPr>
                <w:sz w:val="10"/>
                <w:szCs w:val="10"/>
                <w:color w:val="auto"/>
              </w:rPr>
            </w:pPr>
          </w:p>
        </w:tc>
        <w:tc>
          <w:tcPr>
            <w:tcW w:w="20" w:type="dxa"/>
            <w:vAlign w:val="bottom"/>
            <w:shd w:val="clear" w:color="auto" w:fill="005AFF"/>
          </w:tcPr>
          <w:p>
            <w:pPr>
              <w:spacing w:after="0"/>
              <w:rPr>
                <w:sz w:val="10"/>
                <w:szCs w:val="10"/>
                <w:color w:val="auto"/>
              </w:rPr>
            </w:pPr>
          </w:p>
        </w:tc>
        <w:tc>
          <w:tcPr>
            <w:tcW w:w="480" w:type="dxa"/>
            <w:vAlign w:val="bottom"/>
            <w:vMerge w:val="continue"/>
          </w:tcPr>
          <w:p>
            <w:pPr>
              <w:spacing w:after="0"/>
              <w:rPr>
                <w:sz w:val="10"/>
                <w:szCs w:val="10"/>
                <w:color w:val="auto"/>
              </w:rPr>
            </w:pPr>
          </w:p>
        </w:tc>
        <w:tc>
          <w:tcPr>
            <w:tcW w:w="20" w:type="dxa"/>
            <w:vAlign w:val="bottom"/>
            <w:shd w:val="clear" w:color="auto" w:fill="005AFF"/>
          </w:tcPr>
          <w:p>
            <w:pPr>
              <w:spacing w:after="0"/>
              <w:rPr>
                <w:sz w:val="10"/>
                <w:szCs w:val="10"/>
                <w:color w:val="auto"/>
              </w:rPr>
            </w:pPr>
          </w:p>
        </w:tc>
        <w:tc>
          <w:tcPr>
            <w:tcW w:w="460" w:type="dxa"/>
            <w:vAlign w:val="bottom"/>
            <w:vMerge w:val="continue"/>
          </w:tcPr>
          <w:p>
            <w:pPr>
              <w:spacing w:after="0"/>
              <w:rPr>
                <w:sz w:val="10"/>
                <w:szCs w:val="10"/>
                <w:color w:val="auto"/>
              </w:rPr>
            </w:pPr>
          </w:p>
        </w:tc>
        <w:tc>
          <w:tcPr>
            <w:tcW w:w="80" w:type="dxa"/>
            <w:vAlign w:val="bottom"/>
            <w:tcBorders>
              <w:right w:val="single" w:sz="8" w:color="005AFF"/>
            </w:tcBorders>
          </w:tcPr>
          <w:p>
            <w:pPr>
              <w:spacing w:after="0"/>
              <w:rPr>
                <w:sz w:val="10"/>
                <w:szCs w:val="10"/>
                <w:color w:val="auto"/>
              </w:rPr>
            </w:pPr>
          </w:p>
        </w:tc>
        <w:tc>
          <w:tcPr>
            <w:tcW w:w="920" w:type="dxa"/>
            <w:vAlign w:val="bottom"/>
          </w:tcPr>
          <w:p>
            <w:pPr>
              <w:spacing w:after="0"/>
              <w:rPr>
                <w:sz w:val="10"/>
                <w:szCs w:val="10"/>
                <w:color w:val="auto"/>
              </w:rPr>
            </w:pPr>
          </w:p>
        </w:tc>
        <w:tc>
          <w:tcPr>
            <w:tcW w:w="240" w:type="dxa"/>
            <w:vAlign w:val="bottom"/>
          </w:tcPr>
          <w:p>
            <w:pPr>
              <w:spacing w:after="0"/>
              <w:rPr>
                <w:sz w:val="10"/>
                <w:szCs w:val="10"/>
                <w:color w:val="auto"/>
              </w:rPr>
            </w:pPr>
          </w:p>
        </w:tc>
        <w:tc>
          <w:tcPr>
            <w:tcW w:w="1280" w:type="dxa"/>
            <w:vAlign w:val="bottom"/>
            <w:tcBorders>
              <w:right w:val="single" w:sz="8" w:color="005AFF"/>
            </w:tcBorders>
          </w:tcPr>
          <w:p>
            <w:pPr>
              <w:spacing w:after="0"/>
              <w:rPr>
                <w:sz w:val="10"/>
                <w:szCs w:val="10"/>
                <w:color w:val="auto"/>
              </w:rPr>
            </w:pPr>
          </w:p>
        </w:tc>
        <w:tc>
          <w:tcPr>
            <w:tcW w:w="1060" w:type="dxa"/>
            <w:vAlign w:val="bottom"/>
          </w:tcPr>
          <w:p>
            <w:pPr>
              <w:spacing w:after="0"/>
              <w:rPr>
                <w:sz w:val="10"/>
                <w:szCs w:val="10"/>
                <w:color w:val="auto"/>
              </w:rPr>
            </w:pPr>
          </w:p>
        </w:tc>
        <w:tc>
          <w:tcPr>
            <w:tcW w:w="3820" w:type="dxa"/>
            <w:vAlign w:val="bottom"/>
            <w:tcBorders>
              <w:right w:val="single" w:sz="8" w:color="005AFF"/>
            </w:tcBorders>
          </w:tcPr>
          <w:p>
            <w:pPr>
              <w:spacing w:after="0"/>
              <w:rPr>
                <w:sz w:val="10"/>
                <w:szCs w:val="10"/>
                <w:color w:val="auto"/>
              </w:rPr>
            </w:pPr>
          </w:p>
        </w:tc>
        <w:tc>
          <w:tcPr>
            <w:tcW w:w="72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09"/>
        </w:trPr>
        <w:tc>
          <w:tcPr>
            <w:tcW w:w="840" w:type="dxa"/>
            <w:vAlign w:val="bottom"/>
          </w:tcPr>
          <w:p>
            <w:pPr>
              <w:jc w:val="right"/>
              <w:ind w:right="409"/>
              <w:spacing w:after="0"/>
              <w:rPr>
                <w:sz w:val="20"/>
                <w:szCs w:val="20"/>
                <w:color w:val="auto"/>
              </w:rPr>
            </w:pPr>
            <w:r>
              <w:rPr>
                <w:rFonts w:ascii="Times New Roman" w:cs="Times New Roman" w:eastAsia="Times New Roman" w:hAnsi="Times New Roman"/>
                <w:sz w:val="8"/>
                <w:szCs w:val="8"/>
                <w:b w:val="1"/>
                <w:bCs w:val="1"/>
                <w:color w:val="005AFF"/>
              </w:rPr>
              <w:t>focus area</w:t>
            </w:r>
          </w:p>
        </w:tc>
        <w:tc>
          <w:tcPr>
            <w:tcW w:w="100" w:type="dxa"/>
            <w:vAlign w:val="bottom"/>
          </w:tcPr>
          <w:p>
            <w:pPr>
              <w:spacing w:after="0"/>
              <w:rPr>
                <w:sz w:val="9"/>
                <w:szCs w:val="9"/>
                <w:color w:val="auto"/>
              </w:rPr>
            </w:pPr>
          </w:p>
        </w:tc>
        <w:tc>
          <w:tcPr>
            <w:tcW w:w="20" w:type="dxa"/>
            <w:vAlign w:val="bottom"/>
            <w:shd w:val="clear" w:color="auto" w:fill="005AFF"/>
          </w:tcPr>
          <w:p>
            <w:pPr>
              <w:spacing w:after="0"/>
              <w:rPr>
                <w:sz w:val="9"/>
                <w:szCs w:val="9"/>
                <w:color w:val="auto"/>
              </w:rPr>
            </w:pPr>
          </w:p>
        </w:tc>
        <w:tc>
          <w:tcPr>
            <w:tcW w:w="48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year</w:t>
            </w:r>
          </w:p>
        </w:tc>
        <w:tc>
          <w:tcPr>
            <w:tcW w:w="20" w:type="dxa"/>
            <w:vAlign w:val="bottom"/>
            <w:shd w:val="clear" w:color="auto" w:fill="005AFF"/>
          </w:tcPr>
          <w:p>
            <w:pPr>
              <w:spacing w:after="0"/>
              <w:rPr>
                <w:sz w:val="9"/>
                <w:szCs w:val="9"/>
                <w:color w:val="auto"/>
              </w:rPr>
            </w:pPr>
          </w:p>
        </w:tc>
        <w:tc>
          <w:tcPr>
            <w:tcW w:w="46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year</w:t>
            </w:r>
          </w:p>
        </w:tc>
        <w:tc>
          <w:tcPr>
            <w:tcW w:w="80" w:type="dxa"/>
            <w:vAlign w:val="bottom"/>
            <w:tcBorders>
              <w:right w:val="single" w:sz="8" w:color="005AFF"/>
            </w:tcBorders>
          </w:tcPr>
          <w:p>
            <w:pPr>
              <w:spacing w:after="0"/>
              <w:rPr>
                <w:sz w:val="9"/>
                <w:szCs w:val="9"/>
                <w:color w:val="auto"/>
              </w:rPr>
            </w:pPr>
          </w:p>
        </w:tc>
        <w:tc>
          <w:tcPr>
            <w:tcW w:w="1160" w:type="dxa"/>
            <w:vAlign w:val="bottom"/>
            <w:gridSpan w:val="2"/>
          </w:tcPr>
          <w:p>
            <w:pPr>
              <w:ind w:left="20"/>
              <w:spacing w:after="0"/>
              <w:rPr>
                <w:sz w:val="20"/>
                <w:szCs w:val="20"/>
                <w:color w:val="auto"/>
              </w:rPr>
            </w:pPr>
            <w:r>
              <w:rPr>
                <w:rFonts w:ascii="Times New Roman" w:cs="Times New Roman" w:eastAsia="Times New Roman" w:hAnsi="Times New Roman"/>
                <w:sz w:val="8"/>
                <w:szCs w:val="8"/>
                <w:b w:val="1"/>
                <w:bCs w:val="1"/>
                <w:color w:val="005AFF"/>
              </w:rPr>
              <w:t>Target</w:t>
            </w:r>
          </w:p>
        </w:tc>
        <w:tc>
          <w:tcPr>
            <w:tcW w:w="1280" w:type="dxa"/>
            <w:vAlign w:val="bottom"/>
            <w:tcBorders>
              <w:right w:val="single" w:sz="8" w:color="005AFF"/>
            </w:tcBorders>
          </w:tcPr>
          <w:p>
            <w:pPr>
              <w:spacing w:after="0"/>
              <w:rPr>
                <w:sz w:val="9"/>
                <w:szCs w:val="9"/>
                <w:color w:val="auto"/>
              </w:rPr>
            </w:pPr>
          </w:p>
        </w:tc>
        <w:tc>
          <w:tcPr>
            <w:tcW w:w="106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2023 results</w:t>
            </w:r>
          </w:p>
        </w:tc>
        <w:tc>
          <w:tcPr>
            <w:tcW w:w="3820" w:type="dxa"/>
            <w:vAlign w:val="bottom"/>
            <w:tcBorders>
              <w:right w:val="single" w:sz="8" w:color="005AFF"/>
            </w:tcBorders>
          </w:tcPr>
          <w:p>
            <w:pPr>
              <w:spacing w:after="0"/>
              <w:rPr>
                <w:sz w:val="9"/>
                <w:szCs w:val="9"/>
                <w:color w:val="auto"/>
              </w:rPr>
            </w:pPr>
          </w:p>
        </w:tc>
        <w:tc>
          <w:tcPr>
            <w:tcW w:w="720" w:type="dxa"/>
            <w:vAlign w:val="bottom"/>
          </w:tcPr>
          <w:p>
            <w:pPr>
              <w:ind w:left="20"/>
              <w:spacing w:after="0"/>
              <w:rPr>
                <w:sz w:val="20"/>
                <w:szCs w:val="20"/>
                <w:color w:val="auto"/>
              </w:rPr>
            </w:pPr>
            <w:r>
              <w:rPr>
                <w:rFonts w:ascii="Times New Roman" w:cs="Times New Roman" w:eastAsia="Times New Roman" w:hAnsi="Times New Roman"/>
                <w:sz w:val="8"/>
                <w:szCs w:val="8"/>
                <w:b w:val="1"/>
                <w:bCs w:val="1"/>
                <w:color w:val="005AFF"/>
              </w:rPr>
              <w:t>Status</w:t>
            </w:r>
          </w:p>
        </w:tc>
        <w:tc>
          <w:tcPr>
            <w:tcW w:w="0" w:type="dxa"/>
            <w:vAlign w:val="bottom"/>
          </w:tcPr>
          <w:p>
            <w:pPr>
              <w:spacing w:after="0"/>
              <w:rPr>
                <w:sz w:val="1"/>
                <w:szCs w:val="1"/>
                <w:color w:val="auto"/>
              </w:rPr>
            </w:pPr>
          </w:p>
        </w:tc>
      </w:tr>
      <w:tr>
        <w:trPr>
          <w:trHeight w:val="261"/>
        </w:trPr>
        <w:tc>
          <w:tcPr>
            <w:tcW w:w="840" w:type="dxa"/>
            <w:vAlign w:val="bottom"/>
            <w:tcBorders>
              <w:bottom w:val="single" w:sz="8" w:color="005AFF"/>
            </w:tcBorders>
            <w:shd w:val="clear" w:color="auto" w:fill="005AFF"/>
          </w:tcPr>
          <w:p>
            <w:pPr>
              <w:spacing w:after="0"/>
              <w:rPr>
                <w:sz w:val="22"/>
                <w:szCs w:val="22"/>
                <w:color w:val="auto"/>
              </w:rPr>
            </w:pPr>
          </w:p>
        </w:tc>
        <w:tc>
          <w:tcPr>
            <w:tcW w:w="100" w:type="dxa"/>
            <w:vAlign w:val="bottom"/>
            <w:tcBorders>
              <w:bottom w:val="single" w:sz="8" w:color="005AFF"/>
            </w:tcBorders>
            <w:shd w:val="clear" w:color="auto" w:fill="005AFF"/>
          </w:tcPr>
          <w:p>
            <w:pPr>
              <w:spacing w:after="0"/>
              <w:rPr>
                <w:sz w:val="22"/>
                <w:szCs w:val="22"/>
                <w:color w:val="auto"/>
              </w:rPr>
            </w:pPr>
          </w:p>
        </w:tc>
        <w:tc>
          <w:tcPr>
            <w:tcW w:w="20" w:type="dxa"/>
            <w:vAlign w:val="bottom"/>
            <w:tcBorders>
              <w:bottom w:val="single" w:sz="8" w:color="005AFF"/>
            </w:tcBorders>
            <w:shd w:val="clear" w:color="auto" w:fill="005AFF"/>
          </w:tcPr>
          <w:p>
            <w:pPr>
              <w:spacing w:after="0"/>
              <w:rPr>
                <w:sz w:val="22"/>
                <w:szCs w:val="22"/>
                <w:color w:val="auto"/>
              </w:rPr>
            </w:pPr>
          </w:p>
        </w:tc>
        <w:tc>
          <w:tcPr>
            <w:tcW w:w="480" w:type="dxa"/>
            <w:vAlign w:val="bottom"/>
            <w:tcBorders>
              <w:bottom w:val="single" w:sz="8" w:color="005AFF"/>
            </w:tcBorders>
            <w:shd w:val="clear" w:color="auto" w:fill="005AFF"/>
          </w:tcPr>
          <w:p>
            <w:pPr>
              <w:spacing w:after="0"/>
              <w:rPr>
                <w:sz w:val="22"/>
                <w:szCs w:val="22"/>
                <w:color w:val="auto"/>
              </w:rPr>
            </w:pPr>
          </w:p>
        </w:tc>
        <w:tc>
          <w:tcPr>
            <w:tcW w:w="20" w:type="dxa"/>
            <w:vAlign w:val="bottom"/>
            <w:tcBorders>
              <w:bottom w:val="single" w:sz="8" w:color="005AFF"/>
            </w:tcBorders>
            <w:shd w:val="clear" w:color="auto" w:fill="005AFF"/>
          </w:tcPr>
          <w:p>
            <w:pPr>
              <w:spacing w:after="0"/>
              <w:rPr>
                <w:sz w:val="22"/>
                <w:szCs w:val="22"/>
                <w:color w:val="auto"/>
              </w:rPr>
            </w:pPr>
          </w:p>
        </w:tc>
        <w:tc>
          <w:tcPr>
            <w:tcW w:w="460" w:type="dxa"/>
            <w:vAlign w:val="bottom"/>
            <w:tcBorders>
              <w:bottom w:val="single" w:sz="8" w:color="005AFF"/>
            </w:tcBorders>
            <w:shd w:val="clear" w:color="auto" w:fill="005AFF"/>
          </w:tcPr>
          <w:p>
            <w:pPr>
              <w:spacing w:after="0"/>
              <w:rPr>
                <w:sz w:val="22"/>
                <w:szCs w:val="22"/>
                <w:color w:val="auto"/>
              </w:rPr>
            </w:pPr>
          </w:p>
        </w:tc>
        <w:tc>
          <w:tcPr>
            <w:tcW w:w="80" w:type="dxa"/>
            <w:vAlign w:val="bottom"/>
            <w:tcBorders>
              <w:bottom w:val="single" w:sz="8" w:color="005AFF"/>
              <w:right w:val="single" w:sz="8" w:color="005AFF"/>
            </w:tcBorders>
            <w:shd w:val="clear" w:color="auto" w:fill="005AFF"/>
          </w:tcPr>
          <w:p>
            <w:pPr>
              <w:spacing w:after="0"/>
              <w:rPr>
                <w:sz w:val="22"/>
                <w:szCs w:val="22"/>
                <w:color w:val="auto"/>
              </w:rPr>
            </w:pPr>
          </w:p>
        </w:tc>
        <w:tc>
          <w:tcPr>
            <w:tcW w:w="920" w:type="dxa"/>
            <w:vAlign w:val="bottom"/>
            <w:tcBorders>
              <w:bottom w:val="single" w:sz="8" w:color="005AFF"/>
            </w:tcBorders>
            <w:shd w:val="clear" w:color="auto" w:fill="005AFF"/>
          </w:tcPr>
          <w:p>
            <w:pPr>
              <w:spacing w:after="0"/>
              <w:rPr>
                <w:sz w:val="22"/>
                <w:szCs w:val="22"/>
                <w:color w:val="auto"/>
              </w:rPr>
            </w:pPr>
          </w:p>
        </w:tc>
        <w:tc>
          <w:tcPr>
            <w:tcW w:w="240" w:type="dxa"/>
            <w:vAlign w:val="bottom"/>
            <w:tcBorders>
              <w:bottom w:val="single" w:sz="8" w:color="005AFF"/>
            </w:tcBorders>
            <w:shd w:val="clear" w:color="auto" w:fill="005AFF"/>
          </w:tcPr>
          <w:p>
            <w:pPr>
              <w:spacing w:after="0"/>
              <w:rPr>
                <w:sz w:val="22"/>
                <w:szCs w:val="22"/>
                <w:color w:val="auto"/>
              </w:rPr>
            </w:pPr>
          </w:p>
        </w:tc>
        <w:tc>
          <w:tcPr>
            <w:tcW w:w="1280" w:type="dxa"/>
            <w:vAlign w:val="bottom"/>
            <w:tcBorders>
              <w:bottom w:val="single" w:sz="8" w:color="005AFF"/>
              <w:right w:val="single" w:sz="8" w:color="005AFF"/>
            </w:tcBorders>
            <w:shd w:val="clear" w:color="auto" w:fill="005AFF"/>
          </w:tcPr>
          <w:p>
            <w:pPr>
              <w:spacing w:after="0"/>
              <w:rPr>
                <w:sz w:val="22"/>
                <w:szCs w:val="22"/>
                <w:color w:val="auto"/>
              </w:rPr>
            </w:pPr>
          </w:p>
        </w:tc>
        <w:tc>
          <w:tcPr>
            <w:tcW w:w="4880" w:type="dxa"/>
            <w:vAlign w:val="bottom"/>
            <w:tcBorders>
              <w:bottom w:val="single" w:sz="8" w:color="005AFF"/>
              <w:right w:val="single" w:sz="8" w:color="005AFF"/>
            </w:tcBorders>
            <w:gridSpan w:val="2"/>
            <w:shd w:val="clear" w:color="auto" w:fill="005AFF"/>
          </w:tcPr>
          <w:p>
            <w:pPr>
              <w:ind w:left="40"/>
              <w:spacing w:after="0"/>
              <w:rPr>
                <w:sz w:val="20"/>
                <w:szCs w:val="20"/>
                <w:color w:val="auto"/>
              </w:rPr>
            </w:pPr>
            <w:r>
              <w:rPr>
                <w:rFonts w:ascii="Times New Roman" w:cs="Times New Roman" w:eastAsia="Times New Roman" w:hAnsi="Times New Roman"/>
                <w:sz w:val="11"/>
                <w:szCs w:val="11"/>
                <w:b w:val="1"/>
                <w:bCs w:val="1"/>
                <w:color w:val="FFFFFF"/>
              </w:rPr>
              <w:t>Security and privacy</w:t>
            </w:r>
          </w:p>
        </w:tc>
        <w:tc>
          <w:tcPr>
            <w:tcW w:w="720" w:type="dxa"/>
            <w:vAlign w:val="bottom"/>
            <w:tcBorders>
              <w:bottom w:val="single" w:sz="8" w:color="005AFF"/>
            </w:tcBorders>
            <w:shd w:val="clear" w:color="auto" w:fill="005AFF"/>
          </w:tcPr>
          <w:p>
            <w:pPr>
              <w:spacing w:after="0"/>
              <w:rPr>
                <w:sz w:val="22"/>
                <w:szCs w:val="22"/>
                <w:color w:val="auto"/>
              </w:rPr>
            </w:pPr>
          </w:p>
        </w:tc>
        <w:tc>
          <w:tcPr>
            <w:tcW w:w="0" w:type="dxa"/>
            <w:vAlign w:val="bottom"/>
          </w:tcPr>
          <w:p>
            <w:pPr>
              <w:spacing w:after="0"/>
              <w:rPr>
                <w:sz w:val="1"/>
                <w:szCs w:val="1"/>
                <w:color w:val="auto"/>
              </w:rPr>
            </w:pPr>
          </w:p>
        </w:tc>
      </w:tr>
      <w:tr>
        <w:trPr>
          <w:trHeight w:val="142"/>
        </w:trPr>
        <w:tc>
          <w:tcPr>
            <w:tcW w:w="840" w:type="dxa"/>
            <w:vAlign w:val="bottom"/>
            <w:tcBorders>
              <w:top w:val="single" w:sz="8" w:color="7F7F7F"/>
            </w:tcBorders>
            <w:shd w:val="clear" w:color="auto" w:fill="B6B6B6"/>
          </w:tcPr>
          <w:p>
            <w:pPr>
              <w:jc w:val="right"/>
              <w:ind w:right="29"/>
              <w:spacing w:after="0"/>
              <w:rPr>
                <w:sz w:val="20"/>
                <w:szCs w:val="20"/>
                <w:color w:val="auto"/>
              </w:rPr>
            </w:pPr>
            <w:r>
              <w:rPr>
                <w:rFonts w:ascii="Times New Roman" w:cs="Times New Roman" w:eastAsia="Times New Roman" w:hAnsi="Times New Roman"/>
                <w:sz w:val="11"/>
                <w:szCs w:val="11"/>
                <w:b w:val="1"/>
                <w:bCs w:val="1"/>
                <w:color w:val="0D0D0D"/>
              </w:rPr>
              <w:t>Security and</w:t>
            </w:r>
          </w:p>
        </w:tc>
        <w:tc>
          <w:tcPr>
            <w:tcW w:w="100" w:type="dxa"/>
            <w:vAlign w:val="bottom"/>
            <w:tcBorders>
              <w:top w:val="single" w:sz="8" w:color="7F7F7F"/>
            </w:tcBorders>
            <w:shd w:val="clear" w:color="auto" w:fill="B6B6B6"/>
          </w:tcPr>
          <w:p>
            <w:pPr>
              <w:spacing w:after="0"/>
              <w:rPr>
                <w:sz w:val="12"/>
                <w:szCs w:val="12"/>
                <w:color w:val="auto"/>
              </w:rPr>
            </w:pPr>
          </w:p>
        </w:tc>
        <w:tc>
          <w:tcPr>
            <w:tcW w:w="500" w:type="dxa"/>
            <w:vAlign w:val="bottom"/>
            <w:tcBorders>
              <w:top w:val="single" w:sz="8" w:color="7F7F7F"/>
            </w:tcBorders>
            <w:gridSpan w:val="2"/>
          </w:tcPr>
          <w:p>
            <w:pPr>
              <w:ind w:left="40"/>
              <w:spacing w:after="0"/>
              <w:rPr>
                <w:sz w:val="20"/>
                <w:szCs w:val="20"/>
                <w:color w:val="auto"/>
              </w:rPr>
            </w:pPr>
            <w:r>
              <w:rPr>
                <w:rFonts w:ascii="Times New Roman" w:cs="Times New Roman" w:eastAsia="Times New Roman" w:hAnsi="Times New Roman"/>
                <w:sz w:val="11"/>
                <w:szCs w:val="11"/>
                <w:color w:val="auto"/>
              </w:rPr>
              <w:t>2023</w:t>
            </w:r>
          </w:p>
        </w:tc>
        <w:tc>
          <w:tcPr>
            <w:tcW w:w="20" w:type="dxa"/>
            <w:vAlign w:val="bottom"/>
            <w:tcBorders>
              <w:top w:val="single" w:sz="8" w:color="7F7F7F"/>
            </w:tcBorders>
            <w:shd w:val="clear" w:color="auto" w:fill="005AFF"/>
          </w:tcPr>
          <w:p>
            <w:pPr>
              <w:spacing w:after="0"/>
              <w:rPr>
                <w:sz w:val="12"/>
                <w:szCs w:val="12"/>
                <w:color w:val="auto"/>
              </w:rPr>
            </w:pPr>
          </w:p>
        </w:tc>
        <w:tc>
          <w:tcPr>
            <w:tcW w:w="46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80" w:type="dxa"/>
            <w:vAlign w:val="bottom"/>
            <w:tcBorders>
              <w:top w:val="single" w:sz="8" w:color="7F7F7F"/>
              <w:right w:val="single" w:sz="8" w:color="005AFF"/>
            </w:tcBorders>
          </w:tcPr>
          <w:p>
            <w:pPr>
              <w:spacing w:after="0"/>
              <w:rPr>
                <w:sz w:val="12"/>
                <w:szCs w:val="12"/>
                <w:color w:val="auto"/>
              </w:rPr>
            </w:pPr>
          </w:p>
        </w:tc>
        <w:tc>
          <w:tcPr>
            <w:tcW w:w="2440" w:type="dxa"/>
            <w:vAlign w:val="bottom"/>
            <w:tcBorders>
              <w:top w:val="single" w:sz="8" w:color="7F7F7F"/>
              <w:right w:val="single" w:sz="8" w:color="005AFF"/>
            </w:tcBorders>
            <w:gridSpan w:val="3"/>
          </w:tcPr>
          <w:p>
            <w:pPr>
              <w:ind w:left="20"/>
              <w:spacing w:after="0"/>
              <w:rPr>
                <w:sz w:val="20"/>
                <w:szCs w:val="20"/>
                <w:color w:val="auto"/>
              </w:rPr>
            </w:pPr>
            <w:r>
              <w:rPr>
                <w:rFonts w:ascii="Times New Roman" w:cs="Times New Roman" w:eastAsia="Times New Roman" w:hAnsi="Times New Roman"/>
                <w:sz w:val="11"/>
                <w:szCs w:val="11"/>
                <w:color w:val="auto"/>
              </w:rPr>
              <w:t>95% mandatory training completion related</w:t>
            </w:r>
          </w:p>
        </w:tc>
        <w:tc>
          <w:tcPr>
            <w:tcW w:w="4880" w:type="dxa"/>
            <w:vAlign w:val="bottom"/>
            <w:tcBorders>
              <w:top w:val="single" w:sz="8" w:color="7F7F7F"/>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In 2023, the mandatory training completion rate was 98%.</w:t>
            </w:r>
          </w:p>
        </w:tc>
        <w:tc>
          <w:tcPr>
            <w:tcW w:w="720" w:type="dxa"/>
            <w:vAlign w:val="bottom"/>
            <w:tcBorders>
              <w:top w:val="single" w:sz="8" w:color="7F7F7F"/>
            </w:tcBorders>
          </w:tcPr>
          <w:p>
            <w:pPr>
              <w:ind w:left="20"/>
              <w:spacing w:after="0"/>
              <w:rPr>
                <w:sz w:val="20"/>
                <w:szCs w:val="20"/>
                <w:color w:val="auto"/>
              </w:rPr>
            </w:pPr>
            <w:r>
              <w:rPr>
                <w:rFonts w:ascii="Times New Roman" w:cs="Times New Roman" w:eastAsia="Times New Roman" w:hAnsi="Times New Roman"/>
                <w:sz w:val="11"/>
                <w:szCs w:val="11"/>
                <w:color w:val="auto"/>
              </w:rPr>
              <w:t>Achieved</w:t>
            </w:r>
          </w:p>
        </w:tc>
        <w:tc>
          <w:tcPr>
            <w:tcW w:w="0" w:type="dxa"/>
            <w:vAlign w:val="bottom"/>
          </w:tcPr>
          <w:p>
            <w:pPr>
              <w:spacing w:after="0"/>
              <w:rPr>
                <w:sz w:val="1"/>
                <w:szCs w:val="1"/>
                <w:color w:val="auto"/>
              </w:rPr>
            </w:pPr>
          </w:p>
        </w:tc>
      </w:tr>
      <w:tr>
        <w:trPr>
          <w:trHeight w:val="142"/>
        </w:trPr>
        <w:tc>
          <w:tcPr>
            <w:tcW w:w="840" w:type="dxa"/>
            <w:vAlign w:val="bottom"/>
            <w:vMerge w:val="restart"/>
            <w:shd w:val="clear" w:color="auto" w:fill="B6B6B6"/>
          </w:tcPr>
          <w:p>
            <w:pPr>
              <w:jc w:val="right"/>
              <w:ind w:right="149"/>
              <w:spacing w:after="0"/>
              <w:rPr>
                <w:sz w:val="20"/>
                <w:szCs w:val="20"/>
                <w:color w:val="auto"/>
              </w:rPr>
            </w:pPr>
            <w:r>
              <w:rPr>
                <w:rFonts w:ascii="Times New Roman" w:cs="Times New Roman" w:eastAsia="Times New Roman" w:hAnsi="Times New Roman"/>
                <w:sz w:val="11"/>
                <w:szCs w:val="11"/>
                <w:b w:val="1"/>
                <w:bCs w:val="1"/>
                <w:color w:val="0D0D0D"/>
              </w:rPr>
              <w:t>privacy</w:t>
            </w:r>
          </w:p>
        </w:tc>
        <w:tc>
          <w:tcPr>
            <w:tcW w:w="100" w:type="dxa"/>
            <w:vAlign w:val="bottom"/>
            <w:shd w:val="clear" w:color="auto" w:fill="B6B6B6"/>
          </w:tcPr>
          <w:p>
            <w:pPr>
              <w:spacing w:after="0"/>
              <w:rPr>
                <w:sz w:val="12"/>
                <w:szCs w:val="12"/>
                <w:color w:val="auto"/>
              </w:rPr>
            </w:pPr>
          </w:p>
        </w:tc>
        <w:tc>
          <w:tcPr>
            <w:tcW w:w="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20" w:type="dxa"/>
            <w:vAlign w:val="bottom"/>
            <w:shd w:val="clear" w:color="auto" w:fill="005AFF"/>
          </w:tcPr>
          <w:p>
            <w:pPr>
              <w:spacing w:after="0"/>
              <w:rPr>
                <w:sz w:val="12"/>
                <w:szCs w:val="12"/>
                <w:color w:val="auto"/>
              </w:rPr>
            </w:pPr>
          </w:p>
        </w:tc>
        <w:tc>
          <w:tcPr>
            <w:tcW w:w="460" w:type="dxa"/>
            <w:vAlign w:val="bottom"/>
          </w:tcPr>
          <w:p>
            <w:pPr>
              <w:spacing w:after="0"/>
              <w:rPr>
                <w:sz w:val="12"/>
                <w:szCs w:val="12"/>
                <w:color w:val="auto"/>
              </w:rPr>
            </w:pPr>
          </w:p>
        </w:tc>
        <w:tc>
          <w:tcPr>
            <w:tcW w:w="80" w:type="dxa"/>
            <w:vAlign w:val="bottom"/>
            <w:tcBorders>
              <w:right w:val="single" w:sz="8" w:color="005AFF"/>
            </w:tcBorders>
          </w:tcPr>
          <w:p>
            <w:pPr>
              <w:spacing w:after="0"/>
              <w:rPr>
                <w:sz w:val="12"/>
                <w:szCs w:val="12"/>
                <w:color w:val="auto"/>
              </w:rPr>
            </w:pPr>
          </w:p>
        </w:tc>
        <w:tc>
          <w:tcPr>
            <w:tcW w:w="116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to privacy.</w:t>
            </w:r>
          </w:p>
        </w:tc>
        <w:tc>
          <w:tcPr>
            <w:tcW w:w="1280" w:type="dxa"/>
            <w:vAlign w:val="bottom"/>
            <w:tcBorders>
              <w:right w:val="single" w:sz="8" w:color="005AFF"/>
            </w:tcBorders>
          </w:tcPr>
          <w:p>
            <w:pPr>
              <w:spacing w:after="0"/>
              <w:rPr>
                <w:sz w:val="12"/>
                <w:szCs w:val="12"/>
                <w:color w:val="auto"/>
              </w:rPr>
            </w:pPr>
          </w:p>
        </w:tc>
        <w:tc>
          <w:tcPr>
            <w:tcW w:w="1060" w:type="dxa"/>
            <w:vAlign w:val="bottom"/>
          </w:tcPr>
          <w:p>
            <w:pPr>
              <w:spacing w:after="0"/>
              <w:rPr>
                <w:sz w:val="12"/>
                <w:szCs w:val="12"/>
                <w:color w:val="auto"/>
              </w:rPr>
            </w:pPr>
          </w:p>
        </w:tc>
        <w:tc>
          <w:tcPr>
            <w:tcW w:w="382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71"/>
        </w:trPr>
        <w:tc>
          <w:tcPr>
            <w:tcW w:w="840" w:type="dxa"/>
            <w:vAlign w:val="bottom"/>
            <w:tcBorders>
              <w:bottom w:val="single" w:sz="8" w:color="B6B6B6"/>
            </w:tcBorders>
            <w:vMerge w:val="continue"/>
            <w:shd w:val="clear" w:color="auto" w:fill="B6B6B6"/>
          </w:tcPr>
          <w:p>
            <w:pPr>
              <w:spacing w:after="0"/>
              <w:rPr>
                <w:sz w:val="6"/>
                <w:szCs w:val="6"/>
                <w:color w:val="auto"/>
              </w:rPr>
            </w:pPr>
          </w:p>
        </w:tc>
        <w:tc>
          <w:tcPr>
            <w:tcW w:w="100" w:type="dxa"/>
            <w:vAlign w:val="bottom"/>
            <w:tcBorders>
              <w:bottom w:val="single" w:sz="8" w:color="B6B6B6"/>
            </w:tcBorders>
            <w:shd w:val="clear" w:color="auto" w:fill="B6B6B6"/>
          </w:tcPr>
          <w:p>
            <w:pPr>
              <w:spacing w:after="0"/>
              <w:rPr>
                <w:sz w:val="6"/>
                <w:szCs w:val="6"/>
                <w:color w:val="auto"/>
              </w:rPr>
            </w:pPr>
          </w:p>
        </w:tc>
        <w:tc>
          <w:tcPr>
            <w:tcW w:w="20" w:type="dxa"/>
            <w:vAlign w:val="bottom"/>
          </w:tcPr>
          <w:p>
            <w:pPr>
              <w:spacing w:after="0"/>
              <w:rPr>
                <w:sz w:val="6"/>
                <w:szCs w:val="6"/>
                <w:color w:val="auto"/>
              </w:rPr>
            </w:pPr>
          </w:p>
        </w:tc>
        <w:tc>
          <w:tcPr>
            <w:tcW w:w="480" w:type="dxa"/>
            <w:vAlign w:val="bottom"/>
          </w:tcPr>
          <w:p>
            <w:pPr>
              <w:spacing w:after="0"/>
              <w:rPr>
                <w:sz w:val="6"/>
                <w:szCs w:val="6"/>
                <w:color w:val="auto"/>
              </w:rPr>
            </w:pPr>
          </w:p>
        </w:tc>
        <w:tc>
          <w:tcPr>
            <w:tcW w:w="20" w:type="dxa"/>
            <w:vAlign w:val="bottom"/>
            <w:tcBorders>
              <w:bottom w:val="single" w:sz="8" w:color="005AFF"/>
            </w:tcBorders>
            <w:shd w:val="clear" w:color="auto" w:fill="005AFF"/>
          </w:tcPr>
          <w:p>
            <w:pPr>
              <w:spacing w:after="0"/>
              <w:rPr>
                <w:sz w:val="6"/>
                <w:szCs w:val="6"/>
                <w:color w:val="auto"/>
              </w:rPr>
            </w:pPr>
          </w:p>
        </w:tc>
        <w:tc>
          <w:tcPr>
            <w:tcW w:w="460" w:type="dxa"/>
            <w:vAlign w:val="bottom"/>
          </w:tcPr>
          <w:p>
            <w:pPr>
              <w:spacing w:after="0"/>
              <w:rPr>
                <w:sz w:val="6"/>
                <w:szCs w:val="6"/>
                <w:color w:val="auto"/>
              </w:rPr>
            </w:pPr>
          </w:p>
        </w:tc>
        <w:tc>
          <w:tcPr>
            <w:tcW w:w="80" w:type="dxa"/>
            <w:vAlign w:val="bottom"/>
            <w:tcBorders>
              <w:right w:val="single" w:sz="8" w:color="005AFF"/>
            </w:tcBorders>
          </w:tcPr>
          <w:p>
            <w:pPr>
              <w:spacing w:after="0"/>
              <w:rPr>
                <w:sz w:val="6"/>
                <w:szCs w:val="6"/>
                <w:color w:val="auto"/>
              </w:rPr>
            </w:pPr>
          </w:p>
        </w:tc>
        <w:tc>
          <w:tcPr>
            <w:tcW w:w="920" w:type="dxa"/>
            <w:vAlign w:val="bottom"/>
          </w:tcPr>
          <w:p>
            <w:pPr>
              <w:spacing w:after="0"/>
              <w:rPr>
                <w:sz w:val="6"/>
                <w:szCs w:val="6"/>
                <w:color w:val="auto"/>
              </w:rPr>
            </w:pPr>
          </w:p>
        </w:tc>
        <w:tc>
          <w:tcPr>
            <w:tcW w:w="240" w:type="dxa"/>
            <w:vAlign w:val="bottom"/>
          </w:tcPr>
          <w:p>
            <w:pPr>
              <w:spacing w:after="0"/>
              <w:rPr>
                <w:sz w:val="6"/>
                <w:szCs w:val="6"/>
                <w:color w:val="auto"/>
              </w:rPr>
            </w:pPr>
          </w:p>
        </w:tc>
        <w:tc>
          <w:tcPr>
            <w:tcW w:w="1280" w:type="dxa"/>
            <w:vAlign w:val="bottom"/>
            <w:tcBorders>
              <w:right w:val="single" w:sz="8" w:color="005AFF"/>
            </w:tcBorders>
          </w:tcPr>
          <w:p>
            <w:pPr>
              <w:spacing w:after="0"/>
              <w:rPr>
                <w:sz w:val="6"/>
                <w:szCs w:val="6"/>
                <w:color w:val="auto"/>
              </w:rPr>
            </w:pPr>
          </w:p>
        </w:tc>
        <w:tc>
          <w:tcPr>
            <w:tcW w:w="1060" w:type="dxa"/>
            <w:vAlign w:val="bottom"/>
          </w:tcPr>
          <w:p>
            <w:pPr>
              <w:spacing w:after="0"/>
              <w:rPr>
                <w:sz w:val="6"/>
                <w:szCs w:val="6"/>
                <w:color w:val="auto"/>
              </w:rPr>
            </w:pPr>
          </w:p>
        </w:tc>
        <w:tc>
          <w:tcPr>
            <w:tcW w:w="3820" w:type="dxa"/>
            <w:vAlign w:val="bottom"/>
            <w:tcBorders>
              <w:right w:val="single" w:sz="8" w:color="005AFF"/>
            </w:tcBorders>
          </w:tcPr>
          <w:p>
            <w:pPr>
              <w:spacing w:after="0"/>
              <w:rPr>
                <w:sz w:val="6"/>
                <w:szCs w:val="6"/>
                <w:color w:val="auto"/>
              </w:rPr>
            </w:pPr>
          </w:p>
        </w:tc>
        <w:tc>
          <w:tcPr>
            <w:tcW w:w="72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186"/>
        </w:trPr>
        <w:tc>
          <w:tcPr>
            <w:tcW w:w="840" w:type="dxa"/>
            <w:vAlign w:val="bottom"/>
            <w:tcBorders>
              <w:top w:val="single" w:sz="8" w:color="7F7F7F"/>
            </w:tcBorders>
            <w:shd w:val="clear" w:color="auto" w:fill="005AFF"/>
          </w:tcPr>
          <w:p>
            <w:pPr>
              <w:spacing w:after="0"/>
              <w:rPr>
                <w:sz w:val="16"/>
                <w:szCs w:val="16"/>
                <w:color w:val="auto"/>
              </w:rPr>
            </w:pPr>
          </w:p>
        </w:tc>
        <w:tc>
          <w:tcPr>
            <w:tcW w:w="100" w:type="dxa"/>
            <w:vAlign w:val="bottom"/>
            <w:tcBorders>
              <w:top w:val="single" w:sz="8" w:color="7F7F7F"/>
            </w:tcBorders>
            <w:shd w:val="clear" w:color="auto" w:fill="005AFF"/>
          </w:tcPr>
          <w:p>
            <w:pPr>
              <w:spacing w:after="0"/>
              <w:rPr>
                <w:sz w:val="16"/>
                <w:szCs w:val="16"/>
                <w:color w:val="auto"/>
              </w:rPr>
            </w:pPr>
          </w:p>
        </w:tc>
        <w:tc>
          <w:tcPr>
            <w:tcW w:w="20" w:type="dxa"/>
            <w:vAlign w:val="bottom"/>
            <w:tcBorders>
              <w:top w:val="single" w:sz="8" w:color="005AFF"/>
            </w:tcBorders>
            <w:shd w:val="clear" w:color="auto" w:fill="005AFF"/>
          </w:tcPr>
          <w:p>
            <w:pPr>
              <w:spacing w:after="0"/>
              <w:rPr>
                <w:sz w:val="16"/>
                <w:szCs w:val="16"/>
                <w:color w:val="auto"/>
              </w:rPr>
            </w:pPr>
          </w:p>
        </w:tc>
        <w:tc>
          <w:tcPr>
            <w:tcW w:w="480" w:type="dxa"/>
            <w:vAlign w:val="bottom"/>
            <w:tcBorders>
              <w:top w:val="single" w:sz="8" w:color="005AFF"/>
            </w:tcBorders>
            <w:shd w:val="clear" w:color="auto" w:fill="005AFF"/>
          </w:tcPr>
          <w:p>
            <w:pPr>
              <w:spacing w:after="0"/>
              <w:rPr>
                <w:sz w:val="16"/>
                <w:szCs w:val="16"/>
                <w:color w:val="auto"/>
              </w:rPr>
            </w:pPr>
          </w:p>
        </w:tc>
        <w:tc>
          <w:tcPr>
            <w:tcW w:w="20" w:type="dxa"/>
            <w:vAlign w:val="bottom"/>
            <w:tcBorders>
              <w:top w:val="single" w:sz="8" w:color="005AFF"/>
            </w:tcBorders>
            <w:shd w:val="clear" w:color="auto" w:fill="005AFF"/>
          </w:tcPr>
          <w:p>
            <w:pPr>
              <w:spacing w:after="0"/>
              <w:rPr>
                <w:sz w:val="16"/>
                <w:szCs w:val="16"/>
                <w:color w:val="auto"/>
              </w:rPr>
            </w:pPr>
          </w:p>
        </w:tc>
        <w:tc>
          <w:tcPr>
            <w:tcW w:w="460" w:type="dxa"/>
            <w:vAlign w:val="bottom"/>
            <w:tcBorders>
              <w:top w:val="single" w:sz="8" w:color="005AFF"/>
            </w:tcBorders>
            <w:shd w:val="clear" w:color="auto" w:fill="005AFF"/>
          </w:tcPr>
          <w:p>
            <w:pPr>
              <w:spacing w:after="0"/>
              <w:rPr>
                <w:sz w:val="16"/>
                <w:szCs w:val="16"/>
                <w:color w:val="auto"/>
              </w:rPr>
            </w:pPr>
          </w:p>
        </w:tc>
        <w:tc>
          <w:tcPr>
            <w:tcW w:w="80" w:type="dxa"/>
            <w:vAlign w:val="bottom"/>
            <w:tcBorders>
              <w:top w:val="single" w:sz="8" w:color="005AFF"/>
              <w:right w:val="single" w:sz="8" w:color="005AFF"/>
            </w:tcBorders>
            <w:shd w:val="clear" w:color="auto" w:fill="005AFF"/>
          </w:tcPr>
          <w:p>
            <w:pPr>
              <w:spacing w:after="0"/>
              <w:rPr>
                <w:sz w:val="16"/>
                <w:szCs w:val="16"/>
                <w:color w:val="auto"/>
              </w:rPr>
            </w:pPr>
          </w:p>
        </w:tc>
        <w:tc>
          <w:tcPr>
            <w:tcW w:w="920" w:type="dxa"/>
            <w:vAlign w:val="bottom"/>
            <w:tcBorders>
              <w:top w:val="single" w:sz="8" w:color="005AFF"/>
            </w:tcBorders>
            <w:shd w:val="clear" w:color="auto" w:fill="005AFF"/>
          </w:tcPr>
          <w:p>
            <w:pPr>
              <w:spacing w:after="0"/>
              <w:rPr>
                <w:sz w:val="16"/>
                <w:szCs w:val="16"/>
                <w:color w:val="auto"/>
              </w:rPr>
            </w:pPr>
          </w:p>
        </w:tc>
        <w:tc>
          <w:tcPr>
            <w:tcW w:w="240" w:type="dxa"/>
            <w:vAlign w:val="bottom"/>
            <w:tcBorders>
              <w:top w:val="single" w:sz="8" w:color="005AFF"/>
            </w:tcBorders>
            <w:shd w:val="clear" w:color="auto" w:fill="005AFF"/>
          </w:tcPr>
          <w:p>
            <w:pPr>
              <w:spacing w:after="0"/>
              <w:rPr>
                <w:sz w:val="16"/>
                <w:szCs w:val="16"/>
                <w:color w:val="auto"/>
              </w:rPr>
            </w:pPr>
          </w:p>
        </w:tc>
        <w:tc>
          <w:tcPr>
            <w:tcW w:w="1280" w:type="dxa"/>
            <w:vAlign w:val="bottom"/>
            <w:tcBorders>
              <w:top w:val="single" w:sz="8" w:color="005AFF"/>
              <w:right w:val="single" w:sz="8" w:color="005AFF"/>
            </w:tcBorders>
            <w:shd w:val="clear" w:color="auto" w:fill="005AFF"/>
          </w:tcPr>
          <w:p>
            <w:pPr>
              <w:spacing w:after="0"/>
              <w:rPr>
                <w:sz w:val="16"/>
                <w:szCs w:val="16"/>
                <w:color w:val="auto"/>
              </w:rPr>
            </w:pPr>
          </w:p>
        </w:tc>
        <w:tc>
          <w:tcPr>
            <w:tcW w:w="1060" w:type="dxa"/>
            <w:vAlign w:val="bottom"/>
            <w:tcBorders>
              <w:top w:val="single" w:sz="8" w:color="005AFF"/>
            </w:tcBorders>
            <w:shd w:val="clear" w:color="auto" w:fill="005AFF"/>
          </w:tcPr>
          <w:p>
            <w:pPr>
              <w:ind w:left="20"/>
              <w:spacing w:after="0"/>
              <w:rPr>
                <w:sz w:val="20"/>
                <w:szCs w:val="20"/>
                <w:color w:val="auto"/>
              </w:rPr>
            </w:pPr>
            <w:r>
              <w:rPr>
                <w:rFonts w:ascii="Times New Roman" w:cs="Times New Roman" w:eastAsia="Times New Roman" w:hAnsi="Times New Roman"/>
                <w:sz w:val="11"/>
                <w:szCs w:val="11"/>
                <w:b w:val="1"/>
                <w:bCs w:val="1"/>
                <w:color w:val="FFFFFF"/>
              </w:rPr>
              <w:t>Responsible Business</w:t>
            </w:r>
          </w:p>
        </w:tc>
        <w:tc>
          <w:tcPr>
            <w:tcW w:w="3820" w:type="dxa"/>
            <w:vAlign w:val="bottom"/>
            <w:tcBorders>
              <w:top w:val="single" w:sz="8" w:color="005AFF"/>
              <w:right w:val="single" w:sz="8" w:color="005AFF"/>
            </w:tcBorders>
            <w:shd w:val="clear" w:color="auto" w:fill="005AFF"/>
          </w:tcPr>
          <w:p>
            <w:pPr>
              <w:spacing w:after="0"/>
              <w:rPr>
                <w:sz w:val="16"/>
                <w:szCs w:val="16"/>
                <w:color w:val="auto"/>
              </w:rPr>
            </w:pPr>
          </w:p>
        </w:tc>
        <w:tc>
          <w:tcPr>
            <w:tcW w:w="720" w:type="dxa"/>
            <w:vAlign w:val="bottom"/>
            <w:tcBorders>
              <w:top w:val="single" w:sz="8" w:color="005AFF"/>
            </w:tcBorders>
            <w:shd w:val="clear" w:color="auto" w:fill="005AFF"/>
          </w:tcPr>
          <w:p>
            <w:pPr>
              <w:spacing w:after="0"/>
              <w:rPr>
                <w:sz w:val="16"/>
                <w:szCs w:val="16"/>
                <w:color w:val="auto"/>
              </w:rPr>
            </w:pPr>
          </w:p>
        </w:tc>
        <w:tc>
          <w:tcPr>
            <w:tcW w:w="0" w:type="dxa"/>
            <w:vAlign w:val="bottom"/>
          </w:tcPr>
          <w:p>
            <w:pPr>
              <w:spacing w:after="0"/>
              <w:rPr>
                <w:sz w:val="1"/>
                <w:szCs w:val="1"/>
                <w:color w:val="auto"/>
              </w:rPr>
            </w:pPr>
          </w:p>
        </w:tc>
      </w:tr>
      <w:tr>
        <w:trPr>
          <w:trHeight w:val="47"/>
        </w:trPr>
        <w:tc>
          <w:tcPr>
            <w:tcW w:w="840" w:type="dxa"/>
            <w:vAlign w:val="bottom"/>
            <w:shd w:val="clear" w:color="auto" w:fill="005AFF"/>
          </w:tcPr>
          <w:p>
            <w:pPr>
              <w:spacing w:after="0"/>
              <w:rPr>
                <w:sz w:val="4"/>
                <w:szCs w:val="4"/>
                <w:color w:val="auto"/>
              </w:rPr>
            </w:pPr>
          </w:p>
        </w:tc>
        <w:tc>
          <w:tcPr>
            <w:tcW w:w="100" w:type="dxa"/>
            <w:vAlign w:val="bottom"/>
            <w:shd w:val="clear" w:color="auto" w:fill="005AFF"/>
          </w:tcPr>
          <w:p>
            <w:pPr>
              <w:spacing w:after="0"/>
              <w:rPr>
                <w:sz w:val="4"/>
                <w:szCs w:val="4"/>
                <w:color w:val="auto"/>
              </w:rPr>
            </w:pPr>
          </w:p>
        </w:tc>
        <w:tc>
          <w:tcPr>
            <w:tcW w:w="20" w:type="dxa"/>
            <w:vAlign w:val="bottom"/>
            <w:shd w:val="clear" w:color="auto" w:fill="005AFF"/>
          </w:tcPr>
          <w:p>
            <w:pPr>
              <w:spacing w:after="0"/>
              <w:rPr>
                <w:sz w:val="4"/>
                <w:szCs w:val="4"/>
                <w:color w:val="auto"/>
              </w:rPr>
            </w:pPr>
          </w:p>
        </w:tc>
        <w:tc>
          <w:tcPr>
            <w:tcW w:w="480" w:type="dxa"/>
            <w:vAlign w:val="bottom"/>
            <w:shd w:val="clear" w:color="auto" w:fill="005AFF"/>
          </w:tcPr>
          <w:p>
            <w:pPr>
              <w:spacing w:after="0"/>
              <w:rPr>
                <w:sz w:val="4"/>
                <w:szCs w:val="4"/>
                <w:color w:val="auto"/>
              </w:rPr>
            </w:pPr>
          </w:p>
        </w:tc>
        <w:tc>
          <w:tcPr>
            <w:tcW w:w="20" w:type="dxa"/>
            <w:vAlign w:val="bottom"/>
            <w:shd w:val="clear" w:color="auto" w:fill="005AFF"/>
          </w:tcPr>
          <w:p>
            <w:pPr>
              <w:spacing w:after="0"/>
              <w:rPr>
                <w:sz w:val="4"/>
                <w:szCs w:val="4"/>
                <w:color w:val="auto"/>
              </w:rPr>
            </w:pPr>
          </w:p>
        </w:tc>
        <w:tc>
          <w:tcPr>
            <w:tcW w:w="460" w:type="dxa"/>
            <w:vAlign w:val="bottom"/>
            <w:shd w:val="clear" w:color="auto" w:fill="005AFF"/>
          </w:tcPr>
          <w:p>
            <w:pPr>
              <w:spacing w:after="0"/>
              <w:rPr>
                <w:sz w:val="4"/>
                <w:szCs w:val="4"/>
                <w:color w:val="auto"/>
              </w:rPr>
            </w:pPr>
          </w:p>
        </w:tc>
        <w:tc>
          <w:tcPr>
            <w:tcW w:w="80" w:type="dxa"/>
            <w:vAlign w:val="bottom"/>
            <w:tcBorders>
              <w:right w:val="single" w:sz="8" w:color="005AFF"/>
            </w:tcBorders>
            <w:shd w:val="clear" w:color="auto" w:fill="005AFF"/>
          </w:tcPr>
          <w:p>
            <w:pPr>
              <w:spacing w:after="0"/>
              <w:rPr>
                <w:sz w:val="4"/>
                <w:szCs w:val="4"/>
                <w:color w:val="auto"/>
              </w:rPr>
            </w:pPr>
          </w:p>
        </w:tc>
        <w:tc>
          <w:tcPr>
            <w:tcW w:w="920" w:type="dxa"/>
            <w:vAlign w:val="bottom"/>
            <w:shd w:val="clear" w:color="auto" w:fill="005AFF"/>
          </w:tcPr>
          <w:p>
            <w:pPr>
              <w:spacing w:after="0"/>
              <w:rPr>
                <w:sz w:val="4"/>
                <w:szCs w:val="4"/>
                <w:color w:val="auto"/>
              </w:rPr>
            </w:pPr>
          </w:p>
        </w:tc>
        <w:tc>
          <w:tcPr>
            <w:tcW w:w="240" w:type="dxa"/>
            <w:vAlign w:val="bottom"/>
            <w:shd w:val="clear" w:color="auto" w:fill="005AFF"/>
          </w:tcPr>
          <w:p>
            <w:pPr>
              <w:spacing w:after="0"/>
              <w:rPr>
                <w:sz w:val="4"/>
                <w:szCs w:val="4"/>
                <w:color w:val="auto"/>
              </w:rPr>
            </w:pPr>
          </w:p>
        </w:tc>
        <w:tc>
          <w:tcPr>
            <w:tcW w:w="1280" w:type="dxa"/>
            <w:vAlign w:val="bottom"/>
            <w:tcBorders>
              <w:right w:val="single" w:sz="8" w:color="005AFF"/>
            </w:tcBorders>
            <w:shd w:val="clear" w:color="auto" w:fill="005AFF"/>
          </w:tcPr>
          <w:p>
            <w:pPr>
              <w:spacing w:after="0"/>
              <w:rPr>
                <w:sz w:val="4"/>
                <w:szCs w:val="4"/>
                <w:color w:val="auto"/>
              </w:rPr>
            </w:pPr>
          </w:p>
        </w:tc>
        <w:tc>
          <w:tcPr>
            <w:tcW w:w="1060" w:type="dxa"/>
            <w:vAlign w:val="bottom"/>
            <w:shd w:val="clear" w:color="auto" w:fill="005AFF"/>
          </w:tcPr>
          <w:p>
            <w:pPr>
              <w:spacing w:after="0"/>
              <w:rPr>
                <w:sz w:val="4"/>
                <w:szCs w:val="4"/>
                <w:color w:val="auto"/>
              </w:rPr>
            </w:pPr>
          </w:p>
        </w:tc>
        <w:tc>
          <w:tcPr>
            <w:tcW w:w="3820" w:type="dxa"/>
            <w:vAlign w:val="bottom"/>
            <w:tcBorders>
              <w:right w:val="single" w:sz="8" w:color="005AFF"/>
            </w:tcBorders>
            <w:shd w:val="clear" w:color="auto" w:fill="005AFF"/>
          </w:tcPr>
          <w:p>
            <w:pPr>
              <w:spacing w:after="0"/>
              <w:rPr>
                <w:sz w:val="4"/>
                <w:szCs w:val="4"/>
                <w:color w:val="auto"/>
              </w:rPr>
            </w:pPr>
          </w:p>
        </w:tc>
        <w:tc>
          <w:tcPr>
            <w:tcW w:w="720" w:type="dxa"/>
            <w:vAlign w:val="bottom"/>
            <w:shd w:val="clear" w:color="auto" w:fill="005AFF"/>
          </w:tcPr>
          <w:p>
            <w:pPr>
              <w:spacing w:after="0"/>
              <w:rPr>
                <w:sz w:val="4"/>
                <w:szCs w:val="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40"/>
          </w:cols>
          <w:pgMar w:left="960" w:top="409" w:right="89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50"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1"/>
          <w:szCs w:val="11"/>
          <w:b w:val="1"/>
          <w:bCs w:val="1"/>
          <w:color w:val="FFFFFF"/>
        </w:rPr>
        <w:t>Health &amp; safety</w:t>
      </w:r>
    </w:p>
    <w:p>
      <w:pPr>
        <w:spacing w:after="0" w:line="200" w:lineRule="exact"/>
        <w:rPr>
          <w:sz w:val="20"/>
          <w:szCs w:val="20"/>
          <w:color w:val="auto"/>
        </w:rPr>
      </w:pPr>
    </w:p>
    <w:p>
      <w:pPr>
        <w:spacing w:after="0" w:line="361" w:lineRule="exact"/>
        <w:rPr>
          <w:sz w:val="20"/>
          <w:szCs w:val="20"/>
          <w:color w:val="auto"/>
        </w:rPr>
      </w:pPr>
    </w:p>
    <w:p>
      <w:pPr>
        <w:ind w:left="240" w:right="80" w:hanging="58"/>
        <w:spacing w:after="0" w:line="313" w:lineRule="auto"/>
        <w:rPr>
          <w:sz w:val="20"/>
          <w:szCs w:val="20"/>
          <w:color w:val="auto"/>
        </w:rPr>
      </w:pPr>
      <w:r>
        <w:rPr>
          <w:rFonts w:ascii="Times New Roman" w:cs="Times New Roman" w:eastAsia="Times New Roman" w:hAnsi="Times New Roman"/>
          <w:sz w:val="11"/>
          <w:szCs w:val="11"/>
          <w:b w:val="1"/>
          <w:bCs w:val="1"/>
          <w:color w:val="001135"/>
        </w:rPr>
        <w:t>Inclusion &amp; diversity</w:t>
      </w:r>
    </w:p>
    <w:p>
      <w:pPr>
        <w:spacing w:after="0" w:line="216" w:lineRule="exact"/>
        <w:rPr>
          <w:sz w:val="20"/>
          <w:szCs w:val="20"/>
          <w:color w:val="auto"/>
        </w:rPr>
      </w:pPr>
    </w:p>
    <w:p>
      <w:pPr>
        <w:ind w:left="180" w:right="120" w:firstLine="83"/>
        <w:spacing w:after="0" w:line="294" w:lineRule="auto"/>
        <w:rPr>
          <w:sz w:val="20"/>
          <w:szCs w:val="20"/>
          <w:color w:val="auto"/>
        </w:rPr>
      </w:pPr>
      <w:r>
        <w:rPr>
          <w:rFonts w:ascii="Times New Roman" w:cs="Times New Roman" w:eastAsia="Times New Roman" w:hAnsi="Times New Roman"/>
          <w:sz w:val="11"/>
          <w:szCs w:val="11"/>
          <w:b w:val="1"/>
          <w:bCs w:val="1"/>
          <w:color w:val="FFFFFF"/>
        </w:rPr>
        <w:t>Ethics &amp; compliance</w:t>
      </w:r>
    </w:p>
    <w:p>
      <w:pPr>
        <w:spacing w:after="0" w:line="200" w:lineRule="exact"/>
        <w:rPr>
          <w:sz w:val="20"/>
          <w:szCs w:val="20"/>
          <w:color w:val="auto"/>
        </w:rPr>
      </w:pPr>
    </w:p>
    <w:p>
      <w:pPr>
        <w:spacing w:after="0" w:line="200" w:lineRule="exact"/>
        <w:rPr>
          <w:sz w:val="20"/>
          <w:szCs w:val="20"/>
          <w:color w:val="auto"/>
        </w:rPr>
      </w:pPr>
    </w:p>
    <w:p>
      <w:pPr>
        <w:spacing w:after="0" w:line="392" w:lineRule="exact"/>
        <w:rPr>
          <w:sz w:val="20"/>
          <w:szCs w:val="20"/>
          <w:color w:val="auto"/>
        </w:rPr>
      </w:pPr>
    </w:p>
    <w:p>
      <w:pPr>
        <w:ind w:left="240" w:right="100" w:hanging="92"/>
        <w:spacing w:after="0" w:line="313" w:lineRule="auto"/>
        <w:rPr>
          <w:sz w:val="20"/>
          <w:szCs w:val="20"/>
          <w:color w:val="auto"/>
        </w:rPr>
      </w:pPr>
      <w:r>
        <w:rPr>
          <w:rFonts w:ascii="Times New Roman" w:cs="Times New Roman" w:eastAsia="Times New Roman" w:hAnsi="Times New Roman"/>
          <w:sz w:val="11"/>
          <w:szCs w:val="11"/>
          <w:b w:val="1"/>
          <w:bCs w:val="1"/>
          <w:color w:val="0D0D0D"/>
        </w:rPr>
        <w:t>Responsible sourcing</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29"/>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2030</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2016</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100% of suppliers delivering high-risk activity</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18% of relevant suppliers met H&amp;S “Preferred” supplier status. To reach the 2030 target,</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to meet “H&amp;S preferred supplier” status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Nokia continues to work with our supplier base, engaging and promoting the supplier safety</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(score 4 or more out of 5) in our Health &amp;</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competences, offering safety training and setting supplier workshops in order to improve</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56"/>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Safety Maturity Assessment.</w:t>
            </w:r>
          </w:p>
        </w:tc>
        <w:tc>
          <w:tcPr>
            <w:tcW w:w="4880" w:type="dxa"/>
            <w:vAlign w:val="bottom"/>
            <w:tcBorders>
              <w:bottom w:val="single" w:sz="8" w:color="005AFF"/>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supplier Health and Safety awareness and capability.</w:t>
            </w: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2023</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Zero critical or fatal incidents for employees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In 2023, there were zero work-related fatal incidents involving employees. However, we</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Not achieved</w:t>
            </w:r>
          </w:p>
        </w:tc>
        <w:tc>
          <w:tcPr>
            <w:tcW w:w="0" w:type="dxa"/>
            <w:vAlign w:val="bottom"/>
          </w:tcPr>
          <w:p>
            <w:pPr>
              <w:spacing w:after="0"/>
              <w:rPr>
                <w:sz w:val="1"/>
                <w:szCs w:val="1"/>
                <w:color w:val="auto"/>
              </w:rPr>
            </w:pPr>
          </w:p>
        </w:tc>
      </w:tr>
      <w:tr>
        <w:trPr>
          <w:trHeight w:val="141"/>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and suppliers.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regret three work-related fatal incidents resulting in the death of one contractor/</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96"/>
        </w:trPr>
        <w:tc>
          <w:tcPr>
            <w:tcW w:w="520" w:type="dxa"/>
            <w:vAlign w:val="bottom"/>
            <w:tcBorders>
              <w:right w:val="single" w:sz="8" w:color="005AFF"/>
            </w:tcBorders>
          </w:tcPr>
          <w:p>
            <w:pPr>
              <w:spacing w:after="0"/>
              <w:rPr>
                <w:sz w:val="8"/>
                <w:szCs w:val="8"/>
                <w:color w:val="auto"/>
              </w:rPr>
            </w:pPr>
          </w:p>
        </w:tc>
        <w:tc>
          <w:tcPr>
            <w:tcW w:w="540" w:type="dxa"/>
            <w:vAlign w:val="bottom"/>
            <w:tcBorders>
              <w:right w:val="single" w:sz="8" w:color="005AFF"/>
            </w:tcBorders>
          </w:tcPr>
          <w:p>
            <w:pPr>
              <w:spacing w:after="0"/>
              <w:rPr>
                <w:sz w:val="8"/>
                <w:szCs w:val="8"/>
                <w:color w:val="auto"/>
              </w:rPr>
            </w:pPr>
          </w:p>
        </w:tc>
        <w:tc>
          <w:tcPr>
            <w:tcW w:w="2440" w:type="dxa"/>
            <w:vAlign w:val="bottom"/>
            <w:tcBorders>
              <w:right w:val="single" w:sz="8" w:color="005AFF"/>
            </w:tcBorders>
          </w:tcPr>
          <w:p>
            <w:pPr>
              <w:spacing w:after="0"/>
              <w:rPr>
                <w:sz w:val="8"/>
                <w:szCs w:val="8"/>
                <w:color w:val="auto"/>
              </w:rPr>
            </w:pPr>
          </w:p>
        </w:tc>
        <w:tc>
          <w:tcPr>
            <w:tcW w:w="1840" w:type="dxa"/>
            <w:vAlign w:val="bottom"/>
            <w:vMerge w:val="restart"/>
          </w:tcPr>
          <w:p>
            <w:pPr>
              <w:ind w:left="20"/>
              <w:spacing w:after="0"/>
              <w:rPr>
                <w:sz w:val="20"/>
                <w:szCs w:val="20"/>
                <w:color w:val="auto"/>
              </w:rPr>
            </w:pPr>
            <w:r>
              <w:rPr>
                <w:rFonts w:ascii="Times New Roman" w:cs="Times New Roman" w:eastAsia="Times New Roman" w:hAnsi="Times New Roman"/>
                <w:sz w:val="11"/>
                <w:szCs w:val="11"/>
                <w:color w:val="auto"/>
              </w:rPr>
              <w:t>subcontractor and two third-parties.</w:t>
            </w:r>
          </w:p>
        </w:tc>
        <w:tc>
          <w:tcPr>
            <w:tcW w:w="3040" w:type="dxa"/>
            <w:vAlign w:val="bottom"/>
            <w:tcBorders>
              <w:right w:val="single" w:sz="8" w:color="005AFF"/>
            </w:tcBorders>
          </w:tcPr>
          <w:p>
            <w:pPr>
              <w:jc w:val="right"/>
              <w:ind w:right="2863"/>
              <w:spacing w:after="0"/>
              <w:rPr>
                <w:sz w:val="20"/>
                <w:szCs w:val="20"/>
                <w:color w:val="auto"/>
              </w:rPr>
            </w:pPr>
            <w:r>
              <w:rPr>
                <w:rFonts w:ascii="Times New Roman" w:cs="Times New Roman" w:eastAsia="Times New Roman" w:hAnsi="Times New Roman"/>
                <w:sz w:val="7"/>
                <w:szCs w:val="7"/>
                <w:color w:val="auto"/>
              </w:rPr>
              <w:t>(7)</w:t>
            </w:r>
          </w:p>
        </w:tc>
        <w:tc>
          <w:tcPr>
            <w:tcW w:w="72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61"/>
        </w:trPr>
        <w:tc>
          <w:tcPr>
            <w:tcW w:w="520" w:type="dxa"/>
            <w:vAlign w:val="bottom"/>
            <w:tcBorders>
              <w:bottom w:val="single" w:sz="8" w:color="005AFF"/>
              <w:right w:val="single" w:sz="8" w:color="005AFF"/>
            </w:tcBorders>
          </w:tcPr>
          <w:p>
            <w:pPr>
              <w:spacing w:after="0"/>
              <w:rPr>
                <w:sz w:val="5"/>
                <w:szCs w:val="5"/>
                <w:color w:val="auto"/>
              </w:rPr>
            </w:pPr>
          </w:p>
        </w:tc>
        <w:tc>
          <w:tcPr>
            <w:tcW w:w="540" w:type="dxa"/>
            <w:vAlign w:val="bottom"/>
            <w:tcBorders>
              <w:bottom w:val="single" w:sz="8" w:color="005AFF"/>
              <w:right w:val="single" w:sz="8" w:color="005AFF"/>
            </w:tcBorders>
          </w:tcPr>
          <w:p>
            <w:pPr>
              <w:spacing w:after="0"/>
              <w:rPr>
                <w:sz w:val="5"/>
                <w:szCs w:val="5"/>
                <w:color w:val="auto"/>
              </w:rPr>
            </w:pPr>
          </w:p>
        </w:tc>
        <w:tc>
          <w:tcPr>
            <w:tcW w:w="2440" w:type="dxa"/>
            <w:vAlign w:val="bottom"/>
            <w:tcBorders>
              <w:bottom w:val="single" w:sz="8" w:color="005AFF"/>
              <w:right w:val="single" w:sz="8" w:color="005AFF"/>
            </w:tcBorders>
          </w:tcPr>
          <w:p>
            <w:pPr>
              <w:spacing w:after="0"/>
              <w:rPr>
                <w:sz w:val="5"/>
                <w:szCs w:val="5"/>
                <w:color w:val="auto"/>
              </w:rPr>
            </w:pPr>
          </w:p>
        </w:tc>
        <w:tc>
          <w:tcPr>
            <w:tcW w:w="1840" w:type="dxa"/>
            <w:vAlign w:val="bottom"/>
            <w:tcBorders>
              <w:bottom w:val="single" w:sz="8" w:color="005AFF"/>
            </w:tcBorders>
            <w:vMerge w:val="continue"/>
          </w:tcPr>
          <w:p>
            <w:pPr>
              <w:spacing w:after="0"/>
              <w:rPr>
                <w:sz w:val="5"/>
                <w:szCs w:val="5"/>
                <w:color w:val="auto"/>
              </w:rPr>
            </w:pPr>
          </w:p>
        </w:tc>
        <w:tc>
          <w:tcPr>
            <w:tcW w:w="3040" w:type="dxa"/>
            <w:vAlign w:val="bottom"/>
            <w:tcBorders>
              <w:bottom w:val="single" w:sz="8" w:color="005AFF"/>
              <w:right w:val="single" w:sz="8" w:color="005AFF"/>
            </w:tcBorders>
          </w:tcPr>
          <w:p>
            <w:pPr>
              <w:spacing w:after="0"/>
              <w:rPr>
                <w:sz w:val="5"/>
                <w:szCs w:val="5"/>
                <w:color w:val="auto"/>
              </w:rPr>
            </w:pPr>
          </w:p>
        </w:tc>
        <w:tc>
          <w:tcPr>
            <w:tcW w:w="720" w:type="dxa"/>
            <w:vAlign w:val="bottom"/>
            <w:tcBorders>
              <w:bottom w:val="single" w:sz="8" w:color="005AFF"/>
            </w:tcBorders>
          </w:tcPr>
          <w:p>
            <w:pPr>
              <w:spacing w:after="0"/>
              <w:rPr>
                <w:sz w:val="5"/>
                <w:szCs w:val="5"/>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2023</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Reach a minimum of 27% female hires in</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28% of external recruits were women. We achieved the 2023 target via increased marketing,</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Reached</w:t>
            </w: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global external recruits.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communication and talent attraction activities to make Nokia’s employer brand stand out for</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56"/>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spacing w:after="0"/>
              <w:rPr>
                <w:sz w:val="13"/>
                <w:szCs w:val="13"/>
                <w:color w:val="auto"/>
              </w:rPr>
            </w:pPr>
          </w:p>
        </w:tc>
        <w:tc>
          <w:tcPr>
            <w:tcW w:w="4880" w:type="dxa"/>
            <w:vAlign w:val="bottom"/>
            <w:tcBorders>
              <w:bottom w:val="single" w:sz="8" w:color="005AFF"/>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diversity-friendly employment policies and attract diverse talent.</w:t>
            </w: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2030</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2016</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Maintain 85% favorability of employee/line</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In 2023, 85% of employees said that their line manager talked to the team about the</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Achieved</w:t>
            </w:r>
          </w:p>
        </w:tc>
        <w:tc>
          <w:tcPr>
            <w:tcW w:w="0" w:type="dxa"/>
            <w:vAlign w:val="bottom"/>
          </w:tcPr>
          <w:p>
            <w:pPr>
              <w:spacing w:after="0"/>
              <w:rPr>
                <w:sz w:val="1"/>
                <w:szCs w:val="1"/>
                <w:color w:val="auto"/>
              </w:rPr>
            </w:pPr>
          </w:p>
        </w:tc>
      </w:tr>
      <w:tr>
        <w:trPr>
          <w:trHeight w:val="156"/>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manager engagement on ethics and compliance.</w:t>
            </w:r>
          </w:p>
        </w:tc>
        <w:tc>
          <w:tcPr>
            <w:tcW w:w="184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importance of ethics and compliance.</w:t>
            </w:r>
          </w:p>
        </w:tc>
        <w:tc>
          <w:tcPr>
            <w:tcW w:w="30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2023</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Ethical Business Training completed by 95%</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98% of employees completed Ethical Business Training.</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Achieved</w:t>
            </w:r>
          </w:p>
        </w:tc>
        <w:tc>
          <w:tcPr>
            <w:tcW w:w="0" w:type="dxa"/>
            <w:vAlign w:val="bottom"/>
          </w:tcPr>
          <w:p>
            <w:pPr>
              <w:spacing w:after="0"/>
              <w:rPr>
                <w:sz w:val="1"/>
                <w:szCs w:val="1"/>
                <w:color w:val="auto"/>
              </w:rPr>
            </w:pPr>
          </w:p>
        </w:tc>
      </w:tr>
      <w:tr>
        <w:trPr>
          <w:trHeight w:val="156"/>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of employees.</w:t>
            </w:r>
          </w:p>
        </w:tc>
        <w:tc>
          <w:tcPr>
            <w:tcW w:w="1840" w:type="dxa"/>
            <w:vAlign w:val="bottom"/>
            <w:tcBorders>
              <w:bottom w:val="single" w:sz="8" w:color="005AFF"/>
            </w:tcBorders>
          </w:tcPr>
          <w:p>
            <w:pPr>
              <w:spacing w:after="0"/>
              <w:rPr>
                <w:sz w:val="13"/>
                <w:szCs w:val="13"/>
                <w:color w:val="auto"/>
              </w:rPr>
            </w:pPr>
          </w:p>
        </w:tc>
        <w:tc>
          <w:tcPr>
            <w:tcW w:w="30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2025</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N/A</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98% 3TG traceability and conflict-free status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As of 2023, we have achieved 81% traceability to the smelter level in our supply chain as well</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to smelter level in our supply chain as well as</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as conflict-free status of the smelters. We have also extended and conducted due diligence</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conflict-free status of the smelters. Extended</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rPr>
              <w:t>for cobalt and mica and mapped the supply chains for additional minerals. For those due-</w:t>
            </w: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520" w:type="dxa"/>
            <w:vAlign w:val="bottom"/>
            <w:tcBorders>
              <w:right w:val="single" w:sz="8" w:color="005AFF"/>
            </w:tcBorders>
          </w:tcPr>
          <w:p>
            <w:pPr>
              <w:spacing w:after="0"/>
              <w:rPr>
                <w:sz w:val="11"/>
                <w:szCs w:val="11"/>
                <w:color w:val="auto"/>
              </w:rPr>
            </w:pPr>
          </w:p>
        </w:tc>
        <w:tc>
          <w:tcPr>
            <w:tcW w:w="540" w:type="dxa"/>
            <w:vAlign w:val="bottom"/>
            <w:tcBorders>
              <w:right w:val="single" w:sz="8" w:color="005AFF"/>
            </w:tcBorders>
          </w:tcPr>
          <w:p>
            <w:pPr>
              <w:spacing w:after="0"/>
              <w:rPr>
                <w:sz w:val="11"/>
                <w:szCs w:val="11"/>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due diligence and conflict-free status of</w:t>
            </w:r>
          </w:p>
        </w:tc>
        <w:tc>
          <w:tcPr>
            <w:tcW w:w="184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diligence will follow in the next years.</w:t>
            </w:r>
          </w:p>
        </w:tc>
        <w:tc>
          <w:tcPr>
            <w:tcW w:w="3040" w:type="dxa"/>
            <w:vAlign w:val="bottom"/>
            <w:tcBorders>
              <w:right w:val="single" w:sz="8" w:color="005AFF"/>
            </w:tcBorders>
          </w:tcPr>
          <w:p>
            <w:pPr>
              <w:spacing w:after="0"/>
              <w:rPr>
                <w:sz w:val="11"/>
                <w:szCs w:val="11"/>
                <w:color w:val="auto"/>
              </w:rPr>
            </w:pP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6"/>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cobalt, mica and two additional minerals.</w:t>
            </w:r>
          </w:p>
        </w:tc>
        <w:tc>
          <w:tcPr>
            <w:tcW w:w="1840" w:type="dxa"/>
            <w:vAlign w:val="bottom"/>
            <w:tcBorders>
              <w:bottom w:val="single" w:sz="8" w:color="005AFF"/>
            </w:tcBorders>
          </w:tcPr>
          <w:p>
            <w:pPr>
              <w:spacing w:after="0"/>
              <w:rPr>
                <w:sz w:val="13"/>
                <w:szCs w:val="13"/>
                <w:color w:val="auto"/>
              </w:rPr>
            </w:pPr>
          </w:p>
        </w:tc>
        <w:tc>
          <w:tcPr>
            <w:tcW w:w="30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r>
        <w:trPr>
          <w:trHeight w:val="137"/>
        </w:trPr>
        <w:tc>
          <w:tcPr>
            <w:tcW w:w="520" w:type="dxa"/>
            <w:vAlign w:val="bottom"/>
            <w:tcBorders>
              <w:right w:val="single" w:sz="8" w:color="005AFF"/>
            </w:tcBorders>
          </w:tcPr>
          <w:p>
            <w:pPr>
              <w:jc w:val="right"/>
              <w:ind w:right="203"/>
              <w:spacing w:after="0"/>
              <w:rPr>
                <w:sz w:val="20"/>
                <w:szCs w:val="20"/>
                <w:color w:val="auto"/>
              </w:rPr>
            </w:pPr>
            <w:r>
              <w:rPr>
                <w:rFonts w:ascii="Times New Roman" w:cs="Times New Roman" w:eastAsia="Times New Roman" w:hAnsi="Times New Roman"/>
                <w:sz w:val="11"/>
                <w:szCs w:val="11"/>
                <w:color w:val="auto"/>
              </w:rPr>
              <w:t>2025</w:t>
            </w:r>
          </w:p>
        </w:tc>
        <w:tc>
          <w:tcPr>
            <w:tcW w:w="5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2020</w:t>
            </w: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80% of suppliers achieve satisfactory</w:t>
            </w:r>
          </w:p>
        </w:tc>
        <w:tc>
          <w:tcPr>
            <w:tcW w:w="4880" w:type="dxa"/>
            <w:vAlign w:val="bottom"/>
            <w:tcBorders>
              <w:right w:val="single" w:sz="8" w:color="005AFF"/>
            </w:tcBorders>
            <w:gridSpan w:val="2"/>
          </w:tcPr>
          <w:p>
            <w:pPr>
              <w:ind w:left="20"/>
              <w:spacing w:after="0"/>
              <w:rPr>
                <w:sz w:val="20"/>
                <w:szCs w:val="20"/>
                <w:color w:val="auto"/>
              </w:rPr>
            </w:pPr>
            <w:r>
              <w:rPr>
                <w:rFonts w:ascii="Times New Roman" w:cs="Times New Roman" w:eastAsia="Times New Roman" w:hAnsi="Times New Roman"/>
                <w:sz w:val="11"/>
                <w:szCs w:val="11"/>
                <w:color w:val="auto"/>
                <w:highlight w:val="white"/>
              </w:rPr>
              <w:t>80% of suppliers, on average, received a satisfactory sustainability score in our assessment</w:t>
            </w:r>
          </w:p>
        </w:tc>
        <w:tc>
          <w:tcPr>
            <w:tcW w:w="72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On track</w:t>
            </w: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sustainability score (based on aggregated</w:t>
            </w:r>
          </w:p>
        </w:tc>
        <w:tc>
          <w:tcPr>
            <w:tcW w:w="1840" w:type="dxa"/>
            <w:vAlign w:val="bottom"/>
          </w:tcPr>
          <w:p>
            <w:pPr>
              <w:ind w:left="20"/>
              <w:spacing w:after="0"/>
              <w:rPr>
                <w:sz w:val="20"/>
                <w:szCs w:val="20"/>
                <w:color w:val="auto"/>
              </w:rPr>
            </w:pPr>
            <w:r>
              <w:rPr>
                <w:rFonts w:ascii="Times New Roman" w:cs="Times New Roman" w:eastAsia="Times New Roman" w:hAnsi="Times New Roman"/>
                <w:sz w:val="11"/>
                <w:szCs w:val="11"/>
                <w:color w:val="auto"/>
                <w:highlight w:val="white"/>
              </w:rPr>
              <w:t>programs.</w:t>
            </w:r>
          </w:p>
        </w:tc>
        <w:tc>
          <w:tcPr>
            <w:tcW w:w="304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weighted share) from supplier performance</w:t>
            </w:r>
          </w:p>
        </w:tc>
        <w:tc>
          <w:tcPr>
            <w:tcW w:w="1840" w:type="dxa"/>
            <w:vAlign w:val="bottom"/>
          </w:tcPr>
          <w:p>
            <w:pPr>
              <w:spacing w:after="0"/>
              <w:rPr>
                <w:sz w:val="12"/>
                <w:szCs w:val="12"/>
                <w:color w:val="auto"/>
              </w:rPr>
            </w:pPr>
          </w:p>
        </w:tc>
        <w:tc>
          <w:tcPr>
            <w:tcW w:w="304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520" w:type="dxa"/>
            <w:vAlign w:val="bottom"/>
            <w:tcBorders>
              <w:right w:val="single" w:sz="8" w:color="005AFF"/>
            </w:tcBorders>
          </w:tcPr>
          <w:p>
            <w:pPr>
              <w:spacing w:after="0"/>
              <w:rPr>
                <w:sz w:val="11"/>
                <w:szCs w:val="11"/>
                <w:color w:val="auto"/>
              </w:rPr>
            </w:pPr>
          </w:p>
        </w:tc>
        <w:tc>
          <w:tcPr>
            <w:tcW w:w="540" w:type="dxa"/>
            <w:vAlign w:val="bottom"/>
            <w:tcBorders>
              <w:right w:val="single" w:sz="8" w:color="005AFF"/>
            </w:tcBorders>
          </w:tcPr>
          <w:p>
            <w:pPr>
              <w:spacing w:after="0"/>
              <w:rPr>
                <w:sz w:val="11"/>
                <w:szCs w:val="11"/>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evaluation (based on Corporate Responsibility</w:t>
            </w:r>
          </w:p>
        </w:tc>
        <w:tc>
          <w:tcPr>
            <w:tcW w:w="1840" w:type="dxa"/>
            <w:vAlign w:val="bottom"/>
          </w:tcPr>
          <w:p>
            <w:pPr>
              <w:spacing w:after="0"/>
              <w:rPr>
                <w:sz w:val="11"/>
                <w:szCs w:val="11"/>
                <w:color w:val="auto"/>
              </w:rPr>
            </w:pPr>
          </w:p>
        </w:tc>
        <w:tc>
          <w:tcPr>
            <w:tcW w:w="3040" w:type="dxa"/>
            <w:vAlign w:val="bottom"/>
            <w:tcBorders>
              <w:right w:val="single" w:sz="8" w:color="005AFF"/>
            </w:tcBorders>
          </w:tcPr>
          <w:p>
            <w:pPr>
              <w:spacing w:after="0"/>
              <w:rPr>
                <w:sz w:val="11"/>
                <w:szCs w:val="11"/>
                <w:color w:val="auto"/>
              </w:rPr>
            </w:pPr>
          </w:p>
        </w:tc>
        <w:tc>
          <w:tcPr>
            <w:tcW w:w="7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520" w:type="dxa"/>
            <w:vAlign w:val="bottom"/>
            <w:tcBorders>
              <w:right w:val="single" w:sz="8" w:color="005AFF"/>
            </w:tcBorders>
          </w:tcPr>
          <w:p>
            <w:pPr>
              <w:spacing w:after="0"/>
              <w:rPr>
                <w:sz w:val="12"/>
                <w:szCs w:val="12"/>
                <w:color w:val="auto"/>
              </w:rPr>
            </w:pPr>
          </w:p>
        </w:tc>
        <w:tc>
          <w:tcPr>
            <w:tcW w:w="540" w:type="dxa"/>
            <w:vAlign w:val="bottom"/>
            <w:tcBorders>
              <w:right w:val="single" w:sz="8" w:color="005AFF"/>
            </w:tcBorders>
          </w:tcPr>
          <w:p>
            <w:pPr>
              <w:spacing w:after="0"/>
              <w:rPr>
                <w:sz w:val="12"/>
                <w:szCs w:val="12"/>
                <w:color w:val="auto"/>
              </w:rPr>
            </w:pPr>
          </w:p>
        </w:tc>
        <w:tc>
          <w:tcPr>
            <w:tcW w:w="2440" w:type="dxa"/>
            <w:vAlign w:val="bottom"/>
            <w:tcBorders>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onsite audit programs, EcoVadis, CDP,</w:t>
            </w:r>
          </w:p>
        </w:tc>
        <w:tc>
          <w:tcPr>
            <w:tcW w:w="1840" w:type="dxa"/>
            <w:vAlign w:val="bottom"/>
          </w:tcPr>
          <w:p>
            <w:pPr>
              <w:spacing w:after="0"/>
              <w:rPr>
                <w:sz w:val="12"/>
                <w:szCs w:val="12"/>
                <w:color w:val="auto"/>
              </w:rPr>
            </w:pPr>
          </w:p>
        </w:tc>
        <w:tc>
          <w:tcPr>
            <w:tcW w:w="3040" w:type="dxa"/>
            <w:vAlign w:val="bottom"/>
            <w:tcBorders>
              <w:right w:val="single" w:sz="8" w:color="005AFF"/>
            </w:tcBorders>
          </w:tcPr>
          <w:p>
            <w:pPr>
              <w:spacing w:after="0"/>
              <w:rPr>
                <w:sz w:val="12"/>
                <w:szCs w:val="12"/>
                <w:color w:val="auto"/>
              </w:rPr>
            </w:pPr>
          </w:p>
        </w:tc>
        <w:tc>
          <w:tcPr>
            <w:tcW w:w="7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51"/>
        </w:trPr>
        <w:tc>
          <w:tcPr>
            <w:tcW w:w="520" w:type="dxa"/>
            <w:vAlign w:val="bottom"/>
            <w:tcBorders>
              <w:bottom w:val="single" w:sz="8" w:color="005AFF"/>
              <w:right w:val="single" w:sz="8" w:color="005AFF"/>
            </w:tcBorders>
          </w:tcPr>
          <w:p>
            <w:pPr>
              <w:spacing w:after="0"/>
              <w:rPr>
                <w:sz w:val="13"/>
                <w:szCs w:val="13"/>
                <w:color w:val="auto"/>
              </w:rPr>
            </w:pPr>
          </w:p>
        </w:tc>
        <w:tc>
          <w:tcPr>
            <w:tcW w:w="540" w:type="dxa"/>
            <w:vAlign w:val="bottom"/>
            <w:tcBorders>
              <w:bottom w:val="single" w:sz="8" w:color="005AFF"/>
              <w:right w:val="single" w:sz="8" w:color="005AFF"/>
            </w:tcBorders>
          </w:tcPr>
          <w:p>
            <w:pPr>
              <w:spacing w:after="0"/>
              <w:rPr>
                <w:sz w:val="13"/>
                <w:szCs w:val="13"/>
                <w:color w:val="auto"/>
              </w:rPr>
            </w:pPr>
          </w:p>
        </w:tc>
        <w:tc>
          <w:tcPr>
            <w:tcW w:w="2440" w:type="dxa"/>
            <w:vAlign w:val="bottom"/>
            <w:tcBorders>
              <w:bottom w:val="single" w:sz="8" w:color="005AFF"/>
              <w:right w:val="single" w:sz="8" w:color="005AFF"/>
            </w:tcBorders>
          </w:tcPr>
          <w:p>
            <w:pPr>
              <w:ind w:left="20"/>
              <w:spacing w:after="0"/>
              <w:rPr>
                <w:sz w:val="20"/>
                <w:szCs w:val="20"/>
                <w:color w:val="auto"/>
              </w:rPr>
            </w:pPr>
            <w:r>
              <w:rPr>
                <w:rFonts w:ascii="Times New Roman" w:cs="Times New Roman" w:eastAsia="Times New Roman" w:hAnsi="Times New Roman"/>
                <w:sz w:val="11"/>
                <w:szCs w:val="11"/>
                <w:color w:val="auto"/>
              </w:rPr>
              <w:t>Conflict minerals).</w:t>
            </w:r>
          </w:p>
        </w:tc>
        <w:tc>
          <w:tcPr>
            <w:tcW w:w="1840" w:type="dxa"/>
            <w:vAlign w:val="bottom"/>
            <w:tcBorders>
              <w:bottom w:val="single" w:sz="8" w:color="005AFF"/>
            </w:tcBorders>
          </w:tcPr>
          <w:p>
            <w:pPr>
              <w:spacing w:after="0"/>
              <w:rPr>
                <w:sz w:val="13"/>
                <w:szCs w:val="13"/>
                <w:color w:val="auto"/>
              </w:rPr>
            </w:pPr>
          </w:p>
        </w:tc>
        <w:tc>
          <w:tcPr>
            <w:tcW w:w="3040" w:type="dxa"/>
            <w:vAlign w:val="bottom"/>
            <w:tcBorders>
              <w:bottom w:val="single" w:sz="8" w:color="005AFF"/>
              <w:right w:val="single" w:sz="8" w:color="005AFF"/>
            </w:tcBorders>
          </w:tcPr>
          <w:p>
            <w:pPr>
              <w:spacing w:after="0"/>
              <w:rPr>
                <w:sz w:val="13"/>
                <w:szCs w:val="13"/>
                <w:color w:val="auto"/>
              </w:rPr>
            </w:pPr>
          </w:p>
        </w:tc>
        <w:tc>
          <w:tcPr>
            <w:tcW w:w="720" w:type="dxa"/>
            <w:vAlign w:val="bottom"/>
            <w:tcBorders>
              <w:bottom w:val="single" w:sz="8" w:color="005AFF"/>
            </w:tcBorders>
          </w:tcPr>
          <w:p>
            <w:pPr>
              <w:spacing w:after="0"/>
              <w:rPr>
                <w:sz w:val="13"/>
                <w:szCs w:val="13"/>
                <w:color w:val="auto"/>
              </w:rPr>
            </w:pPr>
          </w:p>
        </w:tc>
        <w:tc>
          <w:tcPr>
            <w:tcW w:w="0" w:type="dxa"/>
            <w:vAlign w:val="bottom"/>
          </w:tcPr>
          <w:p>
            <w:pPr>
              <w:spacing w:after="0"/>
              <w:rPr>
                <w:sz w:val="1"/>
                <w:szCs w:val="1"/>
                <w:color w:val="auto"/>
              </w:rPr>
            </w:pPr>
          </w:p>
        </w:tc>
      </w:tr>
    </w:tbl>
    <w:p>
      <w:pPr>
        <w:spacing w:after="0" w:line="41" w:lineRule="exact"/>
        <w:rPr>
          <w:sz w:val="20"/>
          <w:szCs w:val="20"/>
          <w:color w:val="auto"/>
        </w:rPr>
      </w:pPr>
    </w:p>
    <w:p>
      <w:pPr>
        <w:sectPr>
          <w:pgSz w:w="11900" w:h="16838" w:orient="portrait"/>
          <w:cols w:equalWidth="0" w:num="2">
            <w:col w:w="840" w:space="100"/>
            <w:col w:w="9100"/>
          </w:cols>
          <w:pgMar w:left="960" w:top="409" w:right="899" w:bottom="1440" w:gutter="0" w:footer="0" w:header="0"/>
          <w:type w:val="continuous"/>
        </w:sectPr>
      </w:pPr>
    </w:p>
    <w:p>
      <w:pPr>
        <w:ind w:left="200" w:right="1100" w:hanging="199"/>
        <w:spacing w:after="0" w:line="261" w:lineRule="auto"/>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current SBT covers the following activities: Scope 1: emissions from our facilities, car fleet and marine fleet own vessels. Scope 2: market-based emissions from purchased energy. Scope 3: emissions from the customer use of sold products (covering almost 100% of our current portfolio) and emissions from the logistics, the final assembly factories in our supply chain, and the marine fleet chartered vessels.</w:t>
      </w:r>
    </w:p>
    <w:p>
      <w:pPr>
        <w:ind w:left="200" w:hanging="199"/>
        <w:spacing w:after="0" w:line="211" w:lineRule="auto"/>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CO</w:t>
      </w:r>
      <w:r>
        <w:rPr>
          <w:rFonts w:ascii="Times New Roman" w:cs="Times New Roman" w:eastAsia="Times New Roman" w:hAnsi="Times New Roman"/>
          <w:sz w:val="10"/>
          <w:szCs w:val="10"/>
          <w:color w:val="auto"/>
          <w:vertAlign w:val="subscript"/>
        </w:rPr>
        <w:t>2</w:t>
      </w:r>
      <w:r>
        <w:rPr>
          <w:rFonts w:ascii="Times New Roman" w:cs="Times New Roman" w:eastAsia="Times New Roman" w:hAnsi="Times New Roman"/>
          <w:sz w:val="8"/>
          <w:szCs w:val="8"/>
          <w:color w:val="auto"/>
        </w:rPr>
        <w:t>e = carbon dioxide equivalents.</w:t>
      </w:r>
    </w:p>
    <w:p>
      <w:pPr>
        <w:ind w:left="200" w:hanging="199"/>
        <w:spacing w:after="0"/>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Refers to our material suppliers.</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Source: GSMA Intelligence.</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Improving lives refers to increased digital connectivity and inclusion for 1 500 000 people.</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Individuals that independent from any relationship with the company were directly benefited by Nokia’s contributions or activities related to digital connectivity and inclusion directly resulting from them.</w:t>
      </w:r>
    </w:p>
    <w:p>
      <w:pPr>
        <w:spacing w:after="0" w:line="4" w:lineRule="exact"/>
        <w:rPr>
          <w:rFonts w:ascii="Times New Roman" w:cs="Times New Roman" w:eastAsia="Times New Roman" w:hAnsi="Times New Roman"/>
          <w:sz w:val="8"/>
          <w:szCs w:val="8"/>
          <w:color w:val="auto"/>
        </w:rPr>
      </w:pPr>
    </w:p>
    <w:p>
      <w:pPr>
        <w:ind w:left="200" w:right="1220" w:hanging="199"/>
        <w:spacing w:after="0" w:line="274" w:lineRule="auto"/>
        <w:tabs>
          <w:tab w:leader="none" w:pos="200" w:val="left"/>
        </w:tabs>
        <w:numPr>
          <w:ilvl w:val="0"/>
          <w:numId w:val="6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Nokia has revised its fatality-reporting criteria in 2023, to include third parties such as members of the public who are assessed as being impacted by an incident that is deemed within Nokia’s control. This more closely aligns Nokia’s reporting with some of its closest industry stakeholders and competitors.</w:t>
      </w:r>
    </w:p>
    <w:p>
      <w:pPr>
        <w:spacing w:after="0" w:line="200" w:lineRule="exact"/>
        <w:rPr>
          <w:sz w:val="20"/>
          <w:szCs w:val="20"/>
          <w:color w:val="auto"/>
        </w:rPr>
      </w:pPr>
    </w:p>
    <w:p>
      <w:pPr>
        <w:spacing w:after="0" w:line="200" w:lineRule="exact"/>
        <w:rPr>
          <w:sz w:val="20"/>
          <w:szCs w:val="20"/>
          <w:color w:val="auto"/>
        </w:rPr>
      </w:pPr>
    </w:p>
    <w:p>
      <w:pPr>
        <w:spacing w:after="0" w:line="3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09" w:right="899" w:bottom="1440" w:gutter="0" w:footer="0" w:header="0"/>
          <w:type w:val="continuous"/>
        </w:sectPr>
      </w:pPr>
    </w:p>
    <w:bookmarkStart w:id="97" w:name="page98"/>
    <w:bookmarkEnd w:id="97"/>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90</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ectPr>
          <w:pgSz w:w="11900" w:h="16838" w:orient="portrait"/>
          <w:cols w:equalWidth="0" w:num="1">
            <w:col w:w="9980"/>
          </w:cols>
          <w:pgMar w:left="960" w:top="409" w:right="959" w:bottom="1440" w:gutter="0" w:footer="0" w:header="0"/>
        </w:sectPr>
      </w:pPr>
    </w:p>
    <w:p>
      <w:pPr>
        <w:spacing w:after="0" w:line="200" w:lineRule="exact"/>
        <w:rPr>
          <w:sz w:val="20"/>
          <w:szCs w:val="20"/>
          <w:color w:val="auto"/>
        </w:rPr>
      </w:pPr>
    </w:p>
    <w:p>
      <w:pPr>
        <w:spacing w:after="0" w:line="21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Sustainability governance</w:t>
      </w:r>
    </w:p>
    <w:p>
      <w:pPr>
        <w:spacing w:after="0" w:line="36" w:lineRule="exact"/>
        <w:rPr>
          <w:sz w:val="20"/>
          <w:szCs w:val="20"/>
          <w:color w:val="auto"/>
        </w:rPr>
      </w:pPr>
    </w:p>
    <w:p>
      <w:pPr>
        <w:ind w:left="160"/>
        <w:spacing w:after="0" w:line="267" w:lineRule="auto"/>
        <w:rPr>
          <w:sz w:val="20"/>
          <w:szCs w:val="20"/>
          <w:color w:val="auto"/>
        </w:rPr>
      </w:pPr>
      <w:r>
        <w:rPr>
          <w:rFonts w:ascii="Times New Roman" w:cs="Times New Roman" w:eastAsia="Times New Roman" w:hAnsi="Times New Roman"/>
          <w:sz w:val="11"/>
          <w:szCs w:val="11"/>
          <w:color w:val="auto"/>
        </w:rPr>
        <w:t>The Board of Directors evaluates Nokia’s ESG practices, related risks and target setting, as well as their implementation and effectiveness across the Company. In 2023, the Board reviewed Nokia’s sustainability strategy and targets, evolving ESG requirements and expectations, investor feedback, disclosure approach, net zero strategy and roadmap.</w:t>
      </w:r>
    </w:p>
    <w:p>
      <w:pPr>
        <w:spacing w:after="0" w:line="190" w:lineRule="exact"/>
        <w:rPr>
          <w:sz w:val="20"/>
          <w:szCs w:val="20"/>
          <w:color w:val="auto"/>
        </w:rPr>
      </w:pPr>
    </w:p>
    <w:p>
      <w:pPr>
        <w:ind w:left="160" w:right="220"/>
        <w:spacing w:after="0" w:line="265" w:lineRule="auto"/>
        <w:rPr>
          <w:sz w:val="20"/>
          <w:szCs w:val="20"/>
          <w:color w:val="auto"/>
        </w:rPr>
      </w:pPr>
      <w:r>
        <w:rPr>
          <w:rFonts w:ascii="Times New Roman" w:cs="Times New Roman" w:eastAsia="Times New Roman" w:hAnsi="Times New Roman"/>
          <w:sz w:val="11"/>
          <w:szCs w:val="11"/>
          <w:color w:val="auto"/>
        </w:rPr>
        <w:t>In addition, the Board’s committees monitor environmental and social developments and activities in the Company in their respective areas of</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91"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230"/>
        </w:trPr>
        <w:tc>
          <w:tcPr>
            <w:tcW w:w="80" w:type="dxa"/>
            <w:vAlign w:val="bottom"/>
            <w:shd w:val="clear" w:color="auto" w:fill="6F6F6E"/>
          </w:tcPr>
          <w:p>
            <w:pPr>
              <w:spacing w:after="0"/>
              <w:rPr>
                <w:sz w:val="19"/>
                <w:szCs w:val="19"/>
                <w:color w:val="auto"/>
              </w:rPr>
            </w:pPr>
          </w:p>
        </w:tc>
        <w:tc>
          <w:tcPr>
            <w:tcW w:w="880" w:type="dxa"/>
            <w:vAlign w:val="bottom"/>
            <w:shd w:val="clear" w:color="auto" w:fill="6F6F6E"/>
          </w:tcPr>
          <w:p>
            <w:pPr>
              <w:ind w:left="40"/>
              <w:spacing w:after="0"/>
              <w:rPr>
                <w:sz w:val="20"/>
                <w:szCs w:val="20"/>
                <w:color w:val="auto"/>
              </w:rPr>
            </w:pPr>
            <w:r>
              <w:rPr>
                <w:rFonts w:ascii="Times New Roman" w:cs="Times New Roman" w:eastAsia="Times New Roman" w:hAnsi="Times New Roman"/>
                <w:sz w:val="13"/>
                <w:szCs w:val="13"/>
                <w:color w:val="FFFFFF"/>
              </w:rPr>
              <w:t>Nokia Board</w:t>
            </w:r>
          </w:p>
        </w:tc>
        <w:tc>
          <w:tcPr>
            <w:tcW w:w="5880" w:type="dxa"/>
            <w:vAlign w:val="bottom"/>
            <w:shd w:val="clear" w:color="auto" w:fill="6F6F6E"/>
          </w:tcPr>
          <w:p>
            <w:pPr>
              <w:ind w:left="140"/>
              <w:spacing w:after="0"/>
              <w:rPr>
                <w:sz w:val="20"/>
                <w:szCs w:val="20"/>
                <w:color w:val="auto"/>
              </w:rPr>
            </w:pPr>
            <w:r>
              <w:rPr>
                <w:rFonts w:ascii="Times New Roman" w:cs="Times New Roman" w:eastAsia="Times New Roman" w:hAnsi="Times New Roman"/>
                <w:sz w:val="11"/>
                <w:szCs w:val="11"/>
                <w:color w:val="FFFFFF"/>
              </w:rPr>
              <w:t xml:space="preserve">■  </w:t>
            </w:r>
            <w:r>
              <w:rPr>
                <w:rFonts w:ascii="Times New Roman" w:cs="Times New Roman" w:eastAsia="Times New Roman" w:hAnsi="Times New Roman"/>
                <w:sz w:val="9"/>
                <w:szCs w:val="9"/>
                <w:color w:val="FFFFFF"/>
              </w:rPr>
              <w:t>Approves ESG strategy and evaluates ESG practices, related risks and target setting as well as their implementation and effectiveness.</w:t>
            </w:r>
          </w:p>
        </w:tc>
        <w:tc>
          <w:tcPr>
            <w:tcW w:w="660" w:type="dxa"/>
            <w:vAlign w:val="bottom"/>
            <w:shd w:val="clear" w:color="auto" w:fill="6F6F6E"/>
          </w:tcPr>
          <w:p>
            <w:pPr>
              <w:spacing w:after="0"/>
              <w:rPr>
                <w:sz w:val="19"/>
                <w:szCs w:val="19"/>
                <w:color w:val="auto"/>
              </w:rPr>
            </w:pPr>
          </w:p>
        </w:tc>
        <w:tc>
          <w:tcPr>
            <w:tcW w:w="0" w:type="dxa"/>
            <w:vAlign w:val="bottom"/>
          </w:tcPr>
          <w:p>
            <w:pPr>
              <w:spacing w:after="0"/>
              <w:rPr>
                <w:sz w:val="1"/>
                <w:szCs w:val="1"/>
                <w:color w:val="auto"/>
              </w:rPr>
            </w:pPr>
          </w:p>
        </w:tc>
      </w:tr>
      <w:tr>
        <w:trPr>
          <w:trHeight w:val="155"/>
        </w:trPr>
        <w:tc>
          <w:tcPr>
            <w:tcW w:w="80" w:type="dxa"/>
            <w:vAlign w:val="bottom"/>
            <w:shd w:val="clear" w:color="auto" w:fill="6F6F6E"/>
          </w:tcPr>
          <w:p>
            <w:pPr>
              <w:spacing w:after="0"/>
              <w:rPr>
                <w:sz w:val="13"/>
                <w:szCs w:val="13"/>
                <w:color w:val="auto"/>
              </w:rPr>
            </w:pPr>
          </w:p>
        </w:tc>
        <w:tc>
          <w:tcPr>
            <w:tcW w:w="880" w:type="dxa"/>
            <w:vAlign w:val="bottom"/>
            <w:shd w:val="clear" w:color="auto" w:fill="6F6F6E"/>
          </w:tcPr>
          <w:p>
            <w:pPr>
              <w:ind w:left="40"/>
              <w:spacing w:after="0"/>
              <w:rPr>
                <w:sz w:val="20"/>
                <w:szCs w:val="20"/>
                <w:color w:val="auto"/>
              </w:rPr>
            </w:pPr>
            <w:r>
              <w:rPr>
                <w:rFonts w:ascii="Times New Roman" w:cs="Times New Roman" w:eastAsia="Times New Roman" w:hAnsi="Times New Roman"/>
                <w:sz w:val="13"/>
                <w:szCs w:val="13"/>
                <w:color w:val="FFFFFF"/>
              </w:rPr>
              <w:t>of Directors</w:t>
            </w:r>
          </w:p>
        </w:tc>
        <w:tc>
          <w:tcPr>
            <w:tcW w:w="5880" w:type="dxa"/>
            <w:vAlign w:val="bottom"/>
            <w:shd w:val="clear" w:color="auto" w:fill="6F6F6E"/>
          </w:tcPr>
          <w:p>
            <w:pPr>
              <w:ind w:left="140"/>
              <w:spacing w:after="0"/>
              <w:rPr>
                <w:sz w:val="20"/>
                <w:szCs w:val="20"/>
                <w:color w:val="auto"/>
              </w:rPr>
            </w:pPr>
            <w:r>
              <w:rPr>
                <w:rFonts w:ascii="Times New Roman" w:cs="Times New Roman" w:eastAsia="Times New Roman" w:hAnsi="Times New Roman"/>
                <w:sz w:val="11"/>
                <w:szCs w:val="11"/>
                <w:color w:val="FFFFFF"/>
              </w:rPr>
              <w:t xml:space="preserve">■  </w:t>
            </w:r>
            <w:r>
              <w:rPr>
                <w:rFonts w:ascii="Times New Roman" w:cs="Times New Roman" w:eastAsia="Times New Roman" w:hAnsi="Times New Roman"/>
                <w:sz w:val="9"/>
                <w:szCs w:val="9"/>
                <w:color w:val="FFFFFF"/>
              </w:rPr>
              <w:t>Specific sustainability topics are reviewed by Board Committees based on their responsibilities, including ESG reporting, materiality a</w:t>
            </w:r>
          </w:p>
        </w:tc>
        <w:tc>
          <w:tcPr>
            <w:tcW w:w="660" w:type="dxa"/>
            <w:vAlign w:val="bottom"/>
            <w:shd w:val="clear" w:color="auto" w:fill="6F6F6E"/>
          </w:tcPr>
          <w:p>
            <w:pPr>
              <w:ind w:left="60"/>
              <w:spacing w:after="0"/>
              <w:rPr>
                <w:sz w:val="20"/>
                <w:szCs w:val="20"/>
                <w:color w:val="auto"/>
              </w:rPr>
            </w:pPr>
            <w:r>
              <w:rPr>
                <w:rFonts w:ascii="Times New Roman" w:cs="Times New Roman" w:eastAsia="Times New Roman" w:hAnsi="Times New Roman"/>
                <w:sz w:val="9"/>
                <w:szCs w:val="9"/>
                <w:color w:val="FFFFFF"/>
              </w:rPr>
              <w:t>ssessment,</w:t>
            </w:r>
          </w:p>
        </w:tc>
        <w:tc>
          <w:tcPr>
            <w:tcW w:w="0" w:type="dxa"/>
            <w:vAlign w:val="bottom"/>
          </w:tcPr>
          <w:p>
            <w:pPr>
              <w:spacing w:after="0"/>
              <w:rPr>
                <w:sz w:val="1"/>
                <w:szCs w:val="1"/>
                <w:color w:val="auto"/>
              </w:rPr>
            </w:pPr>
          </w:p>
        </w:tc>
      </w:tr>
      <w:tr>
        <w:trPr>
          <w:trHeight w:val="122"/>
        </w:trPr>
        <w:tc>
          <w:tcPr>
            <w:tcW w:w="80" w:type="dxa"/>
            <w:vAlign w:val="bottom"/>
            <w:shd w:val="clear" w:color="auto" w:fill="6F6F6E"/>
          </w:tcPr>
          <w:p>
            <w:pPr>
              <w:spacing w:after="0"/>
              <w:rPr>
                <w:sz w:val="10"/>
                <w:szCs w:val="10"/>
                <w:color w:val="auto"/>
              </w:rPr>
            </w:pPr>
          </w:p>
        </w:tc>
        <w:tc>
          <w:tcPr>
            <w:tcW w:w="880" w:type="dxa"/>
            <w:vAlign w:val="bottom"/>
            <w:shd w:val="clear" w:color="auto" w:fill="6F6F6E"/>
          </w:tcPr>
          <w:p>
            <w:pPr>
              <w:spacing w:after="0"/>
              <w:rPr>
                <w:sz w:val="10"/>
                <w:szCs w:val="10"/>
                <w:color w:val="auto"/>
              </w:rPr>
            </w:pPr>
          </w:p>
        </w:tc>
        <w:tc>
          <w:tcPr>
            <w:tcW w:w="5880" w:type="dxa"/>
            <w:vAlign w:val="bottom"/>
            <w:shd w:val="clear" w:color="auto" w:fill="6F6F6E"/>
          </w:tcPr>
          <w:p>
            <w:pPr>
              <w:ind w:left="300"/>
              <w:spacing w:after="0"/>
              <w:rPr>
                <w:sz w:val="20"/>
                <w:szCs w:val="20"/>
                <w:color w:val="auto"/>
              </w:rPr>
            </w:pPr>
            <w:r>
              <w:rPr>
                <w:rFonts w:ascii="Times New Roman" w:cs="Times New Roman" w:eastAsia="Times New Roman" w:hAnsi="Times New Roman"/>
                <w:sz w:val="9"/>
                <w:szCs w:val="9"/>
                <w:color w:val="FFFFFF"/>
              </w:rPr>
              <w:t>ethics and compliance, cybersecurity, privacy, culture, human capital management and embedding sustainability in our technologies.</w:t>
            </w:r>
          </w:p>
        </w:tc>
        <w:tc>
          <w:tcPr>
            <w:tcW w:w="660" w:type="dxa"/>
            <w:vAlign w:val="bottom"/>
            <w:shd w:val="clear" w:color="auto" w:fill="6F6F6E"/>
          </w:tcPr>
          <w:p>
            <w:pPr>
              <w:spacing w:after="0"/>
              <w:rPr>
                <w:sz w:val="10"/>
                <w:szCs w:val="10"/>
                <w:color w:val="auto"/>
              </w:rPr>
            </w:pPr>
          </w:p>
        </w:tc>
        <w:tc>
          <w:tcPr>
            <w:tcW w:w="0" w:type="dxa"/>
            <w:vAlign w:val="bottom"/>
          </w:tcPr>
          <w:p>
            <w:pPr>
              <w:spacing w:after="0"/>
              <w:rPr>
                <w:sz w:val="1"/>
                <w:szCs w:val="1"/>
                <w:color w:val="auto"/>
              </w:rPr>
            </w:pPr>
          </w:p>
        </w:tc>
      </w:tr>
      <w:tr>
        <w:trPr>
          <w:trHeight w:val="111"/>
        </w:trPr>
        <w:tc>
          <w:tcPr>
            <w:tcW w:w="80" w:type="dxa"/>
            <w:vAlign w:val="bottom"/>
            <w:shd w:val="clear" w:color="auto" w:fill="6F6F6E"/>
          </w:tcPr>
          <w:p>
            <w:pPr>
              <w:spacing w:after="0"/>
              <w:rPr>
                <w:sz w:val="9"/>
                <w:szCs w:val="9"/>
                <w:color w:val="auto"/>
              </w:rPr>
            </w:pPr>
          </w:p>
        </w:tc>
        <w:tc>
          <w:tcPr>
            <w:tcW w:w="880" w:type="dxa"/>
            <w:vAlign w:val="bottom"/>
            <w:shd w:val="clear" w:color="auto" w:fill="6F6F6E"/>
          </w:tcPr>
          <w:p>
            <w:pPr>
              <w:spacing w:after="0"/>
              <w:rPr>
                <w:sz w:val="9"/>
                <w:szCs w:val="9"/>
                <w:color w:val="auto"/>
              </w:rPr>
            </w:pPr>
          </w:p>
        </w:tc>
        <w:tc>
          <w:tcPr>
            <w:tcW w:w="5880" w:type="dxa"/>
            <w:vAlign w:val="bottom"/>
            <w:shd w:val="clear" w:color="auto" w:fill="6F6F6E"/>
          </w:tcPr>
          <w:p>
            <w:pPr>
              <w:spacing w:after="0"/>
              <w:rPr>
                <w:sz w:val="9"/>
                <w:szCs w:val="9"/>
                <w:color w:val="auto"/>
              </w:rPr>
            </w:pPr>
          </w:p>
        </w:tc>
        <w:tc>
          <w:tcPr>
            <w:tcW w:w="660" w:type="dxa"/>
            <w:vAlign w:val="bottom"/>
            <w:shd w:val="clear" w:color="auto" w:fill="6F6F6E"/>
          </w:tcPr>
          <w:p>
            <w:pPr>
              <w:spacing w:after="0"/>
              <w:rPr>
                <w:sz w:val="9"/>
                <w:szCs w:val="9"/>
                <w:color w:val="auto"/>
              </w:rPr>
            </w:pPr>
          </w:p>
        </w:tc>
        <w:tc>
          <w:tcPr>
            <w:tcW w:w="0" w:type="dxa"/>
            <w:vAlign w:val="bottom"/>
          </w:tcPr>
          <w:p>
            <w:pPr>
              <w:spacing w:after="0"/>
              <w:rPr>
                <w:sz w:val="1"/>
                <w:szCs w:val="1"/>
                <w:color w:val="auto"/>
              </w:rPr>
            </w:pPr>
          </w:p>
        </w:tc>
      </w:tr>
      <w:tr>
        <w:trPr>
          <w:trHeight w:val="283"/>
        </w:trPr>
        <w:tc>
          <w:tcPr>
            <w:tcW w:w="80" w:type="dxa"/>
            <w:vAlign w:val="bottom"/>
          </w:tcPr>
          <w:p>
            <w:pPr>
              <w:spacing w:after="0"/>
              <w:rPr>
                <w:sz w:val="24"/>
                <w:szCs w:val="24"/>
                <w:color w:val="auto"/>
              </w:rPr>
            </w:pPr>
          </w:p>
        </w:tc>
        <w:tc>
          <w:tcPr>
            <w:tcW w:w="880" w:type="dxa"/>
            <w:vAlign w:val="bottom"/>
          </w:tcPr>
          <w:p>
            <w:pPr>
              <w:spacing w:after="0"/>
              <w:rPr>
                <w:sz w:val="24"/>
                <w:szCs w:val="24"/>
                <w:color w:val="auto"/>
              </w:rPr>
            </w:pPr>
          </w:p>
        </w:tc>
        <w:tc>
          <w:tcPr>
            <w:tcW w:w="588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40"/>
        </w:trPr>
        <w:tc>
          <w:tcPr>
            <w:tcW w:w="80" w:type="dxa"/>
            <w:vAlign w:val="bottom"/>
            <w:shd w:val="clear" w:color="auto" w:fill="005AFF"/>
          </w:tcPr>
          <w:p>
            <w:pPr>
              <w:spacing w:after="0"/>
              <w:rPr>
                <w:sz w:val="20"/>
                <w:szCs w:val="20"/>
                <w:color w:val="auto"/>
              </w:rPr>
            </w:pPr>
          </w:p>
        </w:tc>
        <w:tc>
          <w:tcPr>
            <w:tcW w:w="880" w:type="dxa"/>
            <w:vAlign w:val="bottom"/>
            <w:shd w:val="clear" w:color="auto" w:fill="005AFF"/>
          </w:tcPr>
          <w:p>
            <w:pPr>
              <w:ind w:left="40"/>
              <w:spacing w:after="0"/>
              <w:rPr>
                <w:sz w:val="20"/>
                <w:szCs w:val="20"/>
                <w:color w:val="auto"/>
              </w:rPr>
            </w:pPr>
            <w:r>
              <w:rPr>
                <w:rFonts w:ascii="Times New Roman" w:cs="Times New Roman" w:eastAsia="Times New Roman" w:hAnsi="Times New Roman"/>
                <w:sz w:val="13"/>
                <w:szCs w:val="13"/>
                <w:color w:val="FFFFFF"/>
              </w:rPr>
              <w:t>Group</w:t>
            </w:r>
          </w:p>
        </w:tc>
        <w:tc>
          <w:tcPr>
            <w:tcW w:w="5880" w:type="dxa"/>
            <w:vAlign w:val="bottom"/>
            <w:shd w:val="clear" w:color="auto" w:fill="005AFF"/>
          </w:tcPr>
          <w:p>
            <w:pPr>
              <w:ind w:left="140"/>
              <w:spacing w:after="0"/>
              <w:rPr>
                <w:sz w:val="20"/>
                <w:szCs w:val="20"/>
                <w:color w:val="auto"/>
              </w:rPr>
            </w:pPr>
            <w:r>
              <w:rPr>
                <w:rFonts w:ascii="Times New Roman" w:cs="Times New Roman" w:eastAsia="Times New Roman" w:hAnsi="Times New Roman"/>
                <w:sz w:val="11"/>
                <w:szCs w:val="11"/>
                <w:color w:val="FFFFFF"/>
              </w:rPr>
              <w:t xml:space="preserve">■  </w:t>
            </w:r>
            <w:r>
              <w:rPr>
                <w:rFonts w:ascii="Times New Roman" w:cs="Times New Roman" w:eastAsia="Times New Roman" w:hAnsi="Times New Roman"/>
                <w:sz w:val="9"/>
                <w:szCs w:val="9"/>
                <w:color w:val="FFFFFF"/>
              </w:rPr>
              <w:t>Reviews and approves implementation of and changes to sustainability-related policies, management and operational frameworks, strategy,</w:t>
            </w:r>
          </w:p>
        </w:tc>
        <w:tc>
          <w:tcPr>
            <w:tcW w:w="660" w:type="dxa"/>
            <w:vAlign w:val="bottom"/>
            <w:shd w:val="clear" w:color="auto" w:fill="005AFF"/>
          </w:tcPr>
          <w:p>
            <w:pPr>
              <w:spacing w:after="0"/>
              <w:rPr>
                <w:sz w:val="20"/>
                <w:szCs w:val="20"/>
                <w:color w:val="auto"/>
              </w:rPr>
            </w:pPr>
          </w:p>
        </w:tc>
        <w:tc>
          <w:tcPr>
            <w:tcW w:w="0" w:type="dxa"/>
            <w:vAlign w:val="bottom"/>
          </w:tcPr>
          <w:p>
            <w:pPr>
              <w:spacing w:after="0"/>
              <w:rPr>
                <w:sz w:val="1"/>
                <w:szCs w:val="1"/>
                <w:color w:val="auto"/>
              </w:rPr>
            </w:pPr>
          </w:p>
        </w:tc>
      </w:tr>
      <w:tr>
        <w:trPr>
          <w:trHeight w:val="122"/>
        </w:trPr>
        <w:tc>
          <w:tcPr>
            <w:tcW w:w="80" w:type="dxa"/>
            <w:vAlign w:val="bottom"/>
            <w:shd w:val="clear" w:color="auto" w:fill="005AFF"/>
          </w:tcPr>
          <w:p>
            <w:pPr>
              <w:spacing w:after="0"/>
              <w:rPr>
                <w:sz w:val="10"/>
                <w:szCs w:val="10"/>
                <w:color w:val="auto"/>
              </w:rPr>
            </w:pPr>
          </w:p>
        </w:tc>
        <w:tc>
          <w:tcPr>
            <w:tcW w:w="880" w:type="dxa"/>
            <w:vAlign w:val="bottom"/>
            <w:vMerge w:val="restart"/>
            <w:shd w:val="clear" w:color="auto" w:fill="005AFF"/>
          </w:tcPr>
          <w:p>
            <w:pPr>
              <w:ind w:left="40"/>
              <w:spacing w:after="0"/>
              <w:rPr>
                <w:sz w:val="20"/>
                <w:szCs w:val="20"/>
                <w:color w:val="auto"/>
              </w:rPr>
            </w:pPr>
            <w:r>
              <w:rPr>
                <w:rFonts w:ascii="Times New Roman" w:cs="Times New Roman" w:eastAsia="Times New Roman" w:hAnsi="Times New Roman"/>
                <w:sz w:val="13"/>
                <w:szCs w:val="13"/>
                <w:color w:val="FFFFFF"/>
              </w:rPr>
              <w:t>Leadership</w:t>
            </w:r>
          </w:p>
        </w:tc>
        <w:tc>
          <w:tcPr>
            <w:tcW w:w="5880" w:type="dxa"/>
            <w:vAlign w:val="bottom"/>
            <w:shd w:val="clear" w:color="auto" w:fill="005AFF"/>
          </w:tcPr>
          <w:p>
            <w:pPr>
              <w:ind w:left="300"/>
              <w:spacing w:after="0"/>
              <w:rPr>
                <w:sz w:val="20"/>
                <w:szCs w:val="20"/>
                <w:color w:val="auto"/>
              </w:rPr>
            </w:pPr>
            <w:r>
              <w:rPr>
                <w:rFonts w:ascii="Times New Roman" w:cs="Times New Roman" w:eastAsia="Times New Roman" w:hAnsi="Times New Roman"/>
                <w:sz w:val="9"/>
                <w:szCs w:val="9"/>
                <w:color w:val="FFFFFF"/>
              </w:rPr>
              <w:t>targets and performance, annual sustainability report and links to rewarding.</w:t>
            </w:r>
          </w:p>
        </w:tc>
        <w:tc>
          <w:tcPr>
            <w:tcW w:w="660" w:type="dxa"/>
            <w:vAlign w:val="bottom"/>
            <w:shd w:val="clear" w:color="auto" w:fill="005AFF"/>
          </w:tcPr>
          <w:p>
            <w:pPr>
              <w:spacing w:after="0"/>
              <w:rPr>
                <w:sz w:val="10"/>
                <w:szCs w:val="10"/>
                <w:color w:val="auto"/>
              </w:rPr>
            </w:pPr>
          </w:p>
        </w:tc>
        <w:tc>
          <w:tcPr>
            <w:tcW w:w="0" w:type="dxa"/>
            <w:vAlign w:val="bottom"/>
          </w:tcPr>
          <w:p>
            <w:pPr>
              <w:spacing w:after="0"/>
              <w:rPr>
                <w:sz w:val="1"/>
                <w:szCs w:val="1"/>
                <w:color w:val="auto"/>
              </w:rPr>
            </w:pPr>
          </w:p>
        </w:tc>
      </w:tr>
      <w:tr>
        <w:trPr>
          <w:trHeight w:val="50"/>
        </w:trPr>
        <w:tc>
          <w:tcPr>
            <w:tcW w:w="80" w:type="dxa"/>
            <w:vAlign w:val="bottom"/>
            <w:shd w:val="clear" w:color="auto" w:fill="005AFF"/>
          </w:tcPr>
          <w:p>
            <w:pPr>
              <w:spacing w:after="0"/>
              <w:rPr>
                <w:sz w:val="4"/>
                <w:szCs w:val="4"/>
                <w:color w:val="auto"/>
              </w:rPr>
            </w:pPr>
          </w:p>
        </w:tc>
        <w:tc>
          <w:tcPr>
            <w:tcW w:w="880" w:type="dxa"/>
            <w:vAlign w:val="bottom"/>
            <w:vMerge w:val="continue"/>
            <w:shd w:val="clear" w:color="auto" w:fill="005AFF"/>
          </w:tcPr>
          <w:p>
            <w:pPr>
              <w:spacing w:after="0"/>
              <w:rPr>
                <w:sz w:val="4"/>
                <w:szCs w:val="4"/>
                <w:color w:val="auto"/>
              </w:rPr>
            </w:pPr>
          </w:p>
        </w:tc>
        <w:tc>
          <w:tcPr>
            <w:tcW w:w="5880" w:type="dxa"/>
            <w:vAlign w:val="bottom"/>
            <w:vMerge w:val="restart"/>
            <w:shd w:val="clear" w:color="auto" w:fill="005AFF"/>
          </w:tcPr>
          <w:p>
            <w:pPr>
              <w:ind w:left="140"/>
              <w:spacing w:after="0"/>
              <w:rPr>
                <w:sz w:val="20"/>
                <w:szCs w:val="20"/>
                <w:color w:val="auto"/>
              </w:rPr>
            </w:pPr>
            <w:r>
              <w:rPr>
                <w:rFonts w:ascii="Times New Roman" w:cs="Times New Roman" w:eastAsia="Times New Roman" w:hAnsi="Times New Roman"/>
                <w:sz w:val="11"/>
                <w:szCs w:val="11"/>
                <w:color w:val="FFFFFF"/>
              </w:rPr>
              <w:t xml:space="preserve">■  </w:t>
            </w:r>
            <w:r>
              <w:rPr>
                <w:rFonts w:ascii="Times New Roman" w:cs="Times New Roman" w:eastAsia="Times New Roman" w:hAnsi="Times New Roman"/>
                <w:sz w:val="9"/>
                <w:szCs w:val="9"/>
                <w:color w:val="FFFFFF"/>
              </w:rPr>
              <w:t>Conducts sustainability review and provides feedback a minimum two times per year and as topic-specific areas require</w:t>
            </w:r>
          </w:p>
        </w:tc>
        <w:tc>
          <w:tcPr>
            <w:tcW w:w="660" w:type="dxa"/>
            <w:vAlign w:val="bottom"/>
            <w:shd w:val="clear" w:color="auto" w:fill="005AFF"/>
          </w:tcPr>
          <w:p>
            <w:pPr>
              <w:spacing w:after="0"/>
              <w:rPr>
                <w:sz w:val="4"/>
                <w:szCs w:val="4"/>
                <w:color w:val="auto"/>
              </w:rPr>
            </w:pPr>
          </w:p>
        </w:tc>
        <w:tc>
          <w:tcPr>
            <w:tcW w:w="0" w:type="dxa"/>
            <w:vAlign w:val="bottom"/>
          </w:tcPr>
          <w:p>
            <w:pPr>
              <w:spacing w:after="0"/>
              <w:rPr>
                <w:sz w:val="1"/>
                <w:szCs w:val="1"/>
                <w:color w:val="auto"/>
              </w:rPr>
            </w:pPr>
          </w:p>
        </w:tc>
      </w:tr>
      <w:tr>
        <w:trPr>
          <w:trHeight w:val="141"/>
        </w:trPr>
        <w:tc>
          <w:tcPr>
            <w:tcW w:w="80" w:type="dxa"/>
            <w:vAlign w:val="bottom"/>
            <w:shd w:val="clear" w:color="auto" w:fill="005AFF"/>
          </w:tcPr>
          <w:p>
            <w:pPr>
              <w:spacing w:after="0"/>
              <w:rPr>
                <w:sz w:val="12"/>
                <w:szCs w:val="12"/>
                <w:color w:val="auto"/>
              </w:rPr>
            </w:pPr>
          </w:p>
        </w:tc>
        <w:tc>
          <w:tcPr>
            <w:tcW w:w="880" w:type="dxa"/>
            <w:vAlign w:val="bottom"/>
            <w:shd w:val="clear" w:color="auto" w:fill="005AFF"/>
          </w:tcPr>
          <w:p>
            <w:pPr>
              <w:ind w:left="40"/>
              <w:spacing w:after="0" w:line="141" w:lineRule="exact"/>
              <w:rPr>
                <w:sz w:val="20"/>
                <w:szCs w:val="20"/>
                <w:color w:val="auto"/>
              </w:rPr>
            </w:pPr>
            <w:r>
              <w:rPr>
                <w:rFonts w:ascii="Times New Roman" w:cs="Times New Roman" w:eastAsia="Times New Roman" w:hAnsi="Times New Roman"/>
                <w:sz w:val="13"/>
                <w:szCs w:val="13"/>
                <w:color w:val="FFFFFF"/>
              </w:rPr>
              <w:t>Team</w:t>
            </w:r>
          </w:p>
        </w:tc>
        <w:tc>
          <w:tcPr>
            <w:tcW w:w="5880" w:type="dxa"/>
            <w:vAlign w:val="bottom"/>
            <w:vMerge w:val="continue"/>
            <w:shd w:val="clear" w:color="auto" w:fill="005AFF"/>
          </w:tcPr>
          <w:p>
            <w:pPr>
              <w:spacing w:after="0"/>
              <w:rPr>
                <w:sz w:val="12"/>
                <w:szCs w:val="12"/>
                <w:color w:val="auto"/>
              </w:rPr>
            </w:pPr>
          </w:p>
        </w:tc>
        <w:tc>
          <w:tcPr>
            <w:tcW w:w="660" w:type="dxa"/>
            <w:vAlign w:val="bottom"/>
            <w:shd w:val="clear" w:color="auto" w:fill="005AFF"/>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80" w:type="dxa"/>
            <w:vAlign w:val="bottom"/>
            <w:shd w:val="clear" w:color="auto" w:fill="005AFF"/>
          </w:tcPr>
          <w:p>
            <w:pPr>
              <w:spacing w:after="0"/>
              <w:rPr>
                <w:sz w:val="12"/>
                <w:szCs w:val="12"/>
                <w:color w:val="auto"/>
              </w:rPr>
            </w:pPr>
          </w:p>
        </w:tc>
        <w:tc>
          <w:tcPr>
            <w:tcW w:w="880" w:type="dxa"/>
            <w:vAlign w:val="bottom"/>
            <w:shd w:val="clear" w:color="auto" w:fill="005AFF"/>
          </w:tcPr>
          <w:p>
            <w:pPr>
              <w:spacing w:after="0"/>
              <w:rPr>
                <w:sz w:val="12"/>
                <w:szCs w:val="12"/>
                <w:color w:val="auto"/>
              </w:rPr>
            </w:pPr>
          </w:p>
        </w:tc>
        <w:tc>
          <w:tcPr>
            <w:tcW w:w="5880" w:type="dxa"/>
            <w:vAlign w:val="bottom"/>
            <w:shd w:val="clear" w:color="auto" w:fill="005AFF"/>
          </w:tcPr>
          <w:p>
            <w:pPr>
              <w:ind w:left="140"/>
              <w:spacing w:after="0"/>
              <w:rPr>
                <w:sz w:val="20"/>
                <w:szCs w:val="20"/>
                <w:color w:val="auto"/>
              </w:rPr>
            </w:pPr>
            <w:r>
              <w:rPr>
                <w:rFonts w:ascii="Times New Roman" w:cs="Times New Roman" w:eastAsia="Times New Roman" w:hAnsi="Times New Roman"/>
                <w:sz w:val="11"/>
                <w:szCs w:val="11"/>
                <w:color w:val="FFFFFF"/>
              </w:rPr>
              <w:t xml:space="preserve">■  </w:t>
            </w:r>
            <w:r>
              <w:rPr>
                <w:rFonts w:ascii="Times New Roman" w:cs="Times New Roman" w:eastAsia="Times New Roman" w:hAnsi="Times New Roman"/>
                <w:sz w:val="9"/>
                <w:szCs w:val="9"/>
                <w:color w:val="FFFFFF"/>
              </w:rPr>
              <w:t>CEO, CFO and business group presidents review additional sustainability topics a minimum of two times per year as part of Nokia business reviews.</w:t>
            </w:r>
          </w:p>
        </w:tc>
        <w:tc>
          <w:tcPr>
            <w:tcW w:w="660" w:type="dxa"/>
            <w:vAlign w:val="bottom"/>
            <w:shd w:val="clear" w:color="auto" w:fill="005AFF"/>
          </w:tcPr>
          <w:p>
            <w:pPr>
              <w:spacing w:after="0"/>
              <w:rPr>
                <w:sz w:val="12"/>
                <w:szCs w:val="12"/>
                <w:color w:val="auto"/>
              </w:rPr>
            </w:pPr>
          </w:p>
        </w:tc>
        <w:tc>
          <w:tcPr>
            <w:tcW w:w="0" w:type="dxa"/>
            <w:vAlign w:val="bottom"/>
          </w:tcPr>
          <w:p>
            <w:pPr>
              <w:spacing w:after="0"/>
              <w:rPr>
                <w:sz w:val="1"/>
                <w:szCs w:val="1"/>
                <w:color w:val="auto"/>
              </w:rPr>
            </w:pPr>
          </w:p>
        </w:tc>
      </w:tr>
      <w:tr>
        <w:trPr>
          <w:trHeight w:val="158"/>
        </w:trPr>
        <w:tc>
          <w:tcPr>
            <w:tcW w:w="80" w:type="dxa"/>
            <w:vAlign w:val="bottom"/>
            <w:shd w:val="clear" w:color="auto" w:fill="005AFF"/>
          </w:tcPr>
          <w:p>
            <w:pPr>
              <w:spacing w:after="0"/>
              <w:rPr>
                <w:sz w:val="13"/>
                <w:szCs w:val="13"/>
                <w:color w:val="auto"/>
              </w:rPr>
            </w:pPr>
          </w:p>
        </w:tc>
        <w:tc>
          <w:tcPr>
            <w:tcW w:w="880" w:type="dxa"/>
            <w:vAlign w:val="bottom"/>
            <w:shd w:val="clear" w:color="auto" w:fill="005AFF"/>
          </w:tcPr>
          <w:p>
            <w:pPr>
              <w:spacing w:after="0"/>
              <w:rPr>
                <w:sz w:val="13"/>
                <w:szCs w:val="13"/>
                <w:color w:val="auto"/>
              </w:rPr>
            </w:pPr>
          </w:p>
        </w:tc>
        <w:tc>
          <w:tcPr>
            <w:tcW w:w="5880" w:type="dxa"/>
            <w:vAlign w:val="bottom"/>
            <w:shd w:val="clear" w:color="auto" w:fill="005AFF"/>
          </w:tcPr>
          <w:p>
            <w:pPr>
              <w:spacing w:after="0"/>
              <w:rPr>
                <w:sz w:val="13"/>
                <w:szCs w:val="13"/>
                <w:color w:val="auto"/>
              </w:rPr>
            </w:pPr>
          </w:p>
        </w:tc>
        <w:tc>
          <w:tcPr>
            <w:tcW w:w="660" w:type="dxa"/>
            <w:vAlign w:val="bottom"/>
            <w:shd w:val="clear" w:color="auto" w:fill="005AFF"/>
          </w:tcPr>
          <w:p>
            <w:pPr>
              <w:spacing w:after="0"/>
              <w:rPr>
                <w:sz w:val="13"/>
                <w:szCs w:val="13"/>
                <w:color w:val="auto"/>
              </w:rPr>
            </w:pPr>
          </w:p>
        </w:tc>
        <w:tc>
          <w:tcPr>
            <w:tcW w:w="0" w:type="dxa"/>
            <w:vAlign w:val="bottom"/>
          </w:tcPr>
          <w:p>
            <w:pPr>
              <w:spacing w:after="0"/>
              <w:rPr>
                <w:sz w:val="1"/>
                <w:szCs w:val="1"/>
                <w:color w:val="auto"/>
              </w:rPr>
            </w:pPr>
          </w:p>
        </w:tc>
      </w:tr>
    </w:tbl>
    <w:p>
      <w:pPr>
        <w:spacing w:after="0" w:line="385" w:lineRule="exact"/>
        <w:rPr>
          <w:sz w:val="20"/>
          <w:szCs w:val="20"/>
          <w:color w:val="auto"/>
        </w:rPr>
      </w:pPr>
    </w:p>
    <w:p>
      <w:pPr>
        <w:sectPr>
          <w:pgSz w:w="11900" w:h="16838" w:orient="portrait"/>
          <w:cols w:equalWidth="0" w:num="2">
            <w:col w:w="2060" w:space="340"/>
            <w:col w:w="7580"/>
          </w:cols>
          <w:pgMar w:left="960" w:top="409" w:right="959" w:bottom="1440" w:gutter="0" w:footer="0" w:header="0"/>
          <w:type w:val="continuous"/>
        </w:sectPr>
      </w:pPr>
    </w:p>
    <w:p>
      <w:pPr>
        <w:ind w:left="160" w:right="40"/>
        <w:spacing w:after="0" w:line="266" w:lineRule="auto"/>
        <w:rPr>
          <w:sz w:val="20"/>
          <w:szCs w:val="20"/>
          <w:color w:val="auto"/>
        </w:rPr>
      </w:pPr>
      <w:r>
        <w:rPr>
          <w:rFonts w:ascii="Times New Roman" w:cs="Times New Roman" w:eastAsia="Times New Roman" w:hAnsi="Times New Roman"/>
          <w:sz w:val="11"/>
          <w:szCs w:val="11"/>
          <w:color w:val="auto"/>
        </w:rPr>
        <w:t>responsibilities. The Chief Corporate Affairs Officer has overall responsibility for sustainability in the Group Leadership Team.</w:t>
      </w:r>
    </w:p>
    <w:p>
      <w:pPr>
        <w:spacing w:after="0" w:line="62" w:lineRule="exact"/>
        <w:rPr>
          <w:sz w:val="20"/>
          <w:szCs w:val="20"/>
          <w:color w:val="auto"/>
        </w:rPr>
      </w:pPr>
    </w:p>
    <w:p>
      <w:pPr>
        <w:ind w:left="160"/>
        <w:spacing w:after="0" w:line="266" w:lineRule="auto"/>
        <w:rPr>
          <w:sz w:val="20"/>
          <w:szCs w:val="20"/>
          <w:color w:val="auto"/>
        </w:rPr>
      </w:pPr>
      <w:r>
        <w:rPr>
          <w:rFonts w:ascii="Times New Roman" w:cs="Times New Roman" w:eastAsia="Times New Roman" w:hAnsi="Times New Roman"/>
          <w:sz w:val="11"/>
          <w:szCs w:val="11"/>
          <w:color w:val="auto"/>
        </w:rPr>
        <w:t>In line with our mode of operation, the Group Leadership Team approves our sustainability-related strategy, overall targets and operational frameworks, within which corporate functions and business groups can operate. This enables accountable and empowered business groups while maintaining appropriate strategic and operative oversight.</w:t>
      </w:r>
    </w:p>
    <w:p>
      <w:pPr>
        <w:spacing w:after="0" w:line="53" w:lineRule="exact"/>
        <w:rPr>
          <w:sz w:val="20"/>
          <w:szCs w:val="20"/>
          <w:color w:val="auto"/>
        </w:rPr>
      </w:pPr>
    </w:p>
    <w:p>
      <w:pPr>
        <w:ind w:left="160" w:right="160"/>
        <w:spacing w:after="0" w:line="258" w:lineRule="auto"/>
        <w:rPr>
          <w:sz w:val="20"/>
          <w:szCs w:val="20"/>
          <w:color w:val="auto"/>
        </w:rPr>
      </w:pPr>
      <w:r>
        <w:rPr>
          <w:rFonts w:ascii="Times New Roman" w:cs="Times New Roman" w:eastAsia="Times New Roman" w:hAnsi="Times New Roman"/>
          <w:sz w:val="11"/>
          <w:szCs w:val="11"/>
          <w:color w:val="auto"/>
        </w:rPr>
        <w:t>Internal councils and committees, such as the Sustainability Council, are used to steer, align and ensure the implementation of these strategies, targets and frameworks and review recommendations to the Group Leadership Team.</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3"/>
          <w:szCs w:val="13"/>
          <w:color w:val="auto"/>
        </w:rPr>
        <w:t>Sustainability Council</w:t>
      </w:r>
    </w:p>
    <w:p>
      <w:pPr>
        <w:spacing w:after="0" w:line="18" w:lineRule="exact"/>
        <w:rPr>
          <w:sz w:val="20"/>
          <w:szCs w:val="20"/>
          <w:color w:val="auto"/>
        </w:rPr>
      </w:pPr>
    </w:p>
    <w:p>
      <w:pPr>
        <w:ind w:left="180" w:hanging="157"/>
        <w:spacing w:after="0" w:line="280" w:lineRule="auto"/>
        <w:tabs>
          <w:tab w:leader="none" w:pos="180" w:val="left"/>
        </w:tabs>
        <w:numPr>
          <w:ilvl w:val="0"/>
          <w:numId w:val="64"/>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Steers the alignment of sustainability strategy, priorities, and the implementation of sustainability activities across Nokia</w:t>
      </w:r>
    </w:p>
    <w:p>
      <w:pPr>
        <w:spacing w:after="0" w:line="2" w:lineRule="exact"/>
        <w:rPr>
          <w:rFonts w:ascii="Times New Roman" w:cs="Times New Roman" w:eastAsia="Times New Roman" w:hAnsi="Times New Roman"/>
          <w:sz w:val="9"/>
          <w:szCs w:val="9"/>
          <w:color w:val="005AFF"/>
        </w:rPr>
      </w:pPr>
    </w:p>
    <w:p>
      <w:pPr>
        <w:ind w:left="180" w:right="180" w:hanging="157"/>
        <w:spacing w:after="0" w:line="268" w:lineRule="auto"/>
        <w:tabs>
          <w:tab w:leader="none" w:pos="180" w:val="left"/>
        </w:tabs>
        <w:numPr>
          <w:ilvl w:val="0"/>
          <w:numId w:val="64"/>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Contributes to the sustainability strategy and materiality assessment, and reviews sustainability targets and performance</w:t>
      </w:r>
    </w:p>
    <w:p>
      <w:pPr>
        <w:spacing w:after="0" w:line="8" w:lineRule="exact"/>
        <w:rPr>
          <w:rFonts w:ascii="Times New Roman" w:cs="Times New Roman" w:eastAsia="Times New Roman" w:hAnsi="Times New Roman"/>
          <w:sz w:val="9"/>
          <w:szCs w:val="9"/>
          <w:color w:val="005AFF"/>
        </w:rPr>
      </w:pPr>
    </w:p>
    <w:p>
      <w:pPr>
        <w:ind w:left="180" w:right="220" w:hanging="157"/>
        <w:spacing w:after="0" w:line="291" w:lineRule="auto"/>
        <w:tabs>
          <w:tab w:leader="none" w:pos="180" w:val="left"/>
        </w:tabs>
        <w:numPr>
          <w:ilvl w:val="0"/>
          <w:numId w:val="64"/>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Provides additional insight to sustainability-related risks and opportunities</w:t>
      </w:r>
    </w:p>
    <w:p>
      <w:pPr>
        <w:spacing w:after="0" w:line="67"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b w:val="1"/>
          <w:bCs w:val="1"/>
          <w:color w:val="auto"/>
        </w:rPr>
        <w:t>Members</w:t>
      </w:r>
    </w:p>
    <w:p>
      <w:pPr>
        <w:spacing w:after="0" w:line="20"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9"/>
          <w:szCs w:val="9"/>
          <w:color w:val="221E1F"/>
        </w:rPr>
        <w:t>Senior leaders from units representing all business groups, Customer Experience, Corporate Affairs, People, Finance, Strategy and Technology and Legal and Compliance. Convened ten times in 2023.</w:t>
      </w:r>
    </w:p>
    <w:p>
      <w:pPr>
        <w:spacing w:after="0" w:line="20" w:lineRule="exact"/>
        <w:rPr>
          <w:sz w:val="20"/>
          <w:szCs w:val="20"/>
          <w:color w:val="auto"/>
        </w:rPr>
      </w:pPr>
      <w:r>
        <w:rPr>
          <w:sz w:val="20"/>
          <w:szCs w:val="20"/>
          <w:color w:val="auto"/>
        </w:rPr>
        <w:br w:type="column"/>
      </w:r>
    </w:p>
    <w:p>
      <w:pPr>
        <w:ind w:right="160"/>
        <w:spacing w:after="0" w:line="264" w:lineRule="auto"/>
        <w:rPr>
          <w:sz w:val="20"/>
          <w:szCs w:val="20"/>
          <w:color w:val="auto"/>
        </w:rPr>
      </w:pPr>
      <w:r>
        <w:rPr>
          <w:rFonts w:ascii="Times New Roman" w:cs="Times New Roman" w:eastAsia="Times New Roman" w:hAnsi="Times New Roman"/>
          <w:sz w:val="13"/>
          <w:szCs w:val="13"/>
          <w:color w:val="auto"/>
        </w:rPr>
        <w:t>Donations and Sponsorships Committee</w:t>
      </w:r>
    </w:p>
    <w:p>
      <w:pPr>
        <w:spacing w:after="0" w:line="1" w:lineRule="exact"/>
        <w:rPr>
          <w:sz w:val="20"/>
          <w:szCs w:val="20"/>
          <w:color w:val="auto"/>
        </w:rPr>
      </w:pPr>
    </w:p>
    <w:p>
      <w:pPr>
        <w:ind w:left="180" w:right="260" w:hanging="157"/>
        <w:spacing w:after="0" w:line="280" w:lineRule="auto"/>
        <w:tabs>
          <w:tab w:leader="none" w:pos="180" w:val="left"/>
        </w:tabs>
        <w:numPr>
          <w:ilvl w:val="0"/>
          <w:numId w:val="65"/>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Sets principles for allocation of corporate donations and investments for universities and communities</w:t>
      </w:r>
    </w:p>
    <w:p>
      <w:pPr>
        <w:spacing w:after="0" w:line="2" w:lineRule="exact"/>
        <w:rPr>
          <w:rFonts w:ascii="Times New Roman" w:cs="Times New Roman" w:eastAsia="Times New Roman" w:hAnsi="Times New Roman"/>
          <w:sz w:val="9"/>
          <w:szCs w:val="9"/>
          <w:color w:val="005AFF"/>
        </w:rPr>
      </w:pPr>
    </w:p>
    <w:p>
      <w:pPr>
        <w:jc w:val="both"/>
        <w:ind w:left="180" w:right="260" w:hanging="157"/>
        <w:spacing w:after="0" w:line="279" w:lineRule="auto"/>
        <w:tabs>
          <w:tab w:leader="none" w:pos="180" w:val="left"/>
        </w:tabs>
        <w:numPr>
          <w:ilvl w:val="0"/>
          <w:numId w:val="65"/>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Approves funds for donation allocation and reviews major sponsorships</w:t>
      </w:r>
    </w:p>
    <w:p>
      <w:pPr>
        <w:spacing w:after="0" w:line="3" w:lineRule="exact"/>
        <w:rPr>
          <w:rFonts w:ascii="Times New Roman" w:cs="Times New Roman" w:eastAsia="Times New Roman" w:hAnsi="Times New Roman"/>
          <w:sz w:val="9"/>
          <w:szCs w:val="9"/>
          <w:color w:val="005AFF"/>
        </w:rPr>
      </w:pPr>
    </w:p>
    <w:p>
      <w:pPr>
        <w:ind w:left="180" w:right="380" w:hanging="157"/>
        <w:spacing w:after="0" w:line="301" w:lineRule="auto"/>
        <w:tabs>
          <w:tab w:leader="none" w:pos="180" w:val="left"/>
        </w:tabs>
        <w:numPr>
          <w:ilvl w:val="0"/>
          <w:numId w:val="65"/>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Assesses the impact of all donation programs</w:t>
      </w:r>
    </w:p>
    <w:p>
      <w:pPr>
        <w:spacing w:after="0" w:line="244"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b w:val="1"/>
          <w:bCs w:val="1"/>
          <w:color w:val="auto"/>
        </w:rPr>
        <w:t>Members</w:t>
      </w:r>
    </w:p>
    <w:p>
      <w:pPr>
        <w:spacing w:after="0" w:line="20"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9"/>
          <w:szCs w:val="9"/>
          <w:color w:val="221E1F"/>
        </w:rPr>
        <w:t>Chief Financial Officer, Chief Corporate Affairs Officer, Chief People Officer, VP Technology Leadership, Chief Compliance Officer, Head of Customer Experience Finance. Convened once in 2023.</w:t>
      </w:r>
    </w:p>
    <w:p>
      <w:pPr>
        <w:spacing w:after="0" w:line="20" w:lineRule="exact"/>
        <w:rPr>
          <w:sz w:val="20"/>
          <w:szCs w:val="20"/>
          <w:color w:val="auto"/>
        </w:rPr>
      </w:pPr>
      <w:r>
        <w:rPr>
          <w:sz w:val="20"/>
          <w:szCs w:val="20"/>
          <w:color w:val="auto"/>
        </w:rPr>
        <w:br w:type="column"/>
      </w:r>
    </w:p>
    <w:p>
      <w:pPr>
        <w:ind w:left="6" w:right="240"/>
        <w:spacing w:after="0" w:line="264" w:lineRule="auto"/>
        <w:rPr>
          <w:sz w:val="20"/>
          <w:szCs w:val="20"/>
          <w:color w:val="auto"/>
        </w:rPr>
      </w:pPr>
      <w:r>
        <w:rPr>
          <w:rFonts w:ascii="Times New Roman" w:cs="Times New Roman" w:eastAsia="Times New Roman" w:hAnsi="Times New Roman"/>
          <w:sz w:val="13"/>
          <w:szCs w:val="13"/>
          <w:color w:val="auto"/>
        </w:rPr>
        <w:t>Inclusion and Diversity Steering Committee</w:t>
      </w:r>
    </w:p>
    <w:p>
      <w:pPr>
        <w:spacing w:after="0" w:line="1" w:lineRule="exact"/>
        <w:rPr>
          <w:sz w:val="20"/>
          <w:szCs w:val="20"/>
          <w:color w:val="auto"/>
        </w:rPr>
      </w:pPr>
    </w:p>
    <w:p>
      <w:pPr>
        <w:ind w:left="166" w:right="200" w:hanging="145"/>
        <w:spacing w:after="0" w:line="293" w:lineRule="auto"/>
        <w:tabs>
          <w:tab w:leader="none" w:pos="166" w:val="left"/>
        </w:tabs>
        <w:numPr>
          <w:ilvl w:val="0"/>
          <w:numId w:val="66"/>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Reviews annual Inclusion and Diversity (I&amp;D) plans</w:t>
      </w:r>
    </w:p>
    <w:p>
      <w:pPr>
        <w:jc w:val="both"/>
        <w:ind w:left="166" w:right="100" w:hanging="145"/>
        <w:spacing w:after="0" w:line="293" w:lineRule="auto"/>
        <w:tabs>
          <w:tab w:leader="none" w:pos="166" w:val="left"/>
        </w:tabs>
        <w:numPr>
          <w:ilvl w:val="0"/>
          <w:numId w:val="66"/>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Sets Nokia-level I&amp;D ambitions and measures impact and targets</w:t>
      </w:r>
    </w:p>
    <w:p>
      <w:pPr>
        <w:ind w:left="166" w:hanging="145"/>
        <w:spacing w:after="0" w:line="291" w:lineRule="auto"/>
        <w:tabs>
          <w:tab w:leader="none" w:pos="166" w:val="left"/>
        </w:tabs>
        <w:numPr>
          <w:ilvl w:val="0"/>
          <w:numId w:val="66"/>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Evaluates business group-level I&amp;D actions and provides feedback to business groups</w:t>
      </w:r>
    </w:p>
    <w:p>
      <w:pPr>
        <w:spacing w:after="0" w:line="200" w:lineRule="exact"/>
        <w:rPr>
          <w:sz w:val="20"/>
          <w:szCs w:val="20"/>
          <w:color w:val="auto"/>
        </w:rPr>
      </w:pPr>
    </w:p>
    <w:p>
      <w:pPr>
        <w:spacing w:after="0" w:line="271" w:lineRule="exact"/>
        <w:rPr>
          <w:sz w:val="20"/>
          <w:szCs w:val="20"/>
          <w:color w:val="auto"/>
        </w:rPr>
      </w:pPr>
    </w:p>
    <w:p>
      <w:pPr>
        <w:ind w:left="6"/>
        <w:spacing w:after="0"/>
        <w:rPr>
          <w:sz w:val="20"/>
          <w:szCs w:val="20"/>
          <w:color w:val="auto"/>
        </w:rPr>
      </w:pPr>
      <w:r>
        <w:rPr>
          <w:rFonts w:ascii="Times New Roman" w:cs="Times New Roman" w:eastAsia="Times New Roman" w:hAnsi="Times New Roman"/>
          <w:sz w:val="9"/>
          <w:szCs w:val="9"/>
          <w:b w:val="1"/>
          <w:bCs w:val="1"/>
          <w:color w:val="auto"/>
        </w:rPr>
        <w:t>Members</w:t>
      </w:r>
    </w:p>
    <w:p>
      <w:pPr>
        <w:spacing w:after="0" w:line="20" w:lineRule="exact"/>
        <w:rPr>
          <w:sz w:val="20"/>
          <w:szCs w:val="20"/>
          <w:color w:val="auto"/>
        </w:rPr>
      </w:pPr>
    </w:p>
    <w:p>
      <w:pPr>
        <w:ind w:left="6"/>
        <w:spacing w:after="0"/>
        <w:rPr>
          <w:sz w:val="20"/>
          <w:szCs w:val="20"/>
          <w:color w:val="auto"/>
        </w:rPr>
      </w:pPr>
      <w:r>
        <w:rPr>
          <w:rFonts w:ascii="Times New Roman" w:cs="Times New Roman" w:eastAsia="Times New Roman" w:hAnsi="Times New Roman"/>
          <w:sz w:val="9"/>
          <w:szCs w:val="9"/>
          <w:color w:val="221E1F"/>
        </w:rPr>
        <w:t>Chief Legal Officer, Head of Inclusion</w:t>
      </w:r>
    </w:p>
    <w:p>
      <w:pPr>
        <w:spacing w:after="0" w:line="9" w:lineRule="exact"/>
        <w:rPr>
          <w:sz w:val="20"/>
          <w:szCs w:val="20"/>
          <w:color w:val="auto"/>
        </w:rPr>
      </w:pPr>
    </w:p>
    <w:p>
      <w:pPr>
        <w:ind w:left="6" w:right="80" w:hanging="6"/>
        <w:spacing w:after="0" w:line="262" w:lineRule="auto"/>
        <w:tabs>
          <w:tab w:leader="none" w:pos="103" w:val="left"/>
        </w:tabs>
        <w:numPr>
          <w:ilvl w:val="0"/>
          <w:numId w:val="67"/>
        </w:numPr>
        <w:rPr>
          <w:rFonts w:ascii="Times New Roman" w:cs="Times New Roman" w:eastAsia="Times New Roman" w:hAnsi="Times New Roman"/>
          <w:sz w:val="9"/>
          <w:szCs w:val="9"/>
          <w:color w:val="221E1F"/>
        </w:rPr>
      </w:pPr>
      <w:r>
        <w:rPr>
          <w:rFonts w:ascii="Times New Roman" w:cs="Times New Roman" w:eastAsia="Times New Roman" w:hAnsi="Times New Roman"/>
          <w:sz w:val="9"/>
          <w:szCs w:val="9"/>
          <w:color w:val="221E1F"/>
        </w:rPr>
        <w:t>Diversity, other senior leaders from business groups, Human Resources, ESG and legal, and representatives from employee resource groups.</w:t>
      </w:r>
    </w:p>
    <w:p>
      <w:pPr>
        <w:spacing w:after="0" w:line="1" w:lineRule="exact"/>
        <w:rPr>
          <w:sz w:val="20"/>
          <w:szCs w:val="20"/>
          <w:color w:val="auto"/>
        </w:rPr>
      </w:pPr>
    </w:p>
    <w:p>
      <w:pPr>
        <w:ind w:left="6"/>
        <w:spacing w:after="0"/>
        <w:tabs>
          <w:tab w:leader="none" w:pos="1005" w:val="left"/>
        </w:tabs>
        <w:rPr>
          <w:sz w:val="20"/>
          <w:szCs w:val="20"/>
          <w:color w:val="auto"/>
        </w:rPr>
      </w:pPr>
      <w:r>
        <w:rPr>
          <w:rFonts w:ascii="Times New Roman" w:cs="Times New Roman" w:eastAsia="Times New Roman" w:hAnsi="Times New Roman"/>
          <w:sz w:val="9"/>
          <w:szCs w:val="9"/>
          <w:color w:val="221E1F"/>
        </w:rPr>
        <w:t>Did not convene in 2023</w:t>
      </w:r>
      <w:r>
        <w:rPr>
          <w:sz w:val="20"/>
          <w:szCs w:val="20"/>
          <w:color w:val="auto"/>
        </w:rPr>
        <w:tab/>
      </w:r>
      <w:r>
        <w:rPr>
          <w:rFonts w:ascii="Times New Roman" w:cs="Times New Roman" w:eastAsia="Times New Roman" w:hAnsi="Times New Roman"/>
          <w:sz w:val="10"/>
          <w:szCs w:val="10"/>
          <w:color w:val="221E1F"/>
          <w:vertAlign w:val="superscript"/>
        </w:rPr>
        <w:t>(1)</w:t>
      </w:r>
      <w:r>
        <w:rPr>
          <w:rFonts w:ascii="Times New Roman" w:cs="Times New Roman" w:eastAsia="Times New Roman" w:hAnsi="Times New Roman"/>
          <w:sz w:val="8"/>
          <w:szCs w:val="8"/>
          <w:color w:val="221E1F"/>
        </w:rPr>
        <w:t>.</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3"/>
          <w:szCs w:val="13"/>
          <w:color w:val="auto"/>
        </w:rPr>
        <w:t>Human Rights Due</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Diligence Council</w:t>
      </w:r>
    </w:p>
    <w:p>
      <w:pPr>
        <w:spacing w:after="0" w:line="32" w:lineRule="exact"/>
        <w:rPr>
          <w:sz w:val="20"/>
          <w:szCs w:val="20"/>
          <w:color w:val="auto"/>
        </w:rPr>
      </w:pPr>
    </w:p>
    <w:p>
      <w:pPr>
        <w:ind w:left="180" w:right="380" w:hanging="154"/>
        <w:spacing w:after="0" w:line="281" w:lineRule="auto"/>
        <w:tabs>
          <w:tab w:leader="none" w:pos="180" w:val="left"/>
        </w:tabs>
        <w:numPr>
          <w:ilvl w:val="0"/>
          <w:numId w:val="68"/>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Governs high-level alignment on Nokia’s Human Rights Policy and implementing procedures</w:t>
      </w:r>
    </w:p>
    <w:p>
      <w:pPr>
        <w:ind w:left="180" w:right="440" w:hanging="154"/>
        <w:spacing w:after="0" w:line="289" w:lineRule="auto"/>
        <w:tabs>
          <w:tab w:leader="none" w:pos="180" w:val="left"/>
        </w:tabs>
        <w:numPr>
          <w:ilvl w:val="0"/>
          <w:numId w:val="68"/>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Steers decisions on Nokia businesses from a human rights point of view.</w:t>
      </w:r>
    </w:p>
    <w:p>
      <w:pPr>
        <w:ind w:left="180" w:right="460" w:hanging="154"/>
        <w:spacing w:after="0" w:line="272" w:lineRule="auto"/>
        <w:tabs>
          <w:tab w:leader="none" w:pos="180" w:val="left"/>
        </w:tabs>
        <w:numPr>
          <w:ilvl w:val="0"/>
          <w:numId w:val="68"/>
        </w:numPr>
        <w:rPr>
          <w:rFonts w:ascii="Times New Roman" w:cs="Times New Roman" w:eastAsia="Times New Roman" w:hAnsi="Times New Roman"/>
          <w:sz w:val="9"/>
          <w:szCs w:val="9"/>
          <w:color w:val="005AFF"/>
        </w:rPr>
      </w:pPr>
      <w:r>
        <w:rPr>
          <w:rFonts w:ascii="Times New Roman" w:cs="Times New Roman" w:eastAsia="Times New Roman" w:hAnsi="Times New Roman"/>
          <w:sz w:val="9"/>
          <w:szCs w:val="9"/>
          <w:color w:val="221E1F"/>
        </w:rPr>
        <w:t>Ensures alignment between all business groups and functions and that appropriate mitigations are put in place</w:t>
      </w:r>
    </w:p>
    <w:p>
      <w:pPr>
        <w:spacing w:after="0" w:line="126"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b w:val="1"/>
          <w:bCs w:val="1"/>
          <w:color w:val="auto"/>
        </w:rPr>
        <w:t>Members</w:t>
      </w:r>
    </w:p>
    <w:p>
      <w:pPr>
        <w:spacing w:after="0" w:line="20"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Chief Legal Officer, Chief Corporate</w:t>
      </w:r>
    </w:p>
    <w:p>
      <w:pPr>
        <w:spacing w:after="0" w:line="9"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Affairs Officer, Chief Compliance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Officer, VP Sustainability, VP Technology</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Leadership, other senior leaders per</w:t>
      </w:r>
    </w:p>
    <w:p>
      <w:pPr>
        <w:spacing w:after="0" w:line="8" w:lineRule="exact"/>
        <w:rPr>
          <w:sz w:val="20"/>
          <w:szCs w:val="20"/>
          <w:color w:val="auto"/>
        </w:rPr>
      </w:pPr>
    </w:p>
    <w:p>
      <w:pPr>
        <w:spacing w:after="0"/>
        <w:tabs>
          <w:tab w:leader="none" w:pos="1580" w:val="left"/>
        </w:tabs>
        <w:rPr>
          <w:sz w:val="20"/>
          <w:szCs w:val="20"/>
          <w:color w:val="auto"/>
        </w:rPr>
      </w:pPr>
      <w:r>
        <w:rPr>
          <w:rFonts w:ascii="Times New Roman" w:cs="Times New Roman" w:eastAsia="Times New Roman" w:hAnsi="Times New Roman"/>
          <w:sz w:val="9"/>
          <w:szCs w:val="9"/>
          <w:color w:val="221E1F"/>
        </w:rPr>
        <w:t>need. Head of Human Rights, and Lega</w:t>
      </w:r>
      <w:r>
        <w:rPr>
          <w:sz w:val="20"/>
          <w:szCs w:val="20"/>
          <w:color w:val="auto"/>
        </w:rPr>
        <w:tab/>
      </w:r>
      <w:r>
        <w:rPr>
          <w:rFonts w:ascii="Times New Roman" w:cs="Times New Roman" w:eastAsia="Times New Roman" w:hAnsi="Times New Roman"/>
          <w:sz w:val="7"/>
          <w:szCs w:val="7"/>
          <w:color w:val="221E1F"/>
        </w:rPr>
        <w:t>l</w:t>
      </w:r>
    </w:p>
    <w:p>
      <w:pPr>
        <w:spacing w:after="0" w:line="8" w:lineRule="exact"/>
        <w:rPr>
          <w:sz w:val="20"/>
          <w:szCs w:val="20"/>
          <w:color w:val="auto"/>
        </w:rPr>
      </w:pPr>
    </w:p>
    <w:p>
      <w:pPr>
        <w:spacing w:after="0"/>
        <w:rPr>
          <w:sz w:val="20"/>
          <w:szCs w:val="20"/>
          <w:color w:val="auto"/>
        </w:rPr>
      </w:pPr>
      <w:r>
        <w:rPr>
          <w:rFonts w:ascii="Times New Roman" w:cs="Times New Roman" w:eastAsia="Times New Roman" w:hAnsi="Times New Roman"/>
          <w:sz w:val="9"/>
          <w:szCs w:val="9"/>
          <w:color w:val="221E1F"/>
        </w:rPr>
        <w:t>Counsel. Convened twice in 2023.</w:t>
      </w:r>
    </w:p>
    <w:p>
      <w:pPr>
        <w:spacing w:after="0" w:line="425" w:lineRule="exact"/>
        <w:rPr>
          <w:sz w:val="20"/>
          <w:szCs w:val="20"/>
          <w:color w:val="auto"/>
        </w:rPr>
      </w:pPr>
    </w:p>
    <w:p>
      <w:pPr>
        <w:sectPr>
          <w:pgSz w:w="11900" w:h="16838" w:orient="portrait"/>
          <w:cols w:equalWidth="0" w:num="5">
            <w:col w:w="2060" w:space="440"/>
            <w:col w:w="1520" w:space="380"/>
            <w:col w:w="1520" w:space="374"/>
            <w:col w:w="1506" w:space="380"/>
            <w:col w:w="1800"/>
          </w:cols>
          <w:pgMar w:left="960" w:top="409" w:right="959" w:bottom="1440" w:gutter="0" w:footer="0" w:header="0"/>
          <w:type w:val="continuous"/>
        </w:sectPr>
      </w:pPr>
    </w:p>
    <w:p>
      <w:pPr>
        <w:spacing w:after="0" w:line="88" w:lineRule="exact"/>
        <w:rPr>
          <w:sz w:val="20"/>
          <w:szCs w:val="20"/>
          <w:color w:val="auto"/>
        </w:rPr>
      </w:pPr>
    </w:p>
    <w:p>
      <w:pPr>
        <w:ind w:left="160"/>
        <w:spacing w:after="0" w:line="279" w:lineRule="auto"/>
        <w:rPr>
          <w:sz w:val="20"/>
          <w:szCs w:val="20"/>
          <w:color w:val="auto"/>
        </w:rPr>
      </w:pPr>
      <w:r>
        <w:rPr>
          <w:rFonts w:ascii="Times New Roman" w:cs="Times New Roman" w:eastAsia="Times New Roman" w:hAnsi="Times New Roman"/>
          <w:sz w:val="11"/>
          <w:szCs w:val="11"/>
          <w:color w:val="auto"/>
        </w:rPr>
        <w:t>Our overall sustainability governance framework and responsibilities are shown in the opposite diagram.</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242"/>
        </w:trPr>
        <w:tc>
          <w:tcPr>
            <w:tcW w:w="372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13"/>
                <w:szCs w:val="13"/>
                <w:color w:val="FFFFFF"/>
              </w:rPr>
              <w:t>ESG function</w:t>
            </w:r>
          </w:p>
        </w:tc>
        <w:tc>
          <w:tcPr>
            <w:tcW w:w="80" w:type="dxa"/>
            <w:vAlign w:val="bottom"/>
          </w:tcPr>
          <w:p>
            <w:pPr>
              <w:spacing w:after="0"/>
              <w:rPr>
                <w:sz w:val="21"/>
                <w:szCs w:val="21"/>
                <w:color w:val="auto"/>
              </w:rPr>
            </w:pPr>
          </w:p>
        </w:tc>
        <w:tc>
          <w:tcPr>
            <w:tcW w:w="370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13"/>
                <w:szCs w:val="13"/>
                <w:color w:val="FFFFFF"/>
              </w:rPr>
              <w:t>Ethics and Compliance function</w:t>
            </w:r>
          </w:p>
        </w:tc>
      </w:tr>
      <w:tr>
        <w:trPr>
          <w:trHeight w:val="119"/>
        </w:trPr>
        <w:tc>
          <w:tcPr>
            <w:tcW w:w="372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The corporate ESG function drives the implementation of the ESG strategy and</w:t>
            </w:r>
          </w:p>
        </w:tc>
        <w:tc>
          <w:tcPr>
            <w:tcW w:w="80" w:type="dxa"/>
            <w:vAlign w:val="bottom"/>
          </w:tcPr>
          <w:p>
            <w:pPr>
              <w:spacing w:after="0"/>
              <w:rPr>
                <w:sz w:val="10"/>
                <w:szCs w:val="10"/>
                <w:color w:val="auto"/>
              </w:rPr>
            </w:pPr>
          </w:p>
        </w:tc>
        <w:tc>
          <w:tcPr>
            <w:tcW w:w="370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Supports employees with training and guidance, fostering ethical decision-making</w:t>
            </w:r>
          </w:p>
        </w:tc>
      </w:tr>
      <w:tr>
        <w:trPr>
          <w:trHeight w:val="121"/>
        </w:trPr>
        <w:tc>
          <w:tcPr>
            <w:tcW w:w="372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actions needed to achieve targets at the operational level. Subject matter experts</w:t>
            </w:r>
          </w:p>
        </w:tc>
        <w:tc>
          <w:tcPr>
            <w:tcW w:w="80" w:type="dxa"/>
            <w:vAlign w:val="bottom"/>
          </w:tcPr>
          <w:p>
            <w:pPr>
              <w:spacing w:after="0"/>
              <w:rPr>
                <w:sz w:val="10"/>
                <w:szCs w:val="10"/>
                <w:color w:val="auto"/>
              </w:rPr>
            </w:pPr>
          </w:p>
        </w:tc>
        <w:tc>
          <w:tcPr>
            <w:tcW w:w="370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and choices that are consistent with our values, policies, and laws. Promotes an</w:t>
            </w:r>
          </w:p>
        </w:tc>
      </w:tr>
      <w:tr>
        <w:trPr>
          <w:trHeight w:val="111"/>
        </w:trPr>
        <w:tc>
          <w:tcPr>
            <w:tcW w:w="372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contribute fact-based input to the different functions and business groups.</w:t>
            </w:r>
          </w:p>
        </w:tc>
        <w:tc>
          <w:tcPr>
            <w:tcW w:w="80" w:type="dxa"/>
            <w:vAlign w:val="bottom"/>
          </w:tcPr>
          <w:p>
            <w:pPr>
              <w:spacing w:after="0"/>
              <w:rPr>
                <w:sz w:val="9"/>
                <w:szCs w:val="9"/>
                <w:color w:val="auto"/>
              </w:rPr>
            </w:pPr>
          </w:p>
        </w:tc>
        <w:tc>
          <w:tcPr>
            <w:tcW w:w="370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open reporting culture and oversees robust and impartial concern reporting,</w:t>
            </w:r>
          </w:p>
        </w:tc>
      </w:tr>
      <w:tr>
        <w:trPr>
          <w:trHeight w:val="122"/>
        </w:trPr>
        <w:tc>
          <w:tcPr>
            <w:tcW w:w="372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Ensures corporate sustainability reporting is in line with requirements and regulations.</w:t>
            </w:r>
          </w:p>
        </w:tc>
        <w:tc>
          <w:tcPr>
            <w:tcW w:w="80" w:type="dxa"/>
            <w:vAlign w:val="bottom"/>
          </w:tcPr>
          <w:p>
            <w:pPr>
              <w:spacing w:after="0"/>
              <w:rPr>
                <w:sz w:val="10"/>
                <w:szCs w:val="10"/>
                <w:color w:val="auto"/>
              </w:rPr>
            </w:pPr>
          </w:p>
        </w:tc>
        <w:tc>
          <w:tcPr>
            <w:tcW w:w="370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investigation and remediation processes.</w:t>
            </w:r>
          </w:p>
        </w:tc>
      </w:tr>
      <w:tr>
        <w:trPr>
          <w:trHeight w:val="154"/>
        </w:trPr>
        <w:tc>
          <w:tcPr>
            <w:tcW w:w="3720" w:type="dxa"/>
            <w:vAlign w:val="bottom"/>
            <w:shd w:val="clear" w:color="auto" w:fill="37CC73"/>
          </w:tcPr>
          <w:p>
            <w:pPr>
              <w:spacing w:after="0"/>
              <w:rPr>
                <w:sz w:val="13"/>
                <w:szCs w:val="13"/>
                <w:color w:val="auto"/>
              </w:rPr>
            </w:pPr>
          </w:p>
        </w:tc>
        <w:tc>
          <w:tcPr>
            <w:tcW w:w="80" w:type="dxa"/>
            <w:vAlign w:val="bottom"/>
          </w:tcPr>
          <w:p>
            <w:pPr>
              <w:spacing w:after="0"/>
              <w:rPr>
                <w:sz w:val="13"/>
                <w:szCs w:val="13"/>
                <w:color w:val="auto"/>
              </w:rPr>
            </w:pPr>
          </w:p>
        </w:tc>
        <w:tc>
          <w:tcPr>
            <w:tcW w:w="3700" w:type="dxa"/>
            <w:vAlign w:val="bottom"/>
            <w:shd w:val="clear" w:color="auto" w:fill="37CC73"/>
          </w:tcPr>
          <w:p>
            <w:pPr>
              <w:spacing w:after="0"/>
              <w:rPr>
                <w:sz w:val="13"/>
                <w:szCs w:val="13"/>
                <w:color w:val="auto"/>
              </w:rPr>
            </w:pPr>
          </w:p>
        </w:tc>
      </w:tr>
    </w:tbl>
    <w:p>
      <w:pPr>
        <w:spacing w:after="0" w:line="82" w:lineRule="exact"/>
        <w:rPr>
          <w:sz w:val="20"/>
          <w:szCs w:val="20"/>
          <w:color w:val="auto"/>
        </w:rPr>
      </w:pPr>
    </w:p>
    <w:p>
      <w:pPr>
        <w:sectPr>
          <w:pgSz w:w="11900" w:h="16838" w:orient="portrait"/>
          <w:cols w:equalWidth="0" w:num="2">
            <w:col w:w="1880" w:space="520"/>
            <w:col w:w="7580"/>
          </w:cols>
          <w:pgMar w:left="960" w:top="409" w:right="959" w:bottom="1440" w:gutter="0" w:footer="0" w:header="0"/>
          <w:type w:val="continuous"/>
        </w:sectPr>
      </w:pPr>
    </w:p>
    <w:p>
      <w:pPr>
        <w:jc w:val="right"/>
        <w:ind w:right="1700"/>
        <w:spacing w:after="0"/>
        <w:rPr>
          <w:sz w:val="20"/>
          <w:szCs w:val="20"/>
          <w:color w:val="auto"/>
        </w:rPr>
      </w:pPr>
      <w:r>
        <w:rPr>
          <w:rFonts w:ascii="Times New Roman" w:cs="Times New Roman" w:eastAsia="Times New Roman" w:hAnsi="Times New Roman"/>
          <w:sz w:val="8"/>
          <w:szCs w:val="8"/>
          <w:color w:val="auto"/>
        </w:rPr>
        <w:t>(1) Due to reorganization the Inclusion and Diversity Steering Committee did not meet during 2023 and the Sustainability governance model will be reviewed and updated in 2024.</w:t>
      </w:r>
    </w:p>
    <w:p>
      <w:pPr>
        <w:spacing w:after="0" w:line="27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98" w:name="page99"/>
    <w:bookmarkEnd w:id="9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Risk management</w:t>
      </w:r>
    </w:p>
    <w:p>
      <w:pPr>
        <w:spacing w:after="0" w:line="46" w:lineRule="exact"/>
        <w:rPr>
          <w:sz w:val="20"/>
          <w:szCs w:val="20"/>
          <w:color w:val="auto"/>
        </w:rPr>
      </w:pPr>
    </w:p>
    <w:p>
      <w:pPr>
        <w:ind w:right="100"/>
        <w:spacing w:after="0" w:line="262" w:lineRule="auto"/>
        <w:rPr>
          <w:sz w:val="20"/>
          <w:szCs w:val="20"/>
          <w:color w:val="auto"/>
        </w:rPr>
      </w:pPr>
      <w:r>
        <w:rPr>
          <w:rFonts w:ascii="Times New Roman" w:cs="Times New Roman" w:eastAsia="Times New Roman" w:hAnsi="Times New Roman"/>
          <w:sz w:val="11"/>
          <w:szCs w:val="11"/>
          <w:color w:val="auto"/>
        </w:rPr>
        <w:t>Sustainability-related risks and opportunities are part of our Enterprise Risk Management framework. We recognize and aim to mitigate the potential risks and negative impacts associated with our business whether related to technology, supply chains, the climate or people, while also driving opportunities within and beyond our business to contribute to achieving the</w:t>
      </w:r>
    </w:p>
    <w:p>
      <w:pPr>
        <w:spacing w:after="0" w:line="3" w:lineRule="exact"/>
        <w:rPr>
          <w:sz w:val="20"/>
          <w:szCs w:val="20"/>
          <w:color w:val="auto"/>
        </w:rPr>
      </w:pPr>
    </w:p>
    <w:p>
      <w:pPr>
        <w:ind w:right="220"/>
        <w:spacing w:after="0" w:line="260" w:lineRule="auto"/>
        <w:rPr>
          <w:sz w:val="20"/>
          <w:szCs w:val="20"/>
          <w:color w:val="auto"/>
        </w:rPr>
      </w:pPr>
      <w:r>
        <w:rPr>
          <w:rFonts w:ascii="Times New Roman" w:cs="Times New Roman" w:eastAsia="Times New Roman" w:hAnsi="Times New Roman"/>
          <w:sz w:val="11"/>
          <w:szCs w:val="11"/>
          <w:color w:val="auto"/>
        </w:rPr>
        <w:t>UN SDGs. We have policies and processes for our identified material sustainability-related risks, including our Code of Conduct which reflects our values through clear and simple directions on ways of working for all employees and business partners. The main features of our risk management systems are described as part of our corporate governance statement (see Corporate Governance Statement—Risk management, internal control and internal audit functions at Nokia).</w:t>
      </w:r>
    </w:p>
    <w:p>
      <w:pPr>
        <w:spacing w:after="0" w:line="1" w:lineRule="exact"/>
        <w:rPr>
          <w:sz w:val="20"/>
          <w:szCs w:val="20"/>
          <w:color w:val="auto"/>
        </w:rPr>
      </w:pPr>
    </w:p>
    <w:p>
      <w:pPr>
        <w:jc w:val="both"/>
        <w:ind w:right="340"/>
        <w:spacing w:after="0" w:line="273" w:lineRule="auto"/>
        <w:rPr>
          <w:sz w:val="20"/>
          <w:szCs w:val="20"/>
          <w:color w:val="auto"/>
        </w:rPr>
      </w:pPr>
      <w:r>
        <w:rPr>
          <w:rFonts w:ascii="Times New Roman" w:cs="Times New Roman" w:eastAsia="Times New Roman" w:hAnsi="Times New Roman"/>
          <w:sz w:val="11"/>
          <w:szCs w:val="11"/>
          <w:color w:val="auto"/>
        </w:rPr>
        <w:t>The “Risk factors” section of this report discusses the most important risk factors affecting our operations. These risks include sustainability-related issues such as:</w:t>
      </w:r>
    </w:p>
    <w:p>
      <w:pPr>
        <w:spacing w:after="0" w:line="57" w:lineRule="exact"/>
        <w:rPr>
          <w:sz w:val="20"/>
          <w:szCs w:val="20"/>
          <w:color w:val="auto"/>
        </w:rPr>
      </w:pP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product safety and energy efficiency;</w:t>
      </w:r>
    </w:p>
    <w:p>
      <w:pPr>
        <w:spacing w:after="0" w:line="35"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environmental incidents;</w:t>
      </w:r>
    </w:p>
    <w:p>
      <w:pPr>
        <w:spacing w:after="0" w:line="35"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people safety and security;</w:t>
      </w:r>
    </w:p>
    <w:p>
      <w:pPr>
        <w:spacing w:after="0" w:line="45" w:lineRule="exact"/>
        <w:rPr>
          <w:rFonts w:ascii="Times New Roman" w:cs="Times New Roman" w:eastAsia="Times New Roman" w:hAnsi="Times New Roman"/>
          <w:sz w:val="11"/>
          <w:szCs w:val="11"/>
          <w:color w:val="005AFF"/>
        </w:rPr>
      </w:pP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privacy and security, including cybersecurity threats</w:t>
      </w:r>
    </w:p>
    <w:p>
      <w:pPr>
        <w:spacing w:after="0" w:line="35" w:lineRule="exact"/>
        <w:rPr>
          <w:rFonts w:ascii="Times New Roman" w:cs="Times New Roman" w:eastAsia="Times New Roman" w:hAnsi="Times New Roman"/>
          <w:sz w:val="11"/>
          <w:szCs w:val="11"/>
          <w:color w:val="005AFF"/>
        </w:rPr>
      </w:pPr>
    </w:p>
    <w:p>
      <w:pPr>
        <w:ind w:left="180" w:right="520" w:hanging="171"/>
        <w:spacing w:after="0" w:line="287"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potential human rights abuse through misuse of the technology we provide;</w:t>
      </w:r>
    </w:p>
    <w:p>
      <w:pPr>
        <w:ind w:left="180" w:right="160" w:hanging="171"/>
        <w:spacing w:after="0" w:line="287"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potential lack of proper respect for human rights, fair labor conditions, the environment and supply chains;</w:t>
      </w:r>
    </w:p>
    <w:p>
      <w:pPr>
        <w:ind w:left="180" w:right="460" w:hanging="171"/>
        <w:spacing w:after="0" w:line="278"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non-compliance with regulations or our supplier and customer requirements;</w:t>
      </w:r>
    </w:p>
    <w:p>
      <w:pPr>
        <w:ind w:left="180" w:right="500" w:hanging="170"/>
        <w:spacing w:after="0" w:line="287"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violation of ethical standards, including our Code of Conduct;</w:t>
      </w: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labor unrest and strikes;</w:t>
      </w:r>
    </w:p>
    <w:p>
      <w:pPr>
        <w:spacing w:after="0" w:line="45" w:lineRule="exact"/>
        <w:rPr>
          <w:rFonts w:ascii="Times New Roman" w:cs="Times New Roman" w:eastAsia="Times New Roman" w:hAnsi="Times New Roman"/>
          <w:sz w:val="11"/>
          <w:szCs w:val="11"/>
          <w:color w:val="005AFF"/>
        </w:rPr>
      </w:pPr>
    </w:p>
    <w:p>
      <w:pPr>
        <w:ind w:left="180" w:right="680" w:hanging="171"/>
        <w:spacing w:after="0" w:line="278"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inability to retain, motivate, develop and recruit appropriately skilled employees;</w:t>
      </w:r>
    </w:p>
    <w:p>
      <w:pPr>
        <w:ind w:left="180" w:hanging="171"/>
        <w:spacing w:after="0"/>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public harm to our brand;</w:t>
      </w:r>
    </w:p>
    <w:p>
      <w:pPr>
        <w:spacing w:after="0" w:line="45" w:lineRule="exact"/>
        <w:rPr>
          <w:rFonts w:ascii="Times New Roman" w:cs="Times New Roman" w:eastAsia="Times New Roman" w:hAnsi="Times New Roman"/>
          <w:sz w:val="11"/>
          <w:szCs w:val="11"/>
          <w:color w:val="005AFF"/>
        </w:rPr>
      </w:pPr>
    </w:p>
    <w:p>
      <w:pPr>
        <w:ind w:left="180" w:right="120" w:hanging="171"/>
        <w:spacing w:after="0" w:line="287" w:lineRule="auto"/>
        <w:tabs>
          <w:tab w:leader="none" w:pos="180" w:val="left"/>
        </w:tabs>
        <w:numPr>
          <w:ilvl w:val="0"/>
          <w:numId w:val="6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issues with trade tariffs and taxation, including tax disputes; and</w:t>
      </w:r>
    </w:p>
    <w:p>
      <w:pPr>
        <w:ind w:left="180" w:right="300" w:hanging="168"/>
        <w:spacing w:after="0" w:line="291" w:lineRule="auto"/>
        <w:tabs>
          <w:tab w:leader="none" w:pos="180" w:val="left"/>
        </w:tabs>
        <w:numPr>
          <w:ilvl w:val="0"/>
          <w:numId w:val="69"/>
        </w:numPr>
        <w:rPr>
          <w:rFonts w:ascii="Times New Roman" w:cs="Times New Roman" w:eastAsia="Times New Roman" w:hAnsi="Times New Roman"/>
          <w:sz w:val="10"/>
          <w:szCs w:val="10"/>
          <w:color w:val="005AFF"/>
        </w:rPr>
      </w:pPr>
      <w:r>
        <w:rPr>
          <w:rFonts w:ascii="Times New Roman" w:cs="Times New Roman" w:eastAsia="Times New Roman" w:hAnsi="Times New Roman"/>
          <w:sz w:val="10"/>
          <w:szCs w:val="10"/>
          <w:color w:val="auto"/>
        </w:rPr>
        <w:t>disruptions in our manufacturing, service creation, delivery, logistics or supply chain caused, for instance, by natural</w:t>
      </w:r>
    </w:p>
    <w:p>
      <w:pPr>
        <w:spacing w:after="0" w:line="1" w:lineRule="exact"/>
        <w:rPr>
          <w:sz w:val="20"/>
          <w:szCs w:val="20"/>
          <w:color w:val="auto"/>
        </w:rPr>
      </w:pPr>
    </w:p>
    <w:p>
      <w:pPr>
        <w:ind w:left="180"/>
        <w:spacing w:after="0"/>
        <w:rPr>
          <w:sz w:val="20"/>
          <w:szCs w:val="20"/>
          <w:color w:val="auto"/>
        </w:rPr>
      </w:pPr>
      <w:r>
        <w:rPr>
          <w:rFonts w:ascii="Times New Roman" w:cs="Times New Roman" w:eastAsia="Times New Roman" w:hAnsi="Times New Roman"/>
          <w:sz w:val="11"/>
          <w:szCs w:val="11"/>
          <w:color w:val="auto"/>
        </w:rPr>
        <w:t>disasters, military actions, civil unrest, public health, and safety</w:t>
      </w:r>
    </w:p>
    <w:p>
      <w:pPr>
        <w:spacing w:after="0" w:line="10" w:lineRule="exact"/>
        <w:rPr>
          <w:sz w:val="20"/>
          <w:szCs w:val="20"/>
          <w:color w:val="auto"/>
        </w:rPr>
      </w:pPr>
    </w:p>
    <w:p>
      <w:pPr>
        <w:ind w:left="180"/>
        <w:spacing w:after="0" w:line="286" w:lineRule="auto"/>
        <w:rPr>
          <w:sz w:val="20"/>
          <w:szCs w:val="20"/>
          <w:color w:val="auto"/>
        </w:rPr>
      </w:pPr>
      <w:r>
        <w:rPr>
          <w:rFonts w:ascii="Times New Roman" w:cs="Times New Roman" w:eastAsia="Times New Roman" w:hAnsi="Times New Roman"/>
          <w:sz w:val="11"/>
          <w:szCs w:val="11"/>
          <w:color w:val="auto"/>
        </w:rPr>
        <w:t xml:space="preserve">threats (including disease outbreaks), many of which m </w:t>
      </w:r>
      <w:r>
        <w:rPr>
          <w:rFonts w:ascii="Times New Roman" w:cs="Times New Roman" w:eastAsia="Times New Roman" w:hAnsi="Times New Roman"/>
          <w:sz w:val="11"/>
          <w:szCs w:val="11"/>
          <w:color w:val="auto"/>
          <w:highlight w:val="white"/>
        </w:rPr>
        <w:t>ay be</w:t>
      </w:r>
      <w:r>
        <w:rPr>
          <w:rFonts w:ascii="Times New Roman" w:cs="Times New Roman" w:eastAsia="Times New Roman" w:hAnsi="Times New Roman"/>
          <w:sz w:val="11"/>
          <w:szCs w:val="11"/>
          <w:color w:val="auto"/>
        </w:rPr>
        <w:t xml:space="preserve"> </w:t>
      </w:r>
      <w:r>
        <w:rPr>
          <w:rFonts w:ascii="Times New Roman" w:cs="Times New Roman" w:eastAsia="Times New Roman" w:hAnsi="Times New Roman"/>
          <w:sz w:val="11"/>
          <w:szCs w:val="11"/>
          <w:color w:val="auto"/>
          <w:highlight w:val="white"/>
        </w:rPr>
        <w:t>fueled by the adverse effects resulting from climate change.</w:t>
      </w:r>
    </w:p>
    <w:p>
      <w:pPr>
        <w:spacing w:after="0" w:line="39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9" w:lineRule="exact"/>
        <w:rPr>
          <w:sz w:val="20"/>
          <w:szCs w:val="20"/>
          <w:color w:val="auto"/>
        </w:rPr>
      </w:pPr>
    </w:p>
    <w:p>
      <w:pPr>
        <w:ind w:right="40"/>
        <w:spacing w:after="0" w:line="279" w:lineRule="auto"/>
        <w:rPr>
          <w:sz w:val="20"/>
          <w:szCs w:val="20"/>
          <w:color w:val="auto"/>
        </w:rPr>
      </w:pPr>
      <w:r>
        <w:rPr>
          <w:rFonts w:ascii="Times New Roman" w:cs="Times New Roman" w:eastAsia="Times New Roman" w:hAnsi="Times New Roman"/>
          <w:sz w:val="11"/>
          <w:szCs w:val="11"/>
          <w:color w:val="auto"/>
        </w:rPr>
        <w:t>How these risks are managed, including related key policies and actions, is further discussed in the following paragraphs, in the context of the relevant topics .</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Sustainability recognitions</w:t>
      </w:r>
    </w:p>
    <w:p>
      <w:pPr>
        <w:spacing w:after="0" w:line="36" w:lineRule="exact"/>
        <w:rPr>
          <w:sz w:val="20"/>
          <w:szCs w:val="20"/>
          <w:color w:val="auto"/>
        </w:rPr>
      </w:pPr>
    </w:p>
    <w:p>
      <w:pPr>
        <w:ind w:right="180"/>
        <w:spacing w:after="0" w:line="290" w:lineRule="auto"/>
        <w:rPr>
          <w:sz w:val="20"/>
          <w:szCs w:val="20"/>
          <w:color w:val="auto"/>
        </w:rPr>
      </w:pPr>
      <w:r>
        <w:rPr>
          <w:rFonts w:ascii="Times New Roman" w:cs="Times New Roman" w:eastAsia="Times New Roman" w:hAnsi="Times New Roman"/>
          <w:sz w:val="11"/>
          <w:szCs w:val="11"/>
          <w:color w:val="auto"/>
        </w:rPr>
        <w:t>We respond to key ratings and ranking organizations to drive greater transparency and external recognition of our work.</w:t>
      </w:r>
    </w:p>
    <w:p>
      <w:pPr>
        <w:spacing w:after="0" w:line="48"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 xml:space="preserve">For example, f </w:t>
      </w:r>
      <w:r>
        <w:rPr>
          <w:rFonts w:ascii="Times New Roman" w:cs="Times New Roman" w:eastAsia="Times New Roman" w:hAnsi="Times New Roman"/>
          <w:sz w:val="11"/>
          <w:szCs w:val="11"/>
          <w:color w:val="auto"/>
          <w:highlight w:val="white"/>
        </w:rPr>
        <w:t>or 2023,</w:t>
      </w:r>
      <w:r>
        <w:rPr>
          <w:rFonts w:ascii="Times New Roman" w:cs="Times New Roman" w:eastAsia="Times New Roman" w:hAnsi="Times New Roman"/>
          <w:sz w:val="11"/>
          <w:szCs w:val="11"/>
          <w:color w:val="auto"/>
        </w:rPr>
        <w:t xml:space="preserve"> we were assessed by Sustainalytics to be at low risk of experiencing material financial impacts from ESG factors. In early 2024, we were included in Sustainalytics’ 2024 ESG Top-Rated Companies list. The ESG Risk Ratings by Sustainalytics provide information for investors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91</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2" w:lineRule="exact"/>
        <w:rPr>
          <w:sz w:val="20"/>
          <w:szCs w:val="20"/>
          <w:color w:val="auto"/>
        </w:rPr>
      </w:pPr>
    </w:p>
    <w:p>
      <w:pPr>
        <w:ind w:right="280"/>
        <w:spacing w:after="0" w:line="290" w:lineRule="auto"/>
        <w:rPr>
          <w:sz w:val="20"/>
          <w:szCs w:val="20"/>
          <w:color w:val="auto"/>
        </w:rPr>
      </w:pPr>
      <w:r>
        <w:rPr>
          <w:rFonts w:ascii="Times New Roman" w:cs="Times New Roman" w:eastAsia="Times New Roman" w:hAnsi="Times New Roman"/>
          <w:sz w:val="11"/>
          <w:szCs w:val="11"/>
          <w:color w:val="auto"/>
        </w:rPr>
        <w:t xml:space="preserve">assessing </w:t>
      </w:r>
      <w:r>
        <w:rPr>
          <w:rFonts w:ascii="Times New Roman" w:cs="Times New Roman" w:eastAsia="Times New Roman" w:hAnsi="Times New Roman"/>
          <w:sz w:val="11"/>
          <w:szCs w:val="11"/>
          <w:color w:val="auto"/>
          <w:highlight w:val="white"/>
        </w:rPr>
        <w:t>financially</w:t>
      </w:r>
      <w:r>
        <w:rPr>
          <w:rFonts w:ascii="Times New Roman" w:cs="Times New Roman" w:eastAsia="Times New Roman" w:hAnsi="Times New Roman"/>
          <w:sz w:val="11"/>
          <w:szCs w:val="11"/>
          <w:color w:val="auto"/>
        </w:rPr>
        <w:t xml:space="preserve"> material ESG issues that affect the long-term performance of their investments.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the MSCI ESG Ratings assessment, we received a rating of</w:t>
      </w:r>
    </w:p>
    <w:p>
      <w:pPr>
        <w:spacing w:after="0" w:line="22" w:lineRule="exact"/>
        <w:rPr>
          <w:sz w:val="20"/>
          <w:szCs w:val="20"/>
          <w:color w:val="auto"/>
        </w:rPr>
      </w:pPr>
    </w:p>
    <w:p>
      <w:pPr>
        <w:ind w:right="120" w:firstLine="2"/>
        <w:spacing w:after="0" w:line="273" w:lineRule="auto"/>
        <w:tabs>
          <w:tab w:leader="none" w:pos="277" w:val="left"/>
        </w:tabs>
        <w:numPr>
          <w:ilvl w:val="0"/>
          <w:numId w:val="70"/>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(on a scale of AAA–CCC). The MSCI ESG Ratings are used by investors to measure companies’ resilience to long-term, financially relevant ESG risks.</w:t>
      </w:r>
    </w:p>
    <w:p>
      <w:pPr>
        <w:spacing w:after="0" w:line="47" w:lineRule="exact"/>
        <w:rPr>
          <w:sz w:val="20"/>
          <w:szCs w:val="20"/>
          <w:color w:val="auto"/>
        </w:rPr>
      </w:pPr>
    </w:p>
    <w:p>
      <w:pPr>
        <w:ind w:right="580"/>
        <w:spacing w:after="0" w:line="309" w:lineRule="auto"/>
        <w:rPr>
          <w:sz w:val="20"/>
          <w:szCs w:val="20"/>
          <w:color w:val="auto"/>
        </w:rPr>
      </w:pPr>
      <w:r>
        <w:rPr>
          <w:rFonts w:ascii="Times New Roman" w:cs="Times New Roman" w:eastAsia="Times New Roman" w:hAnsi="Times New Roman"/>
          <w:sz w:val="11"/>
          <w:szCs w:val="11"/>
          <w:color w:val="auto"/>
        </w:rPr>
        <w:t>Further information on all our recognitions can be found on our website.</w:t>
      </w:r>
    </w:p>
    <w:p>
      <w:pPr>
        <w:sectPr>
          <w:pgSz w:w="11900" w:h="16838" w:orient="portrait"/>
          <w:cols w:equalWidth="0" w:num="3">
            <w:col w:w="3040" w:space="360"/>
            <w:col w:w="2980" w:space="420"/>
            <w:col w:w="3180"/>
          </w:cols>
          <w:pgMar w:left="960" w:top="409" w:right="959" w:bottom="1440" w:gutter="0" w:footer="0" w:header="0"/>
        </w:sectPr>
      </w:pPr>
    </w:p>
    <w:bookmarkStart w:id="99" w:name="page100"/>
    <w:bookmarkEnd w:id="9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spacing w:after="0"/>
        <w:rPr>
          <w:sz w:val="20"/>
          <w:szCs w:val="20"/>
          <w:color w:val="auto"/>
        </w:rPr>
      </w:pPr>
      <w:r>
        <w:rPr>
          <w:rFonts w:ascii="Times New Roman" w:cs="Times New Roman" w:eastAsia="Times New Roman" w:hAnsi="Times New Roman"/>
          <w:sz w:val="23"/>
          <w:szCs w:val="23"/>
          <w:color w:val="005AFF"/>
        </w:rPr>
        <w:t>Environment</w:t>
      </w:r>
    </w:p>
    <w:p>
      <w:pPr>
        <w:spacing w:after="0" w:line="64"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3"/>
          <w:szCs w:val="13"/>
          <w:color w:val="auto"/>
        </w:rPr>
        <w:t>This section covers how we address our own environmental footprint, including our focus on both climate and circularity. We strive to minimize our footprint across S cope 1, 2 and 3 by actively and continually managing that footprint. As the volume of network traffic rises in a more connected, digitalized world, we must work to separate this growth in traffic from any equivalent growth in energy consumption. We also need to constantly strive to reduce GHG emissions across our operations and facilities, and work with our supply chain to help drive greater energy and resource efficiency through the whole chain. We believe our technology will play an ever-more significant role in helping other industries and society decarbonize (see the “Industrial digitalization” section of this report).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29"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Climate</w:t>
      </w:r>
    </w:p>
    <w:p>
      <w:pPr>
        <w:spacing w:after="0" w:line="46"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1"/>
          <w:szCs w:val="11"/>
          <w:color w:val="auto"/>
        </w:rPr>
        <w:t>Climate change remains a significant risk to society and the natural environment. It can negatively impact our supply chain and our customers’ business, as well as the global economy and political and social stability.</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recognize that the products and services we provide</w:t>
      </w:r>
    </w:p>
    <w:p>
      <w:pPr>
        <w:spacing w:after="0" w:line="22" w:lineRule="exact"/>
        <w:rPr>
          <w:sz w:val="20"/>
          <w:szCs w:val="20"/>
          <w:color w:val="auto"/>
        </w:rPr>
      </w:pPr>
    </w:p>
    <w:p>
      <w:pPr>
        <w:spacing w:after="0"/>
        <w:tabs>
          <w:tab w:leader="none" w:pos="2180" w:val="left"/>
        </w:tabs>
        <w:rPr>
          <w:sz w:val="20"/>
          <w:szCs w:val="20"/>
          <w:color w:val="auto"/>
        </w:rPr>
      </w:pPr>
      <w:r>
        <w:rPr>
          <w:rFonts w:ascii="Times New Roman" w:cs="Times New Roman" w:eastAsia="Times New Roman" w:hAnsi="Times New Roman"/>
          <w:sz w:val="11"/>
          <w:szCs w:val="11"/>
          <w:color w:val="auto"/>
        </w:rPr>
        <w:t>globally may affect the environment and cli</w:t>
      </w:r>
      <w:r>
        <w:rPr>
          <w:sz w:val="20"/>
          <w:szCs w:val="20"/>
          <w:color w:val="auto"/>
        </w:rPr>
        <w:tab/>
      </w:r>
      <w:r>
        <w:rPr>
          <w:rFonts w:ascii="Times New Roman" w:cs="Times New Roman" w:eastAsia="Times New Roman" w:hAnsi="Times New Roman"/>
          <w:sz w:val="11"/>
          <w:szCs w:val="11"/>
          <w:color w:val="auto"/>
          <w:highlight w:val="white"/>
        </w:rPr>
        <w:t>mate 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highlight w:val="white"/>
        </w:rPr>
        <w:t>manufacturing, distributing, and operating these products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highlight w:val="white"/>
        </w:rPr>
        <w:t>requires energy and other natural resources. In 2023, 97%</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highlight w:val="white"/>
        </w:rPr>
        <w:t>of our GHG emissions footprint came from our products</w:t>
      </w:r>
    </w:p>
    <w:p>
      <w:pPr>
        <w:spacing w:after="0" w:line="10" w:lineRule="exact"/>
        <w:rPr>
          <w:sz w:val="20"/>
          <w:szCs w:val="20"/>
          <w:color w:val="auto"/>
        </w:rPr>
      </w:pPr>
    </w:p>
    <w:p>
      <w:pPr>
        <w:spacing w:after="0"/>
        <w:tabs>
          <w:tab w:leader="none" w:pos="1360" w:val="left"/>
        </w:tabs>
        <w:rPr>
          <w:sz w:val="20"/>
          <w:szCs w:val="20"/>
          <w:color w:val="auto"/>
        </w:rPr>
      </w:pPr>
      <w:r>
        <w:rPr>
          <w:rFonts w:ascii="Times New Roman" w:cs="Times New Roman" w:eastAsia="Times New Roman" w:hAnsi="Times New Roman"/>
          <w:sz w:val="11"/>
          <w:szCs w:val="11"/>
          <w:color w:val="auto"/>
          <w:highlight w:val="white"/>
        </w:rPr>
        <w:t>in use by our customers in</w:t>
      </w:r>
      <w:r>
        <w:rPr>
          <w:sz w:val="20"/>
          <w:szCs w:val="20"/>
          <w:color w:val="auto"/>
        </w:rPr>
        <w:tab/>
      </w:r>
      <w:r>
        <w:rPr>
          <w:rFonts w:ascii="Times New Roman" w:cs="Times New Roman" w:eastAsia="Times New Roman" w:hAnsi="Times New Roman"/>
          <w:sz w:val="11"/>
          <w:szCs w:val="11"/>
          <w:color w:val="auto"/>
        </w:rPr>
        <w:t>their networks. We can impact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footprint by constantly improving power consumption,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increasing energy efficiency, and innovating where possible.</w:t>
      </w:r>
    </w:p>
    <w:p>
      <w:pPr>
        <w:spacing w:after="0" w:line="84" w:lineRule="exact"/>
        <w:rPr>
          <w:sz w:val="20"/>
          <w:szCs w:val="20"/>
          <w:color w:val="auto"/>
        </w:rPr>
      </w:pPr>
    </w:p>
    <w:p>
      <w:pPr>
        <w:ind w:right="180"/>
        <w:spacing w:after="0" w:line="279" w:lineRule="auto"/>
        <w:rPr>
          <w:sz w:val="20"/>
          <w:szCs w:val="20"/>
          <w:color w:val="auto"/>
        </w:rPr>
      </w:pPr>
      <w:r>
        <w:rPr>
          <w:rFonts w:ascii="Times New Roman" w:cs="Times New Roman" w:eastAsia="Times New Roman" w:hAnsi="Times New Roman"/>
          <w:sz w:val="11"/>
          <w:szCs w:val="11"/>
          <w:color w:val="auto"/>
        </w:rPr>
        <w:t>We continue to also innovate in terms of the silicon, software and hardware we develop. During the year some of those innovations included:</w:t>
      </w:r>
    </w:p>
    <w:p>
      <w:pPr>
        <w:spacing w:after="0" w:line="54" w:lineRule="exact"/>
        <w:rPr>
          <w:sz w:val="20"/>
          <w:szCs w:val="20"/>
          <w:color w:val="auto"/>
        </w:rPr>
      </w:pPr>
    </w:p>
    <w:p>
      <w:pPr>
        <w:ind w:left="180" w:right="200" w:hanging="170"/>
        <w:spacing w:after="0" w:line="279" w:lineRule="auto"/>
        <w:tabs>
          <w:tab w:leader="none" w:pos="180" w:val="left"/>
        </w:tabs>
        <w:numPr>
          <w:ilvl w:val="0"/>
          <w:numId w:val="7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MantaRay Energy, a solution for RAN energy efficiency, combines Nokia’s capabilities to optimize the energy consumption of radio access networks with AI and ML</w:t>
      </w:r>
    </w:p>
    <w:p>
      <w:pPr>
        <w:spacing w:after="0" w:line="3" w:lineRule="exact"/>
        <w:rPr>
          <w:rFonts w:ascii="Times New Roman" w:cs="Times New Roman" w:eastAsia="Times New Roman" w:hAnsi="Times New Roman"/>
          <w:sz w:val="11"/>
          <w:szCs w:val="11"/>
          <w:color w:val="005AFF"/>
        </w:rPr>
      </w:pPr>
    </w:p>
    <w:p>
      <w:pPr>
        <w:ind w:left="180" w:right="260" w:hanging="170"/>
        <w:spacing w:after="0" w:line="307" w:lineRule="auto"/>
        <w:tabs>
          <w:tab w:leader="none" w:pos="180" w:val="left"/>
        </w:tabs>
        <w:numPr>
          <w:ilvl w:val="0"/>
          <w:numId w:val="7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An expanded portfolio of energy-efficient site solutions designed for our AirScale baseband portfolio</w:t>
      </w:r>
    </w:p>
    <w:p>
      <w:pPr>
        <w:ind w:left="180" w:right="240" w:hanging="170"/>
        <w:spacing w:after="0" w:line="279" w:lineRule="auto"/>
        <w:tabs>
          <w:tab w:leader="none" w:pos="180" w:val="left"/>
        </w:tabs>
        <w:numPr>
          <w:ilvl w:val="0"/>
          <w:numId w:val="7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 new update to our optics portfolio with launch of the sixth-generation super-coherent photonic service engine (PSE-6s)</w:t>
      </w:r>
    </w:p>
    <w:p>
      <w:pPr>
        <w:spacing w:after="0" w:line="44" w:lineRule="exact"/>
        <w:rPr>
          <w:sz w:val="20"/>
          <w:szCs w:val="20"/>
          <w:color w:val="auto"/>
        </w:rPr>
      </w:pPr>
    </w:p>
    <w:p>
      <w:pPr>
        <w:jc w:val="both"/>
        <w:ind w:right="100"/>
        <w:spacing w:after="0" w:line="289" w:lineRule="auto"/>
        <w:rPr>
          <w:sz w:val="20"/>
          <w:szCs w:val="20"/>
          <w:color w:val="auto"/>
        </w:rPr>
      </w:pPr>
      <w:r>
        <w:rPr>
          <w:rFonts w:ascii="Times New Roman" w:cs="Times New Roman" w:eastAsia="Times New Roman" w:hAnsi="Times New Roman"/>
          <w:sz w:val="11"/>
          <w:szCs w:val="11"/>
          <w:color w:val="auto"/>
        </w:rPr>
        <w:t>GHG emissions from our own operations account for only 1% of Nokia’s total carbon emissions, but we remain committed to decarbonizing our operational footprint.</w:t>
      </w:r>
    </w:p>
    <w:p>
      <w:pPr>
        <w:spacing w:after="0" w:line="39"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rPr>
        <w:t>We are a member of the RE100 initiative aligned with our global ambition to use 100% renewable electricity across our facilities by 2025. In 2023, we reached our annual target of 75% of renewable electricity across our facilities.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92</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color w:val="auto"/>
        </w:rPr>
        <w:t>Our commitment to climate action was further validated through Nokia’s Sustainable Finance Framework announced in 2023. This framework was established in accordance with the recommendations of the Sustainability-Linked Bond Principles (SLBP), and the Sustainability Performance Target in the framework is based on Nokia’s science-based target of reduction of absolute GHG emissions across our value chain</w:t>
      </w:r>
    </w:p>
    <w:p>
      <w:pPr>
        <w:spacing w:after="0" w:line="3" w:lineRule="exact"/>
        <w:rPr>
          <w:sz w:val="20"/>
          <w:szCs w:val="20"/>
          <w:color w:val="auto"/>
        </w:rPr>
      </w:pPr>
    </w:p>
    <w:p>
      <w:pPr>
        <w:ind w:right="180"/>
        <w:spacing w:after="0" w:line="227" w:lineRule="auto"/>
        <w:rPr>
          <w:sz w:val="20"/>
          <w:szCs w:val="20"/>
          <w:color w:val="auto"/>
        </w:rPr>
      </w:pPr>
      <w:r>
        <w:rPr>
          <w:rFonts w:ascii="Times New Roman" w:cs="Times New Roman" w:eastAsia="Times New Roman" w:hAnsi="Times New Roman"/>
          <w:sz w:val="11"/>
          <w:szCs w:val="11"/>
          <w:color w:val="auto"/>
        </w:rPr>
        <w:t xml:space="preserve">(Scope 1, 2 and 3) measured in metric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A second-party opinion for the Framework was provided by</w:t>
      </w:r>
    </w:p>
    <w:p>
      <w:pPr>
        <w:spacing w:after="0" w:line="1" w:lineRule="exact"/>
        <w:rPr>
          <w:sz w:val="20"/>
          <w:szCs w:val="20"/>
          <w:color w:val="auto"/>
        </w:rPr>
      </w:pPr>
    </w:p>
    <w:p>
      <w:pPr>
        <w:ind w:right="220"/>
        <w:spacing w:after="0" w:line="271" w:lineRule="auto"/>
        <w:rPr>
          <w:sz w:val="20"/>
          <w:szCs w:val="20"/>
          <w:color w:val="auto"/>
        </w:rPr>
      </w:pPr>
      <w:r>
        <w:rPr>
          <w:rFonts w:ascii="Times New Roman" w:cs="Times New Roman" w:eastAsia="Times New Roman" w:hAnsi="Times New Roman"/>
          <w:sz w:val="11"/>
          <w:szCs w:val="11"/>
          <w:color w:val="auto"/>
        </w:rPr>
        <w:t>Sustainalytics, assessing Nokia’s Sustainability Performance Target as ‘Highly Ambitious’ and the Company’s selected KPI – reduction of absolute GHG emissions across its value chain – as ‘Very Strong’.</w:t>
      </w:r>
    </w:p>
    <w:p>
      <w:pPr>
        <w:spacing w:after="0" w:line="49" w:lineRule="exact"/>
        <w:rPr>
          <w:sz w:val="20"/>
          <w:szCs w:val="20"/>
          <w:color w:val="auto"/>
        </w:rPr>
      </w:pPr>
    </w:p>
    <w:p>
      <w:pPr>
        <w:ind w:right="220"/>
        <w:spacing w:after="0" w:line="265" w:lineRule="auto"/>
        <w:rPr>
          <w:sz w:val="20"/>
          <w:szCs w:val="20"/>
          <w:color w:val="auto"/>
        </w:rPr>
      </w:pPr>
      <w:r>
        <w:rPr>
          <w:rFonts w:ascii="Times New Roman" w:cs="Times New Roman" w:eastAsia="Times New Roman" w:hAnsi="Times New Roman"/>
          <w:sz w:val="11"/>
          <w:szCs w:val="11"/>
          <w:color w:val="auto"/>
        </w:rPr>
        <w:t>As digitalization plays an increasing role in helping industries and communities decarbonize, it is important that we are part of the climate conversation. Our sustainability leadership participated in the New York Climate Week and the UN General Assembly in September 2023, meeting with key UN and climate leaders on the role of technology in environmental and social challenges. In December 2023, Nokia joined Business Finland and other Finnish climate leaders in COP28 (the United Nations Climate Change Conference) to again emphasize the importance of digital solutions in accelerating the response to climate change and supporting industries in which emissions are hard to abate.</w:t>
      </w:r>
    </w:p>
    <w:p>
      <w:pPr>
        <w:sectPr>
          <w:pgSz w:w="11900" w:h="16838" w:orient="portrait"/>
          <w:cols w:equalWidth="0" w:num="3">
            <w:col w:w="2940" w:space="460"/>
            <w:col w:w="2980" w:space="420"/>
            <w:col w:w="3180"/>
          </w:cols>
          <w:pgMar w:left="960" w:top="409" w:right="959" w:bottom="1440" w:gutter="0" w:footer="0" w:header="0"/>
        </w:sectPr>
      </w:pPr>
    </w:p>
    <w:bookmarkStart w:id="100" w:name="page101"/>
    <w:bookmarkEnd w:id="10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93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700" w:type="dxa"/>
            <w:vAlign w:val="bottom"/>
          </w:tcPr>
          <w:p>
            <w:pPr>
              <w:spacing w:after="0"/>
              <w:rPr>
                <w:sz w:val="3"/>
                <w:szCs w:val="3"/>
                <w:color w:val="auto"/>
              </w:rPr>
            </w:pPr>
          </w:p>
        </w:tc>
        <w:tc>
          <w:tcPr>
            <w:tcW w:w="20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ectPr>
          <w:pgSz w:w="11900" w:h="16838" w:orient="portrait"/>
          <w:cols w:equalWidth="0" w:num="1">
            <w:col w:w="9980"/>
          </w:cols>
          <w:pgMar w:left="960" w:top="409" w:right="95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Accelerating our climate ambition</w:t>
      </w:r>
    </w:p>
    <w:p>
      <w:pPr>
        <w:spacing w:after="0" w:line="32" w:lineRule="exact"/>
        <w:rPr>
          <w:sz w:val="20"/>
          <w:szCs w:val="20"/>
          <w:color w:val="auto"/>
        </w:rPr>
      </w:pPr>
    </w:p>
    <w:p>
      <w:pPr>
        <w:ind w:right="380"/>
        <w:spacing w:after="0" w:line="265" w:lineRule="auto"/>
        <w:rPr>
          <w:sz w:val="20"/>
          <w:szCs w:val="20"/>
          <w:color w:val="auto"/>
        </w:rPr>
      </w:pPr>
      <w:r>
        <w:rPr>
          <w:rFonts w:ascii="Times New Roman" w:cs="Times New Roman" w:eastAsia="Times New Roman" w:hAnsi="Times New Roman"/>
          <w:sz w:val="11"/>
          <w:szCs w:val="11"/>
          <w:color w:val="auto"/>
        </w:rPr>
        <w:t>In 2023, Nokia collaborated with the Carbon Trust to investigate how to accelerate its net zero targets and the related pathway and levers. The Carbon Trust partners with leading businesses, governments and financial institutions to help turn their climate ambition into climate action.</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December 2023, the Group Leadership Team approved</w:t>
      </w:r>
    </w:p>
    <w:p>
      <w:pPr>
        <w:spacing w:after="0" w:line="10"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1"/>
          <w:szCs w:val="11"/>
          <w:color w:val="auto"/>
        </w:rPr>
        <w:t>the plan to fast-forward both our net zero target (S</w:t>
      </w:r>
      <w:r>
        <w:rPr>
          <w:sz w:val="20"/>
          <w:szCs w:val="20"/>
          <w:color w:val="auto"/>
        </w:rPr>
        <w:tab/>
      </w:r>
      <w:r>
        <w:rPr>
          <w:rFonts w:ascii="Times New Roman" w:cs="Times New Roman" w:eastAsia="Times New Roman" w:hAnsi="Times New Roman"/>
          <w:sz w:val="11"/>
          <w:szCs w:val="11"/>
          <w:color w:val="auto"/>
        </w:rPr>
        <w:t>cope 1, 2</w:t>
      </w:r>
    </w:p>
    <w:p>
      <w:pPr>
        <w:spacing w:after="0" w:line="15" w:lineRule="exact"/>
        <w:rPr>
          <w:sz w:val="20"/>
          <w:szCs w:val="20"/>
          <w:color w:val="auto"/>
        </w:rPr>
      </w:pPr>
    </w:p>
    <w:p>
      <w:pPr>
        <w:spacing w:after="0"/>
        <w:tabs>
          <w:tab w:leader="none" w:pos="1500" w:val="left"/>
        </w:tabs>
        <w:rPr>
          <w:sz w:val="20"/>
          <w:szCs w:val="20"/>
          <w:color w:val="auto"/>
        </w:rPr>
      </w:pPr>
      <w:r>
        <w:rPr>
          <w:rFonts w:ascii="Times New Roman" w:cs="Times New Roman" w:eastAsia="Times New Roman" w:hAnsi="Times New Roman"/>
          <w:sz w:val="11"/>
          <w:szCs w:val="11"/>
          <w:color w:val="auto"/>
        </w:rPr>
        <w:t>and 3) and our interim 2030 S</w:t>
        <w:tab/>
        <w:t>cope 1 and 2 targets.</w:t>
      </w:r>
    </w:p>
    <w:p>
      <w:pPr>
        <w:spacing w:after="0" w:line="79" w:lineRule="exact"/>
        <w:rPr>
          <w:sz w:val="20"/>
          <w:szCs w:val="20"/>
          <w:color w:val="auto"/>
        </w:rPr>
      </w:pPr>
    </w:p>
    <w:p>
      <w:pPr>
        <w:ind w:left="180" w:hanging="171"/>
        <w:spacing w:after="0"/>
        <w:tabs>
          <w:tab w:leader="none" w:pos="180" w:val="left"/>
        </w:tabs>
        <w:numPr>
          <w:ilvl w:val="0"/>
          <w:numId w:val="7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have set a new long-term target to reach net zero GHG</w:t>
      </w:r>
    </w:p>
    <w:p>
      <w:pPr>
        <w:spacing w:after="0" w:line="22" w:lineRule="exact"/>
        <w:rPr>
          <w:sz w:val="20"/>
          <w:szCs w:val="20"/>
          <w:color w:val="auto"/>
        </w:rPr>
      </w:pPr>
    </w:p>
    <w:p>
      <w:pPr>
        <w:ind w:left="180"/>
        <w:spacing w:after="0"/>
        <w:tabs>
          <w:tab w:leader="none" w:pos="1820" w:val="left"/>
        </w:tabs>
        <w:rPr>
          <w:sz w:val="20"/>
          <w:szCs w:val="20"/>
          <w:color w:val="auto"/>
        </w:rPr>
      </w:pPr>
      <w:r>
        <w:rPr>
          <w:rFonts w:ascii="Times New Roman" w:cs="Times New Roman" w:eastAsia="Times New Roman" w:hAnsi="Times New Roman"/>
          <w:sz w:val="11"/>
          <w:szCs w:val="11"/>
          <w:color w:val="auto"/>
        </w:rPr>
        <w:t>emissions across our value chain</w:t>
      </w:r>
      <w:r>
        <w:rPr>
          <w:sz w:val="20"/>
          <w:szCs w:val="20"/>
          <w:color w:val="auto"/>
        </w:rPr>
        <w:tab/>
      </w:r>
      <w:r>
        <w:rPr>
          <w:rFonts w:ascii="Times New Roman" w:cs="Times New Roman" w:eastAsia="Times New Roman" w:hAnsi="Times New Roman"/>
          <w:sz w:val="14"/>
          <w:szCs w:val="14"/>
          <w:color w:val="auto"/>
          <w:vertAlign w:val="superscript"/>
        </w:rPr>
        <w:t xml:space="preserve">(1) </w:t>
      </w:r>
      <w:r>
        <w:rPr>
          <w:rFonts w:ascii="Times New Roman" w:cs="Times New Roman" w:eastAsia="Times New Roman" w:hAnsi="Times New Roman"/>
          <w:sz w:val="10"/>
          <w:szCs w:val="10"/>
          <w:color w:val="auto"/>
        </w:rPr>
        <w:t>by 2040</w:t>
      </w:r>
    </w:p>
    <w:p>
      <w:pPr>
        <w:spacing w:after="0" w:line="45" w:lineRule="exact"/>
        <w:rPr>
          <w:sz w:val="20"/>
          <w:szCs w:val="20"/>
          <w:color w:val="auto"/>
        </w:rPr>
      </w:pPr>
    </w:p>
    <w:p>
      <w:pPr>
        <w:ind w:left="180" w:hanging="171"/>
        <w:spacing w:after="0"/>
        <w:tabs>
          <w:tab w:leader="none" w:pos="180" w:val="left"/>
        </w:tabs>
        <w:numPr>
          <w:ilvl w:val="0"/>
          <w:numId w:val="7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also aim to accelerate our existing interim 2030 target</w:t>
      </w:r>
    </w:p>
    <w:p>
      <w:pPr>
        <w:spacing w:after="0" w:line="22" w:lineRule="exact"/>
        <w:rPr>
          <w:sz w:val="20"/>
          <w:szCs w:val="20"/>
          <w:color w:val="auto"/>
        </w:rPr>
      </w:pPr>
    </w:p>
    <w:p>
      <w:pPr>
        <w:ind w:left="180"/>
        <w:spacing w:after="0" w:line="236" w:lineRule="auto"/>
        <w:rPr>
          <w:sz w:val="20"/>
          <w:szCs w:val="20"/>
          <w:color w:val="auto"/>
        </w:rPr>
      </w:pPr>
      <w:r>
        <w:rPr>
          <w:rFonts w:ascii="Times New Roman" w:cs="Times New Roman" w:eastAsia="Times New Roman" w:hAnsi="Times New Roman"/>
          <w:sz w:val="11"/>
          <w:szCs w:val="11"/>
          <w:color w:val="auto"/>
        </w:rPr>
        <w:t xml:space="preserve">to reduce emissions across our own operations, </w:t>
      </w:r>
      <w:r>
        <w:rPr>
          <w:rFonts w:ascii="Times New Roman" w:cs="Times New Roman" w:eastAsia="Times New Roman" w:hAnsi="Times New Roman"/>
          <w:sz w:val="14"/>
          <w:szCs w:val="14"/>
          <w:color w:val="auto"/>
          <w:vertAlign w:val="superscript"/>
        </w:rPr>
        <w:t>(2)</w:t>
      </w:r>
      <w:r>
        <w:rPr>
          <w:rFonts w:ascii="Times New Roman" w:cs="Times New Roman" w:eastAsia="Times New Roman" w:hAnsi="Times New Roman"/>
          <w:sz w:val="11"/>
          <w:szCs w:val="11"/>
          <w:color w:val="auto"/>
        </w:rPr>
        <w:t xml:space="preserve"> reaching an 83% reduction by 2030</w:t>
      </w:r>
    </w:p>
    <w:p>
      <w:pPr>
        <w:spacing w:after="0" w:line="65" w:lineRule="exact"/>
        <w:rPr>
          <w:sz w:val="20"/>
          <w:szCs w:val="20"/>
          <w:color w:val="auto"/>
        </w:rPr>
      </w:pPr>
    </w:p>
    <w:p>
      <w:pPr>
        <w:ind w:left="180" w:right="300" w:hanging="171"/>
        <w:spacing w:after="0" w:line="275" w:lineRule="auto"/>
        <w:tabs>
          <w:tab w:leader="none" w:pos="180" w:val="left"/>
        </w:tabs>
        <w:numPr>
          <w:ilvl w:val="0"/>
          <w:numId w:val="7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To ensure its targets are aligned with climate science, Nokia submitted its net zero letter of commitment to the Science Based Targets initiative (SBTi) in February 2024 and will submit the targets themselves for validation</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Our key climate achievements in 2023</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28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Our existing SBT is to reduce our total emissions by 50%</w:t>
            </w:r>
          </w:p>
        </w:tc>
        <w:tc>
          <w:tcPr>
            <w:tcW w:w="180" w:type="dxa"/>
            <w:vAlign w:val="bottom"/>
          </w:tcPr>
          <w:p>
            <w:pPr>
              <w:spacing w:after="0"/>
              <w:rPr>
                <w:sz w:val="11"/>
                <w:szCs w:val="11"/>
                <w:color w:val="auto"/>
              </w:rPr>
            </w:pPr>
          </w:p>
        </w:tc>
      </w:tr>
      <w:tr>
        <w:trPr>
          <w:trHeight w:val="141"/>
        </w:trPr>
        <w:tc>
          <w:tcPr>
            <w:tcW w:w="28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between 2019 and 2030 across our value chain (Scope 1, 2</w:t>
            </w:r>
          </w:p>
        </w:tc>
        <w:tc>
          <w:tcPr>
            <w:tcW w:w="180" w:type="dxa"/>
            <w:vAlign w:val="bottom"/>
          </w:tcPr>
          <w:p>
            <w:pPr>
              <w:spacing w:after="0"/>
              <w:rPr>
                <w:sz w:val="12"/>
                <w:szCs w:val="12"/>
                <w:color w:val="auto"/>
              </w:rPr>
            </w:pPr>
          </w:p>
        </w:tc>
      </w:tr>
      <w:tr>
        <w:trPr>
          <w:trHeight w:val="132"/>
        </w:trPr>
        <w:tc>
          <w:tcPr>
            <w:tcW w:w="2860" w:type="dxa"/>
            <w:vAlign w:val="bottom"/>
            <w:gridSpan w:val="3"/>
          </w:tcPr>
          <w:p>
            <w:pPr>
              <w:spacing w:after="0" w:line="133" w:lineRule="exact"/>
              <w:rPr>
                <w:sz w:val="20"/>
                <w:szCs w:val="20"/>
                <w:color w:val="auto"/>
              </w:rPr>
            </w:pPr>
            <w:r>
              <w:rPr>
                <w:rFonts w:ascii="Times New Roman" w:cs="Times New Roman" w:eastAsia="Times New Roman" w:hAnsi="Times New Roman"/>
                <w:sz w:val="11"/>
                <w:szCs w:val="11"/>
                <w:color w:val="auto"/>
              </w:rPr>
              <w:t xml:space="preserve">and 3) </w:t>
            </w:r>
            <w:r>
              <w:rPr>
                <w:rFonts w:ascii="Times New Roman" w:cs="Times New Roman" w:eastAsia="Times New Roman" w:hAnsi="Times New Roman"/>
                <w:sz w:val="14"/>
                <w:szCs w:val="14"/>
                <w:color w:val="auto"/>
                <w:vertAlign w:val="superscript"/>
              </w:rPr>
              <w:t>(3)</w:t>
            </w:r>
            <w:r>
              <w:rPr>
                <w:rFonts w:ascii="Times New Roman" w:cs="Times New Roman" w:eastAsia="Times New Roman" w:hAnsi="Times New Roman"/>
                <w:sz w:val="11"/>
                <w:szCs w:val="11"/>
                <w:color w:val="auto"/>
              </w:rPr>
              <w:t>. Overall, Nokia’s SBT carbon emissions in 2023 saw</w:t>
            </w:r>
          </w:p>
        </w:tc>
        <w:tc>
          <w:tcPr>
            <w:tcW w:w="180" w:type="dxa"/>
            <w:vAlign w:val="bottom"/>
          </w:tcPr>
          <w:p>
            <w:pPr>
              <w:spacing w:after="0"/>
              <w:rPr>
                <w:sz w:val="11"/>
                <w:szCs w:val="11"/>
                <w:color w:val="auto"/>
              </w:rPr>
            </w:pPr>
          </w:p>
        </w:tc>
      </w:tr>
      <w:tr>
        <w:trPr>
          <w:trHeight w:val="142"/>
        </w:trPr>
        <w:tc>
          <w:tcPr>
            <w:tcW w:w="22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 reduction of 9% compared to 2022. Our S</w:t>
            </w:r>
          </w:p>
        </w:tc>
        <w:tc>
          <w:tcPr>
            <w:tcW w:w="620" w:type="dxa"/>
            <w:vAlign w:val="bottom"/>
          </w:tcPr>
          <w:p>
            <w:pPr>
              <w:spacing w:after="0"/>
              <w:rPr>
                <w:sz w:val="20"/>
                <w:szCs w:val="20"/>
                <w:color w:val="auto"/>
              </w:rPr>
            </w:pPr>
            <w:r>
              <w:rPr>
                <w:rFonts w:ascii="Times New Roman" w:cs="Times New Roman" w:eastAsia="Times New Roman" w:hAnsi="Times New Roman"/>
                <w:sz w:val="11"/>
                <w:szCs w:val="11"/>
                <w:color w:val="auto"/>
              </w:rPr>
              <w:t>cope 1 GHG</w:t>
            </w:r>
          </w:p>
        </w:tc>
        <w:tc>
          <w:tcPr>
            <w:tcW w:w="180" w:type="dxa"/>
            <w:vAlign w:val="bottom"/>
          </w:tcPr>
          <w:p>
            <w:pPr>
              <w:spacing w:after="0"/>
              <w:rPr>
                <w:sz w:val="12"/>
                <w:szCs w:val="12"/>
                <w:color w:val="auto"/>
              </w:rPr>
            </w:pPr>
          </w:p>
        </w:tc>
      </w:tr>
      <w:tr>
        <w:trPr>
          <w:trHeight w:val="141"/>
        </w:trPr>
        <w:tc>
          <w:tcPr>
            <w:tcW w:w="28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emissions in 2023 increased by 7 % to 111 100 tons CO</w:t>
            </w:r>
          </w:p>
        </w:tc>
        <w:tc>
          <w:tcPr>
            <w:tcW w:w="180" w:type="dxa"/>
            <w:vAlign w:val="bottom"/>
          </w:tcPr>
          <w:p>
            <w:pPr>
              <w:ind w:left="20"/>
              <w:spacing w:after="0"/>
              <w:rPr>
                <w:sz w:val="20"/>
                <w:szCs w:val="20"/>
                <w:color w:val="auto"/>
              </w:rPr>
            </w:pPr>
            <w:r>
              <w:rPr>
                <w:rFonts w:ascii="Times New Roman" w:cs="Times New Roman" w:eastAsia="Times New Roman" w:hAnsi="Times New Roman"/>
                <w:sz w:val="7"/>
                <w:szCs w:val="7"/>
                <w:color w:val="auto"/>
              </w:rPr>
              <w:t>2</w:t>
            </w:r>
            <w:r>
              <w:rPr>
                <w:rFonts w:ascii="Times New Roman" w:cs="Times New Roman" w:eastAsia="Times New Roman" w:hAnsi="Times New Roman"/>
                <w:sz w:val="11"/>
                <w:szCs w:val="11"/>
                <w:color w:val="auto"/>
              </w:rPr>
              <w:t>e</w:t>
            </w:r>
          </w:p>
        </w:tc>
      </w:tr>
      <w:tr>
        <w:trPr>
          <w:trHeight w:val="132"/>
        </w:trPr>
        <w:tc>
          <w:tcPr>
            <w:tcW w:w="224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driven by our marine fleet, and our market-based</w:t>
            </w:r>
          </w:p>
        </w:tc>
        <w:tc>
          <w:tcPr>
            <w:tcW w:w="800" w:type="dxa"/>
            <w:vAlign w:val="bottom"/>
            <w:gridSpan w:val="2"/>
          </w:tcPr>
          <w:p>
            <w:pPr>
              <w:ind w:left="280"/>
              <w:spacing w:after="0" w:line="133" w:lineRule="exact"/>
              <w:rPr>
                <w:sz w:val="20"/>
                <w:szCs w:val="20"/>
                <w:color w:val="auto"/>
              </w:rPr>
            </w:pPr>
            <w:r>
              <w:rPr>
                <w:rFonts w:ascii="Times New Roman" w:cs="Times New Roman" w:eastAsia="Times New Roman" w:hAnsi="Times New Roman"/>
                <w:sz w:val="14"/>
                <w:szCs w:val="14"/>
                <w:color w:val="auto"/>
                <w:vertAlign w:val="superscript"/>
              </w:rPr>
              <w:t>(4)</w:t>
            </w:r>
            <w:r>
              <w:rPr>
                <w:rFonts w:ascii="Times New Roman" w:cs="Times New Roman" w:eastAsia="Times New Roman" w:hAnsi="Times New Roman"/>
                <w:sz w:val="11"/>
                <w:szCs w:val="11"/>
                <w:color w:val="auto"/>
              </w:rPr>
              <w:t xml:space="preserve"> Scope 2</w:t>
            </w:r>
          </w:p>
        </w:tc>
      </w:tr>
      <w:tr>
        <w:trPr>
          <w:trHeight w:val="154"/>
        </w:trPr>
        <w:tc>
          <w:tcPr>
            <w:tcW w:w="1680" w:type="dxa"/>
            <w:vAlign w:val="bottom"/>
          </w:tcPr>
          <w:p>
            <w:pPr>
              <w:spacing w:after="0"/>
              <w:rPr>
                <w:sz w:val="20"/>
                <w:szCs w:val="20"/>
                <w:color w:val="auto"/>
              </w:rPr>
            </w:pPr>
            <w:r>
              <w:rPr>
                <w:rFonts w:ascii="Times New Roman" w:cs="Times New Roman" w:eastAsia="Times New Roman" w:hAnsi="Times New Roman"/>
                <w:sz w:val="11"/>
                <w:szCs w:val="11"/>
                <w:color w:val="auto"/>
              </w:rPr>
              <w:t>emissions reached 84 800 tons CO</w:t>
            </w:r>
          </w:p>
        </w:tc>
        <w:tc>
          <w:tcPr>
            <w:tcW w:w="1180" w:type="dxa"/>
            <w:vAlign w:val="bottom"/>
            <w:gridSpan w:val="2"/>
          </w:tcPr>
          <w:p>
            <w:pPr>
              <w:ind w:left="100"/>
              <w:spacing w:after="0" w:line="153" w:lineRule="exact"/>
              <w:rPr>
                <w:sz w:val="20"/>
                <w:szCs w:val="20"/>
                <w:color w:val="auto"/>
              </w:rPr>
            </w:pP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By the end of 2023,</w:t>
            </w:r>
          </w:p>
        </w:tc>
        <w:tc>
          <w:tcPr>
            <w:tcW w:w="180" w:type="dxa"/>
            <w:vAlign w:val="bottom"/>
          </w:tcPr>
          <w:p>
            <w:pPr>
              <w:spacing w:after="0"/>
              <w:rPr>
                <w:sz w:val="13"/>
                <w:szCs w:val="13"/>
                <w:color w:val="auto"/>
              </w:rPr>
            </w:pPr>
          </w:p>
        </w:tc>
      </w:tr>
    </w:tbl>
    <w:p>
      <w:pPr>
        <w:ind w:right="320"/>
        <w:spacing w:after="0" w:line="253" w:lineRule="auto"/>
        <w:rPr>
          <w:sz w:val="20"/>
          <w:szCs w:val="20"/>
          <w:color w:val="auto"/>
        </w:rPr>
      </w:pPr>
      <w:r>
        <w:rPr>
          <w:rFonts w:ascii="Times New Roman" w:cs="Times New Roman" w:eastAsia="Times New Roman" w:hAnsi="Times New Roman"/>
          <w:sz w:val="11"/>
          <w:szCs w:val="11"/>
          <w:color w:val="auto"/>
        </w:rPr>
        <w:t>we had reduced our S cope 2 emissions by 37% compared to 2022. Our Scope 3 emissions included in the SBT were</w:t>
      </w:r>
    </w:p>
    <w:p>
      <w:pPr>
        <w:spacing w:after="0" w:line="1" w:lineRule="exact"/>
        <w:rPr>
          <w:sz w:val="20"/>
          <w:szCs w:val="20"/>
          <w:color w:val="auto"/>
        </w:rPr>
      </w:pPr>
    </w:p>
    <w:p>
      <w:pPr>
        <w:ind w:right="300"/>
        <w:spacing w:after="0" w:line="236" w:lineRule="auto"/>
        <w:rPr>
          <w:sz w:val="20"/>
          <w:szCs w:val="20"/>
          <w:color w:val="auto"/>
        </w:rPr>
      </w:pPr>
      <w:r>
        <w:rPr>
          <w:rFonts w:ascii="Times New Roman" w:cs="Times New Roman" w:eastAsia="Times New Roman" w:hAnsi="Times New Roman"/>
          <w:sz w:val="11"/>
          <w:szCs w:val="11"/>
          <w:color w:val="auto"/>
        </w:rPr>
        <w:t xml:space="preserve">34 123 900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in 2023. This represents a reduction of 9 % over the previous year.</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ind w:right="440"/>
        <w:spacing w:after="0" w:line="269" w:lineRule="auto"/>
        <w:rPr>
          <w:sz w:val="20"/>
          <w:szCs w:val="20"/>
          <w:color w:val="auto"/>
        </w:rPr>
      </w:pPr>
      <w:r>
        <w:rPr>
          <w:rFonts w:ascii="Times New Roman" w:cs="Times New Roman" w:eastAsia="Times New Roman" w:hAnsi="Times New Roman"/>
          <w:sz w:val="11"/>
          <w:szCs w:val="11"/>
          <w:color w:val="auto"/>
        </w:rPr>
        <w:t>Despite this decrease, our current SBT emissions are now at the same level as the 2019 baseline year. This means that the 2030 target was not on track with the expected linear trajectory. While we continue to accelerate innovations in product energy efficiency and supplier collaboration, the availability and take up of renewable energy by Nokia’s customers must rapidly increase to support the achievement of the interim target.</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Climate actions in our value chain</w:t>
      </w:r>
    </w:p>
    <w:p>
      <w:pPr>
        <w:spacing w:after="0" w:line="32" w:lineRule="exact"/>
        <w:rPr>
          <w:sz w:val="20"/>
          <w:szCs w:val="20"/>
          <w:color w:val="auto"/>
        </w:rPr>
      </w:pPr>
    </w:p>
    <w:p>
      <w:pPr>
        <w:ind w:right="320"/>
        <w:spacing w:after="0" w:line="269" w:lineRule="auto"/>
        <w:rPr>
          <w:sz w:val="20"/>
          <w:szCs w:val="20"/>
          <w:color w:val="auto"/>
        </w:rPr>
      </w:pPr>
      <w:r>
        <w:rPr>
          <w:rFonts w:ascii="Times New Roman" w:cs="Times New Roman" w:eastAsia="Times New Roman" w:hAnsi="Times New Roman"/>
          <w:sz w:val="11"/>
          <w:szCs w:val="11"/>
          <w:color w:val="auto"/>
        </w:rPr>
        <w:t>More and more Nokia customers are accelerating their journey towards renewable energy. Therefore, from 2023 onward, we started to collect customer-specific emissions factors from our customers as we believe this could give a better indication of our total S cope 3 category 11 (use of sold products) GHG emissions than just using a GHG Protocol-mandated global emissions factor.</w:t>
      </w:r>
    </w:p>
    <w:p>
      <w:pPr>
        <w:spacing w:after="0" w:line="49" w:lineRule="exact"/>
        <w:rPr>
          <w:sz w:val="20"/>
          <w:szCs w:val="20"/>
          <w:color w:val="auto"/>
        </w:rPr>
      </w:pPr>
    </w:p>
    <w:p>
      <w:pPr>
        <w:jc w:val="both"/>
        <w:ind w:right="300"/>
        <w:spacing w:after="0" w:line="266" w:lineRule="auto"/>
        <w:rPr>
          <w:sz w:val="20"/>
          <w:szCs w:val="20"/>
          <w:color w:val="auto"/>
        </w:rPr>
      </w:pPr>
      <w:r>
        <w:rPr>
          <w:rFonts w:ascii="Times New Roman" w:cs="Times New Roman" w:eastAsia="Times New Roman" w:hAnsi="Times New Roman"/>
          <w:sz w:val="11"/>
          <w:szCs w:val="11"/>
          <w:color w:val="auto"/>
        </w:rPr>
        <w:t>Therefore, in 2023, we also calculated a total Scope 3 category 11 emissions number based on blended emissions factors. The blended emissions factor is a combination of customer-specific emissions factors confirmed by customers, country-average</w:t>
      </w:r>
    </w:p>
    <w:p>
      <w:pPr>
        <w:spacing w:after="0" w:line="2" w:lineRule="exact"/>
        <w:rPr>
          <w:sz w:val="20"/>
          <w:szCs w:val="20"/>
          <w:color w:val="auto"/>
        </w:rPr>
      </w:pPr>
    </w:p>
    <w:p>
      <w:pPr>
        <w:spacing w:after="0"/>
        <w:tabs>
          <w:tab w:leader="none" w:pos="2960" w:val="left"/>
        </w:tabs>
        <w:rPr>
          <w:sz w:val="20"/>
          <w:szCs w:val="20"/>
          <w:color w:val="auto"/>
        </w:rPr>
      </w:pPr>
      <w:r>
        <w:rPr>
          <w:rFonts w:ascii="Times New Roman" w:cs="Times New Roman" w:eastAsia="Times New Roman" w:hAnsi="Times New Roman"/>
          <w:sz w:val="11"/>
          <w:szCs w:val="11"/>
          <w:color w:val="auto"/>
        </w:rPr>
        <w:t>emissions factors and global emissions factors. Our total S</w:t>
      </w:r>
      <w:r>
        <w:rPr>
          <w:sz w:val="20"/>
          <w:szCs w:val="20"/>
          <w:color w:val="auto"/>
        </w:rPr>
        <w:tab/>
      </w:r>
      <w:r>
        <w:rPr>
          <w:rFonts w:ascii="Times New Roman" w:cs="Times New Roman" w:eastAsia="Times New Roman" w:hAnsi="Times New Roman"/>
          <w:sz w:val="11"/>
          <w:szCs w:val="11"/>
          <w:color w:val="auto"/>
        </w:rPr>
        <w:t>cope</w:t>
      </w:r>
    </w:p>
    <w:p>
      <w:pPr>
        <w:spacing w:after="0" w:line="10" w:lineRule="exact"/>
        <w:rPr>
          <w:sz w:val="20"/>
          <w:szCs w:val="20"/>
          <w:color w:val="auto"/>
        </w:rPr>
      </w:pPr>
    </w:p>
    <w:p>
      <w:pPr>
        <w:ind w:right="140"/>
        <w:spacing w:after="0" w:line="236" w:lineRule="auto"/>
        <w:rPr>
          <w:sz w:val="20"/>
          <w:szCs w:val="20"/>
          <w:color w:val="auto"/>
        </w:rPr>
      </w:pPr>
      <w:r>
        <w:rPr>
          <w:rFonts w:ascii="Times New Roman" w:cs="Times New Roman" w:eastAsia="Times New Roman" w:hAnsi="Times New Roman"/>
          <w:sz w:val="11"/>
          <w:szCs w:val="11"/>
          <w:color w:val="auto"/>
        </w:rPr>
        <w:t xml:space="preserve">3 category 11 emissions based on the 2023 blended emissions factor was 33 691 400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In this first year, the blended</w:t>
      </w:r>
    </w:p>
    <w:p>
      <w:pPr>
        <w:ind w:right="340"/>
        <w:spacing w:after="0" w:line="263" w:lineRule="auto"/>
        <w:rPr>
          <w:sz w:val="20"/>
          <w:szCs w:val="20"/>
          <w:color w:val="auto"/>
        </w:rPr>
      </w:pPr>
      <w:r>
        <w:rPr>
          <w:rFonts w:ascii="Times New Roman" w:cs="Times New Roman" w:eastAsia="Times New Roman" w:hAnsi="Times New Roman"/>
          <w:sz w:val="11"/>
          <w:szCs w:val="11"/>
          <w:color w:val="auto"/>
        </w:rPr>
        <w:t>emissions consist of 5% calculated by customer-specific emission factors, 92% calculated by country-average emission factors and 3% calculated by a global emission factor. Nokia intends to further develop the collection and calculation of customer-specific emissions factors going forward.</w:t>
      </w:r>
    </w:p>
    <w:p>
      <w:pPr>
        <w:spacing w:after="0" w:line="64"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We also work with our suppliers to reduce our upstream indirect emissions and to drive circular practice and innovation. In 2023, we continued and enhanced our supplier climate engagement and saw 458 of our key suppliers responding to CDP’s request to disclose their climate performance information, while 283 also provided emission reduction targets.</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ind w:right="240"/>
        <w:spacing w:after="0"/>
        <w:rPr>
          <w:sz w:val="20"/>
          <w:szCs w:val="20"/>
          <w:color w:val="auto"/>
        </w:rPr>
      </w:pPr>
      <w:r>
        <w:rPr>
          <w:rFonts w:ascii="Times New Roman" w:cs="Times New Roman" w:eastAsia="Times New Roman" w:hAnsi="Times New Roman"/>
          <w:sz w:val="11"/>
          <w:szCs w:val="11"/>
          <w:color w:val="auto"/>
        </w:rPr>
        <w:t xml:space="preserve">We saw good results from our climate work with our suppliers, with our logistics suppliers achieving a 54% decrease in emissions over the 2019 baseline. Logistics emissions were 140 900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 xml:space="preserve">e in 2023. Our final assembly supplier emissions were 38 500 tons CO </w:t>
      </w:r>
      <w:r>
        <w:rPr>
          <w:rFonts w:ascii="Times New Roman" w:cs="Times New Roman" w:eastAsia="Times New Roman" w:hAnsi="Times New Roman"/>
          <w:sz w:val="14"/>
          <w:szCs w:val="14"/>
          <w:color w:val="auto"/>
          <w:vertAlign w:val="subscript"/>
        </w:rPr>
        <w:t>2</w:t>
      </w:r>
      <w:r>
        <w:rPr>
          <w:rFonts w:ascii="Times New Roman" w:cs="Times New Roman" w:eastAsia="Times New Roman" w:hAnsi="Times New Roman"/>
          <w:sz w:val="11"/>
          <w:szCs w:val="11"/>
          <w:color w:val="auto"/>
        </w:rPr>
        <w:t>e, which is a 49% reduction from 2019.</w:t>
      </w:r>
    </w:p>
    <w:p>
      <w:pPr>
        <w:spacing w:after="0" w:line="209" w:lineRule="exact"/>
        <w:rPr>
          <w:sz w:val="20"/>
          <w:szCs w:val="20"/>
          <w:color w:val="auto"/>
        </w:rPr>
      </w:pPr>
    </w:p>
    <w:p>
      <w:pPr>
        <w:ind w:right="220"/>
        <w:spacing w:after="0" w:line="263" w:lineRule="auto"/>
        <w:rPr>
          <w:sz w:val="20"/>
          <w:szCs w:val="20"/>
          <w:color w:val="auto"/>
        </w:rPr>
      </w:pPr>
      <w:r>
        <w:rPr>
          <w:rFonts w:ascii="Times New Roman" w:cs="Times New Roman" w:eastAsia="Times New Roman" w:hAnsi="Times New Roman"/>
          <w:sz w:val="11"/>
          <w:szCs w:val="11"/>
          <w:color w:val="auto"/>
        </w:rPr>
        <w:t>In early 2023, we were once again recognized by CDP for our work on climate issues, receiving an A- score for our climate work. We were also included in the CDP’s Supplier Engagement Rating Leaderboard, reserved for companies with the highest rating for supplier engagement on climate change. CDP is a global organization that runs a bespoke global rating system for investors, companies, cities, states and regions</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disclose their environmental impact.</w:t>
      </w:r>
    </w:p>
    <w:p>
      <w:pPr>
        <w:spacing w:after="0" w:line="84" w:lineRule="exact"/>
        <w:rPr>
          <w:sz w:val="20"/>
          <w:szCs w:val="20"/>
          <w:color w:val="auto"/>
        </w:rPr>
      </w:pPr>
    </w:p>
    <w:p>
      <w:pPr>
        <w:ind w:right="320"/>
        <w:spacing w:after="0" w:line="271" w:lineRule="auto"/>
        <w:rPr>
          <w:sz w:val="20"/>
          <w:szCs w:val="20"/>
          <w:color w:val="auto"/>
        </w:rPr>
      </w:pPr>
      <w:r>
        <w:rPr>
          <w:rFonts w:ascii="Times New Roman" w:cs="Times New Roman" w:eastAsia="Times New Roman" w:hAnsi="Times New Roman"/>
          <w:sz w:val="11"/>
          <w:szCs w:val="11"/>
          <w:color w:val="auto"/>
        </w:rPr>
        <w:t>We also had 247 suppliers responding to the CDP water security questionnaire. We encouraged suppliers to set climate targets aligned to the SBTi and again recognized climate-related innovations as part of our Supplier Diamond Awards program.</w:t>
      </w:r>
    </w:p>
    <w:p>
      <w:pPr>
        <w:spacing w:after="0" w:line="201" w:lineRule="exact"/>
        <w:rPr>
          <w:sz w:val="20"/>
          <w:szCs w:val="20"/>
          <w:color w:val="auto"/>
        </w:rPr>
      </w:pPr>
    </w:p>
    <w:p>
      <w:pPr>
        <w:ind w:left="200" w:hanging="198"/>
        <w:spacing w:after="0"/>
        <w:tabs>
          <w:tab w:leader="none" w:pos="200" w:val="left"/>
        </w:tabs>
        <w:numPr>
          <w:ilvl w:val="0"/>
          <w:numId w:val="7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Scope 1, 2 and 3.</w:t>
      </w:r>
    </w:p>
    <w:p>
      <w:pPr>
        <w:spacing w:after="0" w:line="12" w:lineRule="exact"/>
        <w:rPr>
          <w:rFonts w:ascii="Times New Roman" w:cs="Times New Roman" w:eastAsia="Times New Roman" w:hAnsi="Times New Roman"/>
          <w:sz w:val="8"/>
          <w:szCs w:val="8"/>
          <w:color w:val="auto"/>
        </w:rPr>
      </w:pPr>
    </w:p>
    <w:p>
      <w:pPr>
        <w:ind w:left="200" w:right="480" w:hanging="198"/>
        <w:spacing w:after="0" w:line="250" w:lineRule="auto"/>
        <w:tabs>
          <w:tab w:leader="none" w:pos="200" w:val="left"/>
        </w:tabs>
        <w:numPr>
          <w:ilvl w:val="0"/>
          <w:numId w:val="7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Scope 1 and 2. This includes complete decarbonization of Nokia’s car fleet as well as its facilities and marine fleet reductions as aligned with the International Maritime Industry (IMO) decarbonization pathway.</w:t>
      </w:r>
    </w:p>
    <w:p>
      <w:pPr>
        <w:ind w:left="200" w:hanging="198"/>
        <w:spacing w:after="0"/>
        <w:tabs>
          <w:tab w:leader="none" w:pos="200" w:val="left"/>
        </w:tabs>
        <w:numPr>
          <w:ilvl w:val="0"/>
          <w:numId w:val="7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current SBT covers the following activities: Scope 1: emissions from our</w:t>
      </w:r>
    </w:p>
    <w:p>
      <w:pPr>
        <w:spacing w:after="0" w:line="4" w:lineRule="exact"/>
        <w:rPr>
          <w:rFonts w:ascii="Times New Roman" w:cs="Times New Roman" w:eastAsia="Times New Roman" w:hAnsi="Times New Roman"/>
          <w:sz w:val="8"/>
          <w:szCs w:val="8"/>
          <w:color w:val="auto"/>
        </w:rPr>
      </w:pPr>
    </w:p>
    <w:p>
      <w:pPr>
        <w:ind w:left="200"/>
        <w:spacing w:after="0"/>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facilities, car fleet and marine fleet own vessels. Scope 2: market-based</w:t>
      </w:r>
    </w:p>
    <w:p>
      <w:pPr>
        <w:spacing w:after="0" w:line="9" w:lineRule="exact"/>
        <w:rPr>
          <w:rFonts w:ascii="Times New Roman" w:cs="Times New Roman" w:eastAsia="Times New Roman" w:hAnsi="Times New Roman"/>
          <w:sz w:val="8"/>
          <w:szCs w:val="8"/>
          <w:color w:val="auto"/>
        </w:rPr>
      </w:pPr>
    </w:p>
    <w:p>
      <w:pPr>
        <w:ind w:left="200" w:right="420"/>
        <w:spacing w:after="0" w:line="250" w:lineRule="auto"/>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emissions from purchased energy. Scope 3: emissions from the customer use of sold products (covering almost 100% of our current portfolio) and emissions from logistics, final assembly factories in our supply chain, and marine fleet chartered vessels.</w:t>
      </w:r>
    </w:p>
    <w:p>
      <w:pPr>
        <w:ind w:left="200" w:right="380" w:hanging="198"/>
        <w:spacing w:after="0" w:line="262" w:lineRule="auto"/>
        <w:tabs>
          <w:tab w:leader="none" w:pos="200" w:val="left"/>
        </w:tabs>
        <w:numPr>
          <w:ilvl w:val="0"/>
          <w:numId w:val="7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Market-based method derives emission factors from contractual instruments, which include any type of contract between two parties for the sale and purchase of energy bundled with attributes about the energy generation, or for unbundled attribute claims.</w:t>
      </w:r>
    </w:p>
    <w:p>
      <w:pPr>
        <w:sectPr>
          <w:pgSz w:w="11900" w:h="16838" w:orient="portrait"/>
          <w:cols w:equalWidth="0" w:num="3">
            <w:col w:w="3100" w:space="300"/>
            <w:col w:w="3200" w:space="200"/>
            <w:col w:w="3180"/>
          </w:cols>
          <w:pgMar w:left="960" w:top="409" w:right="959" w:bottom="1440" w:gutter="0" w:footer="0" w:header="0"/>
          <w:type w:val="continuous"/>
        </w:sectPr>
      </w:pPr>
    </w:p>
    <w:bookmarkStart w:id="101" w:name="page102"/>
    <w:bookmarkEnd w:id="10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0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94</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70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0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920" w:space="480"/>
            <w:col w:w="6580"/>
          </w:cols>
          <w:pgMar w:left="960" w:top="409" w:right="959" w:bottom="1440" w:gutter="0" w:footer="0" w:header="0"/>
        </w:sectPr>
      </w:pPr>
    </w:p>
    <w:p>
      <w:pPr>
        <w:spacing w:after="0" w:line="1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Circularity</w:t>
      </w:r>
    </w:p>
    <w:p>
      <w:pPr>
        <w:spacing w:after="0" w:line="46"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We aim to be a driver of circular practices in our industry. We focus on opportunities to promote hardware circularity by managing the sourcing and reuse of key source materials. We build on our existing waste processes and circular products and services offering, proactively increasing the takeback of products from customer modernization projects and end-of-life e quipment and increasing the availability and sales of refurbished products.</w:t>
      </w:r>
    </w:p>
    <w:p>
      <w:pPr>
        <w:spacing w:after="0" w:line="52" w:lineRule="exact"/>
        <w:rPr>
          <w:sz w:val="20"/>
          <w:szCs w:val="20"/>
          <w:color w:val="auto"/>
        </w:rPr>
      </w:pPr>
    </w:p>
    <w:p>
      <w:pPr>
        <w:ind w:right="100"/>
        <w:spacing w:after="0" w:line="289" w:lineRule="auto"/>
        <w:rPr>
          <w:sz w:val="20"/>
          <w:szCs w:val="20"/>
          <w:color w:val="auto"/>
        </w:rPr>
      </w:pPr>
      <w:r>
        <w:rPr>
          <w:rFonts w:ascii="Times New Roman" w:cs="Times New Roman" w:eastAsia="Times New Roman" w:hAnsi="Times New Roman"/>
          <w:sz w:val="11"/>
          <w:szCs w:val="11"/>
          <w:color w:val="auto"/>
        </w:rPr>
        <w:t>We also look to increase the use of recycled materials in our products, augmenting the inclusion of recycled plastics, steel, copper, nickel and aluminum in our product design.</w:t>
      </w:r>
    </w:p>
    <w:p>
      <w:pPr>
        <w:spacing w:after="0" w:line="3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Our circularity highlights in 2023</w:t>
      </w:r>
    </w:p>
    <w:p>
      <w:pPr>
        <w:spacing w:after="0" w:line="32"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1"/>
          <w:szCs w:val="11"/>
          <w:color w:val="auto"/>
        </w:rPr>
        <w:t>We have a robust environmental management system and environmental policy. At the end of 2023, the coverage of employees within the scope of ISO 14001 certification was 90%.</w:t>
      </w:r>
    </w:p>
    <w:p>
      <w:pPr>
        <w:spacing w:after="0" w:line="54" w:lineRule="exact"/>
        <w:rPr>
          <w:sz w:val="20"/>
          <w:szCs w:val="20"/>
          <w:color w:val="auto"/>
        </w:rPr>
      </w:pPr>
    </w:p>
    <w:p>
      <w:pPr>
        <w:ind w:right="160"/>
        <w:spacing w:after="0" w:line="275" w:lineRule="auto"/>
        <w:rPr>
          <w:sz w:val="20"/>
          <w:szCs w:val="20"/>
          <w:color w:val="auto"/>
        </w:rPr>
      </w:pPr>
      <w:r>
        <w:rPr>
          <w:rFonts w:ascii="Times New Roman" w:cs="Times New Roman" w:eastAsia="Times New Roman" w:hAnsi="Times New Roman"/>
          <w:sz w:val="11"/>
          <w:szCs w:val="11"/>
          <w:color w:val="auto"/>
        </w:rPr>
        <w:t>We introduced our first Sustainable Finance Framework that underscores the importance of ESG within its business and financing structure. We successfully completed an inaugural EUR 500 million sustainability-linked bond.</w:t>
      </w:r>
    </w:p>
    <w:p>
      <w:pPr>
        <w:spacing w:after="0" w:line="47" w:lineRule="exact"/>
        <w:rPr>
          <w:sz w:val="20"/>
          <w:szCs w:val="20"/>
          <w:color w:val="auto"/>
        </w:rPr>
      </w:pPr>
    </w:p>
    <w:p>
      <w:pPr>
        <w:ind w:right="40"/>
        <w:spacing w:after="0" w:line="289" w:lineRule="auto"/>
        <w:rPr>
          <w:sz w:val="20"/>
          <w:szCs w:val="20"/>
          <w:color w:val="auto"/>
        </w:rPr>
      </w:pPr>
      <w:r>
        <w:rPr>
          <w:rFonts w:ascii="Times New Roman" w:cs="Times New Roman" w:eastAsia="Times New Roman" w:hAnsi="Times New Roman"/>
          <w:sz w:val="11"/>
          <w:szCs w:val="11"/>
          <w:color w:val="auto"/>
        </w:rPr>
        <w:t>We announced our sponsorship of a professorship with the University of Jyväskylä in Finland to explore the measurement of our industry’s biodiversity impacts.</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Our circularity achievements:</w:t>
      </w:r>
    </w:p>
    <w:p>
      <w:pPr>
        <w:spacing w:after="0" w:line="32" w:lineRule="exact"/>
        <w:rPr>
          <w:sz w:val="20"/>
          <w:szCs w:val="20"/>
          <w:color w:val="auto"/>
        </w:rPr>
      </w:pPr>
    </w:p>
    <w:p>
      <w:pPr>
        <w:ind w:right="20"/>
        <w:spacing w:after="0" w:line="289" w:lineRule="auto"/>
        <w:rPr>
          <w:sz w:val="20"/>
          <w:szCs w:val="20"/>
          <w:color w:val="auto"/>
        </w:rPr>
      </w:pPr>
      <w:r>
        <w:rPr>
          <w:rFonts w:ascii="Times New Roman" w:cs="Times New Roman" w:eastAsia="Times New Roman" w:hAnsi="Times New Roman"/>
          <w:sz w:val="11"/>
          <w:szCs w:val="11"/>
          <w:color w:val="auto"/>
        </w:rPr>
        <w:t>In 2023, we achieved 81% tin, tantalum, tungsten and gold traceability and conflict-free status and extended due diligence for cobalt and mica.</w:t>
      </w:r>
    </w:p>
    <w:p>
      <w:pPr>
        <w:spacing w:after="0" w:line="39" w:lineRule="exact"/>
        <w:rPr>
          <w:sz w:val="20"/>
          <w:szCs w:val="20"/>
          <w:color w:val="auto"/>
        </w:rPr>
      </w:pPr>
    </w:p>
    <w:p>
      <w:pPr>
        <w:ind w:right="140"/>
        <w:spacing w:after="0" w:line="279" w:lineRule="auto"/>
        <w:rPr>
          <w:sz w:val="20"/>
          <w:szCs w:val="20"/>
          <w:color w:val="auto"/>
        </w:rPr>
      </w:pPr>
      <w:r>
        <w:rPr>
          <w:rFonts w:ascii="Times New Roman" w:cs="Times New Roman" w:eastAsia="Times New Roman" w:hAnsi="Times New Roman"/>
          <w:sz w:val="11"/>
          <w:szCs w:val="11"/>
          <w:color w:val="auto"/>
        </w:rPr>
        <w:t>We introduced a circular metric to guide our operational circularity journey and to close the material loop. Our target is to be 95% circular with regard to waste in 2030.</w:t>
      </w:r>
    </w:p>
    <w:p>
      <w:pPr>
        <w:spacing w:after="0" w:line="54" w:lineRule="exact"/>
        <w:rPr>
          <w:sz w:val="20"/>
          <w:szCs w:val="20"/>
          <w:color w:val="auto"/>
        </w:rPr>
      </w:pPr>
    </w:p>
    <w:p>
      <w:pPr>
        <w:jc w:val="both"/>
        <w:ind w:right="220"/>
        <w:spacing w:after="0" w:line="266" w:lineRule="auto"/>
        <w:rPr>
          <w:sz w:val="20"/>
          <w:szCs w:val="20"/>
          <w:color w:val="auto"/>
        </w:rPr>
      </w:pPr>
      <w:r>
        <w:rPr>
          <w:rFonts w:ascii="Times New Roman" w:cs="Times New Roman" w:eastAsia="Times New Roman" w:hAnsi="Times New Roman"/>
          <w:sz w:val="11"/>
          <w:szCs w:val="11"/>
          <w:color w:val="auto"/>
        </w:rPr>
        <w:t>As part of our drive for the refurbishment and reuse of our products in 2023, we sent around 2 610 metric tons of old telecommunications equipment for material recycling.</w:t>
      </w:r>
    </w:p>
    <w:p>
      <w:pPr>
        <w:spacing w:after="0" w:line="1" w:lineRule="exact"/>
        <w:rPr>
          <w:sz w:val="20"/>
          <w:szCs w:val="20"/>
          <w:color w:val="auto"/>
        </w:rPr>
      </w:pPr>
    </w:p>
    <w:p>
      <w:pPr>
        <w:ind w:right="100"/>
        <w:spacing w:after="0" w:line="278" w:lineRule="auto"/>
        <w:rPr>
          <w:sz w:val="20"/>
          <w:szCs w:val="20"/>
          <w:color w:val="auto"/>
        </w:rPr>
      </w:pPr>
      <w:r>
        <w:rPr>
          <w:rFonts w:ascii="Times New Roman" w:cs="Times New Roman" w:eastAsia="Times New Roman" w:hAnsi="Times New Roman"/>
          <w:sz w:val="11"/>
          <w:szCs w:val="11"/>
          <w:color w:val="auto"/>
        </w:rPr>
        <w:t>Approximately 49 300 units were refurbished for reuse/resell purposes with a total weight of 290 metric tons.</w:t>
      </w:r>
    </w:p>
    <w:p>
      <w:pPr>
        <w:spacing w:after="0" w:line="5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We have a robust environmental management system and environmental policy, supported by documented processes and procedures to ensure their implementation. The system helps us to monitor our progress and identify needed improvements. Our own operational footprint is certified under the ISO 14001 environmental management system standard, and at the end of 2023 the coverage of employees within the scope of that certification was 90%.</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Exploring biodiversity</w:t>
      </w:r>
    </w:p>
    <w:p>
      <w:pPr>
        <w:spacing w:after="0" w:line="14" w:lineRule="exact"/>
        <w:rPr>
          <w:sz w:val="20"/>
          <w:szCs w:val="20"/>
          <w:color w:val="auto"/>
        </w:rPr>
      </w:pPr>
    </w:p>
    <w:p>
      <w:pPr>
        <w:ind w:right="240"/>
        <w:spacing w:after="0" w:line="261" w:lineRule="auto"/>
        <w:rPr>
          <w:sz w:val="20"/>
          <w:szCs w:val="20"/>
          <w:color w:val="auto"/>
        </w:rPr>
      </w:pPr>
      <w:r>
        <w:rPr>
          <w:rFonts w:ascii="Times New Roman" w:cs="Times New Roman" w:eastAsia="Times New Roman" w:hAnsi="Times New Roman"/>
          <w:sz w:val="11"/>
          <w:szCs w:val="11"/>
          <w:color w:val="auto"/>
        </w:rPr>
        <w:t>Biodiversity is of increasing importance for our stakeholders. At Nokia we also look more broadly at our dependence on natural resources, including climate, biodiversity and geological diversity (geodiversity). By geodiversity, we mean the Earth’s minerals, rocks, fossils, soils, sediments, landforms, topography and hydrological features such as rivers and lakes. In 2023, we started to work to understand the impacts affecting natural capital (including biodiversity and geodiversity) across our value chain.</w:t>
      </w:r>
    </w:p>
    <w:p>
      <w:pPr>
        <w:spacing w:after="0" w:line="202" w:lineRule="exact"/>
        <w:rPr>
          <w:sz w:val="20"/>
          <w:szCs w:val="20"/>
          <w:color w:val="auto"/>
        </w:rPr>
      </w:pPr>
    </w:p>
    <w:p>
      <w:pPr>
        <w:ind w:right="280"/>
        <w:spacing w:after="0" w:line="266" w:lineRule="auto"/>
        <w:rPr>
          <w:sz w:val="20"/>
          <w:szCs w:val="20"/>
          <w:color w:val="auto"/>
        </w:rPr>
      </w:pPr>
      <w:r>
        <w:rPr>
          <w:rFonts w:ascii="Times New Roman" w:cs="Times New Roman" w:eastAsia="Times New Roman" w:hAnsi="Times New Roman"/>
          <w:sz w:val="11"/>
          <w:szCs w:val="11"/>
          <w:color w:val="auto"/>
        </w:rPr>
        <w:t>As a part of a holistic approach to biodiversity Nokia expanded its forest protection efforts by establishing two new nature conservation areas in Finland. One of these areas covers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71 hectares in Northern Ostrobothnia and the other covers</w:t>
      </w:r>
    </w:p>
    <w:p>
      <w:pPr>
        <w:spacing w:after="0" w:line="10" w:lineRule="exact"/>
        <w:rPr>
          <w:sz w:val="20"/>
          <w:szCs w:val="20"/>
          <w:color w:val="auto"/>
        </w:rPr>
      </w:pPr>
    </w:p>
    <w:p>
      <w:pPr>
        <w:ind w:right="340"/>
        <w:spacing w:after="0" w:line="268" w:lineRule="auto"/>
        <w:rPr>
          <w:sz w:val="20"/>
          <w:szCs w:val="20"/>
          <w:color w:val="auto"/>
        </w:rPr>
      </w:pPr>
      <w:r>
        <w:rPr>
          <w:rFonts w:ascii="Times New Roman" w:cs="Times New Roman" w:eastAsia="Times New Roman" w:hAnsi="Times New Roman"/>
          <w:sz w:val="11"/>
          <w:szCs w:val="11"/>
          <w:color w:val="auto"/>
        </w:rPr>
        <w:t>14 hectares in the Capital Region. In 2023, our total protected area expanded to 242 hectares, comprising 131 hectares of forested areas , 11 islands and 111 hectares of marine environments .</w:t>
      </w:r>
    </w:p>
    <w:p>
      <w:pPr>
        <w:spacing w:after="0" w:line="60"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In December, through its University Collaboration engagements Nokia announced a collaboration with the University of Jyväskylä and the Finnish Innovation Fund SITRA to improve biodiversity footprint assessments. The collaboration aims to help organizations develop effective strategies and measures to assess and reduce their biodiversity footprint.</w:t>
      </w:r>
    </w:p>
    <w:p>
      <w:pPr>
        <w:spacing w:after="0" w:line="352" w:lineRule="exact"/>
        <w:rPr>
          <w:sz w:val="20"/>
          <w:szCs w:val="20"/>
          <w:color w:val="auto"/>
        </w:rPr>
      </w:pPr>
    </w:p>
    <w:p>
      <w:pPr>
        <w:sectPr>
          <w:pgSz w:w="11900" w:h="16838" w:orient="portrait"/>
          <w:cols w:equalWidth="0" w:num="3">
            <w:col w:w="2920" w:space="480"/>
            <w:col w:w="2900" w:space="500"/>
            <w:col w:w="3180"/>
          </w:cols>
          <w:pgMar w:left="960" w:top="409"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3" w:lineRule="exact"/>
        <w:rPr>
          <w:sz w:val="20"/>
          <w:szCs w:val="20"/>
          <w:color w:val="auto"/>
        </w:rPr>
      </w:pPr>
    </w:p>
    <w:p>
      <w:pPr>
        <w:ind w:right="1360"/>
        <w:spacing w:after="0" w:line="284" w:lineRule="auto"/>
        <w:rPr>
          <w:sz w:val="20"/>
          <w:szCs w:val="20"/>
          <w:color w:val="auto"/>
        </w:rPr>
      </w:pPr>
      <w:r>
        <w:rPr>
          <w:rFonts w:ascii="Times New Roman" w:cs="Times New Roman" w:eastAsia="Times New Roman" w:hAnsi="Times New Roman"/>
          <w:sz w:val="16"/>
          <w:szCs w:val="16"/>
          <w:color w:val="005AFF"/>
        </w:rPr>
        <w:t>Share of suppliers who have completed identification of all smelters and have achieved conflict-free status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6" w:lineRule="exact"/>
        <w:rPr>
          <w:sz w:val="20"/>
          <w:szCs w:val="20"/>
          <w:color w:val="auto"/>
        </w:rPr>
      </w:pPr>
    </w:p>
    <w:p>
      <w:pPr>
        <w:ind w:left="1720"/>
        <w:spacing w:after="0"/>
        <w:rPr>
          <w:sz w:val="20"/>
          <w:szCs w:val="20"/>
          <w:color w:val="auto"/>
        </w:rPr>
      </w:pPr>
      <w:r>
        <w:rPr>
          <w:rFonts w:ascii="Times New Roman" w:cs="Times New Roman" w:eastAsia="Times New Roman" w:hAnsi="Times New Roman"/>
          <w:sz w:val="7"/>
          <w:szCs w:val="7"/>
          <w:color w:val="auto"/>
        </w:rPr>
        <w:t>(1)</w:t>
      </w:r>
    </w:p>
    <w:p>
      <w:pPr>
        <w:spacing w:after="0" w:line="200" w:lineRule="exact"/>
        <w:rPr>
          <w:sz w:val="20"/>
          <w:szCs w:val="20"/>
          <w:color w:val="auto"/>
        </w:rPr>
      </w:pPr>
    </w:p>
    <w:p>
      <w:pPr>
        <w:spacing w:after="0" w:line="246" w:lineRule="exact"/>
        <w:rPr>
          <w:sz w:val="20"/>
          <w:szCs w:val="20"/>
          <w:color w:val="auto"/>
        </w:rPr>
      </w:pPr>
    </w:p>
    <w:p>
      <w:pPr>
        <w:ind w:left="20"/>
        <w:spacing w:after="0"/>
        <w:tabs>
          <w:tab w:leader="none" w:pos="180" w:val="left"/>
          <w:tab w:leader="none" w:pos="4160" w:val="left"/>
        </w:tabs>
        <w:rPr>
          <w:sz w:val="20"/>
          <w:szCs w:val="20"/>
          <w:color w:val="auto"/>
        </w:rPr>
      </w:pPr>
      <w:r>
        <w:rPr>
          <w:rFonts w:ascii="Times New Roman" w:cs="Times New Roman" w:eastAsia="Times New Roman" w:hAnsi="Times New Roman"/>
          <w:sz w:val="8"/>
          <w:szCs w:val="8"/>
          <w:color w:val="auto"/>
        </w:rPr>
        <w:t>(1)</w:t>
        <w:tab/>
        <w:t>3TG combined shows the 4 minerals together (Tantalum, Tin, Gold and Tungsten), and is core to our reporting</w:t>
      </w:r>
      <w:r>
        <w:rPr>
          <w:sz w:val="20"/>
          <w:szCs w:val="20"/>
          <w:color w:val="auto"/>
        </w:rPr>
        <w:tab/>
      </w:r>
      <w:r>
        <w:rPr>
          <w:rFonts w:ascii="Times New Roman" w:cs="Times New Roman" w:eastAsia="Times New Roman" w:hAnsi="Times New Roman"/>
          <w:sz w:val="8"/>
          <w:szCs w:val="8"/>
          <w:color w:val="auto"/>
        </w:rPr>
        <w:t>.</w:t>
      </w:r>
    </w:p>
    <w:p>
      <w:pPr>
        <w:sectPr>
          <w:pgSz w:w="11900" w:h="16838" w:orient="portrait"/>
          <w:cols w:equalWidth="0" w:num="2">
            <w:col w:w="2820" w:space="720"/>
            <w:col w:w="6440"/>
          </w:cols>
          <w:pgMar w:left="960" w:top="409" w:right="959" w:bottom="1440" w:gutter="0" w:footer="0" w:header="0"/>
          <w:type w:val="continuous"/>
        </w:sectPr>
      </w:pPr>
    </w:p>
    <w:bookmarkStart w:id="102" w:name="page103"/>
    <w:bookmarkEnd w:id="10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8" w:lineRule="exact"/>
        <w:rPr>
          <w:sz w:val="20"/>
          <w:szCs w:val="20"/>
          <w:color w:val="auto"/>
        </w:rPr>
      </w:pPr>
    </w:p>
    <w:p>
      <w:pPr>
        <w:spacing w:after="0"/>
        <w:rPr>
          <w:sz w:val="20"/>
          <w:szCs w:val="20"/>
          <w:color w:val="auto"/>
        </w:rPr>
      </w:pPr>
      <w:r>
        <w:rPr>
          <w:rFonts w:ascii="Times New Roman" w:cs="Times New Roman" w:eastAsia="Times New Roman" w:hAnsi="Times New Roman"/>
          <w:sz w:val="23"/>
          <w:szCs w:val="23"/>
          <w:color w:val="005AFF"/>
        </w:rPr>
        <w:t>Industrial digitalization</w:t>
      </w:r>
    </w:p>
    <w:p>
      <w:pPr>
        <w:spacing w:after="0" w:line="115"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3"/>
          <w:szCs w:val="13"/>
          <w:color w:val="auto"/>
        </w:rPr>
        <w:t>Digitalization and enhanced connectivity are a critical part of the solution to decarbonizing and dematerializing physical industries that significantly contribute to global carbon emissions. This is our handprint – it represents the enablement effect</w:t>
      </w:r>
    </w:p>
    <w:p>
      <w:pPr>
        <w:spacing w:after="0" w:line="2" w:lineRule="exact"/>
        <w:rPr>
          <w:sz w:val="20"/>
          <w:szCs w:val="20"/>
          <w:color w:val="auto"/>
        </w:rPr>
      </w:pPr>
    </w:p>
    <w:p>
      <w:pPr>
        <w:ind w:right="340"/>
        <w:spacing w:after="0" w:line="269" w:lineRule="auto"/>
        <w:rPr>
          <w:sz w:val="20"/>
          <w:szCs w:val="20"/>
          <w:color w:val="auto"/>
        </w:rPr>
      </w:pPr>
      <w:r>
        <w:rPr>
          <w:rFonts w:ascii="Times New Roman" w:cs="Times New Roman" w:eastAsia="Times New Roman" w:hAnsi="Times New Roman"/>
          <w:sz w:val="13"/>
          <w:szCs w:val="13"/>
          <w:color w:val="auto"/>
        </w:rPr>
        <w:t>of the technology solutions we provide. We aim to maximize this handprint as it provides our greatest potential impact on climate change.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160"/>
        <w:spacing w:after="0" w:line="269" w:lineRule="auto"/>
        <w:rPr>
          <w:sz w:val="20"/>
          <w:szCs w:val="20"/>
          <w:color w:val="auto"/>
        </w:rPr>
      </w:pPr>
      <w:r>
        <w:rPr>
          <w:rFonts w:ascii="Times New Roman" w:cs="Times New Roman" w:eastAsia="Times New Roman" w:hAnsi="Times New Roman"/>
          <w:sz w:val="11"/>
          <w:szCs w:val="11"/>
          <w:color w:val="auto"/>
        </w:rPr>
        <w:t>As part of our strategy, we provide low-latency connectivity, private wireless networks, sensors, and AI/ML as the basis of a “Green Digital” proposition in our enterprise portfolio.</w:t>
      </w:r>
    </w:p>
    <w:p>
      <w:pPr>
        <w:spacing w:after="0" w:line="1"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We are working within our ecosystem to identify methodologies that better measure the enablement effect and articulate</w:t>
      </w:r>
    </w:p>
    <w:p>
      <w:pPr>
        <w:ind w:right="500"/>
        <w:spacing w:after="0" w:line="286" w:lineRule="auto"/>
        <w:rPr>
          <w:sz w:val="20"/>
          <w:szCs w:val="20"/>
          <w:color w:val="auto"/>
        </w:rPr>
      </w:pPr>
      <w:r>
        <w:rPr>
          <w:rFonts w:ascii="Times New Roman" w:cs="Times New Roman" w:eastAsia="Times New Roman" w:hAnsi="Times New Roman"/>
          <w:sz w:val="11"/>
          <w:szCs w:val="11"/>
          <w:color w:val="auto"/>
        </w:rPr>
        <w:t>the business case for transformation to accelerate and scale adoption.</w:t>
      </w:r>
    </w:p>
    <w:p>
      <w:pPr>
        <w:spacing w:after="0" w:line="51"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Nokia has been a member of the European Green Digital Coalition (EGDC) since 2021. As part of the EGDC, Nokia has contributed to developing methodologies to measure the net environmental impact of digital solutions in different industrial sectors. At Mobile World Congress 2023, Nokia’s Integrated Operations Center smart city project with Nicosia, the capital of Cyprus, was highlighted by the EGDC in their announcement detailing their online case studies.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95</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80"/>
        <w:spacing w:after="0" w:line="274" w:lineRule="auto"/>
        <w:rPr>
          <w:sz w:val="20"/>
          <w:szCs w:val="20"/>
          <w:color w:val="auto"/>
        </w:rPr>
      </w:pPr>
      <w:r>
        <w:rPr>
          <w:rFonts w:ascii="Times New Roman" w:cs="Times New Roman" w:eastAsia="Times New Roman" w:hAnsi="Times New Roman"/>
          <w:sz w:val="11"/>
          <w:szCs w:val="11"/>
          <w:color w:val="auto"/>
        </w:rPr>
        <w:t>We work with customers across the energy, manufacturing, and transportation industries among others, providing ever-growing evidence that there is no green without digital. We are considered the leading vendor of private wireless to enterprises, with 710 private wireless customers.</w:t>
      </w:r>
    </w:p>
    <w:p>
      <w:pPr>
        <w:spacing w:after="0" w:line="47" w:lineRule="exact"/>
        <w:rPr>
          <w:sz w:val="20"/>
          <w:szCs w:val="20"/>
          <w:color w:val="auto"/>
        </w:rPr>
      </w:pPr>
    </w:p>
    <w:p>
      <w:pPr>
        <w:ind w:right="200"/>
        <w:spacing w:after="0" w:line="267" w:lineRule="auto"/>
        <w:rPr>
          <w:sz w:val="20"/>
          <w:szCs w:val="20"/>
          <w:color w:val="auto"/>
        </w:rPr>
      </w:pPr>
      <w:r>
        <w:rPr>
          <w:rFonts w:ascii="Times New Roman" w:cs="Times New Roman" w:eastAsia="Times New Roman" w:hAnsi="Times New Roman"/>
          <w:sz w:val="11"/>
          <w:szCs w:val="11"/>
          <w:color w:val="auto"/>
        </w:rPr>
        <w:t>For example, in 2023 Nokia partnered with IT company Kyndryl to enable Dow Company to digitalize the largest integrated chemical manufacturing facility in the western hemisphere in Freeport, Texas, removing paper from the manufacturing and maintenance processes. And in September we launched an array of industrial 5G devices to keep enterprise teams and public safety workers safe, connected and informed over private wireless networks in hazardous and industrial environments such as ports, mines, chemical plants and offshore oil platforms.</w:t>
      </w:r>
    </w:p>
    <w:p>
      <w:pPr>
        <w:sectPr>
          <w:pgSz w:w="11900" w:h="16838" w:orient="portrait"/>
          <w:cols w:equalWidth="0" w:num="3">
            <w:col w:w="2920" w:space="480"/>
            <w:col w:w="2940" w:space="460"/>
            <w:col w:w="3180"/>
          </w:cols>
          <w:pgMar w:left="960" w:top="409" w:right="959" w:bottom="1440" w:gutter="0" w:footer="0" w:header="0"/>
        </w:sectPr>
      </w:pPr>
    </w:p>
    <w:bookmarkStart w:id="103" w:name="page104"/>
    <w:bookmarkEnd w:id="103"/>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8" w:lineRule="exact"/>
        <w:rPr>
          <w:sz w:val="20"/>
          <w:szCs w:val="20"/>
          <w:color w:val="auto"/>
        </w:rPr>
      </w:pPr>
    </w:p>
    <w:p>
      <w:pPr>
        <w:spacing w:after="0"/>
        <w:rPr>
          <w:sz w:val="20"/>
          <w:szCs w:val="20"/>
          <w:color w:val="auto"/>
        </w:rPr>
      </w:pPr>
      <w:r>
        <w:rPr>
          <w:rFonts w:ascii="Times New Roman" w:cs="Times New Roman" w:eastAsia="Times New Roman" w:hAnsi="Times New Roman"/>
          <w:sz w:val="23"/>
          <w:szCs w:val="23"/>
          <w:color w:val="005AFF"/>
        </w:rPr>
        <w:t>Security and privacy</w:t>
      </w:r>
    </w:p>
    <w:p>
      <w:pPr>
        <w:spacing w:after="0" w:line="115"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3"/>
          <w:szCs w:val="13"/>
          <w:color w:val="auto"/>
        </w:rPr>
        <w:t>In our ESG strategy we position security and privacy as the cornerstone of our product proposition.</w:t>
      </w:r>
    </w:p>
    <w:p>
      <w:pPr>
        <w:spacing w:after="0" w:line="1"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3"/>
          <w:szCs w:val="13"/>
          <w:color w:val="auto"/>
        </w:rPr>
        <w:t>We work to ensure a common security baseline enforced for all products and services and accelerate our security strategy ambitions.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20"/>
        <w:spacing w:after="0" w:line="269" w:lineRule="auto"/>
        <w:rPr>
          <w:sz w:val="20"/>
          <w:szCs w:val="20"/>
          <w:color w:val="auto"/>
        </w:rPr>
      </w:pPr>
      <w:r>
        <w:rPr>
          <w:rFonts w:ascii="Times New Roman" w:cs="Times New Roman" w:eastAsia="Times New Roman" w:hAnsi="Times New Roman"/>
          <w:sz w:val="11"/>
          <w:szCs w:val="11"/>
          <w:color w:val="auto"/>
        </w:rPr>
        <w:t>Nokia has well-established cybersecurity processes built into its overall security risk management framework. This integration is achieved through the implementation of a robust Security Program set on various processes, such as cybersecurity risk management, third-party security risk management, security incident management and disaster recovery.</w:t>
      </w:r>
    </w:p>
    <w:p>
      <w:pPr>
        <w:spacing w:after="0" w:line="60" w:lineRule="exact"/>
        <w:rPr>
          <w:sz w:val="20"/>
          <w:szCs w:val="20"/>
          <w:color w:val="auto"/>
        </w:rPr>
      </w:pPr>
    </w:p>
    <w:p>
      <w:pPr>
        <w:ind w:right="200"/>
        <w:spacing w:after="0" w:line="269" w:lineRule="auto"/>
        <w:rPr>
          <w:sz w:val="20"/>
          <w:szCs w:val="20"/>
          <w:color w:val="auto"/>
        </w:rPr>
      </w:pPr>
      <w:r>
        <w:rPr>
          <w:rFonts w:ascii="Times New Roman" w:cs="Times New Roman" w:eastAsia="Times New Roman" w:hAnsi="Times New Roman"/>
          <w:sz w:val="11"/>
          <w:szCs w:val="11"/>
          <w:color w:val="auto"/>
        </w:rPr>
        <w:t>In 2023, Nokia conducted a security training program that included annual all-employee mandatory training, quarterly awareness campaigns, monthly phishing simulations, and expanded initiatives to safeguard key data such as our Zero-Trust and Critical Information Protection Program and our dedicated Application Security Program.</w:t>
      </w:r>
    </w:p>
    <w:p>
      <w:pPr>
        <w:spacing w:after="0" w:line="60"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We have developed and maintain an actionable Cyber Resilience service, built on an assessment of the cyber risks Nokia is most likely to experience. This includes investments in our Cyber Defense Center and our Computer Emergency Response team, as well as the execution of regular incident simulations and tabletop exercises to ensure resilience in case of a cyber event.</w:t>
      </w:r>
    </w:p>
    <w:p>
      <w:pPr>
        <w:spacing w:after="0" w:line="49" w:lineRule="exact"/>
        <w:rPr>
          <w:sz w:val="20"/>
          <w:szCs w:val="20"/>
          <w:color w:val="auto"/>
        </w:rPr>
      </w:pPr>
    </w:p>
    <w:p>
      <w:pPr>
        <w:jc w:val="both"/>
        <w:ind w:right="280"/>
        <w:spacing w:after="0" w:line="275" w:lineRule="auto"/>
        <w:rPr>
          <w:sz w:val="20"/>
          <w:szCs w:val="20"/>
          <w:color w:val="auto"/>
        </w:rPr>
      </w:pPr>
      <w:r>
        <w:rPr>
          <w:rFonts w:ascii="Times New Roman" w:cs="Times New Roman" w:eastAsia="Times New Roman" w:hAnsi="Times New Roman"/>
          <w:sz w:val="11"/>
          <w:szCs w:val="11"/>
          <w:color w:val="auto"/>
        </w:rPr>
        <w:t>We have also strengthened our third-party security process through improved supplier selection procedures, ensuring that security governance and compliance are embedded in our supplier selection processes and contracts.</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Product and Services Security</w:t>
      </w:r>
    </w:p>
    <w:p>
      <w:pPr>
        <w:spacing w:after="0" w:line="36" w:lineRule="exact"/>
        <w:rPr>
          <w:sz w:val="20"/>
          <w:szCs w:val="20"/>
          <w:color w:val="auto"/>
        </w:rPr>
      </w:pPr>
    </w:p>
    <w:p>
      <w:pPr>
        <w:ind w:right="100"/>
        <w:spacing w:after="0" w:line="266" w:lineRule="auto"/>
        <w:rPr>
          <w:sz w:val="20"/>
          <w:szCs w:val="20"/>
          <w:color w:val="auto"/>
        </w:rPr>
      </w:pPr>
      <w:r>
        <w:rPr>
          <w:rFonts w:ascii="Times New Roman" w:cs="Times New Roman" w:eastAsia="Times New Roman" w:hAnsi="Times New Roman"/>
          <w:sz w:val="11"/>
          <w:szCs w:val="11"/>
          <w:color w:val="auto"/>
        </w:rPr>
        <w:t>At Nokia, we recognize the paramount significance of product and services security in the rapidly evolving landscape of telecommunications and technology. In an era marked by digital transformation and interconnected ecosystems, the security of our offerings is crucial to our operations. We understand that our customers rely on Nokia for solutions that not only elevate performance but also guarantee the integrity and confidentiality of their critical data.</w:t>
      </w:r>
    </w:p>
    <w:p>
      <w:pPr>
        <w:spacing w:after="0" w:line="62" w:lineRule="exact"/>
        <w:rPr>
          <w:sz w:val="20"/>
          <w:szCs w:val="20"/>
          <w:color w:val="auto"/>
        </w:rPr>
      </w:pPr>
    </w:p>
    <w:p>
      <w:pPr>
        <w:ind w:right="220"/>
        <w:spacing w:after="0" w:line="265" w:lineRule="auto"/>
        <w:rPr>
          <w:sz w:val="20"/>
          <w:szCs w:val="20"/>
          <w:color w:val="auto"/>
        </w:rPr>
      </w:pPr>
      <w:r>
        <w:rPr>
          <w:rFonts w:ascii="Times New Roman" w:cs="Times New Roman" w:eastAsia="Times New Roman" w:hAnsi="Times New Roman"/>
          <w:sz w:val="11"/>
          <w:szCs w:val="11"/>
          <w:color w:val="auto"/>
        </w:rPr>
        <w:t xml:space="preserve">We are dedicated to achieving a common security baseline enforced for all products and services. To accelerate our security ambitions, we are reinforcing the Nokia Design for Security framework, driving end-to-end product security testing initiatives like the Advanced Security Testing and Research (ASTaR) Lab, and leveraging our own security innovations </w:t>
      </w:r>
      <w:r>
        <w:rPr>
          <w:rFonts w:ascii="Arial" w:cs="Arial" w:eastAsia="Arial" w:hAnsi="Arial"/>
          <w:sz w:val="10"/>
          <w:szCs w:val="10"/>
          <w:color w:val="auto"/>
        </w:rPr>
        <w:t>.</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96</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Secure products are our priority, supported by initiatives such as the Product Security Transformation Program, the pursuit of certifications for essential 5G products, and the evolution of our product security platforms. We have set up Service Security as a separate domain to cover the full-service lifecycle with a properly defined service security framework and we remain focused on the continuous certification of services teams to the ISO 27001 standard. We also have a program dedicated</w:t>
      </w:r>
    </w:p>
    <w:p>
      <w:pPr>
        <w:spacing w:after="0" w:line="1" w:lineRule="exact"/>
        <w:rPr>
          <w:sz w:val="20"/>
          <w:szCs w:val="20"/>
          <w:color w:val="auto"/>
        </w:rPr>
      </w:pPr>
    </w:p>
    <w:p>
      <w:pPr>
        <w:ind w:right="540"/>
        <w:spacing w:after="0" w:line="286" w:lineRule="auto"/>
        <w:rPr>
          <w:sz w:val="20"/>
          <w:szCs w:val="20"/>
          <w:color w:val="auto"/>
        </w:rPr>
      </w:pPr>
      <w:r>
        <w:rPr>
          <w:rFonts w:ascii="Times New Roman" w:cs="Times New Roman" w:eastAsia="Times New Roman" w:hAnsi="Times New Roman"/>
          <w:sz w:val="11"/>
          <w:szCs w:val="11"/>
          <w:color w:val="auto"/>
        </w:rPr>
        <w:t>to enhancing the security of Nokia service companies and joint ventures.</w:t>
      </w:r>
    </w:p>
    <w:p>
      <w:pPr>
        <w:spacing w:after="0" w:line="3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Privacy</w:t>
      </w:r>
    </w:p>
    <w:p>
      <w:pPr>
        <w:spacing w:after="0" w:line="46" w:lineRule="exact"/>
        <w:rPr>
          <w:sz w:val="20"/>
          <w:szCs w:val="20"/>
          <w:color w:val="auto"/>
        </w:rPr>
      </w:pPr>
    </w:p>
    <w:p>
      <w:pPr>
        <w:ind w:right="380"/>
        <w:spacing w:after="0" w:line="262" w:lineRule="auto"/>
        <w:rPr>
          <w:sz w:val="20"/>
          <w:szCs w:val="20"/>
          <w:color w:val="auto"/>
        </w:rPr>
      </w:pPr>
      <w:r>
        <w:rPr>
          <w:rFonts w:ascii="Times New Roman" w:cs="Times New Roman" w:eastAsia="Times New Roman" w:hAnsi="Times New Roman"/>
          <w:sz w:val="11"/>
          <w:szCs w:val="11"/>
          <w:color w:val="auto"/>
        </w:rPr>
        <w:t>In privacy, we have established a comprehensive Company-wide privacy program based on respecting privacy rights and exercising high standards of integrity in dealing with – and protecting – personal data, set out in core principles that are based on relevant laws, best practices, and standards. We conduct privacy assessments that aim to mitigate privacy risk in relation to the data we collect, process and store.</w:t>
      </w:r>
    </w:p>
    <w:p>
      <w:pPr>
        <w:spacing w:after="0" w:line="1" w:lineRule="exact"/>
        <w:rPr>
          <w:sz w:val="20"/>
          <w:szCs w:val="20"/>
          <w:color w:val="auto"/>
        </w:rPr>
      </w:pPr>
    </w:p>
    <w:p>
      <w:pPr>
        <w:ind w:right="300"/>
        <w:spacing w:after="0" w:line="264" w:lineRule="auto"/>
        <w:rPr>
          <w:sz w:val="20"/>
          <w:szCs w:val="20"/>
          <w:color w:val="auto"/>
        </w:rPr>
      </w:pPr>
      <w:r>
        <w:rPr>
          <w:rFonts w:ascii="Times New Roman" w:cs="Times New Roman" w:eastAsia="Times New Roman" w:hAnsi="Times New Roman"/>
          <w:sz w:val="11"/>
          <w:szCs w:val="11"/>
          <w:color w:val="auto"/>
        </w:rPr>
        <w:t>We observe the concept of data minimization, meaning we endeavor only to collect personal data that is necessary for the purposes for which it is collected and to retain such data for no longer than is necessary. We implement appropriate controls to ensure that only persons with a clear and justifiable need to know can access personal data. We have formal processes and procedures in place to manage and mitigate any related risk to data subjects in the event of a personal data breach.</w:t>
      </w:r>
    </w:p>
    <w:p>
      <w:pPr>
        <w:spacing w:after="0" w:line="64" w:lineRule="exact"/>
        <w:rPr>
          <w:sz w:val="20"/>
          <w:szCs w:val="20"/>
          <w:color w:val="auto"/>
        </w:rPr>
      </w:pPr>
    </w:p>
    <w:p>
      <w:pPr>
        <w:ind w:right="280"/>
        <w:spacing w:after="0" w:line="262" w:lineRule="auto"/>
        <w:rPr>
          <w:sz w:val="20"/>
          <w:szCs w:val="20"/>
          <w:color w:val="auto"/>
        </w:rPr>
      </w:pPr>
      <w:r>
        <w:rPr>
          <w:rFonts w:ascii="Times New Roman" w:cs="Times New Roman" w:eastAsia="Times New Roman" w:hAnsi="Times New Roman"/>
          <w:sz w:val="11"/>
          <w:szCs w:val="11"/>
          <w:color w:val="auto"/>
        </w:rPr>
        <w:t>These processes also include mechanisms to communicate in a timely fashion with supervisory authorities, should that be required. A program of privacy awareness, and general and targeted role-based training, ensures that we continuously and effectively address areas of the highest privacy impact. Our mission is to protect and safeguard personal data in Nokia’s possession, and we have a network of certified privacy</w:t>
      </w:r>
    </w:p>
    <w:p>
      <w:pPr>
        <w:spacing w:after="0" w:line="1" w:lineRule="exact"/>
        <w:rPr>
          <w:sz w:val="20"/>
          <w:szCs w:val="20"/>
          <w:color w:val="auto"/>
        </w:rPr>
      </w:pPr>
    </w:p>
    <w:p>
      <w:pPr>
        <w:spacing w:after="0"/>
        <w:tabs>
          <w:tab w:leader="none" w:pos="2820" w:val="left"/>
        </w:tabs>
        <w:rPr>
          <w:sz w:val="20"/>
          <w:szCs w:val="20"/>
          <w:color w:val="auto"/>
        </w:rPr>
      </w:pPr>
      <w:r>
        <w:rPr>
          <w:rFonts w:ascii="Times New Roman" w:cs="Times New Roman" w:eastAsia="Times New Roman" w:hAnsi="Times New Roman"/>
          <w:sz w:val="11"/>
          <w:szCs w:val="11"/>
          <w:color w:val="auto"/>
        </w:rPr>
        <w:t>professionals who regularly provide coaching on privacy</w:t>
      </w:r>
      <w:r>
        <w:rPr>
          <w:sz w:val="20"/>
          <w:szCs w:val="20"/>
          <w:color w:val="auto"/>
        </w:rPr>
        <w:tab/>
      </w:r>
      <w:r>
        <w:rPr>
          <w:rFonts w:ascii="Arial" w:cs="Arial" w:eastAsia="Arial" w:hAnsi="Arial"/>
          <w:sz w:val="6"/>
          <w:szCs w:val="6"/>
          <w:color w:val="auto"/>
        </w:rPr>
        <w:t>.</w:t>
      </w:r>
    </w:p>
    <w:p>
      <w:pPr>
        <w:sectPr>
          <w:pgSz w:w="11900" w:h="16838" w:orient="portrait"/>
          <w:cols w:equalWidth="0" w:num="3">
            <w:col w:w="2920" w:space="480"/>
            <w:col w:w="2960" w:space="440"/>
            <w:col w:w="3180"/>
          </w:cols>
          <w:pgMar w:left="960" w:top="409" w:right="959" w:bottom="1440" w:gutter="0" w:footer="0" w:header="0"/>
        </w:sectPr>
      </w:pPr>
    </w:p>
    <w:bookmarkStart w:id="104" w:name="page105"/>
    <w:bookmarkEnd w:id="10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spacing w:after="0"/>
        <w:rPr>
          <w:sz w:val="20"/>
          <w:szCs w:val="20"/>
          <w:color w:val="auto"/>
        </w:rPr>
      </w:pPr>
      <w:r>
        <w:rPr>
          <w:rFonts w:ascii="Times New Roman" w:cs="Times New Roman" w:eastAsia="Times New Roman" w:hAnsi="Times New Roman"/>
          <w:sz w:val="23"/>
          <w:szCs w:val="23"/>
          <w:color w:val="005AFF"/>
        </w:rPr>
        <w:t>Bridging the digital divide</w:t>
      </w:r>
    </w:p>
    <w:p>
      <w:pPr>
        <w:spacing w:after="0" w:line="115"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3"/>
          <w:szCs w:val="13"/>
          <w:color w:val="auto"/>
        </w:rPr>
        <w:t>We aim to bridge the digital divide and connect the unconnected through our broadband and innovative connectivity solutions. Our solutions can bring more inclusive access to opportunities and help resolve many social and economic challenges the world faces today.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Nokia aims to bring both our connectivity and digital skills-building solutions to support more inclusive access to healthcare, education, and employment opportunities. We also aim to enable new business opportunities for SMEs through digitalization. We can achieve this by leveraging our broad product portfolio, as well as through focused strategies with non-terrestrial network operators to connect different demographics to broadband-level speeds in both fixed and wireless domains.</w:t>
      </w:r>
    </w:p>
    <w:p>
      <w:pPr>
        <w:spacing w:after="0" w:line="63"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For example, in September we announced the deployment of Nokia’s energy-efficient passive optical LAN (POL) solution at 100 schools in a cutting-edge network for schools in South Korea. The deployment, completed in collaboration with Dongkuk Systems and Erum I&amp;C, aims to enhance the existing infrastructure and provide a high-capacity network to support digital learning. This initiative is part of the South Korean Ministry of Education’s Green Smart School program to transform existing school facilities into smart learning environments, including the creation of large-capacity multimedia classes.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97</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2860" w:type="dxa"/>
            <w:vAlign w:val="bottom"/>
          </w:tcPr>
          <w:p>
            <w:pPr>
              <w:spacing w:after="0"/>
              <w:rPr>
                <w:sz w:val="20"/>
                <w:szCs w:val="20"/>
                <w:color w:val="auto"/>
              </w:rPr>
            </w:pPr>
            <w:r>
              <w:rPr>
                <w:rFonts w:ascii="Times New Roman" w:cs="Times New Roman" w:eastAsia="Times New Roman" w:hAnsi="Times New Roman"/>
                <w:sz w:val="11"/>
                <w:szCs w:val="11"/>
                <w:color w:val="auto"/>
              </w:rPr>
              <w:t>We also implement social initiatives via non-governmental</w:t>
            </w:r>
          </w:p>
        </w:tc>
        <w:tc>
          <w:tcPr>
            <w:tcW w:w="2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2860" w:type="dxa"/>
            <w:vAlign w:val="bottom"/>
          </w:tcPr>
          <w:p>
            <w:pPr>
              <w:spacing w:after="0"/>
              <w:rPr>
                <w:sz w:val="20"/>
                <w:szCs w:val="20"/>
                <w:color w:val="auto"/>
              </w:rPr>
            </w:pPr>
            <w:r>
              <w:rPr>
                <w:rFonts w:ascii="Times New Roman" w:cs="Times New Roman" w:eastAsia="Times New Roman" w:hAnsi="Times New Roman"/>
                <w:sz w:val="11"/>
                <w:szCs w:val="11"/>
                <w:color w:val="auto"/>
              </w:rPr>
              <w:t>organizations (NGOs) to further support our sustainability</w:t>
            </w:r>
          </w:p>
        </w:tc>
        <w:tc>
          <w:tcPr>
            <w:tcW w:w="220" w:type="dxa"/>
            <w:vAlign w:val="bottom"/>
            <w:vMerge w:val="restart"/>
          </w:tcPr>
          <w:p>
            <w:pPr>
              <w:jc w:val="right"/>
              <w:spacing w:after="0"/>
              <w:rPr>
                <w:sz w:val="20"/>
                <w:szCs w:val="20"/>
                <w:color w:val="auto"/>
              </w:rPr>
            </w:pPr>
            <w:r>
              <w:rPr>
                <w:rFonts w:ascii="Times New Roman" w:cs="Times New Roman" w:eastAsia="Times New Roman" w:hAnsi="Times New Roman"/>
                <w:sz w:val="7"/>
                <w:szCs w:val="7"/>
                <w:color w:val="auto"/>
              </w:rPr>
              <w:t>(1)</w:t>
            </w:r>
          </w:p>
        </w:tc>
        <w:tc>
          <w:tcPr>
            <w:tcW w:w="0" w:type="dxa"/>
            <w:vAlign w:val="bottom"/>
          </w:tcPr>
          <w:p>
            <w:pPr>
              <w:spacing w:after="0"/>
              <w:rPr>
                <w:sz w:val="1"/>
                <w:szCs w:val="1"/>
                <w:color w:val="auto"/>
              </w:rPr>
            </w:pPr>
          </w:p>
        </w:tc>
      </w:tr>
      <w:tr>
        <w:trPr>
          <w:trHeight w:val="131"/>
        </w:trPr>
        <w:tc>
          <w:tcPr>
            <w:tcW w:w="2860" w:type="dxa"/>
            <w:vAlign w:val="bottom"/>
          </w:tcPr>
          <w:p>
            <w:pPr>
              <w:spacing w:after="0"/>
              <w:rPr>
                <w:sz w:val="20"/>
                <w:szCs w:val="20"/>
                <w:color w:val="auto"/>
              </w:rPr>
            </w:pPr>
            <w:r>
              <w:rPr>
                <w:rFonts w:ascii="Times New Roman" w:cs="Times New Roman" w:eastAsia="Times New Roman" w:hAnsi="Times New Roman"/>
                <w:sz w:val="11"/>
                <w:szCs w:val="11"/>
                <w:color w:val="auto"/>
              </w:rPr>
              <w:t>strategy. In 2023, we reached 130 832 direct beneficiaries</w:t>
            </w:r>
          </w:p>
        </w:tc>
        <w:tc>
          <w:tcPr>
            <w:tcW w:w="2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48"/>
        </w:trPr>
        <w:tc>
          <w:tcPr>
            <w:tcW w:w="2860" w:type="dxa"/>
            <w:vAlign w:val="bottom"/>
          </w:tcPr>
          <w:p>
            <w:pPr>
              <w:spacing w:after="0"/>
              <w:rPr>
                <w:sz w:val="20"/>
                <w:szCs w:val="20"/>
                <w:color w:val="auto"/>
              </w:rPr>
            </w:pPr>
            <w:r>
              <w:rPr>
                <w:rFonts w:ascii="Times New Roman" w:cs="Times New Roman" w:eastAsia="Times New Roman" w:hAnsi="Times New Roman"/>
                <w:sz w:val="11"/>
                <w:szCs w:val="11"/>
                <w:color w:val="auto"/>
              </w:rPr>
              <w:t>through social digitalization projects, building digital skills,</w:t>
            </w:r>
          </w:p>
        </w:tc>
        <w:tc>
          <w:tcPr>
            <w:tcW w:w="220" w:type="dxa"/>
            <w:vAlign w:val="bottom"/>
          </w:tcPr>
          <w:p>
            <w:pPr>
              <w:spacing w:after="0"/>
              <w:rPr>
                <w:sz w:val="12"/>
                <w:szCs w:val="12"/>
                <w:color w:val="auto"/>
              </w:rPr>
            </w:pPr>
          </w:p>
        </w:tc>
        <w:tc>
          <w:tcPr>
            <w:tcW w:w="0" w:type="dxa"/>
            <w:vAlign w:val="bottom"/>
          </w:tcPr>
          <w:p>
            <w:pPr>
              <w:spacing w:after="0"/>
              <w:rPr>
                <w:sz w:val="1"/>
                <w:szCs w:val="1"/>
                <w:color w:val="auto"/>
              </w:rPr>
            </w:pPr>
          </w:p>
        </w:tc>
      </w:tr>
    </w:tbl>
    <w:p>
      <w:pPr>
        <w:ind w:right="80"/>
        <w:spacing w:after="0" w:line="262" w:lineRule="auto"/>
        <w:rPr>
          <w:sz w:val="20"/>
          <w:szCs w:val="20"/>
          <w:color w:val="auto"/>
        </w:rPr>
      </w:pPr>
      <w:r>
        <w:rPr>
          <w:rFonts w:ascii="Times New Roman" w:cs="Times New Roman" w:eastAsia="Times New Roman" w:hAnsi="Times New Roman"/>
          <w:sz w:val="11"/>
          <w:szCs w:val="11"/>
          <w:color w:val="auto"/>
        </w:rPr>
        <w:t>connecting the unconnected or underserved, and improving inclusion, equity and diversity. This year, we saw the finalization of some programs and the initial launch of new programs,</w:t>
      </w:r>
    </w:p>
    <w:p>
      <w:pPr>
        <w:ind w:right="280"/>
        <w:spacing w:after="0" w:line="278" w:lineRule="auto"/>
        <w:rPr>
          <w:sz w:val="20"/>
          <w:szCs w:val="20"/>
          <w:color w:val="auto"/>
        </w:rPr>
      </w:pPr>
      <w:r>
        <w:rPr>
          <w:rFonts w:ascii="Times New Roman" w:cs="Times New Roman" w:eastAsia="Times New Roman" w:hAnsi="Times New Roman"/>
          <w:sz w:val="11"/>
          <w:szCs w:val="11"/>
          <w:color w:val="auto"/>
        </w:rPr>
        <w:t>which both led to the total number of direct beneficiaries being lower than in 2022.</w:t>
      </w:r>
    </w:p>
    <w:p>
      <w:pPr>
        <w:spacing w:after="0" w:line="54"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Our program with UNICEF in Morocco continued in 2023, reaching 3 928 people through mentor training, awareness raising sessions, regional and national social innovation bootcamps, project or business incubation and digital skills training. The program aims to empower youth with digital, entrepreneurial skills and environmental knowledge.</w:t>
      </w:r>
    </w:p>
    <w:p>
      <w:pPr>
        <w:spacing w:after="0" w:line="49" w:lineRule="exact"/>
        <w:rPr>
          <w:sz w:val="20"/>
          <w:szCs w:val="20"/>
          <w:color w:val="auto"/>
        </w:rPr>
      </w:pPr>
    </w:p>
    <w:p>
      <w:pPr>
        <w:ind w:right="240"/>
        <w:spacing w:after="0" w:line="266" w:lineRule="auto"/>
        <w:rPr>
          <w:sz w:val="20"/>
          <w:szCs w:val="20"/>
          <w:color w:val="auto"/>
        </w:rPr>
      </w:pPr>
      <w:r>
        <w:rPr>
          <w:rFonts w:ascii="Times New Roman" w:cs="Times New Roman" w:eastAsia="Times New Roman" w:hAnsi="Times New Roman"/>
          <w:sz w:val="11"/>
          <w:szCs w:val="11"/>
          <w:color w:val="auto"/>
        </w:rPr>
        <w:t>One of our flagship social initiatives in India is Smartpur, which was developed to improve access to livelihood opportunities, healthcare, financial services, education and governance for rural communities by utilizing the transformative power</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technology. In 2023, we supported Smartpur centers in</w:t>
      </w:r>
    </w:p>
    <w:p>
      <w:pPr>
        <w:spacing w:after="0" w:line="10" w:lineRule="exact"/>
        <w:rPr>
          <w:sz w:val="20"/>
          <w:szCs w:val="20"/>
          <w:color w:val="auto"/>
        </w:rPr>
      </w:pPr>
    </w:p>
    <w:p>
      <w:pPr>
        <w:ind w:right="280"/>
        <w:spacing w:after="0" w:line="286" w:lineRule="auto"/>
        <w:rPr>
          <w:sz w:val="20"/>
          <w:szCs w:val="20"/>
          <w:color w:val="auto"/>
        </w:rPr>
      </w:pPr>
      <w:r>
        <w:rPr>
          <w:rFonts w:ascii="Times New Roman" w:cs="Times New Roman" w:eastAsia="Times New Roman" w:hAnsi="Times New Roman"/>
          <w:sz w:val="11"/>
          <w:szCs w:val="11"/>
          <w:color w:val="auto"/>
        </w:rPr>
        <w:t>350 villages across India and the number of direct beneficiaries reached in 2023 is 119 795.</w:t>
      </w:r>
    </w:p>
    <w:p>
      <w:pPr>
        <w:spacing w:after="0" w:line="54" w:lineRule="exact"/>
        <w:rPr>
          <w:sz w:val="20"/>
          <w:szCs w:val="20"/>
          <w:color w:val="auto"/>
        </w:rPr>
      </w:pPr>
    </w:p>
    <w:p>
      <w:pPr>
        <w:ind w:left="200" w:right="300" w:hanging="198"/>
        <w:spacing w:after="0" w:line="253" w:lineRule="auto"/>
        <w:tabs>
          <w:tab w:leader="none" w:pos="200" w:val="left"/>
        </w:tabs>
        <w:numPr>
          <w:ilvl w:val="0"/>
          <w:numId w:val="7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Individuals that independent from any relationship with the company were directly benefited by Nokia’s contributions or activities related to digital connectivity and inclusion directly resulting from them.</w:t>
      </w:r>
    </w:p>
    <w:p>
      <w:pPr>
        <w:sectPr>
          <w:pgSz w:w="11900" w:h="16838" w:orient="portrait"/>
          <w:cols w:equalWidth="0" w:num="3">
            <w:col w:w="3000" w:space="400"/>
            <w:col w:w="2920" w:space="480"/>
            <w:col w:w="3180"/>
          </w:cols>
          <w:pgMar w:left="960" w:top="409" w:right="959" w:bottom="1440" w:gutter="0" w:footer="0" w:header="0"/>
        </w:sectPr>
      </w:pPr>
    </w:p>
    <w:bookmarkStart w:id="105" w:name="page106"/>
    <w:bookmarkEnd w:id="10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7" w:lineRule="exact"/>
        <w:rPr>
          <w:sz w:val="20"/>
          <w:szCs w:val="20"/>
          <w:color w:val="auto"/>
        </w:rPr>
      </w:pPr>
    </w:p>
    <w:p>
      <w:pPr>
        <w:spacing w:after="0"/>
        <w:rPr>
          <w:sz w:val="20"/>
          <w:szCs w:val="20"/>
          <w:color w:val="auto"/>
        </w:rPr>
      </w:pPr>
      <w:r>
        <w:rPr>
          <w:rFonts w:ascii="Times New Roman" w:cs="Times New Roman" w:eastAsia="Times New Roman" w:hAnsi="Times New Roman"/>
          <w:sz w:val="23"/>
          <w:szCs w:val="23"/>
          <w:color w:val="005AFF"/>
        </w:rPr>
        <w:t>Responsible business</w:t>
      </w:r>
    </w:p>
    <w:p>
      <w:pPr>
        <w:spacing w:after="0" w:line="115"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3"/>
          <w:szCs w:val="13"/>
          <w:color w:val="auto"/>
        </w:rPr>
        <w:t>We strive to execute all business activities in a trustworthy, ethical and transparent manner. This includes interactions with our employees as well as with our business partners, customers and suppliers. We aim to work with only third parties that share our values, that work to ensure compliance with the law and that reinforce a commitment to ethical behavior.</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29"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Highlights</w:t>
      </w:r>
    </w:p>
    <w:p>
      <w:pPr>
        <w:spacing w:after="0" w:line="46" w:lineRule="exact"/>
        <w:rPr>
          <w:sz w:val="20"/>
          <w:szCs w:val="20"/>
          <w:color w:val="auto"/>
        </w:rPr>
      </w:pPr>
    </w:p>
    <w:p>
      <w:pPr>
        <w:ind w:right="180"/>
        <w:spacing w:after="0" w:line="290" w:lineRule="auto"/>
        <w:rPr>
          <w:sz w:val="20"/>
          <w:szCs w:val="20"/>
          <w:color w:val="auto"/>
        </w:rPr>
      </w:pPr>
      <w:r>
        <w:rPr>
          <w:rFonts w:ascii="Times New Roman" w:cs="Times New Roman" w:eastAsia="Times New Roman" w:hAnsi="Times New Roman"/>
          <w:sz w:val="11"/>
          <w:szCs w:val="11"/>
          <w:color w:val="auto"/>
        </w:rPr>
        <w:t>98% of our employees completed our 2023 Ethical Business Training.</w:t>
      </w:r>
    </w:p>
    <w:p>
      <w:pPr>
        <w:spacing w:after="0" w:line="48" w:lineRule="exact"/>
        <w:rPr>
          <w:sz w:val="20"/>
          <w:szCs w:val="20"/>
          <w:color w:val="auto"/>
        </w:rPr>
      </w:pPr>
    </w:p>
    <w:p>
      <w:pPr>
        <w:jc w:val="both"/>
        <w:ind w:right="120"/>
        <w:spacing w:after="0" w:line="266" w:lineRule="auto"/>
        <w:rPr>
          <w:sz w:val="20"/>
          <w:szCs w:val="20"/>
          <w:color w:val="auto"/>
        </w:rPr>
      </w:pPr>
      <w:r>
        <w:rPr>
          <w:rFonts w:ascii="Times New Roman" w:cs="Times New Roman" w:eastAsia="Times New Roman" w:hAnsi="Times New Roman"/>
          <w:sz w:val="11"/>
          <w:szCs w:val="11"/>
          <w:color w:val="auto"/>
        </w:rPr>
        <w:t>In 2023, we implemented 635 supply chain audits, including 141 on-site in-depth audits on corporate responsibility topics, 48 on-site audits against our Supplier Requirements and</w:t>
      </w:r>
    </w:p>
    <w:p>
      <w:pPr>
        <w:spacing w:after="0" w:line="1" w:lineRule="exact"/>
        <w:rPr>
          <w:sz w:val="20"/>
          <w:szCs w:val="20"/>
          <w:color w:val="auto"/>
        </w:rPr>
      </w:pPr>
    </w:p>
    <w:p>
      <w:pPr>
        <w:ind w:right="340"/>
        <w:spacing w:after="0" w:line="278" w:lineRule="auto"/>
        <w:rPr>
          <w:sz w:val="20"/>
          <w:szCs w:val="20"/>
          <w:color w:val="auto"/>
        </w:rPr>
      </w:pPr>
      <w:r>
        <w:rPr>
          <w:rFonts w:ascii="Times New Roman" w:cs="Times New Roman" w:eastAsia="Times New Roman" w:hAnsi="Times New Roman"/>
          <w:sz w:val="11"/>
          <w:szCs w:val="11"/>
          <w:color w:val="auto"/>
        </w:rPr>
        <w:t>446 supplier assessments using the EcoVadis scorecards, which consisted of 62% of Nokia’s total spend.</w:t>
      </w:r>
    </w:p>
    <w:p>
      <w:pPr>
        <w:spacing w:after="0" w:line="54" w:lineRule="exact"/>
        <w:rPr>
          <w:sz w:val="20"/>
          <w:szCs w:val="20"/>
          <w:color w:val="auto"/>
        </w:rPr>
      </w:pPr>
    </w:p>
    <w:p>
      <w:pPr>
        <w:ind w:right="20"/>
        <w:spacing w:after="0" w:line="269" w:lineRule="auto"/>
        <w:rPr>
          <w:sz w:val="20"/>
          <w:szCs w:val="20"/>
          <w:color w:val="auto"/>
        </w:rPr>
      </w:pPr>
      <w:r>
        <w:rPr>
          <w:rFonts w:ascii="Times New Roman" w:cs="Times New Roman" w:eastAsia="Times New Roman" w:hAnsi="Times New Roman"/>
          <w:sz w:val="11"/>
          <w:szCs w:val="11"/>
          <w:color w:val="auto"/>
        </w:rPr>
        <w:t>We successfully completed our second independent assessment for the Global Network Initiative (GNI), with the public report made available in 2023. The assessors highlighted Nokia’s strong human rights culture, noting that many issues are flagged and addressed informally even prior to surfacing during the formal process.</w:t>
      </w:r>
    </w:p>
    <w:p>
      <w:pPr>
        <w:spacing w:after="0" w:line="49" w:lineRule="exact"/>
        <w:rPr>
          <w:sz w:val="20"/>
          <w:szCs w:val="20"/>
          <w:color w:val="auto"/>
        </w:rPr>
      </w:pPr>
    </w:p>
    <w:p>
      <w:pPr>
        <w:spacing w:after="0" w:line="289" w:lineRule="auto"/>
        <w:rPr>
          <w:sz w:val="20"/>
          <w:szCs w:val="20"/>
          <w:color w:val="auto"/>
        </w:rPr>
      </w:pPr>
      <w:r>
        <w:rPr>
          <w:rFonts w:ascii="Times New Roman" w:cs="Times New Roman" w:eastAsia="Times New Roman" w:hAnsi="Times New Roman"/>
          <w:sz w:val="11"/>
          <w:szCs w:val="11"/>
          <w:color w:val="auto"/>
        </w:rPr>
        <w:t>Of the Human Rights Due Diligence cases investigated in 2023, 96% of total cases were resolved as “Go” or “Go with Condition s” (63% and 33% respectively) and 4% as “No Go”.</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ind w:right="100"/>
        <w:spacing w:after="0"/>
        <w:rPr>
          <w:sz w:val="20"/>
          <w:szCs w:val="20"/>
          <w:color w:val="auto"/>
        </w:rPr>
      </w:pPr>
      <w:r>
        <w:rPr>
          <w:rFonts w:ascii="Times New Roman" w:cs="Times New Roman" w:eastAsia="Times New Roman" w:hAnsi="Times New Roman"/>
          <w:sz w:val="12"/>
          <w:szCs w:val="12"/>
          <w:color w:val="auto"/>
        </w:rPr>
        <w:t>98</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560"/>
        <w:spacing w:after="0" w:line="309" w:lineRule="auto"/>
        <w:rPr>
          <w:sz w:val="20"/>
          <w:szCs w:val="20"/>
          <w:color w:val="auto"/>
        </w:rPr>
      </w:pPr>
      <w:r>
        <w:rPr>
          <w:rFonts w:ascii="Times New Roman" w:cs="Times New Roman" w:eastAsia="Times New Roman" w:hAnsi="Times New Roman"/>
          <w:sz w:val="11"/>
          <w:szCs w:val="11"/>
          <w:color w:val="auto"/>
        </w:rPr>
        <w:t>We also improved our diversity hiring in 2023 with women representing 28% of external hires.</w:t>
      </w:r>
    </w:p>
    <w:p>
      <w:pPr>
        <w:spacing w:after="0" w:line="38"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We take a proactive and values-driven approach to responsible business practices both internally and within our value chain. We aim to improve outcomes related to issues including environmental and human rights risks.</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Ethics and compliance</w:t>
      </w:r>
    </w:p>
    <w:p>
      <w:pPr>
        <w:spacing w:after="0" w:line="36" w:lineRule="exact"/>
        <w:rPr>
          <w:sz w:val="20"/>
          <w:szCs w:val="20"/>
          <w:color w:val="auto"/>
        </w:rPr>
      </w:pPr>
    </w:p>
    <w:p>
      <w:pPr>
        <w:ind w:right="400"/>
        <w:spacing w:after="0" w:line="266" w:lineRule="auto"/>
        <w:rPr>
          <w:sz w:val="20"/>
          <w:szCs w:val="20"/>
          <w:color w:val="auto"/>
        </w:rPr>
      </w:pPr>
      <w:r>
        <w:rPr>
          <w:rFonts w:ascii="Times New Roman" w:cs="Times New Roman" w:eastAsia="Times New Roman" w:hAnsi="Times New Roman"/>
          <w:sz w:val="11"/>
          <w:szCs w:val="11"/>
          <w:color w:val="auto"/>
        </w:rPr>
        <w:t>We aim to conduct our business with the highest standards of business ethics and integrity. Our comprehensive compliance program and our strong culture of integrity allow us to earn and keep the trust of customers, governments, employees and other stakeholders. The foundation of our commitment to integrity is our Code of Conduct, which provides a framework that unites our leaders and employees behind a common vision and set of values. This Code sets out four defining principles that are supplemented by 14 key compliance policy areas.</w:t>
      </w:r>
    </w:p>
    <w:p>
      <w:pPr>
        <w:spacing w:after="0" w:line="436" w:lineRule="exact"/>
        <w:rPr>
          <w:sz w:val="20"/>
          <w:szCs w:val="20"/>
          <w:color w:val="auto"/>
        </w:rPr>
      </w:pPr>
    </w:p>
    <w:p>
      <w:pPr>
        <w:sectPr>
          <w:pgSz w:w="11900" w:h="16838" w:orient="portrait"/>
          <w:cols w:equalWidth="0" w:num="3">
            <w:col w:w="2920" w:space="480"/>
            <w:col w:w="2940" w:space="460"/>
            <w:col w:w="3280"/>
          </w:cols>
          <w:pgMar w:left="960" w:top="409" w:right="859" w:bottom="1440" w:gutter="0" w:footer="0" w:header="0"/>
        </w:sectPr>
      </w:pPr>
    </w:p>
    <w:p>
      <w:pPr>
        <w:spacing w:after="0" w:line="228" w:lineRule="exact"/>
        <w:rPr>
          <w:sz w:val="20"/>
          <w:szCs w:val="20"/>
          <w:color w:val="auto"/>
        </w:rPr>
      </w:pPr>
    </w:p>
    <w:p>
      <w:pPr>
        <w:spacing w:after="0"/>
        <w:rPr>
          <w:sz w:val="20"/>
          <w:szCs w:val="20"/>
          <w:color w:val="auto"/>
        </w:rPr>
      </w:pPr>
      <w:r>
        <w:rPr>
          <w:rFonts w:ascii="Times New Roman" w:cs="Times New Roman" w:eastAsia="Times New Roman" w:hAnsi="Times New Roman"/>
          <w:sz w:val="49"/>
          <w:szCs w:val="49"/>
          <w:color w:val="005AFF"/>
        </w:rPr>
        <w:t>98%</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Our Code of Conduct and the 14 main policy areas</w:t>
      </w:r>
    </w:p>
    <w:p>
      <w:pPr>
        <w:spacing w:after="0" w:line="180" w:lineRule="exact"/>
        <w:rPr>
          <w:sz w:val="20"/>
          <w:szCs w:val="20"/>
          <w:color w:val="auto"/>
        </w:rPr>
      </w:pPr>
    </w:p>
    <w:p>
      <w:pPr>
        <w:sectPr>
          <w:pgSz w:w="11900" w:h="16838" w:orient="portrait"/>
          <w:cols w:equalWidth="0" w:num="2">
            <w:col w:w="2880" w:space="720"/>
            <w:col w:w="6480"/>
          </w:cols>
          <w:pgMar w:left="960" w:top="409" w:right="8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of our employees completed the</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Ethical Business Training</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3"/>
          <w:szCs w:val="13"/>
          <w:color w:val="FFFFFF"/>
        </w:rPr>
        <w:t>We do business the right way</w:t>
      </w:r>
    </w:p>
    <w:p>
      <w:pPr>
        <w:spacing w:after="0" w:line="48" w:lineRule="exact"/>
        <w:rPr>
          <w:sz w:val="20"/>
          <w:szCs w:val="20"/>
          <w:color w:val="auto"/>
        </w:rPr>
      </w:pPr>
    </w:p>
    <w:p>
      <w:pPr>
        <w:ind w:left="160" w:hanging="156"/>
        <w:spacing w:after="0"/>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Conflict of interest</w:t>
      </w:r>
    </w:p>
    <w:p>
      <w:pPr>
        <w:spacing w:after="0" w:line="5" w:lineRule="exact"/>
        <w:rPr>
          <w:rFonts w:ascii="Times New Roman" w:cs="Times New Roman" w:eastAsia="Times New Roman" w:hAnsi="Times New Roman"/>
          <w:sz w:val="11"/>
          <w:szCs w:val="11"/>
          <w:color w:val="005AFF"/>
        </w:rPr>
      </w:pPr>
    </w:p>
    <w:p>
      <w:pPr>
        <w:ind w:left="160" w:hanging="156"/>
        <w:spacing w:after="0" w:line="238" w:lineRule="auto"/>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Dealing with government officials</w:t>
      </w:r>
    </w:p>
    <w:p>
      <w:pPr>
        <w:spacing w:after="0" w:line="6" w:lineRule="exact"/>
        <w:rPr>
          <w:rFonts w:ascii="Times New Roman" w:cs="Times New Roman" w:eastAsia="Times New Roman" w:hAnsi="Times New Roman"/>
          <w:sz w:val="11"/>
          <w:szCs w:val="11"/>
          <w:color w:val="005AFF"/>
        </w:rPr>
      </w:pPr>
    </w:p>
    <w:p>
      <w:pPr>
        <w:ind w:left="160" w:hanging="156"/>
        <w:spacing w:after="0" w:line="218" w:lineRule="auto"/>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Fair competition</w:t>
      </w:r>
    </w:p>
    <w:p>
      <w:pPr>
        <w:spacing w:after="0" w:line="6" w:lineRule="exact"/>
        <w:rPr>
          <w:rFonts w:ascii="Times New Roman" w:cs="Times New Roman" w:eastAsia="Times New Roman" w:hAnsi="Times New Roman"/>
          <w:sz w:val="11"/>
          <w:szCs w:val="11"/>
          <w:color w:val="005AFF"/>
        </w:rPr>
      </w:pPr>
    </w:p>
    <w:p>
      <w:pPr>
        <w:ind w:left="160" w:hanging="156"/>
        <w:spacing w:after="0" w:line="218" w:lineRule="auto"/>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Improper payments (anti-corruption)</w:t>
      </w:r>
    </w:p>
    <w:p>
      <w:pPr>
        <w:spacing w:after="0" w:line="16" w:lineRule="exact"/>
        <w:rPr>
          <w:rFonts w:ascii="Times New Roman" w:cs="Times New Roman" w:eastAsia="Times New Roman" w:hAnsi="Times New Roman"/>
          <w:sz w:val="11"/>
          <w:szCs w:val="11"/>
          <w:color w:val="005AFF"/>
        </w:rPr>
      </w:pPr>
    </w:p>
    <w:p>
      <w:pPr>
        <w:ind w:left="160" w:hanging="156"/>
        <w:spacing w:after="0" w:line="218" w:lineRule="auto"/>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Trade compliance</w:t>
      </w:r>
    </w:p>
    <w:p>
      <w:pPr>
        <w:spacing w:after="0" w:line="6" w:lineRule="exact"/>
        <w:rPr>
          <w:rFonts w:ascii="Times New Roman" w:cs="Times New Roman" w:eastAsia="Times New Roman" w:hAnsi="Times New Roman"/>
          <w:sz w:val="11"/>
          <w:szCs w:val="11"/>
          <w:color w:val="005AFF"/>
        </w:rPr>
      </w:pPr>
    </w:p>
    <w:p>
      <w:pPr>
        <w:ind w:left="160" w:hanging="156"/>
        <w:spacing w:after="0" w:line="218" w:lineRule="auto"/>
        <w:tabs>
          <w:tab w:leader="none" w:pos="160" w:val="left"/>
        </w:tabs>
        <w:numPr>
          <w:ilvl w:val="0"/>
          <w:numId w:val="77"/>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Working with third parties</w:t>
      </w:r>
    </w:p>
    <w:p>
      <w:pPr>
        <w:spacing w:after="0" w:line="20" w:lineRule="exact"/>
        <w:rPr>
          <w:sz w:val="20"/>
          <w:szCs w:val="20"/>
          <w:color w:val="auto"/>
        </w:rPr>
      </w:pPr>
      <w:r>
        <w:rPr>
          <w:sz w:val="20"/>
          <w:szCs w:val="20"/>
          <w:color w:val="auto"/>
        </w:rPr>
        <w:br w:type="column"/>
      </w:r>
    </w:p>
    <w:p>
      <w:pPr>
        <w:ind w:right="20"/>
        <w:spacing w:after="0" w:line="275" w:lineRule="auto"/>
        <w:rPr>
          <w:sz w:val="20"/>
          <w:szCs w:val="20"/>
          <w:color w:val="auto"/>
        </w:rPr>
      </w:pPr>
      <w:r>
        <w:rPr>
          <w:rFonts w:ascii="Times New Roman" w:cs="Times New Roman" w:eastAsia="Times New Roman" w:hAnsi="Times New Roman"/>
          <w:sz w:val="13"/>
          <w:szCs w:val="13"/>
          <w:color w:val="FFFFFF"/>
        </w:rPr>
        <w:t>We respect our people and community</w:t>
      </w:r>
    </w:p>
    <w:p>
      <w:pPr>
        <w:spacing w:after="0" w:line="17" w:lineRule="exact"/>
        <w:rPr>
          <w:sz w:val="20"/>
          <w:szCs w:val="20"/>
          <w:color w:val="auto"/>
        </w:rPr>
      </w:pPr>
    </w:p>
    <w:p>
      <w:pPr>
        <w:ind w:left="180" w:hanging="162"/>
        <w:spacing w:after="0"/>
        <w:tabs>
          <w:tab w:leader="none" w:pos="180" w:val="left"/>
        </w:tabs>
        <w:numPr>
          <w:ilvl w:val="0"/>
          <w:numId w:val="78"/>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Environment</w:t>
      </w:r>
    </w:p>
    <w:p>
      <w:pPr>
        <w:spacing w:after="0" w:line="5" w:lineRule="exact"/>
        <w:rPr>
          <w:rFonts w:ascii="Times New Roman" w:cs="Times New Roman" w:eastAsia="Times New Roman" w:hAnsi="Times New Roman"/>
          <w:sz w:val="11"/>
          <w:szCs w:val="11"/>
          <w:color w:val="005AFF"/>
        </w:rPr>
      </w:pPr>
    </w:p>
    <w:p>
      <w:pPr>
        <w:ind w:left="180" w:hanging="162"/>
        <w:spacing w:after="0" w:line="238" w:lineRule="auto"/>
        <w:tabs>
          <w:tab w:leader="none" w:pos="180" w:val="left"/>
        </w:tabs>
        <w:numPr>
          <w:ilvl w:val="0"/>
          <w:numId w:val="78"/>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Fair employment</w:t>
      </w:r>
    </w:p>
    <w:p>
      <w:pPr>
        <w:spacing w:after="0" w:line="6" w:lineRule="exact"/>
        <w:rPr>
          <w:rFonts w:ascii="Times New Roman" w:cs="Times New Roman" w:eastAsia="Times New Roman" w:hAnsi="Times New Roman"/>
          <w:sz w:val="11"/>
          <w:szCs w:val="11"/>
          <w:color w:val="005AFF"/>
        </w:rPr>
      </w:pPr>
    </w:p>
    <w:p>
      <w:pPr>
        <w:ind w:left="180" w:hanging="162"/>
        <w:spacing w:after="0" w:line="218" w:lineRule="auto"/>
        <w:tabs>
          <w:tab w:leader="none" w:pos="180" w:val="left"/>
        </w:tabs>
        <w:numPr>
          <w:ilvl w:val="0"/>
          <w:numId w:val="78"/>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Health, safety &amp; labor conditions</w:t>
      </w:r>
    </w:p>
    <w:p>
      <w:pPr>
        <w:spacing w:after="0" w:line="6" w:lineRule="exact"/>
        <w:rPr>
          <w:rFonts w:ascii="Times New Roman" w:cs="Times New Roman" w:eastAsia="Times New Roman" w:hAnsi="Times New Roman"/>
          <w:sz w:val="11"/>
          <w:szCs w:val="11"/>
          <w:color w:val="005AFF"/>
        </w:rPr>
      </w:pPr>
    </w:p>
    <w:p>
      <w:pPr>
        <w:ind w:left="180" w:hanging="162"/>
        <w:spacing w:after="0" w:line="218" w:lineRule="auto"/>
        <w:tabs>
          <w:tab w:leader="none" w:pos="180" w:val="left"/>
        </w:tabs>
        <w:numPr>
          <w:ilvl w:val="0"/>
          <w:numId w:val="78"/>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Human rights</w:t>
      </w:r>
    </w:p>
    <w:p>
      <w:pPr>
        <w:spacing w:after="0" w:line="16" w:lineRule="exact"/>
        <w:rPr>
          <w:rFonts w:ascii="Times New Roman" w:cs="Times New Roman" w:eastAsia="Times New Roman" w:hAnsi="Times New Roman"/>
          <w:sz w:val="11"/>
          <w:szCs w:val="11"/>
          <w:color w:val="005AFF"/>
        </w:rPr>
      </w:pPr>
    </w:p>
    <w:p>
      <w:pPr>
        <w:ind w:left="180" w:hanging="162"/>
        <w:spacing w:after="0" w:line="218" w:lineRule="auto"/>
        <w:tabs>
          <w:tab w:leader="none" w:pos="180" w:val="left"/>
        </w:tabs>
        <w:numPr>
          <w:ilvl w:val="0"/>
          <w:numId w:val="78"/>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Privacy</w:t>
      </w:r>
    </w:p>
    <w:p>
      <w:pPr>
        <w:spacing w:after="0" w:line="20" w:lineRule="exact"/>
        <w:rPr>
          <w:sz w:val="20"/>
          <w:szCs w:val="20"/>
          <w:color w:val="auto"/>
        </w:rPr>
      </w:pPr>
      <w:r>
        <w:rPr>
          <w:sz w:val="20"/>
          <w:szCs w:val="20"/>
          <w:color w:val="auto"/>
        </w:rPr>
        <w:br w:type="column"/>
      </w:r>
    </w:p>
    <w:p>
      <w:pPr>
        <w:jc w:val="center"/>
        <w:ind w:right="760"/>
        <w:spacing w:after="0"/>
        <w:rPr>
          <w:sz w:val="20"/>
          <w:szCs w:val="20"/>
          <w:color w:val="auto"/>
        </w:rPr>
      </w:pPr>
      <w:r>
        <w:rPr>
          <w:rFonts w:ascii="Times New Roman" w:cs="Times New Roman" w:eastAsia="Times New Roman" w:hAnsi="Times New Roman"/>
          <w:sz w:val="13"/>
          <w:szCs w:val="13"/>
          <w:color w:val="FFFFFF"/>
        </w:rPr>
        <w:t>We safeguard our assets</w:t>
      </w:r>
    </w:p>
    <w:p>
      <w:pPr>
        <w:spacing w:after="0" w:line="48" w:lineRule="exact"/>
        <w:rPr>
          <w:sz w:val="20"/>
          <w:szCs w:val="20"/>
          <w:color w:val="auto"/>
        </w:rPr>
      </w:pPr>
    </w:p>
    <w:p>
      <w:pPr>
        <w:ind w:left="180" w:hanging="168"/>
        <w:spacing w:after="0"/>
        <w:tabs>
          <w:tab w:leader="none" w:pos="180" w:val="left"/>
        </w:tabs>
        <w:numPr>
          <w:ilvl w:val="0"/>
          <w:numId w:val="79"/>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Controllership</w:t>
      </w:r>
    </w:p>
    <w:p>
      <w:pPr>
        <w:spacing w:after="0" w:line="9" w:lineRule="exact"/>
        <w:rPr>
          <w:rFonts w:ascii="Times New Roman" w:cs="Times New Roman" w:eastAsia="Times New Roman" w:hAnsi="Times New Roman"/>
          <w:sz w:val="11"/>
          <w:szCs w:val="11"/>
          <w:color w:val="005AFF"/>
        </w:rPr>
      </w:pPr>
    </w:p>
    <w:p>
      <w:pPr>
        <w:ind w:left="180" w:right="540" w:hanging="168"/>
        <w:spacing w:after="0" w:line="254" w:lineRule="auto"/>
        <w:tabs>
          <w:tab w:leader="none" w:pos="180" w:val="left"/>
        </w:tabs>
        <w:numPr>
          <w:ilvl w:val="0"/>
          <w:numId w:val="79"/>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Intellectual property &amp; confidential information</w:t>
      </w:r>
    </w:p>
    <w:p>
      <w:pPr>
        <w:ind w:left="180" w:hanging="168"/>
        <w:spacing w:after="0" w:line="230" w:lineRule="auto"/>
        <w:tabs>
          <w:tab w:leader="none" w:pos="180" w:val="left"/>
        </w:tabs>
        <w:numPr>
          <w:ilvl w:val="0"/>
          <w:numId w:val="79"/>
        </w:numPr>
        <w:rPr>
          <w:rFonts w:ascii="Times New Roman" w:cs="Times New Roman" w:eastAsia="Times New Roman" w:hAnsi="Times New Roman"/>
          <w:sz w:val="11"/>
          <w:szCs w:val="11"/>
          <w:color w:val="005AFF"/>
        </w:rPr>
      </w:pPr>
      <w:r>
        <w:rPr>
          <w:rFonts w:ascii="Times New Roman" w:cs="Times New Roman" w:eastAsia="Times New Roman" w:hAnsi="Times New Roman"/>
          <w:sz w:val="9"/>
          <w:szCs w:val="9"/>
          <w:color w:val="FFFFFF"/>
        </w:rPr>
        <w:t>Insider trading</w:t>
      </w:r>
    </w:p>
    <w:p>
      <w:pPr>
        <w:spacing w:after="0" w:line="492" w:lineRule="exact"/>
        <w:rPr>
          <w:sz w:val="20"/>
          <w:szCs w:val="20"/>
          <w:color w:val="auto"/>
        </w:rPr>
      </w:pPr>
    </w:p>
    <w:p>
      <w:pPr>
        <w:sectPr>
          <w:pgSz w:w="11900" w:h="16838" w:orient="portrait"/>
          <w:cols w:equalWidth="0" w:num="4">
            <w:col w:w="2960" w:space="720"/>
            <w:col w:w="1580" w:space="580"/>
            <w:col w:w="1460" w:space="720"/>
            <w:col w:w="2060"/>
          </w:cols>
          <w:pgMar w:left="960" w:top="409" w:right="8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84"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color w:val="auto"/>
        </w:rPr>
        <w:t>Four defining principles</w:t>
      </w:r>
    </w:p>
    <w:p>
      <w:pPr>
        <w:spacing w:after="0" w:line="116" w:lineRule="exact"/>
        <w:rPr>
          <w:sz w:val="20"/>
          <w:szCs w:val="20"/>
          <w:color w:val="auto"/>
        </w:rPr>
      </w:pPr>
    </w:p>
    <w:tbl>
      <w:tblPr>
        <w:tblLayout w:type="fixed"/>
        <w:tblInd w:w="0" w:type="dxa"/>
        <w:tblCellMar>
          <w:top w:w="0" w:type="dxa"/>
          <w:left w:w="0" w:type="dxa"/>
          <w:bottom w:w="0" w:type="dxa"/>
          <w:right w:w="0" w:type="dxa"/>
        </w:tblCellMar>
      </w:tblPr>
      <w:tr>
        <w:trPr>
          <w:trHeight w:val="182"/>
        </w:trPr>
        <w:tc>
          <w:tcPr>
            <w:tcW w:w="1520" w:type="dxa"/>
            <w:vAlign w:val="bottom"/>
            <w:shd w:val="clear" w:color="auto" w:fill="37CC73"/>
          </w:tcPr>
          <w:p>
            <w:pPr>
              <w:ind w:left="120"/>
              <w:spacing w:after="0"/>
              <w:rPr>
                <w:sz w:val="20"/>
                <w:szCs w:val="20"/>
                <w:color w:val="auto"/>
              </w:rPr>
            </w:pPr>
            <w:r>
              <w:rPr>
                <w:rFonts w:ascii="Times New Roman" w:cs="Times New Roman" w:eastAsia="Times New Roman" w:hAnsi="Times New Roman"/>
                <w:sz w:val="9"/>
                <w:szCs w:val="9"/>
                <w:color w:val="FFFFFF"/>
              </w:rPr>
              <w:t>We follow the laws of the</w:t>
            </w:r>
          </w:p>
        </w:tc>
        <w:tc>
          <w:tcPr>
            <w:tcW w:w="140" w:type="dxa"/>
            <w:vAlign w:val="bottom"/>
            <w:shd w:val="clear" w:color="auto" w:fill="F0F5FF"/>
          </w:tcPr>
          <w:p>
            <w:pPr>
              <w:spacing w:after="0"/>
              <w:rPr>
                <w:sz w:val="15"/>
                <w:szCs w:val="15"/>
                <w:color w:val="auto"/>
              </w:rPr>
            </w:pPr>
          </w:p>
        </w:tc>
        <w:tc>
          <w:tcPr>
            <w:tcW w:w="148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We personally set the</w:t>
            </w:r>
          </w:p>
        </w:tc>
        <w:tc>
          <w:tcPr>
            <w:tcW w:w="140" w:type="dxa"/>
            <w:vAlign w:val="bottom"/>
            <w:shd w:val="clear" w:color="auto" w:fill="F0F5FF"/>
          </w:tcPr>
          <w:p>
            <w:pPr>
              <w:spacing w:after="0"/>
              <w:rPr>
                <w:sz w:val="15"/>
                <w:szCs w:val="15"/>
                <w:color w:val="auto"/>
              </w:rPr>
            </w:pPr>
          </w:p>
        </w:tc>
        <w:tc>
          <w:tcPr>
            <w:tcW w:w="148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We promote a culture of</w:t>
            </w:r>
          </w:p>
        </w:tc>
        <w:tc>
          <w:tcPr>
            <w:tcW w:w="140" w:type="dxa"/>
            <w:vAlign w:val="bottom"/>
            <w:shd w:val="clear" w:color="auto" w:fill="F0F5FF"/>
          </w:tcPr>
          <w:p>
            <w:pPr>
              <w:spacing w:after="0"/>
              <w:rPr>
                <w:sz w:val="15"/>
                <w:szCs w:val="15"/>
                <w:color w:val="auto"/>
              </w:rPr>
            </w:pPr>
          </w:p>
        </w:tc>
        <w:tc>
          <w:tcPr>
            <w:tcW w:w="148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We hold each other</w:t>
            </w:r>
          </w:p>
        </w:tc>
        <w:tc>
          <w:tcPr>
            <w:tcW w:w="140" w:type="dxa"/>
            <w:vAlign w:val="bottom"/>
            <w:shd w:val="clear" w:color="auto" w:fill="F0F5FF"/>
          </w:tcPr>
          <w:p>
            <w:pPr>
              <w:spacing w:after="0"/>
              <w:rPr>
                <w:sz w:val="15"/>
                <w:szCs w:val="15"/>
                <w:color w:val="auto"/>
              </w:rPr>
            </w:pPr>
          </w:p>
        </w:tc>
      </w:tr>
      <w:tr>
        <w:trPr>
          <w:trHeight w:val="98"/>
        </w:trPr>
        <w:tc>
          <w:tcPr>
            <w:tcW w:w="1520" w:type="dxa"/>
            <w:vAlign w:val="bottom"/>
            <w:shd w:val="clear" w:color="auto" w:fill="37CC73"/>
          </w:tcPr>
          <w:p>
            <w:pPr>
              <w:ind w:left="120"/>
              <w:spacing w:after="0" w:line="98" w:lineRule="exact"/>
              <w:rPr>
                <w:sz w:val="20"/>
                <w:szCs w:val="20"/>
                <w:color w:val="auto"/>
              </w:rPr>
            </w:pPr>
            <w:r>
              <w:rPr>
                <w:rFonts w:ascii="Times New Roman" w:cs="Times New Roman" w:eastAsia="Times New Roman" w:hAnsi="Times New Roman"/>
                <w:sz w:val="9"/>
                <w:szCs w:val="9"/>
                <w:color w:val="FFFFFF"/>
              </w:rPr>
              <w:t>countries where we do</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98" w:lineRule="exact"/>
              <w:rPr>
                <w:sz w:val="20"/>
                <w:szCs w:val="20"/>
                <w:color w:val="auto"/>
              </w:rPr>
            </w:pPr>
            <w:r>
              <w:rPr>
                <w:rFonts w:ascii="Times New Roman" w:cs="Times New Roman" w:eastAsia="Times New Roman" w:hAnsi="Times New Roman"/>
                <w:sz w:val="9"/>
                <w:szCs w:val="9"/>
                <w:color w:val="FFFFFF"/>
              </w:rPr>
              <w:t>example for each other and</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98" w:lineRule="exact"/>
              <w:rPr>
                <w:sz w:val="20"/>
                <w:szCs w:val="20"/>
                <w:color w:val="auto"/>
              </w:rPr>
            </w:pPr>
            <w:r>
              <w:rPr>
                <w:rFonts w:ascii="Times New Roman" w:cs="Times New Roman" w:eastAsia="Times New Roman" w:hAnsi="Times New Roman"/>
                <w:sz w:val="9"/>
                <w:szCs w:val="9"/>
                <w:color w:val="FFFFFF"/>
              </w:rPr>
              <w:t>integrity through mutual</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98" w:lineRule="exact"/>
              <w:rPr>
                <w:sz w:val="20"/>
                <w:szCs w:val="20"/>
                <w:color w:val="auto"/>
              </w:rPr>
            </w:pPr>
            <w:r>
              <w:rPr>
                <w:rFonts w:ascii="Times New Roman" w:cs="Times New Roman" w:eastAsia="Times New Roman" w:hAnsi="Times New Roman"/>
                <w:sz w:val="9"/>
                <w:szCs w:val="9"/>
                <w:color w:val="FFFFFF"/>
              </w:rPr>
              <w:t>accountable to the Code of</w:t>
            </w:r>
          </w:p>
        </w:tc>
        <w:tc>
          <w:tcPr>
            <w:tcW w:w="140" w:type="dxa"/>
            <w:vAlign w:val="bottom"/>
            <w:shd w:val="clear" w:color="auto" w:fill="F0F5FF"/>
          </w:tcPr>
          <w:p>
            <w:pPr>
              <w:spacing w:after="0"/>
              <w:rPr>
                <w:sz w:val="8"/>
                <w:szCs w:val="8"/>
                <w:color w:val="auto"/>
              </w:rPr>
            </w:pPr>
          </w:p>
        </w:tc>
      </w:tr>
      <w:tr>
        <w:trPr>
          <w:trHeight w:val="101"/>
        </w:trPr>
        <w:tc>
          <w:tcPr>
            <w:tcW w:w="1520" w:type="dxa"/>
            <w:vAlign w:val="bottom"/>
            <w:shd w:val="clear" w:color="auto" w:fill="37CC73"/>
          </w:tcPr>
          <w:p>
            <w:pPr>
              <w:ind w:left="120"/>
              <w:spacing w:after="0" w:line="101" w:lineRule="exact"/>
              <w:rPr>
                <w:sz w:val="20"/>
                <w:szCs w:val="20"/>
                <w:color w:val="auto"/>
              </w:rPr>
            </w:pPr>
            <w:r>
              <w:rPr>
                <w:rFonts w:ascii="Times New Roman" w:cs="Times New Roman" w:eastAsia="Times New Roman" w:hAnsi="Times New Roman"/>
                <w:sz w:val="9"/>
                <w:szCs w:val="9"/>
                <w:color w:val="FFFFFF"/>
              </w:rPr>
              <w:t>business and adhere to</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our stakeholders by</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respect, trust in each other</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Conduct and if we are aware</w:t>
            </w:r>
          </w:p>
        </w:tc>
        <w:tc>
          <w:tcPr>
            <w:tcW w:w="140" w:type="dxa"/>
            <w:vAlign w:val="bottom"/>
            <w:shd w:val="clear" w:color="auto" w:fill="F0F5FF"/>
          </w:tcPr>
          <w:p>
            <w:pPr>
              <w:spacing w:after="0"/>
              <w:rPr>
                <w:sz w:val="8"/>
                <w:szCs w:val="8"/>
                <w:color w:val="auto"/>
              </w:rPr>
            </w:pPr>
          </w:p>
        </w:tc>
      </w:tr>
      <w:tr>
        <w:trPr>
          <w:trHeight w:val="101"/>
        </w:trPr>
        <w:tc>
          <w:tcPr>
            <w:tcW w:w="1520" w:type="dxa"/>
            <w:vAlign w:val="bottom"/>
            <w:shd w:val="clear" w:color="auto" w:fill="37CC73"/>
          </w:tcPr>
          <w:p>
            <w:pPr>
              <w:ind w:left="120"/>
              <w:spacing w:after="0" w:line="101" w:lineRule="exact"/>
              <w:rPr>
                <w:sz w:val="20"/>
                <w:szCs w:val="20"/>
                <w:color w:val="auto"/>
              </w:rPr>
            </w:pPr>
            <w:r>
              <w:rPr>
                <w:rFonts w:ascii="Times New Roman" w:cs="Times New Roman" w:eastAsia="Times New Roman" w:hAnsi="Times New Roman"/>
                <w:sz w:val="9"/>
                <w:szCs w:val="9"/>
                <w:color w:val="FFFFFF"/>
              </w:rPr>
              <w:t>Nokia’s policies and</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being honest and fair</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and high standards of ethics</w:t>
            </w:r>
          </w:p>
        </w:tc>
        <w:tc>
          <w:tcPr>
            <w:tcW w:w="140" w:type="dxa"/>
            <w:vAlign w:val="bottom"/>
            <w:shd w:val="clear" w:color="auto" w:fill="F0F5FF"/>
          </w:tcPr>
          <w:p>
            <w:pPr>
              <w:spacing w:after="0"/>
              <w:rPr>
                <w:sz w:val="8"/>
                <w:szCs w:val="8"/>
                <w:color w:val="auto"/>
              </w:rPr>
            </w:pPr>
          </w:p>
        </w:tc>
        <w:tc>
          <w:tcPr>
            <w:tcW w:w="1480" w:type="dxa"/>
            <w:vAlign w:val="bottom"/>
            <w:shd w:val="clear" w:color="auto" w:fill="37CC73"/>
          </w:tcPr>
          <w:p>
            <w:pPr>
              <w:ind w:left="100"/>
              <w:spacing w:after="0" w:line="101" w:lineRule="exact"/>
              <w:rPr>
                <w:sz w:val="20"/>
                <w:szCs w:val="20"/>
                <w:color w:val="auto"/>
              </w:rPr>
            </w:pPr>
            <w:r>
              <w:rPr>
                <w:rFonts w:ascii="Times New Roman" w:cs="Times New Roman" w:eastAsia="Times New Roman" w:hAnsi="Times New Roman"/>
                <w:sz w:val="9"/>
                <w:szCs w:val="9"/>
                <w:color w:val="FFFFFF"/>
              </w:rPr>
              <w:t>of potential violations, we</w:t>
            </w:r>
          </w:p>
        </w:tc>
        <w:tc>
          <w:tcPr>
            <w:tcW w:w="140" w:type="dxa"/>
            <w:vAlign w:val="bottom"/>
            <w:shd w:val="clear" w:color="auto" w:fill="F0F5FF"/>
          </w:tcPr>
          <w:p>
            <w:pPr>
              <w:spacing w:after="0"/>
              <w:rPr>
                <w:sz w:val="8"/>
                <w:szCs w:val="8"/>
                <w:color w:val="auto"/>
              </w:rPr>
            </w:pPr>
          </w:p>
        </w:tc>
      </w:tr>
      <w:tr>
        <w:trPr>
          <w:trHeight w:val="122"/>
        </w:trPr>
        <w:tc>
          <w:tcPr>
            <w:tcW w:w="1520" w:type="dxa"/>
            <w:vAlign w:val="bottom"/>
            <w:shd w:val="clear" w:color="auto" w:fill="37CC73"/>
          </w:tcPr>
          <w:p>
            <w:pPr>
              <w:ind w:left="120"/>
              <w:spacing w:after="0"/>
              <w:rPr>
                <w:sz w:val="20"/>
                <w:szCs w:val="20"/>
                <w:color w:val="auto"/>
              </w:rPr>
            </w:pPr>
            <w:r>
              <w:rPr>
                <w:rFonts w:ascii="Times New Roman" w:cs="Times New Roman" w:eastAsia="Times New Roman" w:hAnsi="Times New Roman"/>
                <w:sz w:val="9"/>
                <w:szCs w:val="9"/>
                <w:color w:val="FFFFFF"/>
              </w:rPr>
              <w:t>procedures</w:t>
            </w:r>
          </w:p>
        </w:tc>
        <w:tc>
          <w:tcPr>
            <w:tcW w:w="140" w:type="dxa"/>
            <w:vAlign w:val="bottom"/>
            <w:shd w:val="clear" w:color="auto" w:fill="F0F5FF"/>
          </w:tcPr>
          <w:p>
            <w:pPr>
              <w:spacing w:after="0"/>
              <w:rPr>
                <w:sz w:val="10"/>
                <w:szCs w:val="10"/>
                <w:color w:val="auto"/>
              </w:rPr>
            </w:pPr>
          </w:p>
        </w:tc>
        <w:tc>
          <w:tcPr>
            <w:tcW w:w="1480" w:type="dxa"/>
            <w:vAlign w:val="bottom"/>
            <w:shd w:val="clear" w:color="auto" w:fill="37CC73"/>
          </w:tcPr>
          <w:p>
            <w:pPr>
              <w:spacing w:after="0"/>
              <w:rPr>
                <w:sz w:val="10"/>
                <w:szCs w:val="10"/>
                <w:color w:val="auto"/>
              </w:rPr>
            </w:pPr>
          </w:p>
        </w:tc>
        <w:tc>
          <w:tcPr>
            <w:tcW w:w="140" w:type="dxa"/>
            <w:vAlign w:val="bottom"/>
            <w:shd w:val="clear" w:color="auto" w:fill="F0F5FF"/>
          </w:tcPr>
          <w:p>
            <w:pPr>
              <w:spacing w:after="0"/>
              <w:rPr>
                <w:sz w:val="10"/>
                <w:szCs w:val="10"/>
                <w:color w:val="auto"/>
              </w:rPr>
            </w:pPr>
          </w:p>
        </w:tc>
        <w:tc>
          <w:tcPr>
            <w:tcW w:w="148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in all our business dealings</w:t>
            </w:r>
          </w:p>
        </w:tc>
        <w:tc>
          <w:tcPr>
            <w:tcW w:w="140" w:type="dxa"/>
            <w:vAlign w:val="bottom"/>
            <w:shd w:val="clear" w:color="auto" w:fill="F0F5FF"/>
          </w:tcPr>
          <w:p>
            <w:pPr>
              <w:spacing w:after="0"/>
              <w:rPr>
                <w:sz w:val="10"/>
                <w:szCs w:val="10"/>
                <w:color w:val="auto"/>
              </w:rPr>
            </w:pPr>
          </w:p>
        </w:tc>
        <w:tc>
          <w:tcPr>
            <w:tcW w:w="1480" w:type="dxa"/>
            <w:vAlign w:val="bottom"/>
            <w:shd w:val="clear" w:color="auto" w:fill="37CC73"/>
          </w:tcPr>
          <w:p>
            <w:pPr>
              <w:ind w:left="100"/>
              <w:spacing w:after="0"/>
              <w:rPr>
                <w:sz w:val="20"/>
                <w:szCs w:val="20"/>
                <w:color w:val="auto"/>
              </w:rPr>
            </w:pPr>
            <w:r>
              <w:rPr>
                <w:rFonts w:ascii="Times New Roman" w:cs="Times New Roman" w:eastAsia="Times New Roman" w:hAnsi="Times New Roman"/>
                <w:sz w:val="9"/>
                <w:szCs w:val="9"/>
                <w:color w:val="FFFFFF"/>
              </w:rPr>
              <w:t>promptly report them</w:t>
            </w:r>
          </w:p>
        </w:tc>
        <w:tc>
          <w:tcPr>
            <w:tcW w:w="140" w:type="dxa"/>
            <w:vAlign w:val="bottom"/>
            <w:shd w:val="clear" w:color="auto" w:fill="F0F5FF"/>
          </w:tcPr>
          <w:p>
            <w:pPr>
              <w:spacing w:after="0"/>
              <w:rPr>
                <w:sz w:val="10"/>
                <w:szCs w:val="10"/>
                <w:color w:val="auto"/>
              </w:rPr>
            </w:pPr>
          </w:p>
        </w:tc>
      </w:tr>
      <w:tr>
        <w:trPr>
          <w:trHeight w:val="275"/>
        </w:trPr>
        <w:tc>
          <w:tcPr>
            <w:tcW w:w="1520" w:type="dxa"/>
            <w:vAlign w:val="bottom"/>
            <w:shd w:val="clear" w:color="auto" w:fill="37CC73"/>
          </w:tcPr>
          <w:p>
            <w:pPr>
              <w:spacing w:after="0"/>
              <w:rPr>
                <w:sz w:val="23"/>
                <w:szCs w:val="23"/>
                <w:color w:val="auto"/>
              </w:rPr>
            </w:pPr>
          </w:p>
        </w:tc>
        <w:tc>
          <w:tcPr>
            <w:tcW w:w="140" w:type="dxa"/>
            <w:vAlign w:val="bottom"/>
            <w:shd w:val="clear" w:color="auto" w:fill="F0F5FF"/>
          </w:tcPr>
          <w:p>
            <w:pPr>
              <w:spacing w:after="0"/>
              <w:rPr>
                <w:sz w:val="23"/>
                <w:szCs w:val="23"/>
                <w:color w:val="auto"/>
              </w:rPr>
            </w:pPr>
          </w:p>
        </w:tc>
        <w:tc>
          <w:tcPr>
            <w:tcW w:w="1480" w:type="dxa"/>
            <w:vAlign w:val="bottom"/>
            <w:shd w:val="clear" w:color="auto" w:fill="37CC73"/>
          </w:tcPr>
          <w:p>
            <w:pPr>
              <w:spacing w:after="0"/>
              <w:rPr>
                <w:sz w:val="23"/>
                <w:szCs w:val="23"/>
                <w:color w:val="auto"/>
              </w:rPr>
            </w:pPr>
          </w:p>
        </w:tc>
        <w:tc>
          <w:tcPr>
            <w:tcW w:w="140" w:type="dxa"/>
            <w:vAlign w:val="bottom"/>
            <w:shd w:val="clear" w:color="auto" w:fill="F0F5FF"/>
          </w:tcPr>
          <w:p>
            <w:pPr>
              <w:spacing w:after="0"/>
              <w:rPr>
                <w:sz w:val="23"/>
                <w:szCs w:val="23"/>
                <w:color w:val="auto"/>
              </w:rPr>
            </w:pPr>
          </w:p>
        </w:tc>
        <w:tc>
          <w:tcPr>
            <w:tcW w:w="1480" w:type="dxa"/>
            <w:vAlign w:val="bottom"/>
            <w:shd w:val="clear" w:color="auto" w:fill="37CC73"/>
          </w:tcPr>
          <w:p>
            <w:pPr>
              <w:spacing w:after="0"/>
              <w:rPr>
                <w:sz w:val="23"/>
                <w:szCs w:val="23"/>
                <w:color w:val="auto"/>
              </w:rPr>
            </w:pPr>
          </w:p>
        </w:tc>
        <w:tc>
          <w:tcPr>
            <w:tcW w:w="140" w:type="dxa"/>
            <w:vAlign w:val="bottom"/>
            <w:shd w:val="clear" w:color="auto" w:fill="F0F5FF"/>
          </w:tcPr>
          <w:p>
            <w:pPr>
              <w:spacing w:after="0"/>
              <w:rPr>
                <w:sz w:val="23"/>
                <w:szCs w:val="23"/>
                <w:color w:val="auto"/>
              </w:rPr>
            </w:pPr>
          </w:p>
        </w:tc>
        <w:tc>
          <w:tcPr>
            <w:tcW w:w="1480" w:type="dxa"/>
            <w:vAlign w:val="bottom"/>
            <w:shd w:val="clear" w:color="auto" w:fill="37CC73"/>
          </w:tcPr>
          <w:p>
            <w:pPr>
              <w:spacing w:after="0"/>
              <w:rPr>
                <w:sz w:val="23"/>
                <w:szCs w:val="23"/>
                <w:color w:val="auto"/>
              </w:rPr>
            </w:pPr>
          </w:p>
        </w:tc>
        <w:tc>
          <w:tcPr>
            <w:tcW w:w="140" w:type="dxa"/>
            <w:vAlign w:val="bottom"/>
            <w:shd w:val="clear" w:color="auto" w:fill="F0F5FF"/>
          </w:tcPr>
          <w:p>
            <w:pPr>
              <w:spacing w:after="0"/>
              <w:rPr>
                <w:sz w:val="23"/>
                <w:szCs w:val="23"/>
                <w:color w:val="auto"/>
              </w:rPr>
            </w:pPr>
          </w:p>
        </w:tc>
      </w:tr>
      <w:tr>
        <w:trPr>
          <w:trHeight w:val="131"/>
        </w:trPr>
        <w:tc>
          <w:tcPr>
            <w:tcW w:w="1520" w:type="dxa"/>
            <w:vAlign w:val="bottom"/>
            <w:shd w:val="clear" w:color="auto" w:fill="F0F5FF"/>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1480" w:type="dxa"/>
            <w:vAlign w:val="bottom"/>
            <w:shd w:val="clear" w:color="auto" w:fill="F0F5FF"/>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1480" w:type="dxa"/>
            <w:vAlign w:val="bottom"/>
            <w:shd w:val="clear" w:color="auto" w:fill="F0F5FF"/>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1480" w:type="dxa"/>
            <w:vAlign w:val="bottom"/>
            <w:shd w:val="clear" w:color="auto" w:fill="F0F5FF"/>
          </w:tcPr>
          <w:p>
            <w:pPr>
              <w:spacing w:after="0"/>
              <w:rPr>
                <w:sz w:val="11"/>
                <w:szCs w:val="11"/>
                <w:color w:val="auto"/>
              </w:rPr>
            </w:pPr>
          </w:p>
        </w:tc>
        <w:tc>
          <w:tcPr>
            <w:tcW w:w="140" w:type="dxa"/>
            <w:vAlign w:val="bottom"/>
            <w:shd w:val="clear" w:color="auto" w:fill="F0F5FF"/>
          </w:tcPr>
          <w:p>
            <w:pPr>
              <w:spacing w:after="0"/>
              <w:rPr>
                <w:sz w:val="11"/>
                <w:szCs w:val="11"/>
                <w:color w:val="auto"/>
              </w:rPr>
            </w:pPr>
          </w:p>
        </w:tc>
      </w:tr>
    </w:tbl>
    <w:p>
      <w:pPr>
        <w:sectPr>
          <w:pgSz w:w="11900" w:h="16838" w:orient="portrait"/>
          <w:cols w:equalWidth="0" w:num="2">
            <w:col w:w="2840" w:space="720"/>
            <w:col w:w="6520"/>
          </w:cols>
          <w:pgMar w:left="960" w:top="409" w:right="859" w:bottom="1440" w:gutter="0" w:footer="0" w:header="0"/>
          <w:type w:val="continuous"/>
        </w:sectPr>
      </w:pPr>
    </w:p>
    <w:bookmarkStart w:id="106" w:name="page107"/>
    <w:bookmarkEnd w:id="106"/>
    <w:p>
      <w:pPr>
        <w:spacing w:after="0" w:line="1" w:lineRule="exact"/>
        <w:rPr>
          <w:sz w:val="20"/>
          <w:szCs w:val="20"/>
          <w:color w:val="auto"/>
        </w:rPr>
      </w:pP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We do business the right way</w:t>
      </w:r>
    </w:p>
    <w:p>
      <w:pPr>
        <w:spacing w:after="0" w:line="46"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Our Third-Party Code of Conduct, which is applicable to our suppliers and partners, clearly states our expectations regarding ethical conduct. We ask our third parties to adhere to Nokia’s Third-Party Code of Conduct. Third-party commercial partners, including distributors and indirect resellers, are required to annually certify compliance with this code, and high risk third parties are required to complete compliance training. This code is further supplemented by policies, procedures, and guidance documents covering a range of topics, including third-party screening procedures and corporate hospitality.</w:t>
      </w:r>
    </w:p>
    <w:p>
      <w:pPr>
        <w:spacing w:after="0" w:line="65"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1"/>
          <w:szCs w:val="11"/>
          <w:color w:val="auto"/>
        </w:rPr>
        <w:t>We also have a separate Code of Ethics that sets out further expectations for our President and CEO, Chief Financial Officer and Corporate Controller.</w:t>
      </w:r>
    </w:p>
    <w:p>
      <w:pPr>
        <w:spacing w:after="0" w:line="44" w:lineRule="exact"/>
        <w:rPr>
          <w:sz w:val="20"/>
          <w:szCs w:val="20"/>
          <w:color w:val="auto"/>
        </w:rPr>
      </w:pPr>
    </w:p>
    <w:p>
      <w:pPr>
        <w:ind w:right="80"/>
        <w:spacing w:after="0" w:line="275" w:lineRule="auto"/>
        <w:rPr>
          <w:sz w:val="20"/>
          <w:szCs w:val="20"/>
          <w:color w:val="auto"/>
        </w:rPr>
      </w:pPr>
      <w:r>
        <w:rPr>
          <w:rFonts w:ascii="Times New Roman" w:cs="Times New Roman" w:eastAsia="Times New Roman" w:hAnsi="Times New Roman"/>
          <w:sz w:val="11"/>
          <w:szCs w:val="11"/>
          <w:color w:val="auto"/>
        </w:rPr>
        <w:t>In 2023, we deployed annual mandatory training on ethical business practices for our employees. Our Ethical Business Training was completed by 98% of our employees, surpassing the agreed target of 95%.</w:t>
      </w:r>
    </w:p>
    <w:p>
      <w:pPr>
        <w:spacing w:after="0" w:line="57"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We supplement our all-employee mandatory training with targeted training focusing on particular parts of our operations and addressing high risk areas, regulatory requirements and critical and emerging needs. We use a combination of videos, in-depth training modules, microlearning modules, animations, and live training sessions to educate employees about high-risk areas.</w:t>
      </w:r>
    </w:p>
    <w:p>
      <w:pPr>
        <w:spacing w:after="0" w:line="200" w:lineRule="exact"/>
        <w:rPr>
          <w:sz w:val="20"/>
          <w:szCs w:val="20"/>
          <w:color w:val="auto"/>
        </w:rPr>
      </w:pPr>
    </w:p>
    <w:p>
      <w:pPr>
        <w:ind w:right="40"/>
        <w:spacing w:after="0" w:line="264" w:lineRule="auto"/>
        <w:rPr>
          <w:sz w:val="20"/>
          <w:szCs w:val="20"/>
          <w:color w:val="auto"/>
        </w:rPr>
      </w:pPr>
      <w:r>
        <w:rPr>
          <w:rFonts w:ascii="Times New Roman" w:cs="Times New Roman" w:eastAsia="Times New Roman" w:hAnsi="Times New Roman"/>
          <w:sz w:val="11"/>
          <w:szCs w:val="11"/>
          <w:color w:val="auto"/>
        </w:rPr>
        <w:t>In 2023, more than 23 600 attendees received live training with over 35 compliance topics covered in about 75 sessions. For select topics, we provide short, animated “just-in-time” training modules that provide information at the time it is needed; these are triggered by specific employee actions. For example, a just-in-time training module on anti-competition risks is delivered to employees who are attending trade association meetings, and a module regarding our investigation process is delivered to employees and external individuals who raise concerns.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29"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Anti-corruption and bribery</w:t>
      </w:r>
    </w:p>
    <w:p>
      <w:pPr>
        <w:spacing w:after="0" w:line="46"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We employ a multi-faceted approach to prevent corruption, and we have clear and unambiguous policies concerning improper payments, facilitation payments, gifts and hospitality, sponsorships and donations and other areas of corruption risk. Our policies and expectations regarding our strict prohibition on improper payments and corrupt behavior apply to our employees, partners and suppliers.</w:t>
      </w:r>
    </w:p>
    <w:p>
      <w:pPr>
        <w:spacing w:after="0" w:line="64"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We implement training and regularly communicate with our employees regarding legal and compliance risks, and we review these risks and our mitigation measures with the Company’s senior leadership and Audit Committee of the Board of Directors.</w:t>
      </w:r>
    </w:p>
    <w:p>
      <w:pPr>
        <w:spacing w:after="0" w:line="60" w:lineRule="exact"/>
        <w:rPr>
          <w:sz w:val="20"/>
          <w:szCs w:val="20"/>
          <w:color w:val="auto"/>
        </w:rPr>
      </w:pPr>
    </w:p>
    <w:p>
      <w:pPr>
        <w:ind w:right="100"/>
        <w:spacing w:after="0" w:line="264" w:lineRule="auto"/>
        <w:rPr>
          <w:sz w:val="20"/>
          <w:szCs w:val="20"/>
          <w:color w:val="auto"/>
        </w:rPr>
      </w:pPr>
      <w:r>
        <w:rPr>
          <w:rFonts w:ascii="Times New Roman" w:cs="Times New Roman" w:eastAsia="Times New Roman" w:hAnsi="Times New Roman"/>
          <w:sz w:val="11"/>
          <w:szCs w:val="11"/>
          <w:color w:val="auto"/>
          <w:highlight w:val="white"/>
        </w:rPr>
        <w:t>In 2023, we created a new online anti-corruption training module and included several topics related to anti-corruption in our annual “Ethical Business Training,” including: bribery workplace scenarios, policy information and special</w:t>
      </w:r>
    </w:p>
    <w:p>
      <w:pPr>
        <w:spacing w:after="0" w:line="2" w:lineRule="exact"/>
        <w:rPr>
          <w:sz w:val="20"/>
          <w:szCs w:val="20"/>
          <w:color w:val="auto"/>
        </w:rPr>
      </w:pPr>
    </w:p>
    <w:p>
      <w:pPr>
        <w:spacing w:after="0"/>
        <w:tabs>
          <w:tab w:leader="none" w:pos="2720" w:val="left"/>
        </w:tabs>
        <w:rPr>
          <w:sz w:val="20"/>
          <w:szCs w:val="20"/>
          <w:color w:val="auto"/>
        </w:rPr>
      </w:pPr>
      <w:r>
        <w:rPr>
          <w:rFonts w:ascii="Times New Roman" w:cs="Times New Roman" w:eastAsia="Times New Roman" w:hAnsi="Times New Roman"/>
          <w:sz w:val="11"/>
          <w:szCs w:val="11"/>
          <w:color w:val="auto"/>
          <w:highlight w:val="white"/>
        </w:rPr>
        <w:t>requirements when working with government officials</w:t>
      </w:r>
      <w:r>
        <w:rPr>
          <w:sz w:val="20"/>
          <w:szCs w:val="20"/>
          <w:color w:val="auto"/>
        </w:rPr>
        <w:tab/>
      </w:r>
      <w:r>
        <w:rPr>
          <w:rFonts w:ascii="Times New Roman" w:cs="Times New Roman" w:eastAsia="Times New Roman" w:hAnsi="Times New Roman"/>
          <w:sz w:val="8"/>
          <w:szCs w:val="8"/>
          <w:color w:val="auto"/>
        </w:rPr>
        <w:t>.</w:t>
      </w:r>
    </w:p>
    <w:p>
      <w:pPr>
        <w:spacing w:after="0" w:line="84"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We conduct periodic audits and risk assessments to ensure that we identify and respond to corruption risks across our operations. Our compliance operations reviews provide an in-depth assessment of a business or region’s compliance programs and status, including a review of the strength of the culture of integrity. In addition, our compliance control framework assessments provide a deep analysis of compliance risks and controls associated with a specific business, country, or region.</w:t>
      </w:r>
    </w:p>
    <w:p>
      <w:pPr>
        <w:spacing w:after="0" w:line="193"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highlight w:val="white"/>
        </w:rPr>
        <w:t>These s ite or business reviews focus on identifying anti-corruption risks (as well as other risks) and developing, implementing, and monitoring responsive mitigation controls. We also carry out risk-based due diligence and monitoring procedures for all third parties to assess and manage potential risks related to engaging and working with them. In 2023, we completed four compliance operation reviews and</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highlight w:val="white"/>
        </w:rPr>
        <w:t>13 compliance control framework assessments.</w:t>
      </w:r>
    </w:p>
    <w:p>
      <w:pPr>
        <w:spacing w:after="0" w:line="84" w:lineRule="exact"/>
        <w:rPr>
          <w:sz w:val="20"/>
          <w:szCs w:val="20"/>
          <w:color w:val="auto"/>
        </w:rPr>
      </w:pPr>
    </w:p>
    <w:p>
      <w:pPr>
        <w:ind w:right="60"/>
        <w:spacing w:after="0" w:line="264" w:lineRule="auto"/>
        <w:rPr>
          <w:sz w:val="20"/>
          <w:szCs w:val="20"/>
          <w:color w:val="auto"/>
        </w:rPr>
      </w:pPr>
      <w:r>
        <w:rPr>
          <w:rFonts w:ascii="Times New Roman" w:cs="Times New Roman" w:eastAsia="Times New Roman" w:hAnsi="Times New Roman"/>
          <w:sz w:val="11"/>
          <w:szCs w:val="11"/>
          <w:color w:val="auto"/>
        </w:rPr>
        <w:t>Nokia’s Anti-Corruption Center of Excellence is a dedicated group within our compliance team that assesses, monitors, and approves or rejects engagement with high-risk third parties (including, but not limited to, commercial third parties and high-risk suppliers), as well as practices such as gifts, entertainment, hospitality, sponsorships, and donations.</w:t>
      </w:r>
    </w:p>
    <w:p>
      <w:pPr>
        <w:spacing w:after="0" w:line="1" w:lineRule="exact"/>
        <w:rPr>
          <w:sz w:val="20"/>
          <w:szCs w:val="20"/>
          <w:color w:val="auto"/>
        </w:rPr>
      </w:pPr>
    </w:p>
    <w:p>
      <w:pPr>
        <w:ind w:right="300"/>
        <w:spacing w:after="0" w:line="278" w:lineRule="auto"/>
        <w:rPr>
          <w:sz w:val="20"/>
          <w:szCs w:val="20"/>
          <w:color w:val="auto"/>
        </w:rPr>
      </w:pPr>
      <w:r>
        <w:rPr>
          <w:rFonts w:ascii="Times New Roman" w:cs="Times New Roman" w:eastAsia="Times New Roman" w:hAnsi="Times New Roman"/>
          <w:sz w:val="11"/>
          <w:szCs w:val="11"/>
          <w:color w:val="auto"/>
        </w:rPr>
        <w:t>All third parties and suppliers that conduct business with Nokia are subject to a risk-based screening process.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99</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jc w:val="both"/>
        <w:ind w:right="340"/>
        <w:spacing w:after="0" w:line="289" w:lineRule="auto"/>
        <w:rPr>
          <w:sz w:val="20"/>
          <w:szCs w:val="20"/>
          <w:color w:val="auto"/>
        </w:rPr>
      </w:pPr>
      <w:r>
        <w:rPr>
          <w:rFonts w:ascii="Times New Roman" w:cs="Times New Roman" w:eastAsia="Times New Roman" w:hAnsi="Times New Roman"/>
          <w:sz w:val="11"/>
          <w:szCs w:val="11"/>
          <w:color w:val="auto"/>
        </w:rPr>
        <w:t>The activities of the Anti-Corruption Center of Excellence are digitalized and tool-based, including, for example, monitoring and training of third parties.</w:t>
      </w:r>
    </w:p>
    <w:p>
      <w:pPr>
        <w:spacing w:after="0" w:line="39" w:lineRule="exact"/>
        <w:rPr>
          <w:sz w:val="20"/>
          <w:szCs w:val="20"/>
          <w:color w:val="auto"/>
        </w:rPr>
      </w:pPr>
    </w:p>
    <w:p>
      <w:pPr>
        <w:ind w:right="300"/>
        <w:spacing w:after="0" w:line="266" w:lineRule="auto"/>
        <w:rPr>
          <w:sz w:val="20"/>
          <w:szCs w:val="20"/>
          <w:color w:val="auto"/>
        </w:rPr>
      </w:pPr>
      <w:r>
        <w:rPr>
          <w:rFonts w:ascii="Times New Roman" w:cs="Times New Roman" w:eastAsia="Times New Roman" w:hAnsi="Times New Roman"/>
          <w:sz w:val="11"/>
          <w:szCs w:val="11"/>
          <w:color w:val="auto"/>
        </w:rPr>
        <w:t>Third parties must adhere to our Third-Party Code of Conduct, and they are required to sign our anti-corruption certification annually. In 2023, over 260 of our commercial third parties certified that they reviewed our Third-Party Code of Conduct and completed the training video. In addition, as necessary, live discussions on effective compliance programs are held with our commercial partners with the goal of exchanging best practices.</w:t>
      </w:r>
    </w:p>
    <w:p>
      <w:pPr>
        <w:spacing w:after="0" w:line="19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Oversight and grievance mechanisms</w:t>
      </w:r>
    </w:p>
    <w:p>
      <w:pPr>
        <w:spacing w:after="0" w:line="36" w:lineRule="exact"/>
        <w:rPr>
          <w:sz w:val="20"/>
          <w:szCs w:val="20"/>
          <w:color w:val="auto"/>
        </w:rPr>
      </w:pPr>
    </w:p>
    <w:p>
      <w:pPr>
        <w:ind w:right="260"/>
        <w:spacing w:after="0" w:line="269" w:lineRule="auto"/>
        <w:rPr>
          <w:sz w:val="20"/>
          <w:szCs w:val="20"/>
          <w:color w:val="auto"/>
        </w:rPr>
      </w:pPr>
      <w:r>
        <w:rPr>
          <w:rFonts w:ascii="Times New Roman" w:cs="Times New Roman" w:eastAsia="Times New Roman" w:hAnsi="Times New Roman"/>
          <w:sz w:val="11"/>
          <w:szCs w:val="11"/>
          <w:color w:val="auto"/>
        </w:rPr>
        <w:t>Our Board of Directors, its Audit Committee and our Group Leadership Team all provide oversight of our ethics and compliance program. Our Chief Compliance Officer provides periodic reports and updates on our compliance program (including information relating to investigations, due diligence, transaction metrics, and evolving external enforcement and risk trends) to the Board, the Audit Committee, and others, as needed.</w:t>
      </w:r>
    </w:p>
    <w:p>
      <w:pPr>
        <w:spacing w:after="0" w:line="49" w:lineRule="exact"/>
        <w:rPr>
          <w:sz w:val="20"/>
          <w:szCs w:val="20"/>
          <w:color w:val="auto"/>
        </w:rPr>
      </w:pPr>
    </w:p>
    <w:p>
      <w:pPr>
        <w:ind w:right="280"/>
        <w:spacing w:after="0" w:line="266" w:lineRule="auto"/>
        <w:rPr>
          <w:sz w:val="20"/>
          <w:szCs w:val="20"/>
          <w:color w:val="auto"/>
        </w:rPr>
      </w:pPr>
      <w:r>
        <w:rPr>
          <w:rFonts w:ascii="Times New Roman" w:cs="Times New Roman" w:eastAsia="Times New Roman" w:hAnsi="Times New Roman"/>
          <w:sz w:val="11"/>
          <w:szCs w:val="11"/>
          <w:color w:val="auto"/>
        </w:rPr>
        <w:t>Using one of the several resources available to them employees are expected and encouraged to report concerns about suspected misconduct or potential violations of the law, our Code of Conduct, or our company policies. We provide numerous channels and mechanisms to facilitate such reporting, including anonymous reporting (unless prohibited by local law), and we strive to ensure that employees feel comfortable reporting concerns. Our global Ombuds Program helps drive our ‘speak-up’ culture and allays concerns employees may have about potential reprisal for filing a report.</w:t>
      </w:r>
    </w:p>
    <w:p>
      <w:pPr>
        <w:spacing w:after="0" w:line="54" w:lineRule="exact"/>
        <w:rPr>
          <w:sz w:val="20"/>
          <w:szCs w:val="20"/>
          <w:color w:val="auto"/>
        </w:rPr>
      </w:pPr>
    </w:p>
    <w:p>
      <w:pPr>
        <w:ind w:right="340"/>
        <w:spacing w:after="0" w:line="263" w:lineRule="auto"/>
        <w:rPr>
          <w:sz w:val="20"/>
          <w:szCs w:val="20"/>
          <w:color w:val="auto"/>
        </w:rPr>
      </w:pPr>
      <w:r>
        <w:rPr>
          <w:rFonts w:ascii="Times New Roman" w:cs="Times New Roman" w:eastAsia="Times New Roman" w:hAnsi="Times New Roman"/>
          <w:sz w:val="11"/>
          <w:szCs w:val="11"/>
          <w:color w:val="auto"/>
        </w:rPr>
        <w:t>In 2023, the Business Integrity Group, our investigation team in the Ethics and Compliance organization, received a total of 1 056 concerns, of which 483 were integrity concerns investigated by the Business Integrity Group as suspected violations of our Code of Conduct. The Business Integrity Group closed 370 investigations into alleged violations of our Code of Conduct, of which 159 were substantiated with cause found after investigation. Following investigations conducted by the Business Integrity Group, we implemented corrective actions including dismissals, suspension without pay, written warnings, coaching/counseling, training, and restitution. Beyond individual discipline, detailed root cause analysis was conducted for substantiated cases, and unsubstantiated cases,</w:t>
      </w:r>
    </w:p>
    <w:p>
      <w:pPr>
        <w:spacing w:after="0"/>
        <w:tabs>
          <w:tab w:leader="none" w:pos="2340" w:val="left"/>
        </w:tabs>
        <w:rPr>
          <w:sz w:val="20"/>
          <w:szCs w:val="20"/>
          <w:color w:val="auto"/>
        </w:rPr>
      </w:pPr>
      <w:r>
        <w:rPr>
          <w:rFonts w:ascii="Times New Roman" w:cs="Times New Roman" w:eastAsia="Times New Roman" w:hAnsi="Times New Roman"/>
          <w:sz w:val="11"/>
          <w:szCs w:val="11"/>
          <w:color w:val="auto"/>
        </w:rPr>
        <w:t>as appropriate, to identify, implement, and to</w:t>
      </w:r>
      <w:r>
        <w:rPr>
          <w:sz w:val="20"/>
          <w:szCs w:val="20"/>
          <w:color w:val="auto"/>
        </w:rPr>
        <w:tab/>
      </w:r>
      <w:r>
        <w:rPr>
          <w:rFonts w:ascii="Times New Roman" w:cs="Times New Roman" w:eastAsia="Times New Roman" w:hAnsi="Times New Roman"/>
          <w:sz w:val="11"/>
          <w:szCs w:val="11"/>
          <w:color w:val="auto"/>
        </w:rPr>
        <w:t>monitor remedial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measured and improvements.</w:t>
      </w:r>
    </w:p>
    <w:p>
      <w:pPr>
        <w:sectPr>
          <w:pgSz w:w="11900" w:h="16838" w:orient="portrait"/>
          <w:cols w:equalWidth="0" w:num="3">
            <w:col w:w="2940" w:space="460"/>
            <w:col w:w="2900" w:space="500"/>
            <w:col w:w="3180"/>
          </w:cols>
          <w:pgMar w:left="960" w:top="409" w:right="959" w:bottom="1440" w:gutter="0" w:footer="0" w:header="0"/>
        </w:sectPr>
      </w:pPr>
    </w:p>
    <w:bookmarkStart w:id="107" w:name="page108"/>
    <w:bookmarkEnd w:id="107"/>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Human rights</w:t>
      </w:r>
    </w:p>
    <w:p>
      <w:pPr>
        <w:spacing w:after="0" w:line="46"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We are committed to the principles of the Universal Declaration of Human Rights, the United Nations Global Compact and the OECD Guidelines for Multinational Enterprises. We endorsed the United Nations Guiding Principles on Business and Human Rights in 2011. We encourage our suppliers and business partners to share our values.</w:t>
      </w:r>
    </w:p>
    <w:p>
      <w:pPr>
        <w:spacing w:after="0" w:line="49" w:lineRule="exact"/>
        <w:rPr>
          <w:sz w:val="20"/>
          <w:szCs w:val="20"/>
          <w:color w:val="auto"/>
        </w:rPr>
      </w:pPr>
    </w:p>
    <w:p>
      <w:pPr>
        <w:ind w:right="60"/>
        <w:spacing w:after="0" w:line="274" w:lineRule="auto"/>
        <w:rPr>
          <w:sz w:val="20"/>
          <w:szCs w:val="20"/>
          <w:color w:val="auto"/>
        </w:rPr>
      </w:pPr>
      <w:r>
        <w:rPr>
          <w:rFonts w:ascii="Times New Roman" w:cs="Times New Roman" w:eastAsia="Times New Roman" w:hAnsi="Times New Roman"/>
          <w:sz w:val="11"/>
          <w:szCs w:val="11"/>
          <w:color w:val="auto"/>
        </w:rPr>
        <w:t>Our Code of Conduct, together with our Human Rights Policy, sets out our approach to human rights. Our human rights processes cover the whole value chain, from supplier management to product end use, and we have set clear requirements for all areas separately.</w:t>
      </w:r>
    </w:p>
    <w:p>
      <w:pPr>
        <w:spacing w:after="0" w:line="47"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The technology we provide can bring positive benefits to individuals and broader society. We have a robust Human Rights Due Diligence process that aims to ensure the technology we provide is not misused to limit the privacy or freedom of expression of any individual or group. This process, which is embedded in our global sales process, provides the mechanism and tools to effectively mitigate our most salient human rights risks arising from the potential misuse of the products and technology we provide.</w:t>
      </w:r>
    </w:p>
    <w:p>
      <w:pPr>
        <w:spacing w:after="0" w:line="63" w:lineRule="exact"/>
        <w:rPr>
          <w:sz w:val="20"/>
          <w:szCs w:val="20"/>
          <w:color w:val="auto"/>
        </w:rPr>
      </w:pPr>
    </w:p>
    <w:p>
      <w:pPr>
        <w:ind w:right="60"/>
        <w:spacing w:after="0" w:line="264" w:lineRule="auto"/>
        <w:rPr>
          <w:sz w:val="20"/>
          <w:szCs w:val="20"/>
          <w:color w:val="auto"/>
        </w:rPr>
      </w:pPr>
      <w:r>
        <w:rPr>
          <w:rFonts w:ascii="Times New Roman" w:cs="Times New Roman" w:eastAsia="Times New Roman" w:hAnsi="Times New Roman"/>
          <w:sz w:val="11"/>
          <w:szCs w:val="11"/>
          <w:color w:val="auto"/>
        </w:rPr>
        <w:t>Before any sale is made, we aim to identify the level of possible risk to human rights through potential misuse of our technology and provide mitigation if any risk is identified. The Human Rights Due Diligence process is initiated according to various triggers including technology type, customer, country and use case. Of the Human Rights Due Diligence cases handled in 2023, 96% of total cases were resolved as “Go” or “Go with Conditions” (63% and 33%) respectively and 4% as “No Go”.</w:t>
      </w:r>
    </w:p>
    <w:p>
      <w:pPr>
        <w:spacing w:after="0" w:line="202" w:lineRule="exact"/>
        <w:rPr>
          <w:sz w:val="20"/>
          <w:szCs w:val="20"/>
          <w:color w:val="auto"/>
        </w:rPr>
      </w:pPr>
    </w:p>
    <w:p>
      <w:pPr>
        <w:ind w:right="40"/>
        <w:spacing w:after="0" w:line="275" w:lineRule="auto"/>
        <w:rPr>
          <w:sz w:val="20"/>
          <w:szCs w:val="20"/>
          <w:color w:val="auto"/>
        </w:rPr>
      </w:pPr>
      <w:r>
        <w:rPr>
          <w:rFonts w:ascii="Times New Roman" w:cs="Times New Roman" w:eastAsia="Times New Roman" w:hAnsi="Times New Roman"/>
          <w:sz w:val="11"/>
          <w:szCs w:val="11"/>
          <w:color w:val="auto"/>
        </w:rPr>
        <w:t>In addition to potential product misuse, human rights risks appear in our global supply chain (see the “Responsible sourcing” section and our Modern Slavery Statement published on our website).</w:t>
      </w:r>
    </w:p>
    <w:p>
      <w:pPr>
        <w:spacing w:after="0" w:line="47" w:lineRule="exact"/>
        <w:rPr>
          <w:sz w:val="20"/>
          <w:szCs w:val="20"/>
          <w:color w:val="auto"/>
        </w:rPr>
      </w:pPr>
    </w:p>
    <w:p>
      <w:pPr>
        <w:ind w:right="120"/>
        <w:spacing w:after="0" w:line="274" w:lineRule="auto"/>
        <w:rPr>
          <w:sz w:val="20"/>
          <w:szCs w:val="20"/>
          <w:color w:val="auto"/>
        </w:rPr>
      </w:pPr>
      <w:r>
        <w:rPr>
          <w:rFonts w:ascii="Times New Roman" w:cs="Times New Roman" w:eastAsia="Times New Roman" w:hAnsi="Times New Roman"/>
          <w:sz w:val="11"/>
          <w:szCs w:val="11"/>
          <w:color w:val="auto"/>
        </w:rPr>
        <w:t>We are a member of the Global Network Initiative, a multi-stakeholder group of companies, civil society organizations (including human rights and press freedom groups), investors and academics working together to protect and advance freedom of expression and privacy in the ICT sector.</w:t>
      </w:r>
    </w:p>
    <w:p>
      <w:pPr>
        <w:spacing w:after="0" w:line="200" w:lineRule="exact"/>
        <w:rPr>
          <w:sz w:val="20"/>
          <w:szCs w:val="20"/>
          <w:color w:val="auto"/>
        </w:rPr>
      </w:pPr>
    </w:p>
    <w:p>
      <w:pPr>
        <w:spacing w:after="0" w:line="200" w:lineRule="exact"/>
        <w:rPr>
          <w:sz w:val="20"/>
          <w:szCs w:val="20"/>
          <w:color w:val="auto"/>
        </w:rPr>
      </w:pPr>
    </w:p>
    <w:p>
      <w:pPr>
        <w:spacing w:after="0" w:line="26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20"/>
        <w:spacing w:after="0" w:line="265" w:lineRule="auto"/>
        <w:rPr>
          <w:sz w:val="20"/>
          <w:szCs w:val="20"/>
          <w:color w:val="auto"/>
        </w:rPr>
      </w:pPr>
      <w:r>
        <w:rPr>
          <w:rFonts w:ascii="Times New Roman" w:cs="Times New Roman" w:eastAsia="Times New Roman" w:hAnsi="Times New Roman"/>
          <w:sz w:val="11"/>
          <w:szCs w:val="11"/>
          <w:color w:val="auto"/>
        </w:rPr>
        <w:t>We have successfully completed our second independent GNI assessment, and the public report was made available in October 2023. The assessors highlighted Nokia’s strong human rights culture, noting that many issues are flagged and addressed informally even prior to surfacing during the formal process. The GNI also noted our Human Rights Due Diligence processes encompassing relevant functions across the Company with strong escalation mechanisms. To ensure best-in-class human rights mitigations our Human Rights Due Diligence process also went through an internal audit that began in 2022 and was completed in 2023, providing findings that led to increased digitalization of the process.</w:t>
      </w:r>
    </w:p>
    <w:p>
      <w:pPr>
        <w:spacing w:after="0" w:line="5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Responsible sourcing</w:t>
      </w:r>
    </w:p>
    <w:p>
      <w:pPr>
        <w:spacing w:after="0" w:line="36" w:lineRule="exact"/>
        <w:rPr>
          <w:sz w:val="20"/>
          <w:szCs w:val="20"/>
          <w:color w:val="auto"/>
        </w:rPr>
      </w:pPr>
    </w:p>
    <w:p>
      <w:pPr>
        <w:ind w:right="40"/>
        <w:spacing w:after="0" w:line="262" w:lineRule="auto"/>
        <w:rPr>
          <w:sz w:val="20"/>
          <w:szCs w:val="20"/>
          <w:color w:val="auto"/>
        </w:rPr>
      </w:pPr>
      <w:r>
        <w:rPr>
          <w:rFonts w:ascii="Times New Roman" w:cs="Times New Roman" w:eastAsia="Times New Roman" w:hAnsi="Times New Roman"/>
          <w:sz w:val="11"/>
          <w:szCs w:val="11"/>
          <w:color w:val="auto"/>
        </w:rPr>
        <w:t>We expect our suppliers to adhere to our Third-Party Code of Conduct and provide them with our Supplier Requirements, including the Responsible Business Alliance (RBA) Code of Conduct and additional, Nokia-specific sustainability requirements. The requirements cover such topics as environment, health, safety and security, privacy, risk management, labor and human rights, modern slavery,</w:t>
      </w:r>
    </w:p>
    <w:p>
      <w:pPr>
        <w:spacing w:after="0" w:line="1"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and ethics. We also run assessments and audits on our suppliers and provide training to ensure they meet our ethical requirements and continuously improve on their performance. We work with them on remediation actions and push to raise the bar on standards across our ecosystem.</w:t>
      </w:r>
    </w:p>
    <w:p>
      <w:pPr>
        <w:spacing w:after="0" w:line="61" w:lineRule="exact"/>
        <w:rPr>
          <w:sz w:val="20"/>
          <w:szCs w:val="20"/>
          <w:color w:val="auto"/>
        </w:rPr>
      </w:pPr>
    </w:p>
    <w:p>
      <w:pPr>
        <w:jc w:val="both"/>
        <w:ind w:right="40"/>
        <w:spacing w:after="0" w:line="266" w:lineRule="auto"/>
        <w:rPr>
          <w:sz w:val="20"/>
          <w:szCs w:val="20"/>
          <w:color w:val="auto"/>
        </w:rPr>
      </w:pPr>
      <w:r>
        <w:rPr>
          <w:rFonts w:ascii="Times New Roman" w:cs="Times New Roman" w:eastAsia="Times New Roman" w:hAnsi="Times New Roman"/>
          <w:sz w:val="11"/>
          <w:szCs w:val="11"/>
          <w:color w:val="auto"/>
        </w:rPr>
        <w:t>In 2023, we implemented 635 supply chain audits, including 141 on-site in-depth audits on corporate responsibility topics, 48 on-site audits against our Supplier Requirements and</w:t>
      </w:r>
    </w:p>
    <w:p>
      <w:pPr>
        <w:spacing w:after="0" w:line="1"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446 supplier assessments and follow-ups using the EcoVadis scorecards. We continued our work to increase the use of recycled material content in our products. As part of our circularity program, we introduced recycled material content targets for our mechanical suppliers. We also held training workshops for suppliers on topics such as climate change, circularity, responsible minerals sourcing, modern slavery, labor migration, diversity and inclusion, and health and safety.</w:t>
      </w:r>
    </w:p>
    <w:p>
      <w:pPr>
        <w:spacing w:after="0" w:line="64" w:lineRule="exact"/>
        <w:rPr>
          <w:sz w:val="20"/>
          <w:szCs w:val="20"/>
          <w:color w:val="auto"/>
        </w:rPr>
      </w:pPr>
    </w:p>
    <w:p>
      <w:pPr>
        <w:ind w:right="20"/>
        <w:spacing w:after="0" w:line="265" w:lineRule="auto"/>
        <w:rPr>
          <w:sz w:val="20"/>
          <w:szCs w:val="20"/>
          <w:color w:val="auto"/>
        </w:rPr>
      </w:pPr>
      <w:r>
        <w:rPr>
          <w:rFonts w:ascii="Times New Roman" w:cs="Times New Roman" w:eastAsia="Times New Roman" w:hAnsi="Times New Roman"/>
          <w:sz w:val="11"/>
          <w:szCs w:val="11"/>
          <w:color w:val="auto"/>
        </w:rPr>
        <w:t>We continued to work with suppliers on the CDP Climate program which includes learning and capability building, data reporting, target setting and performance evaluation. In 2023, we expanded the deep dives on emissions reduction roadmap development with carbon intense segments of our supply chain such as integrated circuits ( ICs) and semi-discretes, and printed wiring boards (PWBs).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100</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4" w:lineRule="exact"/>
        <w:rPr>
          <w:sz w:val="20"/>
          <w:szCs w:val="20"/>
          <w:color w:val="auto"/>
        </w:rPr>
      </w:pPr>
    </w:p>
    <w:p>
      <w:pPr>
        <w:ind w:left="120" w:right="520"/>
        <w:spacing w:after="0" w:line="274" w:lineRule="auto"/>
        <w:rPr>
          <w:sz w:val="20"/>
          <w:szCs w:val="20"/>
          <w:color w:val="auto"/>
        </w:rPr>
      </w:pPr>
      <w:r>
        <w:rPr>
          <w:rFonts w:ascii="Times New Roman" w:cs="Times New Roman" w:eastAsia="Times New Roman" w:hAnsi="Times New Roman"/>
          <w:sz w:val="16"/>
          <w:szCs w:val="16"/>
          <w:color w:val="005AFF"/>
        </w:rPr>
        <w:t>Cases handled in 2023 by the Human Rights Due Diligence process and how they were resolved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3"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63%</w:t>
      </w:r>
    </w:p>
    <w:p>
      <w:pPr>
        <w:spacing w:after="0"/>
        <w:rPr>
          <w:sz w:val="20"/>
          <w:szCs w:val="20"/>
          <w:color w:val="auto"/>
        </w:rPr>
      </w:pPr>
      <w:r>
        <w:rPr>
          <w:rFonts w:ascii="Times New Roman" w:cs="Times New Roman" w:eastAsia="Times New Roman" w:hAnsi="Times New Roman"/>
          <w:sz w:val="11"/>
          <w:szCs w:val="11"/>
          <w:color w:val="auto"/>
        </w:rPr>
        <w:t>of the cases handled by HRDD</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were resolved as “Go”</w:t>
      </w:r>
    </w:p>
    <w:p>
      <w:pPr>
        <w:sectPr>
          <w:pgSz w:w="11900" w:h="16838" w:orient="portrait"/>
          <w:cols w:equalWidth="0" w:num="3">
            <w:col w:w="2940" w:space="460"/>
            <w:col w:w="2860" w:space="560"/>
            <w:col w:w="3160"/>
          </w:cols>
          <w:pgMar w:left="960" w:top="409" w:right="959" w:bottom="1440" w:gutter="0" w:footer="0" w:header="0"/>
        </w:sectPr>
      </w:pPr>
    </w:p>
    <w:bookmarkStart w:id="108" w:name="page109"/>
    <w:bookmarkEnd w:id="10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101</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Our people</w:t>
      </w:r>
    </w:p>
    <w:p>
      <w:pPr>
        <w:spacing w:after="0" w:line="154" w:lineRule="exact"/>
        <w:rPr>
          <w:sz w:val="20"/>
          <w:szCs w:val="20"/>
          <w:color w:val="auto"/>
        </w:rPr>
      </w:pPr>
    </w:p>
    <w:p>
      <w:pPr>
        <w:ind w:right="7000" w:hanging="56"/>
        <w:spacing w:after="0" w:line="243" w:lineRule="auto"/>
        <w:rPr>
          <w:sz w:val="20"/>
          <w:szCs w:val="20"/>
          <w:color w:val="auto"/>
        </w:rPr>
      </w:pPr>
      <w:r>
        <w:rPr>
          <w:rFonts w:ascii="Times New Roman" w:cs="Times New Roman" w:eastAsia="Times New Roman" w:hAnsi="Times New Roman"/>
          <w:sz w:val="20"/>
          <w:szCs w:val="20"/>
          <w:color w:val="001135"/>
        </w:rPr>
        <w:t>“At Nokia, we care about our people and believe they are critical to</w:t>
      </w:r>
    </w:p>
    <w:p>
      <w:pPr>
        <w:spacing w:after="0" w:line="1" w:lineRule="exact"/>
        <w:rPr>
          <w:sz w:val="20"/>
          <w:szCs w:val="20"/>
          <w:color w:val="auto"/>
        </w:rPr>
      </w:pPr>
    </w:p>
    <w:p>
      <w:pPr>
        <w:ind w:right="7160" w:firstLine="2"/>
        <w:spacing w:after="0" w:line="242" w:lineRule="auto"/>
        <w:rPr>
          <w:sz w:val="20"/>
          <w:szCs w:val="20"/>
          <w:color w:val="auto"/>
        </w:rPr>
      </w:pPr>
      <w:r>
        <w:rPr>
          <w:rFonts w:ascii="Times New Roman" w:cs="Times New Roman" w:eastAsia="Times New Roman" w:hAnsi="Times New Roman"/>
          <w:sz w:val="20"/>
          <w:szCs w:val="20"/>
          <w:color w:val="001135"/>
        </w:rPr>
        <w:t>the long-term sustainability and competitiveness of our company.”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109" w:name="page110"/>
    <w:bookmarkEnd w:id="10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102</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920" w:space="480"/>
            <w:col w:w="6580"/>
          </w:cols>
          <w:pgMar w:left="960" w:top="409" w:right="959" w:bottom="1440" w:gutter="0" w:footer="0" w:header="0"/>
        </w:sectPr>
      </w:pPr>
    </w:p>
    <w:p>
      <w:pPr>
        <w:spacing w:after="0" w:line="101" w:lineRule="exact"/>
        <w:rPr>
          <w:sz w:val="20"/>
          <w:szCs w:val="20"/>
          <w:color w:val="auto"/>
        </w:rPr>
      </w:pPr>
    </w:p>
    <w:p>
      <w:pPr>
        <w:ind w:right="180"/>
        <w:spacing w:after="0" w:line="289" w:lineRule="auto"/>
        <w:rPr>
          <w:sz w:val="20"/>
          <w:szCs w:val="20"/>
          <w:color w:val="auto"/>
        </w:rPr>
      </w:pPr>
      <w:r>
        <w:rPr>
          <w:rFonts w:ascii="Times New Roman" w:cs="Times New Roman" w:eastAsia="Times New Roman" w:hAnsi="Times New Roman"/>
          <w:sz w:val="23"/>
          <w:szCs w:val="23"/>
          <w:color w:val="005AFF"/>
        </w:rPr>
        <w:t>The essentials and our people strategy</w:t>
      </w:r>
    </w:p>
    <w:p>
      <w:pPr>
        <w:spacing w:after="0" w:line="167"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3"/>
          <w:szCs w:val="13"/>
          <w:color w:val="auto"/>
        </w:rPr>
        <w:t xml:space="preserve">The foundation of our culture is based on the Nokia essentials – open, fearless and empowered – which incorporate our values and determine how we interact with each other and the world around us both as a company and as individuals </w:t>
      </w:r>
      <w:r>
        <w:rPr>
          <w:rFonts w:ascii="Arial" w:cs="Arial" w:eastAsia="Arial" w:hAnsi="Arial"/>
          <w:sz w:val="10"/>
          <w:szCs w:val="10"/>
          <w:color w:val="auto"/>
        </w:rPr>
        <w: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ind w:right="100"/>
        <w:spacing w:after="0" w:line="236" w:lineRule="auto"/>
        <w:rPr>
          <w:sz w:val="20"/>
          <w:szCs w:val="20"/>
          <w:color w:val="auto"/>
        </w:rPr>
      </w:pPr>
      <w:r>
        <w:rPr>
          <w:rFonts w:ascii="Times New Roman" w:cs="Times New Roman" w:eastAsia="Times New Roman" w:hAnsi="Times New Roman"/>
          <w:sz w:val="16"/>
          <w:szCs w:val="16"/>
          <w:color w:val="005AFF"/>
        </w:rPr>
        <w:t>Our people strategy brings to life our Nokia essentials and translates Nokia’s vision to create an unbeatable people experience into ambitions and actions in the following four ways: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1" w:lineRule="exact"/>
        <w:rPr>
          <w:sz w:val="20"/>
          <w:szCs w:val="20"/>
          <w:color w:val="auto"/>
        </w:rPr>
      </w:pPr>
    </w:p>
    <w:p>
      <w:pPr>
        <w:spacing w:after="0" w:line="274" w:lineRule="auto"/>
        <w:rPr>
          <w:sz w:val="20"/>
          <w:szCs w:val="20"/>
          <w:color w:val="auto"/>
        </w:rPr>
      </w:pPr>
      <w:r>
        <w:rPr>
          <w:rFonts w:ascii="Times New Roman" w:cs="Times New Roman" w:eastAsia="Times New Roman" w:hAnsi="Times New Roman"/>
          <w:sz w:val="11"/>
          <w:szCs w:val="11"/>
          <w:color w:val="auto"/>
        </w:rPr>
        <w:t>At Nokia we work together to align personal, professional and business growth by providing our people with visibility, resources and support in their careers. By enriching, recognizing and rewarding individual experiences and skills, we aim to be a company where people not only work but thrive.</w:t>
      </w:r>
    </w:p>
    <w:p>
      <w:pPr>
        <w:spacing w:after="0" w:line="47"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We have improved our employee user experience with tools that enable employees to take even more ownership of their careers and that support our leaders with insights to guide employees’ careers. Through AI-driven platforms, employees have an increased visibility of opportunities and job trends across all of Nokia, which optimizes their long-term</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career planning.</w:t>
      </w:r>
    </w:p>
    <w:p>
      <w:pPr>
        <w:spacing w:after="0" w:line="79"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The platforms democratize career development and help to mitigate bias, enabling employees to embrace their ambitions and explore their career journey. In addition, our Technical Career Path Program continues to support employees to advance their careers as subject matter experts, as required for the continued success of Nokia.</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60"/>
        <w:spacing w:after="0" w:line="274" w:lineRule="auto"/>
        <w:rPr>
          <w:sz w:val="20"/>
          <w:szCs w:val="20"/>
          <w:color w:val="auto"/>
        </w:rPr>
      </w:pPr>
      <w:r>
        <w:rPr>
          <w:rFonts w:ascii="Times New Roman" w:cs="Times New Roman" w:eastAsia="Times New Roman" w:hAnsi="Times New Roman"/>
          <w:sz w:val="11"/>
          <w:szCs w:val="11"/>
          <w:color w:val="auto"/>
        </w:rPr>
        <w:t>We believe that communities help accelerate learning. Learning is social, and we learn together as individuals, as teams and</w:t>
      </w:r>
    </w:p>
    <w:p>
      <w:pPr>
        <w:spacing w:after="0" w:line="1" w:lineRule="exact"/>
        <w:rPr>
          <w:sz w:val="20"/>
          <w:szCs w:val="20"/>
          <w:color w:val="auto"/>
        </w:rPr>
      </w:pPr>
    </w:p>
    <w:p>
      <w:pPr>
        <w:ind w:right="260"/>
        <w:spacing w:after="0" w:line="259" w:lineRule="auto"/>
        <w:rPr>
          <w:sz w:val="20"/>
          <w:szCs w:val="20"/>
          <w:color w:val="auto"/>
        </w:rPr>
      </w:pPr>
      <w:r>
        <w:rPr>
          <w:rFonts w:ascii="Times New Roman" w:cs="Times New Roman" w:eastAsia="Times New Roman" w:hAnsi="Times New Roman"/>
          <w:sz w:val="11"/>
          <w:szCs w:val="11"/>
          <w:color w:val="auto"/>
        </w:rPr>
        <w:t>as a company. We can learn faster when we all bring our unique experiences and knowledge. Therefore, we currently have 256 internal coaches and around 670 mentors available at Nokia to support our employees on their growth journey,</w:t>
      </w:r>
    </w:p>
    <w:p>
      <w:pPr>
        <w:spacing w:after="0"/>
        <w:rPr>
          <w:sz w:val="20"/>
          <w:szCs w:val="20"/>
          <w:color w:val="auto"/>
        </w:rPr>
      </w:pPr>
      <w:r>
        <w:rPr>
          <w:rFonts w:ascii="Times New Roman" w:cs="Times New Roman" w:eastAsia="Times New Roman" w:hAnsi="Times New Roman"/>
          <w:sz w:val="11"/>
          <w:szCs w:val="11"/>
          <w:color w:val="auto"/>
        </w:rPr>
        <w:t>all of them directly accessible via our platform.</w:t>
      </w:r>
    </w:p>
    <w:p>
      <w:pPr>
        <w:spacing w:after="0" w:line="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Focus on sustainability enablement</w:t>
      </w:r>
    </w:p>
    <w:p>
      <w:pPr>
        <w:spacing w:after="0" w:line="32" w:lineRule="exact"/>
        <w:rPr>
          <w:sz w:val="20"/>
          <w:szCs w:val="20"/>
          <w:color w:val="auto"/>
        </w:rPr>
      </w:pPr>
    </w:p>
    <w:p>
      <w:pPr>
        <w:ind w:right="340"/>
        <w:spacing w:after="0" w:line="269" w:lineRule="auto"/>
        <w:rPr>
          <w:sz w:val="20"/>
          <w:szCs w:val="20"/>
          <w:color w:val="auto"/>
        </w:rPr>
      </w:pPr>
      <w:r>
        <w:rPr>
          <w:rFonts w:ascii="Times New Roman" w:cs="Times New Roman" w:eastAsia="Times New Roman" w:hAnsi="Times New Roman"/>
          <w:sz w:val="11"/>
          <w:szCs w:val="11"/>
          <w:color w:val="auto"/>
        </w:rPr>
        <w:t>In 2023, we continued sustainability enablement across Nokia through the ESG Community of Interest, a collaborative innovation platform for knowledge building. The community organized several knowledge-sharing sessions on energy efficiency, bridging the digital divide, sustainable sourcing, circularity and ESG standards.</w:t>
      </w:r>
    </w:p>
    <w:p>
      <w:pPr>
        <w:spacing w:after="0" w:line="49"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We also launched an ESG certification training curriculum with four certification levels to equip key people with the knowledge they need to explore ESG as a competitive advantage. We set up three ESG customer advisory councils – forums for Nokia and its customers’ ESG leaders to explore common solutions and enablers for sustainable development.</w:t>
      </w:r>
    </w:p>
    <w:p>
      <w:pPr>
        <w:sectPr>
          <w:pgSz w:w="11900" w:h="16838" w:orient="portrait"/>
          <w:cols w:equalWidth="0" w:num="3">
            <w:col w:w="2900" w:space="500"/>
            <w:col w:w="2940" w:space="460"/>
            <w:col w:w="3180"/>
          </w:cols>
          <w:pgMar w:left="960" w:top="409" w:right="959" w:bottom="1440" w:gutter="0" w:footer="0" w:header="0"/>
          <w:type w:val="continuous"/>
        </w:sectPr>
      </w:pPr>
    </w:p>
    <w:bookmarkStart w:id="110" w:name="page111"/>
    <w:bookmarkEnd w:id="11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3"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It is more important than ever to lead with strong human skills that promote psychological safety and create a working environment in which all people can live our Nokia essentials, with a priority on well-being to enable stronger and more resilient teams.</w:t>
      </w:r>
    </w:p>
    <w:p>
      <w:pPr>
        <w:spacing w:after="0" w:line="60" w:lineRule="exact"/>
        <w:rPr>
          <w:sz w:val="20"/>
          <w:szCs w:val="20"/>
          <w:color w:val="auto"/>
        </w:rPr>
      </w:pPr>
    </w:p>
    <w:p>
      <w:pPr>
        <w:ind w:right="80"/>
        <w:spacing w:after="0" w:line="279" w:lineRule="auto"/>
        <w:rPr>
          <w:sz w:val="20"/>
          <w:szCs w:val="20"/>
          <w:color w:val="auto"/>
        </w:rPr>
      </w:pPr>
      <w:r>
        <w:rPr>
          <w:rFonts w:ascii="Times New Roman" w:cs="Times New Roman" w:eastAsia="Times New Roman" w:hAnsi="Times New Roman"/>
          <w:sz w:val="11"/>
          <w:szCs w:val="11"/>
          <w:color w:val="auto"/>
        </w:rPr>
        <w:t>To help leaders role-model the right behaviors while retaining strategic and operational focus, we have implemented new initiatives in 2023, including:</w:t>
      </w:r>
    </w:p>
    <w:p>
      <w:pPr>
        <w:spacing w:after="0" w:line="44" w:lineRule="exact"/>
        <w:rPr>
          <w:sz w:val="20"/>
          <w:szCs w:val="20"/>
          <w:color w:val="auto"/>
        </w:rPr>
      </w:pPr>
    </w:p>
    <w:p>
      <w:pPr>
        <w:ind w:left="180" w:right="120" w:hanging="171"/>
        <w:spacing w:after="0" w:line="309" w:lineRule="auto"/>
        <w:tabs>
          <w:tab w:leader="none" w:pos="180" w:val="left"/>
        </w:tabs>
        <w:numPr>
          <w:ilvl w:val="0"/>
          <w:numId w:val="8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Developed and piloted face-to-face “Leadership4Impact” sessions for early and mid-level line managers</w:t>
      </w:r>
    </w:p>
    <w:p>
      <w:pPr>
        <w:spacing w:after="0" w:line="38" w:lineRule="exact"/>
        <w:rPr>
          <w:rFonts w:ascii="Times New Roman" w:cs="Times New Roman" w:eastAsia="Times New Roman" w:hAnsi="Times New Roman"/>
          <w:sz w:val="11"/>
          <w:szCs w:val="11"/>
          <w:color w:val="005AFF"/>
        </w:rPr>
      </w:pPr>
    </w:p>
    <w:p>
      <w:pPr>
        <w:ind w:left="180" w:right="140" w:hanging="171"/>
        <w:spacing w:after="0" w:line="290" w:lineRule="auto"/>
        <w:tabs>
          <w:tab w:leader="none" w:pos="180" w:val="left"/>
        </w:tabs>
        <w:numPr>
          <w:ilvl w:val="0"/>
          <w:numId w:val="8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Embedded enhanced psychological safety and leadership skills within people agendas</w:t>
      </w:r>
    </w:p>
    <w:p>
      <w:pPr>
        <w:spacing w:after="0" w:line="48" w:lineRule="exact"/>
        <w:rPr>
          <w:rFonts w:ascii="Times New Roman" w:cs="Times New Roman" w:eastAsia="Times New Roman" w:hAnsi="Times New Roman"/>
          <w:sz w:val="11"/>
          <w:szCs w:val="11"/>
          <w:color w:val="005AFF"/>
        </w:rPr>
      </w:pPr>
    </w:p>
    <w:p>
      <w:pPr>
        <w:ind w:left="180" w:right="120" w:hanging="171"/>
        <w:spacing w:after="0" w:line="275" w:lineRule="auto"/>
        <w:tabs>
          <w:tab w:leader="none" w:pos="180" w:val="left"/>
        </w:tabs>
        <w:numPr>
          <w:ilvl w:val="0"/>
          <w:numId w:val="8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Introduced Leader Lab sessions, designed to support leaders at all levels with learning and resources needed to lead in the current moment, addressing real-time challenges while building a strong leadership community</w:t>
      </w:r>
    </w:p>
    <w:p>
      <w:pPr>
        <w:spacing w:after="0" w:line="47" w:lineRule="exact"/>
        <w:rPr>
          <w:rFonts w:ascii="Times New Roman" w:cs="Times New Roman" w:eastAsia="Times New Roman" w:hAnsi="Times New Roman"/>
          <w:sz w:val="11"/>
          <w:szCs w:val="11"/>
          <w:color w:val="005AFF"/>
        </w:rPr>
      </w:pPr>
    </w:p>
    <w:p>
      <w:pPr>
        <w:ind w:left="180" w:right="20" w:hanging="171"/>
        <w:spacing w:after="0" w:line="275" w:lineRule="auto"/>
        <w:tabs>
          <w:tab w:leader="none" w:pos="180" w:val="left"/>
        </w:tabs>
        <w:numPr>
          <w:ilvl w:val="0"/>
          <w:numId w:val="8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Conducted the inaugural Nokia Leaders Summit, where top executives came together to focus on further developing our strategy with input from the investor and customer communities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4"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Inclusion and diversity are core to the way we do business, innovate with our customers and partners, and attract talent. We bring together people with diverse identities, cognition, education, expertise and backgrounds. To make everyone feel valued and respected, we need an environment where all get equal opportunities to grow and develop, for the benefit and well-being of the individual, team and company.</w:t>
      </w:r>
    </w:p>
    <w:p>
      <w:pPr>
        <w:spacing w:after="0" w:line="64" w:lineRule="exact"/>
        <w:rPr>
          <w:sz w:val="20"/>
          <w:szCs w:val="20"/>
          <w:color w:val="auto"/>
        </w:rPr>
      </w:pPr>
    </w:p>
    <w:p>
      <w:pPr>
        <w:ind w:right="240"/>
        <w:spacing w:after="0" w:line="265" w:lineRule="auto"/>
        <w:rPr>
          <w:sz w:val="20"/>
          <w:szCs w:val="20"/>
          <w:color w:val="auto"/>
        </w:rPr>
      </w:pPr>
      <w:r>
        <w:rPr>
          <w:rFonts w:ascii="Times New Roman" w:cs="Times New Roman" w:eastAsia="Times New Roman" w:hAnsi="Times New Roman"/>
          <w:sz w:val="11"/>
          <w:szCs w:val="11"/>
          <w:color w:val="auto"/>
        </w:rPr>
        <w:t>Nokia’s Inclusion &amp; Diversity Community brings together employees across the organization to educate and share best practices to widen the impact of our inclusion and diversity initiatives. Since its start in June 2022, it has continuously increased its membership – with currently about 1 200 members – and has provided about 40 learning and sharing sessions.</w:t>
      </w:r>
    </w:p>
    <w:p>
      <w:pPr>
        <w:spacing w:after="0" w:line="64"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rPr>
        <w:t>In 2023, the focus has been on the inclusion of people with disabilities and neurodivergent employees, areas in which Nokia closely collaborates with nonprofit organizations for business disability inclusion such as Disability:IN and Inclusion Works.</w:t>
      </w:r>
    </w:p>
    <w:p>
      <w:pPr>
        <w:spacing w:after="0" w:line="47" w:lineRule="exact"/>
        <w:rPr>
          <w:sz w:val="20"/>
          <w:szCs w:val="20"/>
          <w:color w:val="auto"/>
        </w:rPr>
      </w:pPr>
    </w:p>
    <w:p>
      <w:pPr>
        <w:ind w:right="80"/>
        <w:spacing w:after="0" w:line="274" w:lineRule="auto"/>
        <w:rPr>
          <w:sz w:val="20"/>
          <w:szCs w:val="20"/>
          <w:color w:val="auto"/>
        </w:rPr>
      </w:pPr>
      <w:r>
        <w:rPr>
          <w:rFonts w:ascii="Times New Roman" w:cs="Times New Roman" w:eastAsia="Times New Roman" w:hAnsi="Times New Roman"/>
          <w:sz w:val="11"/>
          <w:szCs w:val="11"/>
          <w:color w:val="auto"/>
        </w:rPr>
        <w:t xml:space="preserve">To ensure that our managers can improve their leadership of multi-generational teams as well as their talent acquisition, retention and productivity, we published the Leading an Aging Workforce and the Successful Early Career Strategies e-books in 2023 </w:t>
      </w:r>
      <w:r>
        <w:rPr>
          <w:rFonts w:ascii="Arial" w:cs="Arial" w:eastAsia="Arial" w:hAnsi="Arial"/>
          <w:sz w:val="10"/>
          <w:szCs w:val="10"/>
          <w:color w:val="auto"/>
        </w:rPr>
        <w:t>.</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103</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380"/>
        <w:spacing w:after="0" w:line="275" w:lineRule="auto"/>
        <w:rPr>
          <w:sz w:val="20"/>
          <w:szCs w:val="20"/>
          <w:color w:val="auto"/>
        </w:rPr>
      </w:pPr>
      <w:r>
        <w:rPr>
          <w:rFonts w:ascii="Times New Roman" w:cs="Times New Roman" w:eastAsia="Times New Roman" w:hAnsi="Times New Roman"/>
          <w:sz w:val="11"/>
          <w:szCs w:val="11"/>
          <w:color w:val="auto"/>
        </w:rPr>
        <w:t>We also continued to drive improvements in gender diversity by monitoring pay equity. In 2023, our end-of-year review of Nokia’s gender pay gap showed a statistically insignificant unexplained pay gap.</w:t>
      </w:r>
    </w:p>
    <w:p>
      <w:pPr>
        <w:spacing w:after="0" w:line="57" w:lineRule="exact"/>
        <w:rPr>
          <w:sz w:val="20"/>
          <w:szCs w:val="20"/>
          <w:color w:val="auto"/>
        </w:rPr>
      </w:pPr>
    </w:p>
    <w:p>
      <w:pPr>
        <w:ind w:right="340"/>
        <w:spacing w:after="0" w:line="290" w:lineRule="auto"/>
        <w:rPr>
          <w:sz w:val="20"/>
          <w:szCs w:val="20"/>
          <w:color w:val="auto"/>
        </w:rPr>
      </w:pPr>
      <w:r>
        <w:rPr>
          <w:rFonts w:ascii="Times New Roman" w:cs="Times New Roman" w:eastAsia="Times New Roman" w:hAnsi="Times New Roman"/>
          <w:sz w:val="11"/>
          <w:szCs w:val="11"/>
          <w:color w:val="auto"/>
        </w:rPr>
        <w:t>We will continue to further emphasize and apply mitigations to improve in gender diversity, with the following key efforts.</w:t>
      </w:r>
    </w:p>
    <w:p>
      <w:pPr>
        <w:spacing w:after="0" w:line="48" w:lineRule="exact"/>
        <w:rPr>
          <w:sz w:val="20"/>
          <w:szCs w:val="20"/>
          <w:color w:val="auto"/>
        </w:rPr>
      </w:pPr>
    </w:p>
    <w:p>
      <w:pPr>
        <w:ind w:left="180" w:right="380" w:hanging="169"/>
        <w:spacing w:after="0" w:line="279" w:lineRule="auto"/>
        <w:tabs>
          <w:tab w:leader="none" w:pos="180" w:val="left"/>
        </w:tabs>
        <w:numPr>
          <w:ilvl w:val="0"/>
          <w:numId w:val="8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highlight w:val="white"/>
        </w:rPr>
        <w:t>Targeting a minimum threshold for women hires in our global external recruits since 2021. In 2023, we exceeded the minimum mark of 27% by hiring 28% women.</w:t>
      </w:r>
    </w:p>
    <w:p>
      <w:pPr>
        <w:spacing w:after="0" w:line="54" w:lineRule="exact"/>
        <w:rPr>
          <w:rFonts w:ascii="Times New Roman" w:cs="Times New Roman" w:eastAsia="Times New Roman" w:hAnsi="Times New Roman"/>
          <w:sz w:val="11"/>
          <w:szCs w:val="11"/>
          <w:color w:val="005AFF"/>
        </w:rPr>
      </w:pPr>
    </w:p>
    <w:p>
      <w:pPr>
        <w:ind w:left="180" w:right="220" w:hanging="169"/>
        <w:spacing w:after="0" w:line="279" w:lineRule="auto"/>
        <w:tabs>
          <w:tab w:leader="none" w:pos="180" w:val="left"/>
        </w:tabs>
        <w:numPr>
          <w:ilvl w:val="0"/>
          <w:numId w:val="8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Running programs in collaboration with the global gender equality champion UN Women, both with our customers and internally, to support women’s careers.</w:t>
      </w:r>
    </w:p>
    <w:p>
      <w:pPr>
        <w:sectPr>
          <w:pgSz w:w="11900" w:h="16838" w:orient="portrait"/>
          <w:cols w:equalWidth="0" w:num="3">
            <w:col w:w="2920" w:space="480"/>
            <w:col w:w="2960" w:space="440"/>
            <w:col w:w="3180"/>
          </w:cols>
          <w:pgMar w:left="960" w:top="409" w:right="959" w:bottom="1440" w:gutter="0" w:footer="0" w:header="0"/>
        </w:sectPr>
      </w:pPr>
    </w:p>
    <w:bookmarkStart w:id="111" w:name="page112"/>
    <w:bookmarkEnd w:id="11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104</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are shaping the Nokia environment to enable people to</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be empowered and productive. We strive toward increased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flexibility in how and where employees work, simplified policies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processes, psychological safety, and the feeling of working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a united manner.</w:t>
      </w:r>
    </w:p>
    <w:p>
      <w:pPr>
        <w:spacing w:after="0" w:line="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we launched a new consolidated people tool, NokiaME,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simplify key global HR processes and tool, with a continued</w:t>
      </w:r>
    </w:p>
    <w:p>
      <w:pPr>
        <w:spacing w:after="0" w:line="10" w:lineRule="exact"/>
        <w:rPr>
          <w:sz w:val="20"/>
          <w:szCs w:val="20"/>
          <w:color w:val="auto"/>
        </w:rPr>
      </w:pPr>
    </w:p>
    <w:p>
      <w:pPr>
        <w:spacing w:after="0"/>
        <w:tabs>
          <w:tab w:leader="none" w:pos="1320" w:val="left"/>
        </w:tabs>
        <w:rPr>
          <w:sz w:val="20"/>
          <w:szCs w:val="20"/>
          <w:color w:val="auto"/>
        </w:rPr>
      </w:pPr>
      <w:r>
        <w:rPr>
          <w:rFonts w:ascii="Times New Roman" w:cs="Times New Roman" w:eastAsia="Times New Roman" w:hAnsi="Times New Roman"/>
          <w:sz w:val="11"/>
          <w:szCs w:val="11"/>
          <w:color w:val="auto"/>
        </w:rPr>
        <w:t>rollout over the next few y</w:t>
        <w:tab/>
        <w:t>ears.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This year we again asked our employees what they needed and</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how management could better support them through our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Annual Employee Survey and reached a high participation rate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76% of Nokia employees, which represents a 10% increase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participation year over year. This feedback loop is essential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 developing a better experience.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112" w:name="page113"/>
    <w:bookmarkEnd w:id="11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Employee demographics</w:t>
      </w:r>
    </w:p>
    <w:p>
      <w:pPr>
        <w:spacing w:after="0" w:line="46"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The market for skilled employees in our business remains extremely competitive. Our workforce has evolved over recent years as we have introduced changes in our strategy to respond to our business targets and activities. These changes may in the future cause disruption and fatigue among employees, which, when coupled with our employee demographics and a dependence on key resources in some areas, make a focus on skill refreshing, well-being, inclusivity and enabling personal and professional growth imperative.</w:t>
      </w:r>
    </w:p>
    <w:p>
      <w:pPr>
        <w:spacing w:after="0" w:line="62"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2300" w:type="dxa"/>
            <w:vAlign w:val="bottom"/>
          </w:tcPr>
          <w:p>
            <w:pPr>
              <w:spacing w:after="0"/>
              <w:rPr>
                <w:sz w:val="20"/>
                <w:szCs w:val="20"/>
                <w:color w:val="auto"/>
              </w:rPr>
            </w:pPr>
            <w:r>
              <w:rPr>
                <w:rFonts w:ascii="Times New Roman" w:cs="Times New Roman" w:eastAsia="Times New Roman" w:hAnsi="Times New Roman"/>
                <w:sz w:val="11"/>
                <w:szCs w:val="11"/>
                <w:color w:val="auto"/>
                <w:highlight w:val="white"/>
              </w:rPr>
              <w:t>In 2023, the average number of employees was</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86 689</w:t>
            </w:r>
          </w:p>
        </w:tc>
      </w:tr>
      <w:tr>
        <w:trPr>
          <w:trHeight w:val="148"/>
        </w:trPr>
        <w:tc>
          <w:tcPr>
            <w:tcW w:w="2300" w:type="dxa"/>
            <w:vAlign w:val="bottom"/>
          </w:tcPr>
          <w:p>
            <w:pPr>
              <w:spacing w:after="0"/>
              <w:rPr>
                <w:sz w:val="20"/>
                <w:szCs w:val="20"/>
                <w:color w:val="auto"/>
              </w:rPr>
            </w:pPr>
            <w:r>
              <w:rPr>
                <w:rFonts w:ascii="Times New Roman" w:cs="Times New Roman" w:eastAsia="Times New Roman" w:hAnsi="Times New Roman"/>
                <w:sz w:val="11"/>
                <w:szCs w:val="11"/>
                <w:color w:val="auto"/>
                <w:highlight w:val="white"/>
              </w:rPr>
              <w:t>(86 896 in 2022 and 87 927 in 2021).</w:t>
            </w:r>
          </w:p>
        </w:tc>
        <w:tc>
          <w:tcPr>
            <w:tcW w:w="460" w:type="dxa"/>
            <w:vAlign w:val="bottom"/>
          </w:tcPr>
          <w:p>
            <w:pPr>
              <w:spacing w:after="0"/>
              <w:rPr>
                <w:sz w:val="12"/>
                <w:szCs w:val="12"/>
                <w:color w:val="auto"/>
              </w:rPr>
            </w:pPr>
          </w:p>
        </w:tc>
      </w:tr>
    </w:tbl>
    <w:p>
      <w:pPr>
        <w:spacing w:after="0" w:line="64"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highlight w:val="white"/>
        </w:rPr>
        <w:t>At the end of 2023, 27% of our executive leadership positions were held by women, while the share of women in all leadership positions across Nokia was 17%. In total, women accounted for 23% of our workforce.</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249"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86 689</w:t>
      </w:r>
    </w:p>
    <w:p>
      <w:pPr>
        <w:spacing w:after="0"/>
        <w:rPr>
          <w:sz w:val="20"/>
          <w:szCs w:val="20"/>
          <w:color w:val="auto"/>
        </w:rPr>
      </w:pPr>
      <w:r>
        <w:rPr>
          <w:rFonts w:ascii="Times New Roman" w:cs="Times New Roman" w:eastAsia="Times New Roman" w:hAnsi="Times New Roman"/>
          <w:sz w:val="11"/>
          <w:szCs w:val="11"/>
          <w:color w:val="auto"/>
        </w:rPr>
        <w:t>the average number of employees in 2023</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50"/>
          <w:szCs w:val="50"/>
          <w:color w:val="005AFF"/>
        </w:rPr>
        <w:t>27%</w:t>
      </w:r>
    </w:p>
    <w:p>
      <w:pPr>
        <w:spacing w:after="0"/>
        <w:rPr>
          <w:sz w:val="20"/>
          <w:szCs w:val="20"/>
          <w:color w:val="auto"/>
        </w:rPr>
      </w:pPr>
      <w:r>
        <w:rPr>
          <w:rFonts w:ascii="Times New Roman" w:cs="Times New Roman" w:eastAsia="Times New Roman" w:hAnsi="Times New Roman"/>
          <w:sz w:val="11"/>
          <w:szCs w:val="11"/>
          <w:color w:val="auto"/>
        </w:rPr>
        <w:t>of our executive leadership positions</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were held by women at the end of 2023.</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105</w:t>
      </w:r>
    </w:p>
    <w:p>
      <w:pPr>
        <w:spacing w:after="0" w:line="200" w:lineRule="exact"/>
        <w:rPr>
          <w:sz w:val="20"/>
          <w:szCs w:val="20"/>
          <w:color w:val="auto"/>
        </w:rPr>
      </w:pPr>
    </w:p>
    <w:p>
      <w:pPr>
        <w:spacing w:after="0" w:line="200" w:lineRule="exact"/>
        <w:rPr>
          <w:sz w:val="20"/>
          <w:szCs w:val="20"/>
          <w:color w:val="auto"/>
        </w:rPr>
      </w:pPr>
    </w:p>
    <w:p>
      <w:pPr>
        <w:spacing w:after="0" w:line="33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Well-being</w:t>
      </w:r>
    </w:p>
    <w:p>
      <w:pPr>
        <w:spacing w:after="0" w:line="46" w:lineRule="exact"/>
        <w:rPr>
          <w:sz w:val="20"/>
          <w:szCs w:val="20"/>
          <w:color w:val="auto"/>
        </w:rPr>
      </w:pPr>
    </w:p>
    <w:p>
      <w:pPr>
        <w:ind w:right="440"/>
        <w:spacing w:after="0" w:line="269" w:lineRule="auto"/>
        <w:rPr>
          <w:sz w:val="20"/>
          <w:szCs w:val="20"/>
          <w:color w:val="auto"/>
        </w:rPr>
      </w:pPr>
      <w:r>
        <w:rPr>
          <w:rFonts w:ascii="Times New Roman" w:cs="Times New Roman" w:eastAsia="Times New Roman" w:hAnsi="Times New Roman"/>
          <w:sz w:val="11"/>
          <w:szCs w:val="11"/>
          <w:color w:val="auto"/>
        </w:rPr>
        <w:t>On 19 October, Nokia announced a number of restructuring changes. As part of the support we want to offer our people during these difficult times, we have focused on providing guidance, tools and trainings to support employees and managers with timely, relevant information to navigate through this period of change.</w:t>
      </w:r>
    </w:p>
    <w:p>
      <w:pPr>
        <w:spacing w:after="0" w:line="49" w:lineRule="exact"/>
        <w:rPr>
          <w:sz w:val="20"/>
          <w:szCs w:val="20"/>
          <w:color w:val="auto"/>
        </w:rPr>
      </w:pPr>
    </w:p>
    <w:p>
      <w:pPr>
        <w:ind w:right="320"/>
        <w:spacing w:after="0" w:line="269" w:lineRule="auto"/>
        <w:rPr>
          <w:sz w:val="20"/>
          <w:szCs w:val="20"/>
          <w:color w:val="auto"/>
        </w:rPr>
      </w:pPr>
      <w:r>
        <w:rPr>
          <w:rFonts w:ascii="Times New Roman" w:cs="Times New Roman" w:eastAsia="Times New Roman" w:hAnsi="Times New Roman"/>
          <w:sz w:val="11"/>
          <w:szCs w:val="11"/>
          <w:color w:val="auto"/>
        </w:rPr>
        <w:t>The Personal Support Service, our global employee assistance program, is available to all employees and their family members, providing access to 24/7 professional support in their local language. These confidential resources play an important role in providing counselling and guidance during times of uncertainty.</w:t>
      </w:r>
    </w:p>
    <w:p>
      <w:pPr>
        <w:spacing w:after="0" w:line="60" w:lineRule="exact"/>
        <w:rPr>
          <w:sz w:val="20"/>
          <w:szCs w:val="20"/>
          <w:color w:val="auto"/>
        </w:rPr>
      </w:pPr>
    </w:p>
    <w:p>
      <w:pPr>
        <w:ind w:right="240"/>
        <w:spacing w:after="0" w:line="265" w:lineRule="auto"/>
        <w:rPr>
          <w:sz w:val="20"/>
          <w:szCs w:val="20"/>
          <w:color w:val="auto"/>
        </w:rPr>
      </w:pPr>
      <w:r>
        <w:rPr>
          <w:rFonts w:ascii="Times New Roman" w:cs="Times New Roman" w:eastAsia="Times New Roman" w:hAnsi="Times New Roman"/>
          <w:sz w:val="11"/>
          <w:szCs w:val="11"/>
          <w:color w:val="auto"/>
        </w:rPr>
        <w:t>In 2023, we continued to provide opportunities for employees to develop their capabilities in a wide range of wellbeing topics, from self-care and mindfulness to mental health and burnout, with a special focus on implementing ways to increase personal financial stability and coping with change. Over 14 000 employees engaged with the global training series content, which was complemented by regional trainings in local languages.</w:t>
      </w:r>
    </w:p>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During the  year, we also launched a new guide “Having Open</w:t>
      </w:r>
    </w:p>
    <w:p>
      <w:pPr>
        <w:spacing w:after="0" w:line="22" w:lineRule="exact"/>
        <w:rPr>
          <w:sz w:val="20"/>
          <w:szCs w:val="20"/>
          <w:color w:val="auto"/>
        </w:rPr>
      </w:pPr>
    </w:p>
    <w:p>
      <w:pPr>
        <w:sectPr>
          <w:pgSz w:w="11900" w:h="16838" w:orient="portrait"/>
          <w:cols w:equalWidth="0" w:num="3">
            <w:col w:w="2960" w:space="440"/>
            <w:col w:w="2680" w:space="720"/>
            <w:col w:w="3180"/>
          </w:cols>
          <w:pgMar w:left="960" w:top="409" w:right="959" w:bottom="1440" w:gutter="0" w:footer="0" w:header="0"/>
        </w:sectPr>
      </w:pPr>
    </w:p>
    <w:p>
      <w:pPr>
        <w:spacing w:after="0" w:line="8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Share of women in our workforce</w:t>
      </w:r>
    </w:p>
    <w:p>
      <w:pPr>
        <w:spacing w:after="0" w:line="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6"/>
          <w:szCs w:val="16"/>
          <w:color w:val="005AFF"/>
        </w:rPr>
        <w:t>at the end of 2023</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Conversations” to support dialogue about mental health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within teams. And our ShareToCare Employee Resource Group</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continues to grow, bringing people together to have open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conversations about mental health.</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All employees now have access to an exercise app to encourage</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them to take breaks and remain active during their workday,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providing short exercises to support both the mind and body.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delivered 25 sessions as part of the “Thrive with Well-Being”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series and “Be well, Lead well” leadership development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program to targeted groups of employees and people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managers across the organization.</w:t>
      </w:r>
    </w:p>
    <w:p>
      <w:pPr>
        <w:sectPr>
          <w:pgSz w:w="11900" w:h="16838" w:orient="portrait"/>
          <w:cols w:equalWidth="0" w:num="2">
            <w:col w:w="6080" w:space="720"/>
            <w:col w:w="3180"/>
          </w:cols>
          <w:pgMar w:left="960" w:top="409" w:right="959" w:bottom="1440" w:gutter="0" w:footer="0" w:header="0"/>
          <w:type w:val="continuous"/>
        </w:sectPr>
      </w:pPr>
    </w:p>
    <w:bookmarkStart w:id="113" w:name="page114"/>
    <w:bookmarkEnd w:id="113"/>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380" w:val="left"/>
        </w:tabs>
        <w:rPr>
          <w:sz w:val="20"/>
          <w:szCs w:val="20"/>
          <w:color w:val="auto"/>
        </w:rPr>
      </w:pPr>
      <w:r>
        <w:rPr>
          <w:rFonts w:ascii="Times New Roman" w:cs="Times New Roman" w:eastAsia="Times New Roman" w:hAnsi="Times New Roman"/>
          <w:sz w:val="13"/>
          <w:szCs w:val="13"/>
          <w:color w:val="005AFF"/>
        </w:rPr>
        <w:t>Sustainability and corporate responsibility</w:t>
        <w:tab/>
        <w:t>continued</w:t>
      </w:r>
    </w:p>
    <w:p>
      <w:pPr>
        <w:spacing w:after="0" w:line="318" w:lineRule="exact"/>
        <w:rPr>
          <w:sz w:val="20"/>
          <w:szCs w:val="20"/>
          <w:color w:val="auto"/>
        </w:rPr>
      </w:pPr>
    </w:p>
    <w:p>
      <w:pPr>
        <w:ind w:left="3400"/>
        <w:spacing w:after="0"/>
        <w:rPr>
          <w:sz w:val="20"/>
          <w:szCs w:val="20"/>
          <w:color w:val="auto"/>
        </w:rPr>
      </w:pPr>
      <w:r>
        <w:rPr>
          <w:rFonts w:ascii="Times New Roman" w:cs="Times New Roman" w:eastAsia="Times New Roman" w:hAnsi="Times New Roman"/>
          <w:sz w:val="16"/>
          <w:szCs w:val="16"/>
          <w:color w:val="005AFF"/>
        </w:rPr>
        <w:t>Health, safety and labor conditions</w:t>
      </w:r>
    </w:p>
    <w:p>
      <w:pPr>
        <w:spacing w:after="0" w:line="66" w:lineRule="exact"/>
        <w:rPr>
          <w:sz w:val="20"/>
          <w:szCs w:val="20"/>
          <w:color w:val="auto"/>
        </w:rPr>
      </w:pPr>
    </w:p>
    <w:p>
      <w:pPr>
        <w:ind w:left="3400" w:right="120"/>
        <w:spacing w:after="0" w:line="266" w:lineRule="auto"/>
        <w:rPr>
          <w:sz w:val="20"/>
          <w:szCs w:val="20"/>
          <w:color w:val="auto"/>
        </w:rPr>
      </w:pPr>
      <w:r>
        <w:rPr>
          <w:rFonts w:ascii="Times New Roman" w:cs="Times New Roman" w:eastAsia="Times New Roman" w:hAnsi="Times New Roman"/>
          <w:sz w:val="11"/>
          <w:szCs w:val="11"/>
          <w:color w:val="auto"/>
        </w:rPr>
        <w:t>The health and safety of our employees is the non-negotiable foundation of how Nokia conducts its business. Our Code of Conduct is the basis for labor conditions, enhanced by</w:t>
      </w:r>
    </w:p>
    <w:p>
      <w:pPr>
        <w:spacing w:after="0" w:line="1" w:lineRule="exact"/>
        <w:rPr>
          <w:sz w:val="20"/>
          <w:szCs w:val="20"/>
          <w:color w:val="auto"/>
        </w:rPr>
      </w:pPr>
    </w:p>
    <w:p>
      <w:pPr>
        <w:ind w:left="3400" w:right="20"/>
        <w:spacing w:after="0" w:line="263" w:lineRule="auto"/>
        <w:rPr>
          <w:sz w:val="20"/>
          <w:szCs w:val="20"/>
          <w:color w:val="auto"/>
        </w:rPr>
      </w:pPr>
      <w:r>
        <w:rPr>
          <w:rFonts w:ascii="Times New Roman" w:cs="Times New Roman" w:eastAsia="Times New Roman" w:hAnsi="Times New Roman"/>
          <w:sz w:val="11"/>
          <w:szCs w:val="11"/>
          <w:color w:val="auto"/>
        </w:rPr>
        <w:t>a full set of global HR policies and procedures that enable fair employment. We adhere to the International Labour Organization (ILO) Declaration on Fundamental Principles and Rights at Work, and we meet, or where possible exceed, the requirements of labor laws and regulations wherever we have operations. We work hard to ensure decent working conditions and fair employment, recognizing both international and local laws and guidelines. Our health and safety management system is the basis for our overall Health and Safety program and an integral part of how we manage health and safety.</w:t>
      </w:r>
    </w:p>
    <w:p>
      <w:pPr>
        <w:spacing w:after="0" w:line="64" w:lineRule="exact"/>
        <w:rPr>
          <w:sz w:val="20"/>
          <w:szCs w:val="20"/>
          <w:color w:val="auto"/>
        </w:rPr>
      </w:pPr>
    </w:p>
    <w:p>
      <w:pPr>
        <w:ind w:left="3400" w:right="220"/>
        <w:spacing w:after="0" w:line="275" w:lineRule="auto"/>
        <w:rPr>
          <w:sz w:val="20"/>
          <w:szCs w:val="20"/>
          <w:color w:val="auto"/>
        </w:rPr>
      </w:pPr>
      <w:r>
        <w:rPr>
          <w:rFonts w:ascii="Times New Roman" w:cs="Times New Roman" w:eastAsia="Times New Roman" w:hAnsi="Times New Roman"/>
          <w:sz w:val="11"/>
          <w:szCs w:val="11"/>
          <w:color w:val="auto"/>
        </w:rPr>
        <w:t>The system is certified with the internationally recognized ISO 45001 framework. The certification is provided by a third party, Bureau Veritas, and the share of our employees covered by the certification at the end of 2023 was 88%.</w:t>
      </w:r>
    </w:p>
    <w:p>
      <w:pPr>
        <w:spacing w:after="0" w:line="47" w:lineRule="exact"/>
        <w:rPr>
          <w:sz w:val="20"/>
          <w:szCs w:val="20"/>
          <w:color w:val="auto"/>
        </w:rPr>
      </w:pPr>
    </w:p>
    <w:p>
      <w:pPr>
        <w:ind w:left="3400" w:right="220"/>
        <w:spacing w:after="0" w:line="269" w:lineRule="auto"/>
        <w:rPr>
          <w:sz w:val="20"/>
          <w:szCs w:val="20"/>
          <w:color w:val="auto"/>
        </w:rPr>
      </w:pPr>
      <w:r>
        <w:rPr>
          <w:rFonts w:ascii="Times New Roman" w:cs="Times New Roman" w:eastAsia="Times New Roman" w:hAnsi="Times New Roman"/>
          <w:sz w:val="11"/>
          <w:szCs w:val="11"/>
          <w:color w:val="auto"/>
        </w:rPr>
        <w:t>We implement training, analysis, assessments, and consequence management to address job-related health and safety risks. We run a wide range of programs targeted at improving our health and safety performance, while also encouraging employees and contractors to report near misses and dangerous incidents.</w:t>
      </w:r>
    </w:p>
    <w:p>
      <w:pPr>
        <w:spacing w:after="0" w:line="60" w:lineRule="exact"/>
        <w:rPr>
          <w:sz w:val="20"/>
          <w:szCs w:val="20"/>
          <w:color w:val="auto"/>
        </w:rPr>
      </w:pPr>
    </w:p>
    <w:p>
      <w:pPr>
        <w:ind w:left="3400"/>
        <w:spacing w:after="0" w:line="265" w:lineRule="auto"/>
        <w:rPr>
          <w:sz w:val="20"/>
          <w:szCs w:val="20"/>
          <w:color w:val="auto"/>
        </w:rPr>
      </w:pPr>
      <w:r>
        <w:rPr>
          <w:rFonts w:ascii="Times New Roman" w:cs="Times New Roman" w:eastAsia="Times New Roman" w:hAnsi="Times New Roman"/>
          <w:sz w:val="11"/>
          <w:szCs w:val="11"/>
          <w:color w:val="auto"/>
        </w:rPr>
        <w:t>We see the highest risk exposure to health and safety in the delivery of field work, which is predominantly delivered by our contractors through tasks such as working at height, driving for work, and electrical installation and maintenance. Consequently, we have set stringent KPIs related to a supplier’s ability to deliver safely, which is evaluated by our Health and Safety Maturity Assessment.</w:t>
      </w:r>
    </w:p>
    <w:p>
      <w:pPr>
        <w:spacing w:after="0" w:line="64" w:lineRule="exact"/>
        <w:rPr>
          <w:sz w:val="20"/>
          <w:szCs w:val="20"/>
          <w:color w:val="auto"/>
        </w:rPr>
      </w:pPr>
    </w:p>
    <w:p>
      <w:pPr>
        <w:jc w:val="both"/>
        <w:ind w:left="3400" w:right="280"/>
        <w:spacing w:after="0" w:line="266" w:lineRule="auto"/>
        <w:rPr>
          <w:sz w:val="20"/>
          <w:szCs w:val="20"/>
          <w:color w:val="auto"/>
        </w:rPr>
      </w:pPr>
      <w:r>
        <w:rPr>
          <w:rFonts w:ascii="Times New Roman" w:cs="Times New Roman" w:eastAsia="Times New Roman" w:hAnsi="Times New Roman"/>
          <w:sz w:val="11"/>
          <w:szCs w:val="11"/>
          <w:color w:val="auto"/>
          <w:highlight w:val="white"/>
        </w:rPr>
        <w:t>In 2023, there were no (zero) work-related fatal incidents involving employees. However, we regret the three work-related fatal incidents resulting in the death of one</w:t>
      </w:r>
    </w:p>
    <w:p>
      <w:pPr>
        <w:spacing w:after="0" w:line="1" w:lineRule="exact"/>
        <w:rPr>
          <w:sz w:val="20"/>
          <w:szCs w:val="20"/>
          <w:color w:val="auto"/>
        </w:rPr>
      </w:pPr>
    </w:p>
    <w:p>
      <w:pPr>
        <w:ind w:left="3400"/>
        <w:spacing w:after="0"/>
        <w:tabs>
          <w:tab w:leader="none" w:pos="5500" w:val="left"/>
        </w:tabs>
        <w:rPr>
          <w:sz w:val="20"/>
          <w:szCs w:val="20"/>
          <w:color w:val="auto"/>
        </w:rPr>
      </w:pPr>
      <w:r>
        <w:rPr>
          <w:rFonts w:ascii="Times New Roman" w:cs="Times New Roman" w:eastAsia="Times New Roman" w:hAnsi="Times New Roman"/>
          <w:sz w:val="11"/>
          <w:szCs w:val="11"/>
          <w:color w:val="auto"/>
          <w:highlight w:val="white"/>
        </w:rPr>
        <w:t>contractor / subcontractor and two third</w:t>
      </w:r>
      <w:r>
        <w:rPr>
          <w:sz w:val="20"/>
          <w:szCs w:val="20"/>
          <w:color w:val="auto"/>
        </w:rPr>
        <w:tab/>
      </w:r>
      <w:r>
        <w:rPr>
          <w:rFonts w:ascii="Times New Roman" w:cs="Times New Roman" w:eastAsia="Times New Roman" w:hAnsi="Times New Roman"/>
          <w:sz w:val="11"/>
          <w:szCs w:val="11"/>
          <w:color w:val="auto"/>
          <w:highlight w:val="white"/>
        </w:rPr>
        <w:t xml:space="preserve">parties </w:t>
      </w:r>
      <w:r>
        <w:rPr>
          <w:rFonts w:ascii="Times New Roman" w:cs="Times New Roman" w:eastAsia="Times New Roman" w:hAnsi="Times New Roman"/>
          <w:sz w:val="14"/>
          <w:szCs w:val="14"/>
          <w:color w:val="auto"/>
          <w:highlight w:val="white"/>
          <w:vertAlign w:val="superscript"/>
        </w:rPr>
        <w:t>(1)</w:t>
      </w:r>
      <w:r>
        <w:rPr>
          <w:rFonts w:ascii="Times New Roman" w:cs="Times New Roman" w:eastAsia="Times New Roman" w:hAnsi="Times New Roman"/>
          <w:sz w:val="11"/>
          <w:szCs w:val="11"/>
          <w:color w:val="auto"/>
          <w:highlight w:val="white"/>
        </w:rPr>
        <w:t>.</w:t>
      </w:r>
    </w:p>
    <w:p>
      <w:pPr>
        <w:ind w:left="3380"/>
        <w:spacing w:after="0" w:line="234" w:lineRule="auto"/>
        <w:rPr>
          <w:sz w:val="20"/>
          <w:szCs w:val="20"/>
          <w:color w:val="auto"/>
        </w:rPr>
      </w:pPr>
      <w:r>
        <w:rPr>
          <w:rFonts w:ascii="Times New Roman" w:cs="Times New Roman" w:eastAsia="Times New Roman" w:hAnsi="Times New Roman"/>
          <w:sz w:val="50"/>
          <w:szCs w:val="50"/>
          <w:color w:val="005AFF"/>
        </w:rPr>
        <w:t>88%</w:t>
      </w:r>
    </w:p>
    <w:p>
      <w:pPr>
        <w:spacing w:after="0" w:line="2" w:lineRule="exact"/>
        <w:rPr>
          <w:sz w:val="20"/>
          <w:szCs w:val="20"/>
          <w:color w:val="auto"/>
        </w:rPr>
      </w:pPr>
    </w:p>
    <w:p>
      <w:pPr>
        <w:ind w:left="3380"/>
        <w:spacing w:after="0"/>
        <w:rPr>
          <w:sz w:val="20"/>
          <w:szCs w:val="20"/>
          <w:color w:val="auto"/>
        </w:rPr>
      </w:pPr>
      <w:r>
        <w:rPr>
          <w:rFonts w:ascii="Times New Roman" w:cs="Times New Roman" w:eastAsia="Times New Roman" w:hAnsi="Times New Roman"/>
          <w:sz w:val="11"/>
          <w:szCs w:val="11"/>
          <w:color w:val="auto"/>
        </w:rPr>
        <w:t>share of our employees covered by</w:t>
      </w:r>
    </w:p>
    <w:p>
      <w:pPr>
        <w:spacing w:after="0" w:line="10" w:lineRule="exact"/>
        <w:rPr>
          <w:sz w:val="20"/>
          <w:szCs w:val="20"/>
          <w:color w:val="auto"/>
        </w:rPr>
      </w:pPr>
    </w:p>
    <w:p>
      <w:pPr>
        <w:ind w:left="3380"/>
        <w:spacing w:after="0"/>
        <w:rPr>
          <w:sz w:val="20"/>
          <w:szCs w:val="20"/>
          <w:color w:val="auto"/>
        </w:rPr>
      </w:pPr>
      <w:r>
        <w:rPr>
          <w:rFonts w:ascii="Times New Roman" w:cs="Times New Roman" w:eastAsia="Times New Roman" w:hAnsi="Times New Roman"/>
          <w:sz w:val="11"/>
          <w:szCs w:val="11"/>
          <w:color w:val="auto"/>
        </w:rPr>
        <w:t>ISO 45001 certification at the end of 2023</w:t>
      </w:r>
    </w:p>
    <w:p>
      <w:pPr>
        <w:spacing w:after="0" w:line="200" w:lineRule="exact"/>
        <w:rPr>
          <w:sz w:val="20"/>
          <w:szCs w:val="20"/>
          <w:color w:val="auto"/>
        </w:rPr>
      </w:pPr>
    </w:p>
    <w:p>
      <w:pPr>
        <w:spacing w:after="0" w:line="2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106</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340"/>
        <w:spacing w:after="0" w:line="266" w:lineRule="auto"/>
        <w:rPr>
          <w:sz w:val="20"/>
          <w:szCs w:val="20"/>
          <w:color w:val="auto"/>
        </w:rPr>
      </w:pPr>
      <w:r>
        <w:rPr>
          <w:rFonts w:ascii="Times New Roman" w:cs="Times New Roman" w:eastAsia="Times New Roman" w:hAnsi="Times New Roman"/>
          <w:sz w:val="11"/>
          <w:szCs w:val="11"/>
          <w:color w:val="auto"/>
          <w:highlight w:val="white"/>
        </w:rPr>
        <w:t>Any such serious incidents while carrying out work on behalf of Nokia are unacceptable. Each incident is thoroughly investigated to establish root causes and corrective actions are implemented to reduce the likelihood of future occurrences.</w:t>
      </w:r>
    </w:p>
    <w:p>
      <w:pPr>
        <w:spacing w:after="0" w:line="2" w:lineRule="exact"/>
        <w:rPr>
          <w:sz w:val="20"/>
          <w:szCs w:val="20"/>
          <w:color w:val="auto"/>
        </w:rPr>
      </w:pPr>
    </w:p>
    <w:p>
      <w:pPr>
        <w:ind w:right="240"/>
        <w:spacing w:after="0" w:line="278" w:lineRule="auto"/>
        <w:rPr>
          <w:sz w:val="20"/>
          <w:szCs w:val="20"/>
          <w:color w:val="auto"/>
        </w:rPr>
      </w:pPr>
      <w:r>
        <w:rPr>
          <w:rFonts w:ascii="Times New Roman" w:cs="Times New Roman" w:eastAsia="Times New Roman" w:hAnsi="Times New Roman"/>
          <w:sz w:val="11"/>
          <w:szCs w:val="11"/>
          <w:color w:val="auto"/>
          <w:highlight w:val="white"/>
        </w:rPr>
        <w:t>In 2023, Nokia ensured 100% of our suppliers formally pledged to follow the Nokia lifesaving rules.</w:t>
      </w:r>
    </w:p>
    <w:p>
      <w:pPr>
        <w:spacing w:after="0" w:line="54" w:lineRule="exact"/>
        <w:rPr>
          <w:sz w:val="20"/>
          <w:szCs w:val="20"/>
          <w:color w:val="auto"/>
        </w:rPr>
      </w:pPr>
    </w:p>
    <w:p>
      <w:pPr>
        <w:spacing w:after="0"/>
        <w:tabs>
          <w:tab w:leader="none" w:pos="2900" w:val="left"/>
        </w:tabs>
        <w:rPr>
          <w:sz w:val="20"/>
          <w:szCs w:val="20"/>
          <w:color w:val="auto"/>
        </w:rPr>
      </w:pPr>
      <w:r>
        <w:rPr>
          <w:rFonts w:ascii="Times New Roman" w:cs="Times New Roman" w:eastAsia="Times New Roman" w:hAnsi="Times New Roman"/>
          <w:sz w:val="11"/>
          <w:szCs w:val="11"/>
          <w:color w:val="auto"/>
          <w:highlight w:val="white"/>
        </w:rPr>
        <w:t>Creating a safer work environment starts with good leade</w:t>
      </w:r>
      <w:r>
        <w:rPr>
          <w:sz w:val="20"/>
          <w:szCs w:val="20"/>
          <w:color w:val="auto"/>
        </w:rPr>
        <w:tab/>
      </w:r>
      <w:r>
        <w:rPr>
          <w:rFonts w:ascii="Times New Roman" w:cs="Times New Roman" w:eastAsia="Times New Roman" w:hAnsi="Times New Roman"/>
          <w:sz w:val="11"/>
          <w:szCs w:val="11"/>
          <w:color w:val="auto"/>
        </w:rPr>
        <w:t>rship.</w:t>
      </w:r>
    </w:p>
    <w:p>
      <w:pPr>
        <w:spacing w:after="0" w:line="22" w:lineRule="exact"/>
        <w:rPr>
          <w:sz w:val="20"/>
          <w:szCs w:val="20"/>
          <w:color w:val="auto"/>
        </w:rPr>
      </w:pPr>
    </w:p>
    <w:p>
      <w:pPr>
        <w:ind w:right="260"/>
        <w:spacing w:after="0" w:line="259" w:lineRule="auto"/>
        <w:rPr>
          <w:sz w:val="20"/>
          <w:szCs w:val="20"/>
          <w:color w:val="auto"/>
        </w:rPr>
      </w:pPr>
      <w:r>
        <w:rPr>
          <w:rFonts w:ascii="Times New Roman" w:cs="Times New Roman" w:eastAsia="Times New Roman" w:hAnsi="Times New Roman"/>
          <w:sz w:val="11"/>
          <w:szCs w:val="11"/>
          <w:color w:val="auto"/>
        </w:rPr>
        <w:t>Our leaders are in a key position to strengthen the health and safety culture. Conducting a Senior Leade r Safety Tour is a</w:t>
      </w:r>
    </w:p>
    <w:p>
      <w:pPr>
        <w:ind w:right="300"/>
        <w:spacing w:after="0" w:line="271" w:lineRule="auto"/>
        <w:rPr>
          <w:sz w:val="20"/>
          <w:szCs w:val="20"/>
          <w:color w:val="auto"/>
        </w:rPr>
      </w:pPr>
      <w:r>
        <w:rPr>
          <w:rFonts w:ascii="Times New Roman" w:cs="Times New Roman" w:eastAsia="Times New Roman" w:hAnsi="Times New Roman"/>
          <w:sz w:val="11"/>
          <w:szCs w:val="11"/>
          <w:color w:val="auto"/>
        </w:rPr>
        <w:t>targeted, direct and strategic way to engage with local teams in order to influence safety behaviors. In 2023, Nokia set a target of having Senior Leaders lead forty safety tours of specific sites. Nokia recorded 144 such tours in 2023.</w:t>
      </w:r>
    </w:p>
    <w:p>
      <w:pPr>
        <w:spacing w:after="0" w:line="49"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Our key standards Working at Height, Rigging &amp; Lifting, Driving, Electrical and Underground Assets Avoidance are implemented with non-negotiables for effective controls to manage risk on a global scale in all markets. Incident management and reporting and investigation programs encourage all employees and contractors working on our behalf to report all incidents including near misses and high potential incidents.</w:t>
      </w:r>
    </w:p>
    <w:p>
      <w:pPr>
        <w:spacing w:after="0" w:line="49"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Our assurance and governance programs have built in checkpoints to measure effectiveness. We have agreed metrics and KPIs designed into all levels of our programs and business processes to assure and manage risk in critical areas such as supplier qualification and project management, where high-risk activities are delivered. Operational reviews and internal</w:t>
      </w:r>
    </w:p>
    <w:p>
      <w:pPr>
        <w:spacing w:after="0" w:line="1" w:lineRule="exact"/>
        <w:rPr>
          <w:sz w:val="20"/>
          <w:szCs w:val="20"/>
          <w:color w:val="auto"/>
        </w:rPr>
      </w:pPr>
    </w:p>
    <w:p>
      <w:pPr>
        <w:ind w:right="400"/>
        <w:spacing w:after="0" w:line="266" w:lineRule="auto"/>
        <w:rPr>
          <w:sz w:val="20"/>
          <w:szCs w:val="20"/>
          <w:color w:val="auto"/>
        </w:rPr>
      </w:pPr>
      <w:r>
        <w:rPr>
          <w:rFonts w:ascii="Times New Roman" w:cs="Times New Roman" w:eastAsia="Times New Roman" w:hAnsi="Times New Roman"/>
          <w:sz w:val="11"/>
          <w:szCs w:val="11"/>
          <w:color w:val="auto"/>
        </w:rPr>
        <w:t>and external audits provide the visibility and accountability needed to improve performance and reduce risk. In addition, regular reporting, communication of recovery plans and action management are in place to ensure effective program management.</w:t>
      </w:r>
    </w:p>
    <w:p>
      <w:pPr>
        <w:spacing w:after="0" w:line="61"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By the end of 2023, 99% of suppliers delivering high-risk activity had been assessed using our Health and Safety Maturity Assessment process and 99% of the assessed suppliers were health and safety compliant. We also carried out implementation assessments on 99% of all high-risk projects, 98% of which were found to meet our minimum non-negotiable requirements.</w:t>
      </w:r>
    </w:p>
    <w:p>
      <w:pPr>
        <w:spacing w:after="0" w:line="53" w:lineRule="exact"/>
        <w:rPr>
          <w:sz w:val="20"/>
          <w:szCs w:val="20"/>
          <w:color w:val="auto"/>
        </w:rPr>
      </w:pPr>
    </w:p>
    <w:p>
      <w:pPr>
        <w:ind w:left="200" w:right="200" w:hanging="198"/>
        <w:spacing w:after="0" w:line="265" w:lineRule="auto"/>
        <w:tabs>
          <w:tab w:leader="none" w:pos="200" w:val="left"/>
        </w:tabs>
        <w:numPr>
          <w:ilvl w:val="0"/>
          <w:numId w:val="8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Nokia has revised its fatality reporting criteria in 2023 to include third parties such as members of the public who are assessed as being impacted by an incident that is deemed within Nokia’s control. This more closely aligns Nokia’s reporting with some of its closest industry stakeholders and competitors.</w:t>
      </w:r>
    </w:p>
    <w:p>
      <w:pPr>
        <w:sectPr>
          <w:pgSz w:w="11900" w:h="16838" w:orient="portrait"/>
          <w:cols w:equalWidth="0" w:num="2">
            <w:col w:w="6320" w:space="480"/>
            <w:col w:w="3180"/>
          </w:cols>
          <w:pgMar w:left="960" w:top="409" w:right="959" w:bottom="1440" w:gutter="0" w:footer="0" w:header="0"/>
        </w:sectPr>
      </w:pPr>
    </w:p>
    <w:bookmarkStart w:id="114" w:name="page115"/>
    <w:bookmarkEnd w:id="11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680" w:type="dxa"/>
            <w:vAlign w:val="bottom"/>
          </w:tcPr>
          <w:p>
            <w:pPr>
              <w:ind w:left="28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680" w:type="dxa"/>
            <w:vAlign w:val="bottom"/>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Shares and shareholders</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Shares and shareholders</w:t>
      </w:r>
    </w:p>
    <w:p>
      <w:pPr>
        <w:spacing w:after="0" w:line="15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Share details</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Shares and share capital</w:t>
      </w:r>
    </w:p>
    <w:p>
      <w:pPr>
        <w:spacing w:after="0" w:line="32" w:lineRule="exact"/>
        <w:rPr>
          <w:sz w:val="20"/>
          <w:szCs w:val="20"/>
          <w:color w:val="auto"/>
        </w:rPr>
      </w:pPr>
    </w:p>
    <w:p>
      <w:pPr>
        <w:ind w:right="800"/>
        <w:spacing w:after="0" w:line="309" w:lineRule="auto"/>
        <w:rPr>
          <w:sz w:val="20"/>
          <w:szCs w:val="20"/>
          <w:color w:val="auto"/>
        </w:rPr>
      </w:pPr>
      <w:r>
        <w:rPr>
          <w:rFonts w:ascii="Times New Roman" w:cs="Times New Roman" w:eastAsia="Times New Roman" w:hAnsi="Times New Roman"/>
          <w:sz w:val="11"/>
          <w:szCs w:val="11"/>
          <w:color w:val="auto"/>
        </w:rPr>
        <w:t>Nokia has one class of shares. Each Nokia share entitles the holder to one vote at general meetings of Nokia.</w:t>
      </w:r>
    </w:p>
    <w:p>
      <w:pPr>
        <w:spacing w:after="0" w:line="28" w:lineRule="exact"/>
        <w:rPr>
          <w:sz w:val="20"/>
          <w:szCs w:val="20"/>
          <w:color w:val="auto"/>
        </w:rPr>
      </w:pPr>
    </w:p>
    <w:p>
      <w:pPr>
        <w:spacing w:after="0"/>
        <w:tabs>
          <w:tab w:leader="none" w:pos="1120" w:val="left"/>
          <w:tab w:leader="none" w:pos="3800" w:val="left"/>
          <w:tab w:leader="none" w:pos="4660" w:val="left"/>
        </w:tabs>
        <w:rPr>
          <w:sz w:val="20"/>
          <w:szCs w:val="20"/>
          <w:color w:val="auto"/>
        </w:rPr>
      </w:pPr>
      <w:r>
        <w:rPr>
          <w:rFonts w:ascii="Times New Roman" w:cs="Times New Roman" w:eastAsia="Times New Roman" w:hAnsi="Times New Roman"/>
          <w:sz w:val="11"/>
          <w:szCs w:val="11"/>
          <w:color w:val="auto"/>
        </w:rPr>
        <w:t>At 31 December 2023</w:t>
        <w:tab/>
        <w:t>, the share capital of Nokia Corporation equaled EUR</w:t>
      </w:r>
      <w:r>
        <w:rPr>
          <w:sz w:val="20"/>
          <w:szCs w:val="20"/>
          <w:color w:val="auto"/>
        </w:rPr>
        <w:tab/>
      </w:r>
      <w:r>
        <w:rPr>
          <w:rFonts w:ascii="Times New Roman" w:cs="Times New Roman" w:eastAsia="Times New Roman" w:hAnsi="Times New Roman"/>
          <w:sz w:val="11"/>
          <w:szCs w:val="11"/>
          <w:color w:val="auto"/>
        </w:rPr>
        <w:t>245 896 461.96</w:t>
        <w:tab/>
        <w:t>and</w:t>
      </w:r>
    </w:p>
    <w:p>
      <w:pPr>
        <w:spacing w:after="0" w:line="22" w:lineRule="exact"/>
        <w:rPr>
          <w:sz w:val="20"/>
          <w:szCs w:val="20"/>
          <w:color w:val="auto"/>
        </w:rPr>
      </w:pPr>
    </w:p>
    <w:p>
      <w:pPr>
        <w:spacing w:after="0"/>
        <w:tabs>
          <w:tab w:leader="none" w:pos="1960" w:val="left"/>
          <w:tab w:leader="none" w:pos="2720" w:val="left"/>
          <w:tab w:leader="none" w:pos="3920" w:val="left"/>
        </w:tabs>
        <w:rPr>
          <w:sz w:val="20"/>
          <w:szCs w:val="20"/>
          <w:color w:val="auto"/>
        </w:rPr>
      </w:pPr>
      <w:r>
        <w:rPr>
          <w:rFonts w:ascii="Times New Roman" w:cs="Times New Roman" w:eastAsia="Times New Roman" w:hAnsi="Times New Roman"/>
          <w:sz w:val="11"/>
          <w:szCs w:val="11"/>
          <w:color w:val="auto"/>
        </w:rPr>
        <w:t>the total number of shares issued was</w:t>
      </w:r>
      <w:r>
        <w:rPr>
          <w:sz w:val="20"/>
          <w:szCs w:val="20"/>
          <w:color w:val="auto"/>
        </w:rPr>
        <w:tab/>
      </w:r>
      <w:r>
        <w:rPr>
          <w:rFonts w:ascii="Times New Roman" w:cs="Times New Roman" w:eastAsia="Times New Roman" w:hAnsi="Times New Roman"/>
          <w:sz w:val="11"/>
          <w:szCs w:val="11"/>
          <w:color w:val="auto"/>
        </w:rPr>
        <w:t>5 613 496 565</w:t>
        <w:tab/>
        <w:t>. At 31 December 2023</w:t>
        <w:tab/>
        <w:t>, the total number</w:t>
      </w:r>
    </w:p>
    <w:p>
      <w:pPr>
        <w:spacing w:after="0" w:line="10" w:lineRule="exact"/>
        <w:rPr>
          <w:sz w:val="20"/>
          <w:szCs w:val="20"/>
          <w:color w:val="auto"/>
        </w:rPr>
      </w:pPr>
    </w:p>
    <w:p>
      <w:pPr>
        <w:ind w:right="400"/>
        <w:spacing w:after="0" w:line="286" w:lineRule="auto"/>
        <w:rPr>
          <w:sz w:val="20"/>
          <w:szCs w:val="20"/>
          <w:color w:val="auto"/>
        </w:rPr>
      </w:pPr>
      <w:r>
        <w:rPr>
          <w:rFonts w:ascii="Times New Roman" w:cs="Times New Roman" w:eastAsia="Times New Roman" w:hAnsi="Times New Roman"/>
          <w:sz w:val="11"/>
          <w:szCs w:val="11"/>
          <w:color w:val="auto"/>
        </w:rPr>
        <w:t>of shares included 87 895 712 shares owned by Group companies representing approximately 1.6% of the total number of shares and the total voting rights.</w:t>
      </w:r>
    </w:p>
    <w:p>
      <w:pPr>
        <w:spacing w:after="0" w:line="51" w:lineRule="exact"/>
        <w:rPr>
          <w:sz w:val="20"/>
          <w:szCs w:val="20"/>
          <w:color w:val="auto"/>
        </w:rPr>
      </w:pPr>
    </w:p>
    <w:p>
      <w:pPr>
        <w:ind w:right="440"/>
        <w:spacing w:after="0" w:line="279" w:lineRule="auto"/>
        <w:rPr>
          <w:sz w:val="20"/>
          <w:szCs w:val="20"/>
          <w:color w:val="auto"/>
        </w:rPr>
      </w:pPr>
      <w:r>
        <w:rPr>
          <w:rFonts w:ascii="Times New Roman" w:cs="Times New Roman" w:eastAsia="Times New Roman" w:hAnsi="Times New Roman"/>
          <w:sz w:val="11"/>
          <w:szCs w:val="11"/>
          <w:color w:val="auto"/>
        </w:rPr>
        <w:t>In 2023 , under the authorization granted to the Board of Directors by the Annual General Meeting, the Parent Company issued 59 500 000 new shares without consideration to itself to fulfill the Company’s obligation under the Nokia Equity Programs.</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 under the authorization granted to the Board of Directors by the Annual General</w:t>
      </w:r>
    </w:p>
    <w:p>
      <w:pPr>
        <w:spacing w:after="0" w:line="22" w:lineRule="exact"/>
        <w:rPr>
          <w:sz w:val="20"/>
          <w:szCs w:val="20"/>
          <w:color w:val="auto"/>
        </w:rPr>
      </w:pPr>
    </w:p>
    <w:p>
      <w:pPr>
        <w:ind w:right="240"/>
        <w:spacing w:after="0" w:line="271" w:lineRule="auto"/>
        <w:rPr>
          <w:sz w:val="20"/>
          <w:szCs w:val="20"/>
          <w:color w:val="auto"/>
        </w:rPr>
      </w:pPr>
      <w:r>
        <w:rPr>
          <w:rFonts w:ascii="Times New Roman" w:cs="Times New Roman" w:eastAsia="Times New Roman" w:hAnsi="Times New Roman"/>
          <w:sz w:val="11"/>
          <w:szCs w:val="11"/>
          <w:color w:val="auto"/>
        </w:rPr>
        <w:t>Meeting, the Parent Company issued 16 885 827 treasury shares to employees, including certain members of the Group Leadership Team, as settlement under Parent Company equity-based incentive plans and the employee share purchase plan. The shares were issued without consideration and in accordance with the rules of the plans.</w:t>
      </w:r>
    </w:p>
    <w:p>
      <w:pPr>
        <w:spacing w:after="0" w:line="49"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Information on the authorizations held by the Board of Directors in 2023 to issue shares and special rights entitling to shares, to transfer shares and repurchase own shares, as well as information on related party transactions, the shareholders, stock options, shareholders’ equity</w:t>
      </w:r>
    </w:p>
    <w:p>
      <w:pPr>
        <w:spacing w:after="0" w:line="1" w:lineRule="exact"/>
        <w:rPr>
          <w:sz w:val="20"/>
          <w:szCs w:val="20"/>
          <w:color w:val="auto"/>
        </w:rPr>
      </w:pPr>
    </w:p>
    <w:p>
      <w:pPr>
        <w:ind w:right="640"/>
        <w:spacing w:after="0" w:line="259" w:lineRule="auto"/>
        <w:rPr>
          <w:sz w:val="20"/>
          <w:szCs w:val="20"/>
          <w:color w:val="auto"/>
        </w:rPr>
      </w:pPr>
      <w:r>
        <w:rPr>
          <w:rFonts w:ascii="Times New Roman" w:cs="Times New Roman" w:eastAsia="Times New Roman" w:hAnsi="Times New Roman"/>
          <w:sz w:val="11"/>
          <w:szCs w:val="11"/>
          <w:color w:val="auto"/>
        </w:rPr>
        <w:t>per share, dividend yield, price per earnings ratio, share prices, market capitalization, share turnover and average number of shares is available in this section “Shares and shareholders”</w:t>
      </w:r>
    </w:p>
    <w:p>
      <w:pPr>
        <w:spacing w:after="0"/>
        <w:tabs>
          <w:tab w:leader="none" w:pos="4200" w:val="left"/>
        </w:tabs>
        <w:rPr>
          <w:sz w:val="20"/>
          <w:szCs w:val="20"/>
          <w:color w:val="auto"/>
        </w:rPr>
      </w:pPr>
      <w:r>
        <w:rPr>
          <w:rFonts w:ascii="Times New Roman" w:cs="Times New Roman" w:eastAsia="Times New Roman" w:hAnsi="Times New Roman"/>
          <w:sz w:val="11"/>
          <w:szCs w:val="11"/>
          <w:color w:val="auto"/>
        </w:rPr>
        <w:t>and additionally in the “Corporate governance—Compensation” section and Notes</w:t>
      </w:r>
      <w:r>
        <w:rPr>
          <w:sz w:val="20"/>
          <w:szCs w:val="20"/>
          <w:color w:val="auto"/>
        </w:rPr>
        <w:tab/>
      </w:r>
      <w:r>
        <w:rPr>
          <w:rFonts w:ascii="Times New Roman" w:cs="Times New Roman" w:eastAsia="Times New Roman" w:hAnsi="Times New Roman"/>
          <w:sz w:val="11"/>
          <w:szCs w:val="11"/>
          <w:color w:val="auto"/>
        </w:rPr>
        <w:t>5.1. Equity</w:t>
      </w:r>
    </w:p>
    <w:p>
      <w:pPr>
        <w:spacing w:after="0" w:line="10" w:lineRule="exact"/>
        <w:rPr>
          <w:sz w:val="20"/>
          <w:szCs w:val="20"/>
          <w:color w:val="auto"/>
        </w:rPr>
      </w:pPr>
    </w:p>
    <w:p>
      <w:pPr>
        <w:spacing w:after="0"/>
        <w:tabs>
          <w:tab w:leader="none" w:pos="2220" w:val="left"/>
        </w:tabs>
        <w:rPr>
          <w:sz w:val="20"/>
          <w:szCs w:val="20"/>
          <w:color w:val="auto"/>
        </w:rPr>
      </w:pPr>
      <w:r>
        <w:rPr>
          <w:rFonts w:ascii="Times New Roman" w:cs="Times New Roman" w:eastAsia="Times New Roman" w:hAnsi="Times New Roman"/>
          <w:sz w:val="11"/>
          <w:szCs w:val="11"/>
          <w:color w:val="auto"/>
        </w:rPr>
        <w:t>and 3.2. Remuneration of key management</w:t>
      </w:r>
      <w:r>
        <w:rPr>
          <w:sz w:val="20"/>
          <w:szCs w:val="20"/>
          <w:color w:val="auto"/>
        </w:rPr>
        <w:tab/>
      </w:r>
      <w:r>
        <w:rPr>
          <w:rFonts w:ascii="Times New Roman" w:cs="Times New Roman" w:eastAsia="Times New Roman" w:hAnsi="Times New Roman"/>
          <w:sz w:val="11"/>
          <w:szCs w:val="11"/>
          <w:color w:val="auto"/>
        </w:rPr>
        <w:t>in the consolidated financial statements.</w:t>
      </w:r>
    </w:p>
    <w:p>
      <w:pPr>
        <w:spacing w:after="0" w:line="89" w:lineRule="exact"/>
        <w:rPr>
          <w:sz w:val="20"/>
          <w:szCs w:val="20"/>
          <w:color w:val="auto"/>
        </w:rPr>
      </w:pPr>
    </w:p>
    <w:p>
      <w:pPr>
        <w:spacing w:after="0"/>
        <w:tabs>
          <w:tab w:leader="none" w:pos="3080" w:val="left"/>
          <w:tab w:leader="none" w:pos="3720" w:val="left"/>
        </w:tabs>
        <w:rPr>
          <w:sz w:val="20"/>
          <w:szCs w:val="20"/>
          <w:color w:val="auto"/>
        </w:rPr>
      </w:pPr>
      <w:r>
        <w:rPr>
          <w:rFonts w:ascii="Times New Roman" w:cs="Times New Roman" w:eastAsia="Times New Roman" w:hAnsi="Times New Roman"/>
          <w:sz w:val="11"/>
          <w:szCs w:val="11"/>
          <w:color w:val="auto"/>
        </w:rPr>
        <w:t>In November 2023, the Board of Directors decided to cancel</w:t>
      </w:r>
      <w:r>
        <w:rPr>
          <w:sz w:val="20"/>
          <w:szCs w:val="20"/>
          <w:color w:val="auto"/>
        </w:rPr>
        <w:tab/>
      </w:r>
      <w:r>
        <w:rPr>
          <w:rFonts w:ascii="Times New Roman" w:cs="Times New Roman" w:eastAsia="Times New Roman" w:hAnsi="Times New Roman"/>
          <w:sz w:val="11"/>
          <w:szCs w:val="11"/>
          <w:color w:val="auto"/>
        </w:rPr>
        <w:t>78 301 011</w:t>
        <w:tab/>
        <w:t>Nokia shares held by</w:t>
      </w:r>
    </w:p>
    <w:p>
      <w:pPr>
        <w:spacing w:after="0" w:line="17" w:lineRule="exact"/>
        <w:rPr>
          <w:sz w:val="20"/>
          <w:szCs w:val="20"/>
          <w:color w:val="auto"/>
        </w:rPr>
      </w:pPr>
    </w:p>
    <w:p>
      <w:pPr>
        <w:ind w:right="460"/>
        <w:spacing w:after="0" w:line="268" w:lineRule="auto"/>
        <w:rPr>
          <w:sz w:val="20"/>
          <w:szCs w:val="20"/>
          <w:color w:val="auto"/>
        </w:rPr>
      </w:pPr>
      <w:r>
        <w:rPr>
          <w:rFonts w:ascii="Times New Roman" w:cs="Times New Roman" w:eastAsia="Times New Roman" w:hAnsi="Times New Roman"/>
          <w:sz w:val="11"/>
          <w:szCs w:val="11"/>
          <w:color w:val="auto"/>
        </w:rPr>
        <w:t>the Company and repurchased under the second EUR 300 million phase of the EUR 600 million buyback program announced in 2022. The second phase of the buyback program started in January 2023 and ended in November 2023. The cancellation did not affect the Company’s share capital nor total equity.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40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107</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-3659505</wp:posOffset>
            </wp:positionH>
            <wp:positionV relativeFrom="paragraph">
              <wp:posOffset>-262890</wp:posOffset>
            </wp:positionV>
            <wp:extent cx="7216140" cy="511810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7" w:lineRule="exact"/>
        <w:rPr>
          <w:sz w:val="20"/>
          <w:szCs w:val="20"/>
          <w:color w:val="auto"/>
        </w:rPr>
      </w:pPr>
    </w:p>
    <w:p>
      <w:pPr>
        <w:ind w:right="160"/>
        <w:spacing w:after="0" w:line="265" w:lineRule="auto"/>
        <w:rPr>
          <w:sz w:val="20"/>
          <w:szCs w:val="20"/>
          <w:color w:val="auto"/>
        </w:rPr>
      </w:pPr>
      <w:r>
        <w:rPr>
          <w:rFonts w:ascii="Times New Roman" w:cs="Times New Roman" w:eastAsia="Times New Roman" w:hAnsi="Times New Roman"/>
          <w:sz w:val="11"/>
          <w:szCs w:val="11"/>
          <w:color w:val="auto"/>
        </w:rPr>
        <w:t xml:space="preserve">The Board of Directors held at 31 December 2023 a total of </w:t>
      </w:r>
      <w:r>
        <w:rPr>
          <w:rFonts w:ascii="Times New Roman" w:cs="Times New Roman" w:eastAsia="Times New Roman" w:hAnsi="Times New Roman"/>
          <w:sz w:val="11"/>
          <w:szCs w:val="11"/>
          <w:color w:val="auto"/>
          <w:highlight w:val="white"/>
        </w:rPr>
        <w:t>900 190</w:t>
      </w:r>
      <w:r>
        <w:rPr>
          <w:rFonts w:ascii="Times New Roman" w:cs="Times New Roman" w:eastAsia="Times New Roman" w:hAnsi="Times New Roman"/>
          <w:sz w:val="11"/>
          <w:szCs w:val="11"/>
          <w:color w:val="auto"/>
        </w:rPr>
        <w:t xml:space="preserve"> shares and ADSs in Nokia, which represented approximately 0.02 % of our total shares and voting rights excluding shares</w:t>
      </w:r>
    </w:p>
    <w:p>
      <w:pPr>
        <w:spacing w:after="0"/>
        <w:tabs>
          <w:tab w:leader="none" w:pos="2960" w:val="left"/>
          <w:tab w:leader="none" w:pos="3980" w:val="left"/>
        </w:tabs>
        <w:rPr>
          <w:sz w:val="20"/>
          <w:szCs w:val="20"/>
          <w:color w:val="auto"/>
        </w:rPr>
      </w:pPr>
      <w:r>
        <w:rPr>
          <w:rFonts w:ascii="Times New Roman" w:cs="Times New Roman" w:eastAsia="Times New Roman" w:hAnsi="Times New Roman"/>
          <w:sz w:val="11"/>
          <w:szCs w:val="11"/>
          <w:color w:val="auto"/>
        </w:rPr>
        <w:t>held by the Nokia Group. The President and CEO owned at</w:t>
      </w:r>
      <w:r>
        <w:rPr>
          <w:sz w:val="20"/>
          <w:szCs w:val="20"/>
          <w:color w:val="auto"/>
        </w:rPr>
        <w:tab/>
      </w:r>
      <w:r>
        <w:rPr>
          <w:rFonts w:ascii="Times New Roman" w:cs="Times New Roman" w:eastAsia="Times New Roman" w:hAnsi="Times New Roman"/>
          <w:sz w:val="11"/>
          <w:szCs w:val="11"/>
          <w:color w:val="auto"/>
        </w:rPr>
        <w:t>31 December 2023</w:t>
        <w:tab/>
        <w:t>a total of</w:t>
      </w:r>
    </w:p>
    <w:p>
      <w:pPr>
        <w:spacing w:after="0" w:line="15" w:lineRule="exact"/>
        <w:rPr>
          <w:sz w:val="20"/>
          <w:szCs w:val="20"/>
          <w:color w:val="auto"/>
        </w:rPr>
      </w:pPr>
    </w:p>
    <w:p>
      <w:pPr>
        <w:spacing w:after="0"/>
        <w:tabs>
          <w:tab w:leader="none" w:pos="540" w:val="left"/>
        </w:tabs>
        <w:rPr>
          <w:sz w:val="20"/>
          <w:szCs w:val="20"/>
          <w:color w:val="auto"/>
        </w:rPr>
      </w:pPr>
      <w:r>
        <w:rPr>
          <w:rFonts w:ascii="Times New Roman" w:cs="Times New Roman" w:eastAsia="Times New Roman" w:hAnsi="Times New Roman"/>
          <w:sz w:val="11"/>
          <w:szCs w:val="11"/>
          <w:color w:val="auto"/>
        </w:rPr>
        <w:t>1 473 060</w:t>
        <w:tab/>
        <w:t>shares.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There were no public takeover offers by third parties for Nokia’s shares or by Nokia for other</w:t>
      </w:r>
    </w:p>
    <w:p>
      <w:pPr>
        <w:spacing w:after="0" w:line="22" w:lineRule="exact"/>
        <w:rPr>
          <w:sz w:val="20"/>
          <w:szCs w:val="20"/>
          <w:color w:val="auto"/>
        </w:rPr>
      </w:pPr>
    </w:p>
    <w:p>
      <w:pPr>
        <w:spacing w:after="0"/>
        <w:tabs>
          <w:tab w:leader="none" w:pos="1500" w:val="left"/>
        </w:tabs>
        <w:rPr>
          <w:sz w:val="20"/>
          <w:szCs w:val="20"/>
          <w:color w:val="auto"/>
        </w:rPr>
      </w:pPr>
      <w:r>
        <w:rPr>
          <w:rFonts w:ascii="Times New Roman" w:cs="Times New Roman" w:eastAsia="Times New Roman" w:hAnsi="Times New Roman"/>
          <w:sz w:val="11"/>
          <w:szCs w:val="11"/>
          <w:color w:val="auto"/>
        </w:rPr>
        <w:t>companies’ shares during the</w:t>
      </w:r>
      <w:r>
        <w:rPr>
          <w:sz w:val="20"/>
          <w:szCs w:val="20"/>
          <w:color w:val="auto"/>
        </w:rPr>
        <w:tab/>
      </w:r>
      <w:r>
        <w:rPr>
          <w:rFonts w:ascii="Times New Roman" w:cs="Times New Roman" w:eastAsia="Times New Roman" w:hAnsi="Times New Roman"/>
          <w:sz w:val="11"/>
          <w:szCs w:val="11"/>
          <w:color w:val="auto"/>
        </w:rPr>
        <w:t>2023 and 2022 fiscal years.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does not have minimum or maximum share capital or a par value of a share.</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31 December</w:t>
            </w:r>
          </w:p>
        </w:tc>
        <w:tc>
          <w:tcPr>
            <w:tcW w:w="94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2021</w:t>
            </w:r>
          </w:p>
        </w:tc>
        <w:tc>
          <w:tcPr>
            <w:tcW w:w="6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2020</w:t>
            </w:r>
          </w:p>
        </w:tc>
        <w:tc>
          <w:tcPr>
            <w:tcW w:w="6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2019</w:t>
            </w:r>
          </w:p>
        </w:tc>
      </w:tr>
      <w:tr>
        <w:trPr>
          <w:trHeight w:val="140"/>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 capital, EURm</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246</w:t>
            </w:r>
          </w:p>
        </w:tc>
        <w:tc>
          <w:tcPr>
            <w:tcW w:w="72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246</w:t>
            </w:r>
          </w:p>
        </w:tc>
        <w:tc>
          <w:tcPr>
            <w:tcW w:w="6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246</w:t>
            </w:r>
          </w:p>
        </w:tc>
        <w:tc>
          <w:tcPr>
            <w:tcW w:w="6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246</w:t>
            </w:r>
          </w:p>
        </w:tc>
        <w:tc>
          <w:tcPr>
            <w:tcW w:w="6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246</w:t>
            </w:r>
          </w:p>
        </w:tc>
      </w:tr>
      <w:tr>
        <w:trPr>
          <w:trHeight w:val="162"/>
        </w:trPr>
        <w:tc>
          <w:tcPr>
            <w:tcW w:w="62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7"/>
              </w:rPr>
              <w:t>Shares, (000s)</w:t>
            </w:r>
          </w:p>
        </w:tc>
        <w:tc>
          <w:tcPr>
            <w:tcW w:w="940" w:type="dxa"/>
            <w:vAlign w:val="bottom"/>
          </w:tcPr>
          <w:p>
            <w:pPr>
              <w:spacing w:after="0"/>
              <w:rPr>
                <w:sz w:val="14"/>
                <w:szCs w:val="14"/>
                <w:color w:val="auto"/>
              </w:rPr>
            </w:pPr>
          </w:p>
        </w:tc>
        <w:tc>
          <w:tcPr>
            <w:tcW w:w="6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5 613 497</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5 632 298</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5 675 461</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5 653 886</w:t>
            </w:r>
          </w:p>
        </w:tc>
        <w:tc>
          <w:tcPr>
            <w:tcW w:w="6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5 640 536</w:t>
            </w: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Shares held by the Group, (000s)</w:t>
            </w:r>
          </w:p>
        </w:tc>
        <w:tc>
          <w:tcPr>
            <w:tcW w:w="6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87 896</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45 282</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40 468</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36 390</w:t>
            </w:r>
          </w:p>
        </w:tc>
        <w:tc>
          <w:tcPr>
            <w:tcW w:w="64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34 955</w:t>
            </w:r>
          </w:p>
        </w:tc>
      </w:tr>
      <w:tr>
        <w:trPr>
          <w:trHeight w:val="153"/>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Number of shares excluding</w:t>
            </w:r>
          </w:p>
        </w:tc>
        <w:tc>
          <w:tcPr>
            <w:tcW w:w="680" w:type="dxa"/>
            <w:vAlign w:val="bottom"/>
            <w:shd w:val="clear" w:color="auto" w:fill="F0F5FF"/>
          </w:tcPr>
          <w:p>
            <w:pPr>
              <w:spacing w:after="0"/>
              <w:rPr>
                <w:sz w:val="13"/>
                <w:szCs w:val="13"/>
                <w:color w:val="auto"/>
              </w:rPr>
            </w:pPr>
          </w:p>
        </w:tc>
        <w:tc>
          <w:tcPr>
            <w:tcW w:w="720" w:type="dxa"/>
            <w:vAlign w:val="bottom"/>
          </w:tcPr>
          <w:p>
            <w:pPr>
              <w:spacing w:after="0"/>
              <w:rPr>
                <w:sz w:val="13"/>
                <w:szCs w:val="13"/>
                <w:color w:val="auto"/>
              </w:rPr>
            </w:pPr>
          </w:p>
        </w:tc>
        <w:tc>
          <w:tcPr>
            <w:tcW w:w="680" w:type="dxa"/>
            <w:vAlign w:val="bottom"/>
          </w:tcPr>
          <w:p>
            <w:pPr>
              <w:spacing w:after="0"/>
              <w:rPr>
                <w:sz w:val="13"/>
                <w:szCs w:val="13"/>
                <w:color w:val="auto"/>
              </w:rPr>
            </w:pPr>
          </w:p>
        </w:tc>
        <w:tc>
          <w:tcPr>
            <w:tcW w:w="680" w:type="dxa"/>
            <w:vAlign w:val="bottom"/>
          </w:tcPr>
          <w:p>
            <w:pPr>
              <w:spacing w:after="0"/>
              <w:rPr>
                <w:sz w:val="13"/>
                <w:szCs w:val="13"/>
                <w:color w:val="auto"/>
              </w:rPr>
            </w:pPr>
          </w:p>
        </w:tc>
        <w:tc>
          <w:tcPr>
            <w:tcW w:w="640" w:type="dxa"/>
            <w:vAlign w:val="bottom"/>
          </w:tcPr>
          <w:p>
            <w:pPr>
              <w:spacing w:after="0"/>
              <w:rPr>
                <w:sz w:val="13"/>
                <w:szCs w:val="13"/>
                <w:color w:val="auto"/>
              </w:rPr>
            </w:pPr>
          </w:p>
        </w:tc>
      </w:tr>
      <w:tr>
        <w:trPr>
          <w:trHeight w:val="130"/>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shares held by the Group, (000s)</w:t>
            </w:r>
          </w:p>
        </w:tc>
        <w:tc>
          <w:tcPr>
            <w:tcW w:w="6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5 525 601</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5 587 016</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5 634 993</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5 617 496</w:t>
            </w:r>
          </w:p>
        </w:tc>
        <w:tc>
          <w:tcPr>
            <w:tcW w:w="6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5 605 581</w:t>
            </w:r>
          </w:p>
        </w:tc>
      </w:tr>
      <w:tr>
        <w:trPr>
          <w:trHeight w:val="153"/>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Average number of shares</w:t>
            </w:r>
          </w:p>
        </w:tc>
        <w:tc>
          <w:tcPr>
            <w:tcW w:w="680" w:type="dxa"/>
            <w:vAlign w:val="bottom"/>
            <w:shd w:val="clear" w:color="auto" w:fill="F0F5FF"/>
          </w:tcPr>
          <w:p>
            <w:pPr>
              <w:spacing w:after="0"/>
              <w:rPr>
                <w:sz w:val="13"/>
                <w:szCs w:val="13"/>
                <w:color w:val="auto"/>
              </w:rPr>
            </w:pPr>
          </w:p>
        </w:tc>
        <w:tc>
          <w:tcPr>
            <w:tcW w:w="720" w:type="dxa"/>
            <w:vAlign w:val="bottom"/>
          </w:tcPr>
          <w:p>
            <w:pPr>
              <w:spacing w:after="0"/>
              <w:rPr>
                <w:sz w:val="13"/>
                <w:szCs w:val="13"/>
                <w:color w:val="auto"/>
              </w:rPr>
            </w:pPr>
          </w:p>
        </w:tc>
        <w:tc>
          <w:tcPr>
            <w:tcW w:w="680" w:type="dxa"/>
            <w:vAlign w:val="bottom"/>
          </w:tcPr>
          <w:p>
            <w:pPr>
              <w:spacing w:after="0"/>
              <w:rPr>
                <w:sz w:val="13"/>
                <w:szCs w:val="13"/>
                <w:color w:val="auto"/>
              </w:rPr>
            </w:pPr>
          </w:p>
        </w:tc>
        <w:tc>
          <w:tcPr>
            <w:tcW w:w="680" w:type="dxa"/>
            <w:vAlign w:val="bottom"/>
          </w:tcPr>
          <w:p>
            <w:pPr>
              <w:spacing w:after="0"/>
              <w:rPr>
                <w:sz w:val="13"/>
                <w:szCs w:val="13"/>
                <w:color w:val="auto"/>
              </w:rPr>
            </w:pPr>
          </w:p>
        </w:tc>
        <w:tc>
          <w:tcPr>
            <w:tcW w:w="640" w:type="dxa"/>
            <w:vAlign w:val="bottom"/>
          </w:tcPr>
          <w:p>
            <w:pPr>
              <w:spacing w:after="0"/>
              <w:rPr>
                <w:sz w:val="13"/>
                <w:szCs w:val="13"/>
                <w:color w:val="auto"/>
              </w:rPr>
            </w:pPr>
          </w:p>
        </w:tc>
      </w:tr>
      <w:tr>
        <w:trPr>
          <w:trHeight w:val="121"/>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excluding shares held by the</w:t>
            </w:r>
          </w:p>
        </w:tc>
        <w:tc>
          <w:tcPr>
            <w:tcW w:w="680" w:type="dxa"/>
            <w:vAlign w:val="bottom"/>
            <w:shd w:val="clear" w:color="auto" w:fill="F0F5FF"/>
          </w:tcPr>
          <w:p>
            <w:pPr>
              <w:spacing w:after="0"/>
              <w:rPr>
                <w:sz w:val="10"/>
                <w:szCs w:val="10"/>
                <w:color w:val="auto"/>
              </w:rPr>
            </w:pPr>
          </w:p>
        </w:tc>
        <w:tc>
          <w:tcPr>
            <w:tcW w:w="720" w:type="dxa"/>
            <w:vAlign w:val="bottom"/>
          </w:tcPr>
          <w:p>
            <w:pPr>
              <w:spacing w:after="0"/>
              <w:rPr>
                <w:sz w:val="10"/>
                <w:szCs w:val="10"/>
                <w:color w:val="auto"/>
              </w:rPr>
            </w:pPr>
          </w:p>
        </w:tc>
        <w:tc>
          <w:tcPr>
            <w:tcW w:w="680" w:type="dxa"/>
            <w:vAlign w:val="bottom"/>
          </w:tcPr>
          <w:p>
            <w:pPr>
              <w:spacing w:after="0"/>
              <w:rPr>
                <w:sz w:val="10"/>
                <w:szCs w:val="10"/>
                <w:color w:val="auto"/>
              </w:rPr>
            </w:pPr>
          </w:p>
        </w:tc>
        <w:tc>
          <w:tcPr>
            <w:tcW w:w="680" w:type="dxa"/>
            <w:vAlign w:val="bottom"/>
          </w:tcPr>
          <w:p>
            <w:pPr>
              <w:spacing w:after="0"/>
              <w:rPr>
                <w:sz w:val="10"/>
                <w:szCs w:val="10"/>
                <w:color w:val="auto"/>
              </w:rPr>
            </w:pPr>
          </w:p>
        </w:tc>
        <w:tc>
          <w:tcPr>
            <w:tcW w:w="640" w:type="dxa"/>
            <w:vAlign w:val="bottom"/>
          </w:tcPr>
          <w:p>
            <w:pPr>
              <w:spacing w:after="0"/>
              <w:rPr>
                <w:sz w:val="10"/>
                <w:szCs w:val="10"/>
                <w:color w:val="auto"/>
              </w:rPr>
            </w:pPr>
          </w:p>
        </w:tc>
      </w:tr>
      <w:tr>
        <w:trPr>
          <w:trHeight w:val="130"/>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Group during the year</w:t>
            </w:r>
          </w:p>
        </w:tc>
        <w:tc>
          <w:tcPr>
            <w:tcW w:w="680" w:type="dxa"/>
            <w:vAlign w:val="bottom"/>
            <w:shd w:val="clear" w:color="auto" w:fill="F0F5FF"/>
          </w:tcPr>
          <w:p>
            <w:pPr>
              <w:spacing w:after="0"/>
              <w:rPr>
                <w:sz w:val="11"/>
                <w:szCs w:val="11"/>
                <w:color w:val="auto"/>
              </w:rPr>
            </w:pPr>
          </w:p>
        </w:tc>
        <w:tc>
          <w:tcPr>
            <w:tcW w:w="72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40" w:type="dxa"/>
            <w:vAlign w:val="bottom"/>
          </w:tcPr>
          <w:p>
            <w:pPr>
              <w:spacing w:after="0"/>
              <w:rPr>
                <w:sz w:val="11"/>
                <w:szCs w:val="11"/>
                <w:color w:val="auto"/>
              </w:rPr>
            </w:pPr>
          </w:p>
        </w:tc>
      </w:tr>
      <w:tr>
        <w:trPr>
          <w:trHeight w:val="189"/>
        </w:trPr>
        <w:tc>
          <w:tcPr>
            <w:tcW w:w="1560" w:type="dxa"/>
            <w:vAlign w:val="bottom"/>
            <w:gridSpan w:val="2"/>
          </w:tcPr>
          <w:p>
            <w:pPr>
              <w:ind w:left="200"/>
              <w:spacing w:after="0"/>
              <w:rPr>
                <w:sz w:val="20"/>
                <w:szCs w:val="20"/>
                <w:color w:val="auto"/>
              </w:rPr>
            </w:pPr>
            <w:r>
              <w:rPr>
                <w:rFonts w:ascii="Times New Roman" w:cs="Times New Roman" w:eastAsia="Times New Roman" w:hAnsi="Times New Roman"/>
                <w:sz w:val="10"/>
                <w:szCs w:val="10"/>
                <w:color w:val="0D0D0D"/>
              </w:rPr>
              <w:t xml:space="preserve">Basic, (000s) </w:t>
            </w:r>
            <w:r>
              <w:rPr>
                <w:rFonts w:ascii="Times New Roman" w:cs="Times New Roman" w:eastAsia="Times New Roman" w:hAnsi="Times New Roman"/>
                <w:sz w:val="13"/>
                <w:szCs w:val="13"/>
                <w:color w:val="0D0D0D"/>
                <w:vertAlign w:val="superscript"/>
              </w:rPr>
              <w:t>(1)</w:t>
            </w:r>
          </w:p>
        </w:tc>
        <w:tc>
          <w:tcPr>
            <w:tcW w:w="6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5 549 468</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5 614 182</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5 630 025</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5 612 418</w:t>
            </w:r>
          </w:p>
        </w:tc>
        <w:tc>
          <w:tcPr>
            <w:tcW w:w="6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5 599 912</w:t>
            </w:r>
          </w:p>
        </w:tc>
      </w:tr>
      <w:tr>
        <w:trPr>
          <w:trHeight w:val="167"/>
        </w:trPr>
        <w:tc>
          <w:tcPr>
            <w:tcW w:w="1560" w:type="dxa"/>
            <w:vAlign w:val="bottom"/>
            <w:gridSpan w:val="2"/>
          </w:tcPr>
          <w:p>
            <w:pPr>
              <w:ind w:left="200"/>
              <w:spacing w:after="0"/>
              <w:rPr>
                <w:sz w:val="20"/>
                <w:szCs w:val="20"/>
                <w:color w:val="auto"/>
              </w:rPr>
            </w:pPr>
            <w:r>
              <w:rPr>
                <w:rFonts w:ascii="Times New Roman" w:cs="Times New Roman" w:eastAsia="Times New Roman" w:hAnsi="Times New Roman"/>
                <w:sz w:val="10"/>
                <w:szCs w:val="10"/>
                <w:color w:val="0D0D0D"/>
              </w:rPr>
              <w:t xml:space="preserve">Diluted, (000s) </w:t>
            </w:r>
            <w:r>
              <w:rPr>
                <w:rFonts w:ascii="Times New Roman" w:cs="Times New Roman" w:eastAsia="Times New Roman" w:hAnsi="Times New Roman"/>
                <w:sz w:val="13"/>
                <w:szCs w:val="13"/>
                <w:color w:val="0D0D0D"/>
                <w:vertAlign w:val="superscript"/>
              </w:rPr>
              <w:t>(1)</w:t>
            </w:r>
          </w:p>
        </w:tc>
        <w:tc>
          <w:tcPr>
            <w:tcW w:w="6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5 585 923</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5 670 020</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5 684 235</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5 612 418</w:t>
            </w:r>
          </w:p>
        </w:tc>
        <w:tc>
          <w:tcPr>
            <w:tcW w:w="6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5 626 375</w:t>
            </w:r>
          </w:p>
        </w:tc>
      </w:tr>
      <w:tr>
        <w:trPr>
          <w:trHeight w:val="116"/>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Number of registered</w:t>
            </w:r>
          </w:p>
        </w:tc>
        <w:tc>
          <w:tcPr>
            <w:tcW w:w="680" w:type="dxa"/>
            <w:vAlign w:val="bottom"/>
            <w:shd w:val="clear" w:color="auto" w:fill="F0F5FF"/>
          </w:tcPr>
          <w:p>
            <w:pPr>
              <w:spacing w:after="0"/>
              <w:rPr>
                <w:sz w:val="10"/>
                <w:szCs w:val="10"/>
                <w:color w:val="auto"/>
              </w:rPr>
            </w:pPr>
          </w:p>
        </w:tc>
        <w:tc>
          <w:tcPr>
            <w:tcW w:w="720" w:type="dxa"/>
            <w:vAlign w:val="bottom"/>
          </w:tcPr>
          <w:p>
            <w:pPr>
              <w:spacing w:after="0"/>
              <w:rPr>
                <w:sz w:val="10"/>
                <w:szCs w:val="10"/>
                <w:color w:val="auto"/>
              </w:rPr>
            </w:pPr>
          </w:p>
        </w:tc>
        <w:tc>
          <w:tcPr>
            <w:tcW w:w="680" w:type="dxa"/>
            <w:vAlign w:val="bottom"/>
          </w:tcPr>
          <w:p>
            <w:pPr>
              <w:spacing w:after="0"/>
              <w:rPr>
                <w:sz w:val="10"/>
                <w:szCs w:val="10"/>
                <w:color w:val="auto"/>
              </w:rPr>
            </w:pPr>
          </w:p>
        </w:tc>
        <w:tc>
          <w:tcPr>
            <w:tcW w:w="680" w:type="dxa"/>
            <w:vAlign w:val="bottom"/>
          </w:tcPr>
          <w:p>
            <w:pPr>
              <w:spacing w:after="0"/>
              <w:rPr>
                <w:sz w:val="10"/>
                <w:szCs w:val="10"/>
                <w:color w:val="auto"/>
              </w:rPr>
            </w:pPr>
          </w:p>
        </w:tc>
        <w:tc>
          <w:tcPr>
            <w:tcW w:w="640" w:type="dxa"/>
            <w:vAlign w:val="bottom"/>
          </w:tcPr>
          <w:p>
            <w:pPr>
              <w:spacing w:after="0"/>
              <w:rPr>
                <w:sz w:val="10"/>
                <w:szCs w:val="10"/>
                <w:color w:val="auto"/>
              </w:rPr>
            </w:pPr>
          </w:p>
        </w:tc>
      </w:tr>
      <w:tr>
        <w:trPr>
          <w:trHeight w:val="140"/>
        </w:trPr>
        <w:tc>
          <w:tcPr>
            <w:tcW w:w="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shareholders</w:t>
            </w:r>
          </w:p>
        </w:tc>
        <w:tc>
          <w:tcPr>
            <w:tcW w:w="940" w:type="dxa"/>
            <w:vAlign w:val="bottom"/>
            <w:tcBorders>
              <w:bottom w:val="single" w:sz="8" w:color="005AFF"/>
            </w:tcBorders>
          </w:tcPr>
          <w:p>
            <w:pPr>
              <w:jc w:val="right"/>
              <w:ind w:right="827"/>
              <w:spacing w:after="0"/>
              <w:rPr>
                <w:sz w:val="20"/>
                <w:szCs w:val="20"/>
                <w:color w:val="auto"/>
              </w:rPr>
            </w:pPr>
            <w:r>
              <w:rPr>
                <w:rFonts w:ascii="Times New Roman" w:cs="Times New Roman" w:eastAsia="Times New Roman" w:hAnsi="Times New Roman"/>
                <w:sz w:val="7"/>
                <w:szCs w:val="7"/>
                <w:color w:val="0D0D0D"/>
                <w:w w:val="72"/>
              </w:rPr>
              <w:t>(2)</w:t>
            </w:r>
          </w:p>
        </w:tc>
        <w:tc>
          <w:tcPr>
            <w:tcW w:w="6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247 893</w:t>
            </w:r>
          </w:p>
        </w:tc>
        <w:tc>
          <w:tcPr>
            <w:tcW w:w="7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238 359</w:t>
            </w:r>
          </w:p>
        </w:tc>
        <w:tc>
          <w:tcPr>
            <w:tcW w:w="6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233 844</w:t>
            </w:r>
          </w:p>
        </w:tc>
        <w:tc>
          <w:tcPr>
            <w:tcW w:w="6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246 886</w:t>
            </w:r>
          </w:p>
        </w:tc>
        <w:tc>
          <w:tcPr>
            <w:tcW w:w="64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248 526</w:t>
            </w:r>
          </w:p>
        </w:tc>
      </w:tr>
    </w:tbl>
    <w:p>
      <w:pPr>
        <w:spacing w:after="0" w:line="41" w:lineRule="exact"/>
        <w:rPr>
          <w:sz w:val="20"/>
          <w:szCs w:val="20"/>
          <w:color w:val="auto"/>
        </w:rPr>
      </w:pPr>
    </w:p>
    <w:p>
      <w:pPr>
        <w:ind w:left="200" w:hanging="198"/>
        <w:spacing w:after="0"/>
        <w:tabs>
          <w:tab w:leader="none" w:pos="200" w:val="left"/>
        </w:tabs>
        <w:numPr>
          <w:ilvl w:val="0"/>
          <w:numId w:val="8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Used in calculation of earnings per share for profit or loss for the year attributable to equity holders of the parent.</w:t>
      </w:r>
    </w:p>
    <w:p>
      <w:pPr>
        <w:spacing w:after="0" w:line="7" w:lineRule="exact"/>
        <w:rPr>
          <w:rFonts w:ascii="Times New Roman" w:cs="Times New Roman" w:eastAsia="Times New Roman" w:hAnsi="Times New Roman"/>
          <w:sz w:val="8"/>
          <w:szCs w:val="8"/>
          <w:color w:val="auto"/>
        </w:rPr>
      </w:pPr>
    </w:p>
    <w:p>
      <w:pPr>
        <w:ind w:left="200" w:hanging="198"/>
        <w:spacing w:after="0"/>
        <w:tabs>
          <w:tab w:leader="none" w:pos="200" w:val="left"/>
        </w:tabs>
        <w:numPr>
          <w:ilvl w:val="0"/>
          <w:numId w:val="8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Each account operator is included in the figure as only one registered shareholder.</w:t>
      </w:r>
    </w:p>
    <w:p>
      <w:pPr>
        <w:sectPr>
          <w:pgSz w:w="11900" w:h="16838" w:orient="portrait"/>
          <w:cols w:equalWidth="0" w:num="2">
            <w:col w:w="4880" w:space="220"/>
            <w:col w:w="4960"/>
          </w:cols>
          <w:pgMar w:left="960" w:top="409" w:right="879" w:bottom="1440" w:gutter="0" w:footer="0" w:header="0"/>
        </w:sectPr>
      </w:pPr>
    </w:p>
    <w:bookmarkStart w:id="115" w:name="page116"/>
    <w:bookmarkEnd w:id="115"/>
    <w:tbl>
      <w:tblPr>
        <w:tblLayout w:type="fixed"/>
        <w:tblInd w:w="0" w:type="dxa"/>
        <w:tblCellMar>
          <w:top w:w="0" w:type="dxa"/>
          <w:left w:w="0" w:type="dxa"/>
          <w:bottom w:w="0" w:type="dxa"/>
          <w:right w:w="0" w:type="dxa"/>
        </w:tblCellMar>
      </w:tblPr>
      <w:tr>
        <w:trPr>
          <w:trHeight w:val="111"/>
        </w:trPr>
        <w:tc>
          <w:tcPr>
            <w:tcW w:w="56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980" w:type="dxa"/>
            <w:vAlign w:val="bottom"/>
          </w:tcPr>
          <w:p>
            <w:pPr>
              <w:ind w:left="360"/>
              <w:spacing w:after="0"/>
              <w:rPr>
                <w:sz w:val="20"/>
                <w:szCs w:val="20"/>
                <w:color w:val="auto"/>
              </w:rPr>
            </w:pPr>
            <w:r>
              <w:rPr>
                <w:rFonts w:ascii="Times New Roman" w:cs="Times New Roman" w:eastAsia="Times New Roman" w:hAnsi="Times New Roman"/>
                <w:sz w:val="9"/>
                <w:szCs w:val="9"/>
                <w:color w:val="auto"/>
              </w:rPr>
              <w:t>Corporate</w:t>
            </w:r>
          </w:p>
        </w:tc>
        <w:tc>
          <w:tcPr>
            <w:tcW w:w="380" w:type="dxa"/>
            <w:vAlign w:val="bottom"/>
          </w:tcPr>
          <w:p>
            <w:pPr>
              <w:spacing w:after="0"/>
              <w:rPr>
                <w:sz w:val="9"/>
                <w:szCs w:val="9"/>
                <w:color w:val="auto"/>
              </w:rPr>
            </w:pPr>
          </w:p>
        </w:tc>
        <w:tc>
          <w:tcPr>
            <w:tcW w:w="100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420" w:type="dxa"/>
            <w:vAlign w:val="bottom"/>
          </w:tcPr>
          <w:p>
            <w:pPr>
              <w:spacing w:after="0"/>
              <w:rPr>
                <w:sz w:val="9"/>
                <w:szCs w:val="9"/>
                <w:color w:val="auto"/>
              </w:rPr>
            </w:pPr>
          </w:p>
        </w:tc>
        <w:tc>
          <w:tcPr>
            <w:tcW w:w="640" w:type="dxa"/>
            <w:vAlign w:val="bottom"/>
          </w:tcPr>
          <w:p>
            <w:pPr>
              <w:ind w:left="60"/>
              <w:spacing w:after="0"/>
              <w:rPr>
                <w:sz w:val="20"/>
                <w:szCs w:val="20"/>
                <w:color w:val="auto"/>
              </w:rPr>
            </w:pPr>
            <w:r>
              <w:rPr>
                <w:rFonts w:ascii="Times New Roman" w:cs="Times New Roman" w:eastAsia="Times New Roman" w:hAnsi="Times New Roman"/>
                <w:sz w:val="9"/>
                <w:szCs w:val="9"/>
                <w:color w:val="auto"/>
              </w:rPr>
              <w:t>General facts</w:t>
            </w:r>
          </w:p>
        </w:tc>
        <w:tc>
          <w:tcPr>
            <w:tcW w:w="460" w:type="dxa"/>
            <w:vAlign w:val="bottom"/>
          </w:tcPr>
          <w:p>
            <w:pPr>
              <w:spacing w:after="0"/>
              <w:rPr>
                <w:sz w:val="9"/>
                <w:szCs w:val="9"/>
                <w:color w:val="auto"/>
              </w:rPr>
            </w:pPr>
          </w:p>
        </w:tc>
        <w:tc>
          <w:tcPr>
            <w:tcW w:w="500" w:type="dxa"/>
            <w:vAlign w:val="bottom"/>
          </w:tcPr>
          <w:p>
            <w:pPr>
              <w:ind w:left="40"/>
              <w:spacing w:after="0"/>
              <w:rPr>
                <w:sz w:val="20"/>
                <w:szCs w:val="20"/>
                <w:color w:val="auto"/>
              </w:rPr>
            </w:pPr>
            <w:r>
              <w:rPr>
                <w:rFonts w:ascii="Times New Roman" w:cs="Times New Roman" w:eastAsia="Times New Roman" w:hAnsi="Times New Roman"/>
                <w:sz w:val="9"/>
                <w:szCs w:val="9"/>
                <w:color w:val="auto"/>
              </w:rPr>
              <w:t>Financial</w:t>
            </w:r>
          </w:p>
        </w:tc>
        <w:tc>
          <w:tcPr>
            <w:tcW w:w="0" w:type="dxa"/>
            <w:vAlign w:val="bottom"/>
          </w:tcPr>
          <w:p>
            <w:pPr>
              <w:spacing w:after="0"/>
              <w:rPr>
                <w:sz w:val="1"/>
                <w:szCs w:val="1"/>
                <w:color w:val="auto"/>
              </w:rPr>
            </w:pPr>
          </w:p>
        </w:tc>
      </w:tr>
      <w:tr>
        <w:trPr>
          <w:trHeight w:val="122"/>
        </w:trPr>
        <w:tc>
          <w:tcPr>
            <w:tcW w:w="56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980" w:type="dxa"/>
            <w:vAlign w:val="bottom"/>
          </w:tcPr>
          <w:p>
            <w:pPr>
              <w:ind w:left="360"/>
              <w:spacing w:after="0"/>
              <w:rPr>
                <w:sz w:val="20"/>
                <w:szCs w:val="20"/>
                <w:color w:val="auto"/>
              </w:rPr>
            </w:pPr>
            <w:r>
              <w:rPr>
                <w:rFonts w:ascii="Times New Roman" w:cs="Times New Roman" w:eastAsia="Times New Roman" w:hAnsi="Times New Roman"/>
                <w:sz w:val="9"/>
                <w:szCs w:val="9"/>
                <w:color w:val="auto"/>
              </w:rPr>
              <w:t>governance</w:t>
            </w:r>
          </w:p>
        </w:tc>
        <w:tc>
          <w:tcPr>
            <w:tcW w:w="380" w:type="dxa"/>
            <w:vAlign w:val="bottom"/>
          </w:tcPr>
          <w:p>
            <w:pPr>
              <w:spacing w:after="0"/>
              <w:rPr>
                <w:sz w:val="10"/>
                <w:szCs w:val="10"/>
                <w:color w:val="auto"/>
              </w:rPr>
            </w:pPr>
          </w:p>
        </w:tc>
        <w:tc>
          <w:tcPr>
            <w:tcW w:w="100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420" w:type="dxa"/>
            <w:vAlign w:val="bottom"/>
          </w:tcPr>
          <w:p>
            <w:pPr>
              <w:spacing w:after="0"/>
              <w:rPr>
                <w:sz w:val="10"/>
                <w:szCs w:val="10"/>
                <w:color w:val="auto"/>
              </w:rPr>
            </w:pPr>
          </w:p>
        </w:tc>
        <w:tc>
          <w:tcPr>
            <w:tcW w:w="640" w:type="dxa"/>
            <w:vAlign w:val="bottom"/>
          </w:tcPr>
          <w:p>
            <w:pPr>
              <w:ind w:left="60"/>
              <w:spacing w:after="0"/>
              <w:rPr>
                <w:sz w:val="20"/>
                <w:szCs w:val="20"/>
                <w:color w:val="auto"/>
              </w:rPr>
            </w:pPr>
            <w:r>
              <w:rPr>
                <w:rFonts w:ascii="Times New Roman" w:cs="Times New Roman" w:eastAsia="Times New Roman" w:hAnsi="Times New Roman"/>
                <w:sz w:val="9"/>
                <w:szCs w:val="9"/>
                <w:color w:val="auto"/>
              </w:rPr>
              <w:t>on Nokia</w:t>
            </w:r>
          </w:p>
        </w:tc>
        <w:tc>
          <w:tcPr>
            <w:tcW w:w="460" w:type="dxa"/>
            <w:vAlign w:val="bottom"/>
          </w:tcPr>
          <w:p>
            <w:pPr>
              <w:spacing w:after="0"/>
              <w:rPr>
                <w:sz w:val="10"/>
                <w:szCs w:val="10"/>
                <w:color w:val="auto"/>
              </w:rPr>
            </w:pPr>
          </w:p>
        </w:tc>
        <w:tc>
          <w:tcPr>
            <w:tcW w:w="500" w:type="dxa"/>
            <w:vAlign w:val="bottom"/>
          </w:tcPr>
          <w:p>
            <w:pPr>
              <w:ind w:left="40"/>
              <w:spacing w:after="0"/>
              <w:rPr>
                <w:sz w:val="20"/>
                <w:szCs w:val="20"/>
                <w:color w:val="auto"/>
              </w:rPr>
            </w:pPr>
            <w:r>
              <w:rPr>
                <w:rFonts w:ascii="Times New Roman" w:cs="Times New Roman" w:eastAsia="Times New Roman" w:hAnsi="Times New Roman"/>
                <w:sz w:val="9"/>
                <w:szCs w:val="9"/>
                <w:color w:val="auto"/>
              </w:rPr>
              <w:t>statements</w:t>
            </w:r>
          </w:p>
        </w:tc>
        <w:tc>
          <w:tcPr>
            <w:tcW w:w="0" w:type="dxa"/>
            <w:vAlign w:val="bottom"/>
          </w:tcPr>
          <w:p>
            <w:pPr>
              <w:spacing w:after="0"/>
              <w:rPr>
                <w:sz w:val="1"/>
                <w:szCs w:val="1"/>
                <w:color w:val="auto"/>
              </w:rPr>
            </w:pPr>
          </w:p>
        </w:tc>
      </w:tr>
      <w:tr>
        <w:trPr>
          <w:trHeight w:val="53"/>
        </w:trPr>
        <w:tc>
          <w:tcPr>
            <w:tcW w:w="1920" w:type="dxa"/>
            <w:vAlign w:val="bottom"/>
            <w:gridSpan w:val="3"/>
          </w:tcPr>
          <w:p>
            <w:pPr>
              <w:spacing w:after="0"/>
              <w:rPr>
                <w:sz w:val="4"/>
                <w:szCs w:val="4"/>
                <w:color w:val="auto"/>
              </w:rPr>
            </w:pPr>
          </w:p>
        </w:tc>
        <w:tc>
          <w:tcPr>
            <w:tcW w:w="34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120" w:type="dxa"/>
            <w:vAlign w:val="bottom"/>
            <w:tcBorders>
              <w:bottom w:val="single" w:sz="8" w:color="005AFF"/>
            </w:tcBorders>
          </w:tcPr>
          <w:p>
            <w:pPr>
              <w:spacing w:after="0"/>
              <w:rPr>
                <w:sz w:val="4"/>
                <w:szCs w:val="4"/>
                <w:color w:val="auto"/>
              </w:rPr>
            </w:pPr>
          </w:p>
        </w:tc>
        <w:tc>
          <w:tcPr>
            <w:tcW w:w="420" w:type="dxa"/>
            <w:vAlign w:val="bottom"/>
          </w:tcPr>
          <w:p>
            <w:pPr>
              <w:spacing w:after="0"/>
              <w:rPr>
                <w:sz w:val="4"/>
                <w:szCs w:val="4"/>
                <w:color w:val="auto"/>
              </w:rPr>
            </w:pPr>
          </w:p>
        </w:tc>
        <w:tc>
          <w:tcPr>
            <w:tcW w:w="640" w:type="dxa"/>
            <w:vAlign w:val="bottom"/>
          </w:tcPr>
          <w:p>
            <w:pPr>
              <w:spacing w:after="0"/>
              <w:rPr>
                <w:sz w:val="4"/>
                <w:szCs w:val="4"/>
                <w:color w:val="auto"/>
              </w:rPr>
            </w:pPr>
          </w:p>
        </w:tc>
        <w:tc>
          <w:tcPr>
            <w:tcW w:w="460" w:type="dxa"/>
            <w:vAlign w:val="bottom"/>
          </w:tcPr>
          <w:p>
            <w:pPr>
              <w:spacing w:after="0"/>
              <w:rPr>
                <w:sz w:val="4"/>
                <w:szCs w:val="4"/>
                <w:color w:val="auto"/>
              </w:rPr>
            </w:pPr>
          </w:p>
        </w:tc>
        <w:tc>
          <w:tcPr>
            <w:tcW w:w="50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354"/>
        </w:trPr>
        <w:tc>
          <w:tcPr>
            <w:tcW w:w="2260" w:type="dxa"/>
            <w:vAlign w:val="bottom"/>
            <w:gridSpan w:val="4"/>
          </w:tcPr>
          <w:p>
            <w:pPr>
              <w:spacing w:after="0"/>
              <w:rPr>
                <w:sz w:val="20"/>
                <w:szCs w:val="20"/>
                <w:color w:val="auto"/>
              </w:rPr>
            </w:pPr>
            <w:r>
              <w:rPr>
                <w:rFonts w:ascii="Times New Roman" w:cs="Times New Roman" w:eastAsia="Times New Roman" w:hAnsi="Times New Roman"/>
                <w:sz w:val="13"/>
                <w:szCs w:val="13"/>
                <w:color w:val="005AFF"/>
              </w:rPr>
              <w:t>Shares and shareholders  continued</w:t>
            </w:r>
          </w:p>
        </w:tc>
        <w:tc>
          <w:tcPr>
            <w:tcW w:w="54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9"/>
        </w:trPr>
        <w:tc>
          <w:tcPr>
            <w:tcW w:w="56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Key ratios</w:t>
            </w:r>
          </w:p>
        </w:tc>
        <w:tc>
          <w:tcPr>
            <w:tcW w:w="980" w:type="dxa"/>
            <w:vAlign w:val="bottom"/>
          </w:tcPr>
          <w:p>
            <w:pPr>
              <w:spacing w:after="0"/>
              <w:rPr>
                <w:sz w:val="24"/>
                <w:szCs w:val="24"/>
                <w:color w:val="auto"/>
              </w:rPr>
            </w:pPr>
          </w:p>
        </w:tc>
        <w:tc>
          <w:tcPr>
            <w:tcW w:w="380" w:type="dxa"/>
            <w:vAlign w:val="bottom"/>
          </w:tcPr>
          <w:p>
            <w:pPr>
              <w:spacing w:after="0"/>
              <w:rPr>
                <w:sz w:val="24"/>
                <w:szCs w:val="24"/>
                <w:color w:val="auto"/>
              </w:rPr>
            </w:pPr>
          </w:p>
        </w:tc>
        <w:tc>
          <w:tcPr>
            <w:tcW w:w="34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60"/>
        </w:trPr>
        <w:tc>
          <w:tcPr>
            <w:tcW w:w="2260" w:type="dxa"/>
            <w:vAlign w:val="bottom"/>
            <w:tcBorders>
              <w:bottom w:val="single" w:sz="8" w:color="005AFF"/>
            </w:tcBorders>
            <w:gridSpan w:val="4"/>
          </w:tcPr>
          <w:p>
            <w:pPr>
              <w:ind w:left="40"/>
              <w:spacing w:after="0"/>
              <w:rPr>
                <w:sz w:val="20"/>
                <w:szCs w:val="20"/>
                <w:color w:val="auto"/>
              </w:rPr>
            </w:pPr>
            <w:r>
              <w:rPr>
                <w:rFonts w:ascii="Times New Roman" w:cs="Times New Roman" w:eastAsia="Times New Roman" w:hAnsi="Times New Roman"/>
                <w:sz w:val="8"/>
                <w:szCs w:val="8"/>
                <w:b w:val="1"/>
                <w:bCs w:val="1"/>
                <w:color w:val="005AFF"/>
              </w:rPr>
              <w:t>For the year ended 31 December, Continuing operations</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120" w:type="dxa"/>
            <w:vAlign w:val="bottom"/>
            <w:tcBorders>
              <w:bottom w:val="single" w:sz="8" w:color="005AFF"/>
            </w:tcBorders>
          </w:tcPr>
          <w:p>
            <w:pPr>
              <w:spacing w:after="0"/>
              <w:rPr>
                <w:sz w:val="13"/>
                <w:szCs w:val="13"/>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4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2020</w:t>
            </w:r>
          </w:p>
        </w:tc>
        <w:tc>
          <w:tcPr>
            <w:tcW w:w="5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2019</w:t>
            </w:r>
          </w:p>
        </w:tc>
        <w:tc>
          <w:tcPr>
            <w:tcW w:w="0" w:type="dxa"/>
            <w:vAlign w:val="bottom"/>
          </w:tcPr>
          <w:p>
            <w:pPr>
              <w:spacing w:after="0"/>
              <w:rPr>
                <w:sz w:val="1"/>
                <w:szCs w:val="1"/>
                <w:color w:val="auto"/>
              </w:rPr>
            </w:pPr>
          </w:p>
        </w:tc>
      </w:tr>
      <w:tr>
        <w:trPr>
          <w:trHeight w:val="140"/>
        </w:trPr>
        <w:tc>
          <w:tcPr>
            <w:tcW w:w="15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Earnings per share, basic, EUR</w:t>
            </w:r>
          </w:p>
        </w:tc>
        <w:tc>
          <w:tcPr>
            <w:tcW w:w="38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0.12</w:t>
            </w:r>
          </w:p>
        </w:tc>
        <w:tc>
          <w:tcPr>
            <w:tcW w:w="120" w:type="dxa"/>
            <w:vAlign w:val="bottom"/>
          </w:tcPr>
          <w:p>
            <w:pPr>
              <w:spacing w:after="0"/>
              <w:rPr>
                <w:sz w:val="12"/>
                <w:szCs w:val="12"/>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0.75</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0.29</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(0.45)</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0.00</w:t>
            </w:r>
          </w:p>
        </w:tc>
        <w:tc>
          <w:tcPr>
            <w:tcW w:w="0" w:type="dxa"/>
            <w:vAlign w:val="bottom"/>
          </w:tcPr>
          <w:p>
            <w:pPr>
              <w:spacing w:after="0"/>
              <w:rPr>
                <w:sz w:val="1"/>
                <w:szCs w:val="1"/>
                <w:color w:val="auto"/>
              </w:rPr>
            </w:pPr>
          </w:p>
        </w:tc>
      </w:tr>
      <w:tr>
        <w:trPr>
          <w:trHeight w:val="162"/>
        </w:trPr>
        <w:tc>
          <w:tcPr>
            <w:tcW w:w="15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Earnings per share, diluted, EUR</w:t>
            </w:r>
          </w:p>
        </w:tc>
        <w:tc>
          <w:tcPr>
            <w:tcW w:w="380" w:type="dxa"/>
            <w:vAlign w:val="bottom"/>
          </w:tcPr>
          <w:p>
            <w:pPr>
              <w:spacing w:after="0"/>
              <w:rPr>
                <w:sz w:val="14"/>
                <w:szCs w:val="14"/>
                <w:color w:val="auto"/>
              </w:rPr>
            </w:pPr>
          </w:p>
        </w:tc>
        <w:tc>
          <w:tcPr>
            <w:tcW w:w="340" w:type="dxa"/>
            <w:vAlign w:val="bottom"/>
          </w:tcPr>
          <w:p>
            <w:pPr>
              <w:spacing w:after="0"/>
              <w:rPr>
                <w:sz w:val="14"/>
                <w:szCs w:val="14"/>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0.12</w:t>
            </w:r>
          </w:p>
        </w:tc>
        <w:tc>
          <w:tcPr>
            <w:tcW w:w="120" w:type="dxa"/>
            <w:vAlign w:val="bottom"/>
          </w:tcPr>
          <w:p>
            <w:pPr>
              <w:spacing w:after="0"/>
              <w:rPr>
                <w:sz w:val="14"/>
                <w:szCs w:val="14"/>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0.74</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0.29</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(0.45)</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0.00</w:t>
            </w:r>
          </w:p>
        </w:tc>
        <w:tc>
          <w:tcPr>
            <w:tcW w:w="0" w:type="dxa"/>
            <w:vAlign w:val="bottom"/>
          </w:tcPr>
          <w:p>
            <w:pPr>
              <w:spacing w:after="0"/>
              <w:rPr>
                <w:sz w:val="1"/>
                <w:szCs w:val="1"/>
                <w:color w:val="auto"/>
              </w:rPr>
            </w:pPr>
          </w:p>
        </w:tc>
      </w:tr>
      <w:tr>
        <w:trPr>
          <w:trHeight w:val="167"/>
        </w:trPr>
        <w:tc>
          <w:tcPr>
            <w:tcW w:w="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P/E ratio</w:t>
            </w:r>
          </w:p>
        </w:tc>
        <w:tc>
          <w:tcPr>
            <w:tcW w:w="98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spacing w:after="0"/>
              <w:rPr>
                <w:sz w:val="14"/>
                <w:szCs w:val="14"/>
                <w:color w:val="auto"/>
              </w:rPr>
            </w:pPr>
          </w:p>
        </w:tc>
        <w:tc>
          <w:tcPr>
            <w:tcW w:w="34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25.42</w:t>
            </w:r>
          </w:p>
        </w:tc>
        <w:tc>
          <w:tcPr>
            <w:tcW w:w="12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5.77</w:t>
            </w: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19.22</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neg.</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86"/>
        </w:trPr>
        <w:tc>
          <w:tcPr>
            <w:tcW w:w="154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Proposed dividend per share, EUR</w:t>
            </w:r>
          </w:p>
        </w:tc>
        <w:tc>
          <w:tcPr>
            <w:tcW w:w="380" w:type="dxa"/>
            <w:vAlign w:val="bottom"/>
          </w:tcPr>
          <w:p>
            <w:pPr>
              <w:jc w:val="right"/>
              <w:ind w:right="247"/>
              <w:spacing w:after="0"/>
              <w:rPr>
                <w:sz w:val="20"/>
                <w:szCs w:val="20"/>
                <w:color w:val="auto"/>
              </w:rPr>
            </w:pPr>
            <w:r>
              <w:rPr>
                <w:rFonts w:ascii="Times New Roman" w:cs="Times New Roman" w:eastAsia="Times New Roman" w:hAnsi="Times New Roman"/>
                <w:sz w:val="7"/>
                <w:szCs w:val="7"/>
                <w:color w:val="0D0D0D"/>
                <w:w w:val="97"/>
              </w:rPr>
              <w:t>(1)</w:t>
            </w:r>
          </w:p>
        </w:tc>
        <w:tc>
          <w:tcPr>
            <w:tcW w:w="340" w:type="dxa"/>
            <w:vAlign w:val="bottom"/>
          </w:tcPr>
          <w:p>
            <w:pPr>
              <w:spacing w:after="0"/>
              <w:rPr>
                <w:sz w:val="7"/>
                <w:szCs w:val="7"/>
                <w:color w:val="auto"/>
              </w:rPr>
            </w:pPr>
          </w:p>
        </w:tc>
        <w:tc>
          <w:tcPr>
            <w:tcW w:w="54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0.13</w:t>
            </w:r>
          </w:p>
        </w:tc>
        <w:tc>
          <w:tcPr>
            <w:tcW w:w="120" w:type="dxa"/>
            <w:vAlign w:val="bottom"/>
          </w:tcPr>
          <w:p>
            <w:pPr>
              <w:spacing w:after="0"/>
              <w:rPr>
                <w:sz w:val="7"/>
                <w:szCs w:val="7"/>
                <w:color w:val="auto"/>
              </w:rPr>
            </w:pPr>
          </w:p>
        </w:tc>
        <w:tc>
          <w:tcPr>
            <w:tcW w:w="42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0.12</w:t>
            </w:r>
          </w:p>
        </w:tc>
        <w:tc>
          <w:tcPr>
            <w:tcW w:w="64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0.08</w:t>
            </w:r>
          </w:p>
        </w:tc>
        <w:tc>
          <w:tcPr>
            <w:tcW w:w="46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0.00</w:t>
            </w:r>
          </w:p>
        </w:tc>
        <w:tc>
          <w:tcPr>
            <w:tcW w:w="50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0.00</w:t>
            </w:r>
          </w:p>
        </w:tc>
        <w:tc>
          <w:tcPr>
            <w:tcW w:w="0" w:type="dxa"/>
            <w:vAlign w:val="bottom"/>
          </w:tcPr>
          <w:p>
            <w:pPr>
              <w:spacing w:after="0"/>
              <w:rPr>
                <w:sz w:val="1"/>
                <w:szCs w:val="1"/>
                <w:color w:val="auto"/>
              </w:rPr>
            </w:pPr>
          </w:p>
        </w:tc>
      </w:tr>
      <w:tr>
        <w:trPr>
          <w:trHeight w:val="50"/>
        </w:trPr>
        <w:tc>
          <w:tcPr>
            <w:tcW w:w="1540" w:type="dxa"/>
            <w:vAlign w:val="bottom"/>
            <w:gridSpan w:val="2"/>
            <w:vMerge w:val="continue"/>
          </w:tcPr>
          <w:p>
            <w:pPr>
              <w:spacing w:after="0"/>
              <w:rPr>
                <w:sz w:val="4"/>
                <w:szCs w:val="4"/>
                <w:color w:val="auto"/>
              </w:rPr>
            </w:pPr>
          </w:p>
        </w:tc>
        <w:tc>
          <w:tcPr>
            <w:tcW w:w="380" w:type="dxa"/>
            <w:vAlign w:val="bottom"/>
          </w:tcPr>
          <w:p>
            <w:pPr>
              <w:spacing w:after="0"/>
              <w:rPr>
                <w:sz w:val="4"/>
                <w:szCs w:val="4"/>
                <w:color w:val="auto"/>
              </w:rPr>
            </w:pPr>
          </w:p>
        </w:tc>
        <w:tc>
          <w:tcPr>
            <w:tcW w:w="34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120" w:type="dxa"/>
            <w:vAlign w:val="bottom"/>
          </w:tcPr>
          <w:p>
            <w:pPr>
              <w:spacing w:after="0"/>
              <w:rPr>
                <w:sz w:val="4"/>
                <w:szCs w:val="4"/>
                <w:color w:val="auto"/>
              </w:rPr>
            </w:pPr>
          </w:p>
        </w:tc>
        <w:tc>
          <w:tcPr>
            <w:tcW w:w="420" w:type="dxa"/>
            <w:vAlign w:val="bottom"/>
            <w:vMerge w:val="continue"/>
          </w:tcPr>
          <w:p>
            <w:pPr>
              <w:spacing w:after="0"/>
              <w:rPr>
                <w:sz w:val="4"/>
                <w:szCs w:val="4"/>
                <w:color w:val="auto"/>
              </w:rPr>
            </w:pPr>
          </w:p>
        </w:tc>
        <w:tc>
          <w:tcPr>
            <w:tcW w:w="64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89"/>
        </w:trPr>
        <w:tc>
          <w:tcPr>
            <w:tcW w:w="15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Total dividends, EURm </w:t>
            </w:r>
            <w:r>
              <w:rPr>
                <w:rFonts w:ascii="Times New Roman" w:cs="Times New Roman" w:eastAsia="Times New Roman" w:hAnsi="Times New Roman"/>
                <w:sz w:val="13"/>
                <w:szCs w:val="13"/>
                <w:color w:val="0D0D0D"/>
                <w:vertAlign w:val="superscript"/>
              </w:rPr>
              <w:t>(1)(2)</w:t>
            </w:r>
          </w:p>
        </w:tc>
        <w:tc>
          <w:tcPr>
            <w:tcW w:w="380" w:type="dxa"/>
            <w:vAlign w:val="bottom"/>
          </w:tcPr>
          <w:p>
            <w:pPr>
              <w:spacing w:after="0"/>
              <w:rPr>
                <w:sz w:val="16"/>
                <w:szCs w:val="16"/>
                <w:color w:val="auto"/>
              </w:rPr>
            </w:pPr>
          </w:p>
        </w:tc>
        <w:tc>
          <w:tcPr>
            <w:tcW w:w="340" w:type="dxa"/>
            <w:vAlign w:val="bottom"/>
          </w:tcPr>
          <w:p>
            <w:pPr>
              <w:spacing w:after="0"/>
              <w:rPr>
                <w:sz w:val="16"/>
                <w:szCs w:val="16"/>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730</w:t>
            </w:r>
          </w:p>
        </w:tc>
        <w:tc>
          <w:tcPr>
            <w:tcW w:w="120" w:type="dxa"/>
            <w:vAlign w:val="bottom"/>
          </w:tcPr>
          <w:p>
            <w:pPr>
              <w:spacing w:after="0"/>
              <w:rPr>
                <w:sz w:val="16"/>
                <w:szCs w:val="16"/>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676</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449</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35"/>
        </w:trPr>
        <w:tc>
          <w:tcPr>
            <w:tcW w:w="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Payout ratio</w:t>
            </w:r>
          </w:p>
        </w:tc>
        <w:tc>
          <w:tcPr>
            <w:tcW w:w="980" w:type="dxa"/>
            <w:vAlign w:val="bottom"/>
          </w:tcPr>
          <w:p>
            <w:pPr>
              <w:jc w:val="right"/>
              <w:ind w:right="838"/>
              <w:spacing w:after="0"/>
              <w:rPr>
                <w:sz w:val="20"/>
                <w:szCs w:val="20"/>
                <w:color w:val="auto"/>
              </w:rPr>
            </w:pPr>
            <w:r>
              <w:rPr>
                <w:rFonts w:ascii="Times New Roman" w:cs="Times New Roman" w:eastAsia="Times New Roman" w:hAnsi="Times New Roman"/>
                <w:sz w:val="7"/>
                <w:szCs w:val="7"/>
                <w:color w:val="0D0D0D"/>
                <w:w w:val="97"/>
              </w:rPr>
              <w:t>(1)</w:t>
            </w:r>
          </w:p>
        </w:tc>
        <w:tc>
          <w:tcPr>
            <w:tcW w:w="380" w:type="dxa"/>
            <w:vAlign w:val="bottom"/>
          </w:tcPr>
          <w:p>
            <w:pPr>
              <w:spacing w:after="0"/>
              <w:rPr>
                <w:sz w:val="11"/>
                <w:szCs w:val="11"/>
                <w:color w:val="auto"/>
              </w:rPr>
            </w:pPr>
          </w:p>
        </w:tc>
        <w:tc>
          <w:tcPr>
            <w:tcW w:w="340" w:type="dxa"/>
            <w:vAlign w:val="bottom"/>
          </w:tcPr>
          <w:p>
            <w:pPr>
              <w:spacing w:after="0"/>
              <w:rPr>
                <w:sz w:val="11"/>
                <w:szCs w:val="11"/>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1.08</w:t>
            </w:r>
          </w:p>
        </w:tc>
        <w:tc>
          <w:tcPr>
            <w:tcW w:w="120" w:type="dxa"/>
            <w:vAlign w:val="bottom"/>
          </w:tcPr>
          <w:p>
            <w:pPr>
              <w:spacing w:after="0"/>
              <w:rPr>
                <w:sz w:val="11"/>
                <w:szCs w:val="11"/>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0.16</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0.28</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72"/>
        </w:trPr>
        <w:tc>
          <w:tcPr>
            <w:tcW w:w="15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Dividend yield % </w:t>
            </w:r>
            <w:r>
              <w:rPr>
                <w:rFonts w:ascii="Times New Roman" w:cs="Times New Roman" w:eastAsia="Times New Roman" w:hAnsi="Times New Roman"/>
                <w:sz w:val="13"/>
                <w:szCs w:val="13"/>
                <w:color w:val="0D0D0D"/>
                <w:vertAlign w:val="superscript"/>
              </w:rPr>
              <w:t>(1)</w:t>
            </w:r>
          </w:p>
        </w:tc>
        <w:tc>
          <w:tcPr>
            <w:tcW w:w="380" w:type="dxa"/>
            <w:vAlign w:val="bottom"/>
            <w:tcBorders>
              <w:bottom w:val="single" w:sz="8" w:color="005AFF"/>
            </w:tcBorders>
          </w:tcPr>
          <w:p>
            <w:pPr>
              <w:spacing w:after="0"/>
              <w:rPr>
                <w:sz w:val="14"/>
                <w:szCs w:val="14"/>
                <w:color w:val="auto"/>
              </w:rPr>
            </w:pPr>
          </w:p>
        </w:tc>
        <w:tc>
          <w:tcPr>
            <w:tcW w:w="34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4.26</w:t>
            </w:r>
          </w:p>
        </w:tc>
        <w:tc>
          <w:tcPr>
            <w:tcW w:w="12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2.77</w:t>
            </w: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1.44</w:t>
            </w:r>
          </w:p>
        </w:tc>
        <w:tc>
          <w:tcPr>
            <w:tcW w:w="4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23"/>
        </w:trPr>
        <w:tc>
          <w:tcPr>
            <w:tcW w:w="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31 December</w:t>
            </w:r>
          </w:p>
        </w:tc>
        <w:tc>
          <w:tcPr>
            <w:tcW w:w="980" w:type="dxa"/>
            <w:vAlign w:val="bottom"/>
            <w:tcBorders>
              <w:bottom w:val="single" w:sz="8" w:color="005AFF"/>
            </w:tcBorders>
          </w:tcPr>
          <w:p>
            <w:pPr>
              <w:spacing w:after="0"/>
              <w:rPr>
                <w:sz w:val="10"/>
                <w:szCs w:val="10"/>
                <w:color w:val="auto"/>
              </w:rPr>
            </w:pPr>
          </w:p>
        </w:tc>
        <w:tc>
          <w:tcPr>
            <w:tcW w:w="380" w:type="dxa"/>
            <w:vAlign w:val="bottom"/>
            <w:tcBorders>
              <w:bottom w:val="single" w:sz="8" w:color="005AFF"/>
            </w:tcBorders>
          </w:tcPr>
          <w:p>
            <w:pPr>
              <w:spacing w:after="0"/>
              <w:rPr>
                <w:sz w:val="10"/>
                <w:szCs w:val="10"/>
                <w:color w:val="auto"/>
              </w:rPr>
            </w:pPr>
          </w:p>
        </w:tc>
        <w:tc>
          <w:tcPr>
            <w:tcW w:w="340" w:type="dxa"/>
            <w:vAlign w:val="bottom"/>
            <w:tcBorders>
              <w:bottom w:val="single" w:sz="8" w:color="005AFF"/>
            </w:tcBorders>
          </w:tcPr>
          <w:p>
            <w:pPr>
              <w:spacing w:after="0"/>
              <w:rPr>
                <w:sz w:val="10"/>
                <w:szCs w:val="10"/>
                <w:color w:val="auto"/>
              </w:rPr>
            </w:pP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120" w:type="dxa"/>
            <w:vAlign w:val="bottom"/>
            <w:tcBorders>
              <w:bottom w:val="single" w:sz="8" w:color="005AFF"/>
            </w:tcBorders>
          </w:tcPr>
          <w:p>
            <w:pPr>
              <w:spacing w:after="0"/>
              <w:rPr>
                <w:sz w:val="10"/>
                <w:szCs w:val="10"/>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4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2020</w:t>
            </w:r>
          </w:p>
        </w:tc>
        <w:tc>
          <w:tcPr>
            <w:tcW w:w="5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2019</w:t>
            </w:r>
          </w:p>
        </w:tc>
        <w:tc>
          <w:tcPr>
            <w:tcW w:w="0" w:type="dxa"/>
            <w:vAlign w:val="bottom"/>
          </w:tcPr>
          <w:p>
            <w:pPr>
              <w:spacing w:after="0"/>
              <w:rPr>
                <w:sz w:val="1"/>
                <w:szCs w:val="1"/>
                <w:color w:val="auto"/>
              </w:rPr>
            </w:pPr>
          </w:p>
        </w:tc>
      </w:tr>
      <w:tr>
        <w:trPr>
          <w:trHeight w:val="140"/>
        </w:trPr>
        <w:tc>
          <w:tcPr>
            <w:tcW w:w="15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Shareholders’ equity per share, EUR</w:t>
            </w:r>
          </w:p>
        </w:tc>
        <w:tc>
          <w:tcPr>
            <w:tcW w:w="380" w:type="dxa"/>
            <w:vAlign w:val="bottom"/>
          </w:tcPr>
          <w:p>
            <w:pPr>
              <w:spacing w:after="0"/>
              <w:rPr>
                <w:sz w:val="12"/>
                <w:szCs w:val="12"/>
                <w:color w:val="auto"/>
              </w:rPr>
            </w:pPr>
          </w:p>
        </w:tc>
        <w:tc>
          <w:tcPr>
            <w:tcW w:w="340" w:type="dxa"/>
            <w:vAlign w:val="bottom"/>
          </w:tcPr>
          <w:p>
            <w:pPr>
              <w:spacing w:after="0"/>
              <w:rPr>
                <w:sz w:val="12"/>
                <w:szCs w:val="12"/>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3.72</w:t>
            </w:r>
          </w:p>
        </w:tc>
        <w:tc>
          <w:tcPr>
            <w:tcW w:w="120" w:type="dxa"/>
            <w:vAlign w:val="bottom"/>
          </w:tcPr>
          <w:p>
            <w:pPr>
              <w:spacing w:after="0"/>
              <w:rPr>
                <w:sz w:val="12"/>
                <w:szCs w:val="12"/>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3.82</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3.08</w:t>
            </w:r>
          </w:p>
        </w:tc>
        <w:tc>
          <w:tcPr>
            <w:tcW w:w="4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2.22</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2.73</w:t>
            </w:r>
          </w:p>
        </w:tc>
        <w:tc>
          <w:tcPr>
            <w:tcW w:w="0" w:type="dxa"/>
            <w:vAlign w:val="bottom"/>
          </w:tcPr>
          <w:p>
            <w:pPr>
              <w:spacing w:after="0"/>
              <w:rPr>
                <w:sz w:val="1"/>
                <w:szCs w:val="1"/>
                <w:color w:val="auto"/>
              </w:rPr>
            </w:pPr>
          </w:p>
        </w:tc>
      </w:tr>
      <w:tr>
        <w:trPr>
          <w:trHeight w:val="194"/>
        </w:trPr>
        <w:tc>
          <w:tcPr>
            <w:tcW w:w="15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Share price </w:t>
            </w:r>
            <w:r>
              <w:rPr>
                <w:rFonts w:ascii="Times New Roman" w:cs="Times New Roman" w:eastAsia="Times New Roman" w:hAnsi="Times New Roman"/>
                <w:sz w:val="13"/>
                <w:szCs w:val="13"/>
                <w:color w:val="0D0D0D"/>
                <w:vertAlign w:val="superscript"/>
              </w:rPr>
              <w:t>(3)</w:t>
            </w:r>
          </w:p>
        </w:tc>
        <w:tc>
          <w:tcPr>
            <w:tcW w:w="380" w:type="dxa"/>
            <w:vAlign w:val="bottom"/>
          </w:tcPr>
          <w:p>
            <w:pPr>
              <w:spacing w:after="0"/>
              <w:rPr>
                <w:sz w:val="16"/>
                <w:szCs w:val="16"/>
                <w:color w:val="auto"/>
              </w:rPr>
            </w:pPr>
          </w:p>
        </w:tc>
        <w:tc>
          <w:tcPr>
            <w:tcW w:w="340" w:type="dxa"/>
            <w:vAlign w:val="bottom"/>
          </w:tcPr>
          <w:p>
            <w:pPr>
              <w:spacing w:after="0"/>
              <w:rPr>
                <w:sz w:val="16"/>
                <w:szCs w:val="16"/>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3.05</w:t>
            </w:r>
          </w:p>
        </w:tc>
        <w:tc>
          <w:tcPr>
            <w:tcW w:w="120" w:type="dxa"/>
            <w:vAlign w:val="bottom"/>
          </w:tcPr>
          <w:p>
            <w:pPr>
              <w:spacing w:after="0"/>
              <w:rPr>
                <w:sz w:val="16"/>
                <w:szCs w:val="16"/>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4.33</w:t>
            </w:r>
          </w:p>
        </w:tc>
        <w:tc>
          <w:tcPr>
            <w:tcW w:w="64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5.57</w:t>
            </w:r>
          </w:p>
        </w:tc>
        <w:tc>
          <w:tcPr>
            <w:tcW w:w="4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3.15</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3.30</w:t>
            </w:r>
          </w:p>
        </w:tc>
        <w:tc>
          <w:tcPr>
            <w:tcW w:w="0" w:type="dxa"/>
            <w:vAlign w:val="bottom"/>
          </w:tcPr>
          <w:p>
            <w:pPr>
              <w:spacing w:after="0"/>
              <w:rPr>
                <w:sz w:val="1"/>
                <w:szCs w:val="1"/>
                <w:color w:val="auto"/>
              </w:rPr>
            </w:pPr>
          </w:p>
        </w:tc>
      </w:tr>
      <w:tr>
        <w:trPr>
          <w:trHeight w:val="135"/>
        </w:trPr>
        <w:tc>
          <w:tcPr>
            <w:tcW w:w="15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Market capitalization, EURm</w:t>
            </w:r>
          </w:p>
        </w:tc>
        <w:tc>
          <w:tcPr>
            <w:tcW w:w="380" w:type="dxa"/>
            <w:vAlign w:val="bottom"/>
            <w:tcBorders>
              <w:bottom w:val="single" w:sz="8" w:color="005AFF"/>
            </w:tcBorders>
          </w:tcPr>
          <w:p>
            <w:pPr>
              <w:spacing w:after="0"/>
              <w:rPr>
                <w:sz w:val="11"/>
                <w:szCs w:val="11"/>
                <w:color w:val="auto"/>
              </w:rPr>
            </w:pPr>
          </w:p>
        </w:tc>
        <w:tc>
          <w:tcPr>
            <w:tcW w:w="34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16 853</w:t>
            </w:r>
          </w:p>
        </w:tc>
        <w:tc>
          <w:tcPr>
            <w:tcW w:w="120" w:type="dxa"/>
            <w:vAlign w:val="bottom"/>
            <w:tcBorders>
              <w:bottom w:val="single" w:sz="8" w:color="005AFF"/>
            </w:tcBorders>
          </w:tcPr>
          <w:p>
            <w:pPr>
              <w:spacing w:after="0"/>
              <w:rPr>
                <w:sz w:val="11"/>
                <w:szCs w:val="11"/>
                <w:color w:val="auto"/>
              </w:rPr>
            </w:pP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24 192</w:t>
            </w:r>
          </w:p>
        </w:tc>
        <w:tc>
          <w:tcPr>
            <w:tcW w:w="64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color w:val="0D0D0D"/>
              </w:rPr>
              <w:t>31 409</w:t>
            </w:r>
          </w:p>
        </w:tc>
        <w:tc>
          <w:tcPr>
            <w:tcW w:w="46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17 701</w:t>
            </w:r>
          </w:p>
        </w:tc>
        <w:tc>
          <w:tcPr>
            <w:tcW w:w="5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18 476</w:t>
            </w:r>
          </w:p>
        </w:tc>
        <w:tc>
          <w:tcPr>
            <w:tcW w:w="0" w:type="dxa"/>
            <w:vAlign w:val="bottom"/>
          </w:tcPr>
          <w:p>
            <w:pPr>
              <w:spacing w:after="0"/>
              <w:rPr>
                <w:sz w:val="1"/>
                <w:szCs w:val="1"/>
                <w:color w:val="auto"/>
              </w:rPr>
            </w:pPr>
          </w:p>
        </w:tc>
      </w:tr>
    </w:tbl>
    <w:p>
      <w:pPr>
        <w:spacing w:after="0" w:line="4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00" w:right="580" w:hanging="199"/>
        <w:spacing w:after="0" w:line="257" w:lineRule="auto"/>
        <w:tabs>
          <w:tab w:leader="none" w:pos="200" w:val="left"/>
        </w:tabs>
        <w:numPr>
          <w:ilvl w:val="0"/>
          <w:numId w:val="8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Board of Directors proposes to the Annual General Meeting to be authorized to decide in its discretion on the distribution of an aggregate maximum of EUR 0.13 per share as dividend from the retained earnings and/or as assets from the reserve for invested unrestricted equity.</w:t>
      </w:r>
    </w:p>
    <w:p>
      <w:pPr>
        <w:ind w:left="200" w:hanging="199"/>
        <w:spacing w:after="0"/>
        <w:tabs>
          <w:tab w:leader="none" w:pos="200" w:val="left"/>
        </w:tabs>
        <w:numPr>
          <w:ilvl w:val="0"/>
          <w:numId w:val="8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 total dividends is calculated based on the proposed Annual General Meeting authorization to the Board of a maximum</w:t>
      </w:r>
    </w:p>
    <w:p>
      <w:pPr>
        <w:spacing w:after="0" w:line="4" w:lineRule="exact"/>
        <w:rPr>
          <w:sz w:val="20"/>
          <w:szCs w:val="20"/>
          <w:color w:val="auto"/>
        </w:rPr>
      </w:pPr>
    </w:p>
    <w:p>
      <w:pPr>
        <w:ind w:left="200"/>
        <w:spacing w:after="0"/>
        <w:tabs>
          <w:tab w:leader="none" w:pos="2200" w:val="left"/>
        </w:tabs>
        <w:rPr>
          <w:sz w:val="20"/>
          <w:szCs w:val="20"/>
          <w:color w:val="auto"/>
        </w:rPr>
      </w:pPr>
      <w:r>
        <w:rPr>
          <w:rFonts w:ascii="Times New Roman" w:cs="Times New Roman" w:eastAsia="Times New Roman" w:hAnsi="Times New Roman"/>
          <w:sz w:val="8"/>
          <w:szCs w:val="8"/>
          <w:color w:val="auto"/>
        </w:rPr>
        <w:t>distribution of EUR 0.13 per share for the financial year</w:t>
      </w:r>
      <w:r>
        <w:rPr>
          <w:sz w:val="20"/>
          <w:szCs w:val="20"/>
          <w:color w:val="auto"/>
        </w:rPr>
        <w:tab/>
      </w:r>
      <w:r>
        <w:rPr>
          <w:rFonts w:ascii="Times New Roman" w:cs="Times New Roman" w:eastAsia="Times New Roman" w:hAnsi="Times New Roman"/>
          <w:sz w:val="8"/>
          <w:szCs w:val="8"/>
          <w:color w:val="auto"/>
        </w:rPr>
        <w:t>2023 , and the total number of shares on the date of issuing the financial</w:t>
      </w:r>
    </w:p>
    <w:p>
      <w:pPr>
        <w:spacing w:after="0" w:line="4" w:lineRule="exact"/>
        <w:rPr>
          <w:sz w:val="20"/>
          <w:szCs w:val="20"/>
          <w:color w:val="auto"/>
        </w:rPr>
      </w:pPr>
    </w:p>
    <w:p>
      <w:pPr>
        <w:ind w:left="200"/>
        <w:spacing w:after="0"/>
        <w:tabs>
          <w:tab w:leader="none" w:pos="740" w:val="left"/>
          <w:tab w:leader="none" w:pos="2820" w:val="left"/>
          <w:tab w:leader="none" w:pos="4340" w:val="left"/>
          <w:tab w:leader="none" w:pos="4880" w:val="left"/>
        </w:tabs>
        <w:rPr>
          <w:sz w:val="20"/>
          <w:szCs w:val="20"/>
          <w:color w:val="auto"/>
        </w:rPr>
      </w:pPr>
      <w:r>
        <w:rPr>
          <w:rFonts w:ascii="Times New Roman" w:cs="Times New Roman" w:eastAsia="Times New Roman" w:hAnsi="Times New Roman"/>
          <w:sz w:val="8"/>
          <w:szCs w:val="8"/>
          <w:color w:val="auto"/>
        </w:rPr>
        <w:t>statements for</w:t>
        <w:tab/>
        <w:t>2023 . On the date of issuing the financial statements for</w:t>
      </w:r>
      <w:r>
        <w:rPr>
          <w:sz w:val="20"/>
          <w:szCs w:val="20"/>
          <w:color w:val="auto"/>
        </w:rPr>
        <w:tab/>
      </w:r>
      <w:r>
        <w:rPr>
          <w:rFonts w:ascii="Times New Roman" w:cs="Times New Roman" w:eastAsia="Times New Roman" w:hAnsi="Times New Roman"/>
          <w:sz w:val="8"/>
          <w:szCs w:val="8"/>
          <w:color w:val="auto"/>
        </w:rPr>
        <w:t>2023 the total number of Nokia shares is</w:t>
      </w:r>
      <w:r>
        <w:rPr>
          <w:sz w:val="20"/>
          <w:szCs w:val="20"/>
          <w:color w:val="auto"/>
        </w:rPr>
        <w:tab/>
      </w:r>
      <w:r>
        <w:rPr>
          <w:rFonts w:ascii="Times New Roman" w:cs="Times New Roman" w:eastAsia="Times New Roman" w:hAnsi="Times New Roman"/>
          <w:sz w:val="8"/>
          <w:szCs w:val="8"/>
          <w:color w:val="auto"/>
        </w:rPr>
        <w:t>5 613 496 565</w:t>
        <w:tab/>
        <w:t>.</w:t>
      </w:r>
    </w:p>
    <w:p>
      <w:pPr>
        <w:spacing w:after="0" w:line="4" w:lineRule="exact"/>
        <w:rPr>
          <w:sz w:val="20"/>
          <w:szCs w:val="20"/>
          <w:color w:val="auto"/>
        </w:rPr>
      </w:pPr>
    </w:p>
    <w:p>
      <w:pPr>
        <w:ind w:left="200"/>
        <w:spacing w:after="0"/>
        <w:rPr>
          <w:sz w:val="20"/>
          <w:szCs w:val="20"/>
          <w:color w:val="auto"/>
        </w:rPr>
      </w:pPr>
      <w:r>
        <w:rPr>
          <w:rFonts w:ascii="Times New Roman" w:cs="Times New Roman" w:eastAsia="Times New Roman" w:hAnsi="Times New Roman"/>
          <w:sz w:val="8"/>
          <w:szCs w:val="8"/>
          <w:color w:val="auto"/>
        </w:rPr>
        <w:t>Comparative amounts represent the actual total distribution to equity holders of the parent for the financial year presented.</w:t>
      </w:r>
    </w:p>
    <w:p>
      <w:pPr>
        <w:spacing w:after="0" w:line="4" w:lineRule="exact"/>
        <w:rPr>
          <w:sz w:val="20"/>
          <w:szCs w:val="20"/>
          <w:color w:val="auto"/>
        </w:rPr>
      </w:pPr>
    </w:p>
    <w:p>
      <w:pPr>
        <w:ind w:left="200" w:hanging="199"/>
        <w:spacing w:after="0"/>
        <w:tabs>
          <w:tab w:leader="none" w:pos="200" w:val="left"/>
        </w:tabs>
        <w:numPr>
          <w:ilvl w:val="0"/>
          <w:numId w:val="8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Closing Nokia share price at year end on Nasdaq Helsinki.</w:t>
      </w:r>
    </w:p>
    <w:p>
      <w:pPr>
        <w:spacing w:after="0" w:line="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turnover</w:t>
      </w:r>
    </w:p>
    <w:p>
      <w:pPr>
        <w:spacing w:after="0" w:line="59"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9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For the year ended 31 December</w:t>
            </w:r>
          </w:p>
        </w:tc>
        <w:tc>
          <w:tcPr>
            <w:tcW w:w="6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6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2022</w:t>
            </w:r>
          </w:p>
        </w:tc>
        <w:tc>
          <w:tcPr>
            <w:tcW w:w="6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2021</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2020</w:t>
            </w:r>
          </w:p>
        </w:tc>
        <w:tc>
          <w:tcPr>
            <w:tcW w:w="6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2019</w:t>
            </w:r>
          </w:p>
        </w:tc>
      </w:tr>
      <w:tr>
        <w:trPr>
          <w:trHeight w:val="126"/>
        </w:trPr>
        <w:tc>
          <w:tcPr>
            <w:tcW w:w="1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Number of shares traded during the</w:t>
            </w:r>
          </w:p>
        </w:tc>
        <w:tc>
          <w:tcPr>
            <w:tcW w:w="620" w:type="dxa"/>
            <w:vAlign w:val="bottom"/>
            <w:shd w:val="clear" w:color="auto" w:fill="F0F5FF"/>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20" w:type="dxa"/>
            <w:vAlign w:val="bottom"/>
          </w:tcPr>
          <w:p>
            <w:pPr>
              <w:spacing w:after="0"/>
              <w:rPr>
                <w:sz w:val="10"/>
                <w:szCs w:val="10"/>
                <w:color w:val="auto"/>
              </w:rPr>
            </w:pPr>
          </w:p>
        </w:tc>
      </w:tr>
      <w:tr>
        <w:trPr>
          <w:trHeight w:val="167"/>
        </w:trPr>
        <w:tc>
          <w:tcPr>
            <w:tcW w:w="1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year (000s) </w:t>
            </w:r>
            <w:r>
              <w:rPr>
                <w:rFonts w:ascii="Times New Roman" w:cs="Times New Roman" w:eastAsia="Times New Roman" w:hAnsi="Times New Roman"/>
                <w:sz w:val="13"/>
                <w:szCs w:val="13"/>
                <w:color w:val="0D0D0D"/>
                <w:vertAlign w:val="superscript"/>
              </w:rPr>
              <w:t>(1)</w:t>
            </w:r>
          </w:p>
        </w:tc>
        <w:tc>
          <w:tcPr>
            <w:tcW w:w="62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7 754 279</w:t>
            </w:r>
          </w:p>
        </w:tc>
        <w:tc>
          <w:tcPr>
            <w:tcW w:w="60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10 294 615</w:t>
            </w:r>
          </w:p>
        </w:tc>
        <w:tc>
          <w:tcPr>
            <w:tcW w:w="60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16 560 334</w:t>
            </w:r>
          </w:p>
        </w:tc>
        <w:tc>
          <w:tcPr>
            <w:tcW w:w="60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13 903 762</w:t>
            </w:r>
          </w:p>
        </w:tc>
        <w:tc>
          <w:tcPr>
            <w:tcW w:w="620" w:type="dxa"/>
            <w:vAlign w:val="bottom"/>
          </w:tcPr>
          <w:p>
            <w:pPr>
              <w:jc w:val="right"/>
              <w:ind w:right="72"/>
              <w:spacing w:after="0"/>
              <w:rPr>
                <w:sz w:val="20"/>
                <w:szCs w:val="20"/>
                <w:color w:val="auto"/>
              </w:rPr>
            </w:pPr>
            <w:r>
              <w:rPr>
                <w:rFonts w:ascii="Times New Roman" w:cs="Times New Roman" w:eastAsia="Times New Roman" w:hAnsi="Times New Roman"/>
                <w:sz w:val="10"/>
                <w:szCs w:val="10"/>
                <w:color w:val="0D0D0D"/>
              </w:rPr>
              <w:t>11 003 630</w:t>
            </w:r>
          </w:p>
        </w:tc>
      </w:tr>
      <w:tr>
        <w:trPr>
          <w:trHeight w:val="121"/>
        </w:trPr>
        <w:tc>
          <w:tcPr>
            <w:tcW w:w="1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Average number of shares excluding</w:t>
            </w:r>
          </w:p>
        </w:tc>
        <w:tc>
          <w:tcPr>
            <w:tcW w:w="620" w:type="dxa"/>
            <w:vAlign w:val="bottom"/>
            <w:shd w:val="clear" w:color="auto" w:fill="F0F5FF"/>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20" w:type="dxa"/>
            <w:vAlign w:val="bottom"/>
          </w:tcPr>
          <w:p>
            <w:pPr>
              <w:spacing w:after="0"/>
              <w:rPr>
                <w:sz w:val="10"/>
                <w:szCs w:val="10"/>
                <w:color w:val="auto"/>
              </w:rPr>
            </w:pPr>
          </w:p>
        </w:tc>
      </w:tr>
      <w:tr>
        <w:trPr>
          <w:trHeight w:val="121"/>
        </w:trPr>
        <w:tc>
          <w:tcPr>
            <w:tcW w:w="1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shares held by the Group during the year</w:t>
            </w:r>
          </w:p>
        </w:tc>
        <w:tc>
          <w:tcPr>
            <w:tcW w:w="620" w:type="dxa"/>
            <w:vAlign w:val="bottom"/>
            <w:shd w:val="clear" w:color="auto" w:fill="F0F5FF"/>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00" w:type="dxa"/>
            <w:vAlign w:val="bottom"/>
          </w:tcPr>
          <w:p>
            <w:pPr>
              <w:spacing w:after="0"/>
              <w:rPr>
                <w:sz w:val="10"/>
                <w:szCs w:val="10"/>
                <w:color w:val="auto"/>
              </w:rPr>
            </w:pPr>
          </w:p>
        </w:tc>
        <w:tc>
          <w:tcPr>
            <w:tcW w:w="620" w:type="dxa"/>
            <w:vAlign w:val="bottom"/>
          </w:tcPr>
          <w:p>
            <w:pPr>
              <w:spacing w:after="0"/>
              <w:rPr>
                <w:sz w:val="10"/>
                <w:szCs w:val="10"/>
                <w:color w:val="auto"/>
              </w:rPr>
            </w:pPr>
          </w:p>
        </w:tc>
      </w:tr>
      <w:tr>
        <w:trPr>
          <w:trHeight w:val="130"/>
        </w:trPr>
        <w:tc>
          <w:tcPr>
            <w:tcW w:w="19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(000s)</w:t>
            </w:r>
          </w:p>
        </w:tc>
        <w:tc>
          <w:tcPr>
            <w:tcW w:w="62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5 549 468</w:t>
            </w:r>
          </w:p>
        </w:tc>
        <w:tc>
          <w:tcPr>
            <w:tcW w:w="60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5 614 182</w:t>
            </w:r>
          </w:p>
        </w:tc>
        <w:tc>
          <w:tcPr>
            <w:tcW w:w="60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5 630 025</w:t>
            </w:r>
          </w:p>
        </w:tc>
        <w:tc>
          <w:tcPr>
            <w:tcW w:w="6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5 612 418</w:t>
            </w:r>
          </w:p>
        </w:tc>
        <w:tc>
          <w:tcPr>
            <w:tcW w:w="62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5 599 912</w:t>
            </w:r>
          </w:p>
        </w:tc>
      </w:tr>
      <w:tr>
        <w:trPr>
          <w:trHeight w:val="167"/>
        </w:trPr>
        <w:tc>
          <w:tcPr>
            <w:tcW w:w="19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Share turnover %</w:t>
            </w:r>
          </w:p>
        </w:tc>
        <w:tc>
          <w:tcPr>
            <w:tcW w:w="62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140</w:t>
            </w:r>
          </w:p>
        </w:tc>
        <w:tc>
          <w:tcPr>
            <w:tcW w:w="6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183</w:t>
            </w:r>
          </w:p>
        </w:tc>
        <w:tc>
          <w:tcPr>
            <w:tcW w:w="6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294</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248</w:t>
            </w:r>
          </w:p>
        </w:tc>
        <w:tc>
          <w:tcPr>
            <w:tcW w:w="6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196</w:t>
            </w:r>
          </w:p>
        </w:tc>
      </w:tr>
    </w:tbl>
    <w:p>
      <w:pPr>
        <w:spacing w:after="0" w:line="41" w:lineRule="exact"/>
        <w:rPr>
          <w:sz w:val="20"/>
          <w:szCs w:val="20"/>
          <w:color w:val="auto"/>
        </w:rPr>
      </w:pPr>
    </w:p>
    <w:p>
      <w:pPr>
        <w:ind w:left="200" w:hanging="199"/>
        <w:spacing w:after="0"/>
        <w:tabs>
          <w:tab w:leader="none" w:pos="200" w:val="left"/>
        </w:tabs>
        <w:numPr>
          <w:ilvl w:val="0"/>
          <w:numId w:val="8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Source: Nasdaq Helsinki, the NYSE composite tape and Euronext Paris.</w:t>
      </w:r>
    </w:p>
    <w:p>
      <w:pPr>
        <w:spacing w:after="0" w:line="76" w:lineRule="exact"/>
        <w:rPr>
          <w:sz w:val="20"/>
          <w:szCs w:val="20"/>
          <w:color w:val="auto"/>
        </w:rPr>
      </w:pPr>
    </w:p>
    <w:p>
      <w:pPr>
        <w:ind w:right="520"/>
        <w:spacing w:after="0" w:line="309" w:lineRule="auto"/>
        <w:rPr>
          <w:sz w:val="20"/>
          <w:szCs w:val="20"/>
          <w:color w:val="auto"/>
        </w:rPr>
      </w:pPr>
      <w:r>
        <w:rPr>
          <w:rFonts w:ascii="Times New Roman" w:cs="Times New Roman" w:eastAsia="Times New Roman" w:hAnsi="Times New Roman"/>
          <w:sz w:val="11"/>
          <w:szCs w:val="11"/>
          <w:color w:val="auto"/>
        </w:rPr>
        <w:t>The principal trading markets for the shares are Nasdaq Helsinki and Euronext Paris, in the form of shares, and the NYSE, in the form of ADSs.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260" w:type="dxa"/>
            <w:vAlign w:val="bottom"/>
          </w:tcPr>
          <w:p>
            <w:pPr>
              <w:spacing w:after="0"/>
              <w:rPr>
                <w:sz w:val="9"/>
                <w:szCs w:val="9"/>
                <w:color w:val="auto"/>
              </w:rPr>
            </w:pPr>
          </w:p>
        </w:tc>
        <w:tc>
          <w:tcPr>
            <w:tcW w:w="24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Other</w:t>
            </w:r>
          </w:p>
        </w:tc>
        <w:tc>
          <w:tcPr>
            <w:tcW w:w="740" w:type="dxa"/>
            <w:vAlign w:val="bottom"/>
          </w:tcPr>
          <w:p>
            <w:pPr>
              <w:spacing w:after="0"/>
              <w:rPr>
                <w:sz w:val="9"/>
                <w:szCs w:val="9"/>
                <w:color w:val="auto"/>
              </w:rPr>
            </w:pPr>
          </w:p>
        </w:tc>
        <w:tc>
          <w:tcPr>
            <w:tcW w:w="740" w:type="dxa"/>
            <w:vAlign w:val="bottom"/>
          </w:tcPr>
          <w:p>
            <w:pPr>
              <w:spacing w:after="0"/>
              <w:rPr>
                <w:sz w:val="9"/>
                <w:szCs w:val="9"/>
                <w:color w:val="auto"/>
              </w:rPr>
            </w:pPr>
          </w:p>
        </w:tc>
        <w:tc>
          <w:tcPr>
            <w:tcW w:w="740" w:type="dxa"/>
            <w:vAlign w:val="bottom"/>
            <w:vMerge w:val="restart"/>
          </w:tcPr>
          <w:p>
            <w:pPr>
              <w:ind w:left="480"/>
              <w:spacing w:after="0"/>
              <w:rPr>
                <w:sz w:val="20"/>
                <w:szCs w:val="20"/>
                <w:color w:val="auto"/>
              </w:rPr>
            </w:pPr>
            <w:r>
              <w:rPr>
                <w:rFonts w:ascii="Times New Roman" w:cs="Times New Roman" w:eastAsia="Times New Roman" w:hAnsi="Times New Roman"/>
                <w:sz w:val="12"/>
                <w:szCs w:val="12"/>
                <w:color w:val="auto"/>
              </w:rPr>
              <w:t>108</w:t>
            </w:r>
          </w:p>
        </w:tc>
        <w:tc>
          <w:tcPr>
            <w:tcW w:w="0" w:type="dxa"/>
            <w:vAlign w:val="bottom"/>
          </w:tcPr>
          <w:p>
            <w:pPr>
              <w:spacing w:after="0"/>
              <w:rPr>
                <w:sz w:val="1"/>
                <w:szCs w:val="1"/>
                <w:color w:val="auto"/>
              </w:rPr>
            </w:pPr>
          </w:p>
        </w:tc>
      </w:tr>
      <w:tr>
        <w:trPr>
          <w:trHeight w:val="130"/>
        </w:trPr>
        <w:tc>
          <w:tcPr>
            <w:tcW w:w="260" w:type="dxa"/>
            <w:vAlign w:val="bottom"/>
          </w:tcPr>
          <w:p>
            <w:pPr>
              <w:spacing w:after="0"/>
              <w:rPr>
                <w:sz w:val="11"/>
                <w:szCs w:val="11"/>
                <w:color w:val="auto"/>
              </w:rPr>
            </w:pPr>
          </w:p>
        </w:tc>
        <w:tc>
          <w:tcPr>
            <w:tcW w:w="24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information</w:t>
            </w:r>
          </w:p>
        </w:tc>
        <w:tc>
          <w:tcPr>
            <w:tcW w:w="74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7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8"/>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Share price development</w:t>
            </w:r>
          </w:p>
        </w:tc>
        <w:tc>
          <w:tcPr>
            <w:tcW w:w="74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12"/>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Nasdaq Helsinki</w:t>
            </w:r>
          </w:p>
        </w:tc>
        <w:tc>
          <w:tcPr>
            <w:tcW w:w="740" w:type="dxa"/>
            <w:vAlign w:val="bottom"/>
          </w:tcPr>
          <w:p>
            <w:pPr>
              <w:spacing w:after="0"/>
              <w:rPr>
                <w:sz w:val="18"/>
                <w:szCs w:val="18"/>
                <w:color w:val="auto"/>
              </w:rPr>
            </w:pPr>
          </w:p>
        </w:tc>
        <w:tc>
          <w:tcPr>
            <w:tcW w:w="740" w:type="dxa"/>
            <w:vAlign w:val="bottom"/>
          </w:tcPr>
          <w:p>
            <w:pPr>
              <w:spacing w:after="0"/>
              <w:rPr>
                <w:sz w:val="18"/>
                <w:szCs w:val="18"/>
                <w:color w:val="auto"/>
              </w:rPr>
            </w:pPr>
          </w:p>
        </w:tc>
        <w:tc>
          <w:tcPr>
            <w:tcW w:w="740" w:type="dxa"/>
            <w:vAlign w:val="bottom"/>
          </w:tcPr>
          <w:p>
            <w:pPr>
              <w:spacing w:after="0"/>
              <w:rPr>
                <w:sz w:val="18"/>
                <w:szCs w:val="18"/>
                <w:color w:val="auto"/>
              </w:rPr>
            </w:pPr>
          </w:p>
        </w:tc>
        <w:tc>
          <w:tcPr>
            <w:tcW w:w="0" w:type="dxa"/>
            <w:vAlign w:val="bottom"/>
          </w:tcPr>
          <w:p>
            <w:pPr>
              <w:spacing w:after="0"/>
              <w:rPr>
                <w:sz w:val="1"/>
                <w:szCs w:val="1"/>
                <w:color w:val="auto"/>
              </w:rPr>
            </w:pPr>
          </w:p>
        </w:tc>
      </w:tr>
      <w:tr>
        <w:trPr>
          <w:trHeight w:val="150"/>
        </w:trPr>
        <w:tc>
          <w:tcPr>
            <w:tcW w:w="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w:t>
            </w:r>
          </w:p>
        </w:tc>
        <w:tc>
          <w:tcPr>
            <w:tcW w:w="248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High</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Low</w:t>
            </w:r>
          </w:p>
        </w:tc>
        <w:tc>
          <w:tcPr>
            <w:tcW w:w="740" w:type="dxa"/>
            <w:vAlign w:val="bottom"/>
            <w:tcBorders>
              <w:bottom w:val="single" w:sz="8" w:color="005AFF"/>
            </w:tcBorders>
          </w:tcPr>
          <w:p>
            <w:pPr>
              <w:ind w:left="480"/>
              <w:spacing w:after="0"/>
              <w:rPr>
                <w:sz w:val="20"/>
                <w:szCs w:val="20"/>
                <w:color w:val="auto"/>
              </w:rPr>
            </w:pPr>
            <w:r>
              <w:rPr>
                <w:rFonts w:ascii="Times New Roman" w:cs="Times New Roman" w:eastAsia="Times New Roman" w:hAnsi="Times New Roman"/>
                <w:sz w:val="8"/>
                <w:szCs w:val="8"/>
                <w:b w:val="1"/>
                <w:bCs w:val="1"/>
                <w:color w:val="005AFF"/>
              </w:rPr>
              <w:t>Value</w:t>
            </w:r>
          </w:p>
        </w:tc>
        <w:tc>
          <w:tcPr>
            <w:tcW w:w="0" w:type="dxa"/>
            <w:vAlign w:val="bottom"/>
          </w:tcPr>
          <w:p>
            <w:pPr>
              <w:spacing w:after="0"/>
              <w:rPr>
                <w:sz w:val="1"/>
                <w:szCs w:val="1"/>
                <w:color w:val="auto"/>
              </w:rPr>
            </w:pPr>
          </w:p>
        </w:tc>
      </w:tr>
      <w:tr>
        <w:trPr>
          <w:trHeight w:val="140"/>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High/Low</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4.70</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2.70</w:t>
            </w:r>
          </w:p>
        </w:tc>
        <w:tc>
          <w:tcPr>
            <w:tcW w:w="74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Average (Volume-weighted)</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3.73</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2023</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3.05</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2022</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4.33</w:t>
            </w:r>
          </w:p>
        </w:tc>
        <w:tc>
          <w:tcPr>
            <w:tcW w:w="0" w:type="dxa"/>
            <w:vAlign w:val="bottom"/>
          </w:tcPr>
          <w:p>
            <w:pPr>
              <w:spacing w:after="0"/>
              <w:rPr>
                <w:sz w:val="1"/>
                <w:szCs w:val="1"/>
                <w:color w:val="auto"/>
              </w:rPr>
            </w:pPr>
          </w:p>
        </w:tc>
      </w:tr>
      <w:tr>
        <w:trPr>
          <w:trHeight w:val="167"/>
        </w:trPr>
        <w:tc>
          <w:tcPr>
            <w:tcW w:w="27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Change from 31 December 2022 to 31 December 2023</w:t>
            </w: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(29.6) %</w:t>
            </w:r>
          </w:p>
        </w:tc>
        <w:tc>
          <w:tcPr>
            <w:tcW w:w="0" w:type="dxa"/>
            <w:vAlign w:val="bottom"/>
          </w:tcPr>
          <w:p>
            <w:pPr>
              <w:spacing w:after="0"/>
              <w:rPr>
                <w:sz w:val="1"/>
                <w:szCs w:val="1"/>
                <w:color w:val="auto"/>
              </w:rPr>
            </w:pPr>
          </w:p>
        </w:tc>
      </w:tr>
      <w:tr>
        <w:trPr>
          <w:trHeight w:val="221"/>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New York Stock Exchange</w:t>
            </w:r>
          </w:p>
        </w:tc>
        <w:tc>
          <w:tcPr>
            <w:tcW w:w="740" w:type="dxa"/>
            <w:vAlign w:val="bottom"/>
          </w:tcPr>
          <w:p>
            <w:pPr>
              <w:spacing w:after="0"/>
              <w:rPr>
                <w:sz w:val="19"/>
                <w:szCs w:val="19"/>
                <w:color w:val="auto"/>
              </w:rPr>
            </w:pPr>
          </w:p>
        </w:tc>
        <w:tc>
          <w:tcPr>
            <w:tcW w:w="740" w:type="dxa"/>
            <w:vAlign w:val="bottom"/>
          </w:tcPr>
          <w:p>
            <w:pPr>
              <w:spacing w:after="0"/>
              <w:rPr>
                <w:sz w:val="19"/>
                <w:szCs w:val="19"/>
                <w:color w:val="auto"/>
              </w:rPr>
            </w:pPr>
          </w:p>
        </w:tc>
        <w:tc>
          <w:tcPr>
            <w:tcW w:w="74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160"/>
        </w:trPr>
        <w:tc>
          <w:tcPr>
            <w:tcW w:w="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USD</w:t>
            </w:r>
          </w:p>
        </w:tc>
        <w:tc>
          <w:tcPr>
            <w:tcW w:w="248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High</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Low</w:t>
            </w:r>
          </w:p>
        </w:tc>
        <w:tc>
          <w:tcPr>
            <w:tcW w:w="740" w:type="dxa"/>
            <w:vAlign w:val="bottom"/>
            <w:tcBorders>
              <w:bottom w:val="single" w:sz="8" w:color="005AFF"/>
            </w:tcBorders>
          </w:tcPr>
          <w:p>
            <w:pPr>
              <w:ind w:left="480"/>
              <w:spacing w:after="0"/>
              <w:rPr>
                <w:sz w:val="20"/>
                <w:szCs w:val="20"/>
                <w:color w:val="auto"/>
              </w:rPr>
            </w:pPr>
            <w:r>
              <w:rPr>
                <w:rFonts w:ascii="Times New Roman" w:cs="Times New Roman" w:eastAsia="Times New Roman" w:hAnsi="Times New Roman"/>
                <w:sz w:val="8"/>
                <w:szCs w:val="8"/>
                <w:b w:val="1"/>
                <w:bCs w:val="1"/>
                <w:color w:val="005AFF"/>
              </w:rPr>
              <w:t>Value</w:t>
            </w:r>
          </w:p>
        </w:tc>
        <w:tc>
          <w:tcPr>
            <w:tcW w:w="0" w:type="dxa"/>
            <w:vAlign w:val="bottom"/>
          </w:tcPr>
          <w:p>
            <w:pPr>
              <w:spacing w:after="0"/>
              <w:rPr>
                <w:sz w:val="1"/>
                <w:szCs w:val="1"/>
                <w:color w:val="auto"/>
              </w:rPr>
            </w:pPr>
          </w:p>
        </w:tc>
      </w:tr>
      <w:tr>
        <w:trPr>
          <w:trHeight w:val="140"/>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High/Low</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5.04</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2.94</w:t>
            </w:r>
          </w:p>
        </w:tc>
        <w:tc>
          <w:tcPr>
            <w:tcW w:w="74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Average (Volume-weighted)</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4.05</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2023</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3.42</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2022</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4.64</w:t>
            </w:r>
          </w:p>
        </w:tc>
        <w:tc>
          <w:tcPr>
            <w:tcW w:w="0" w:type="dxa"/>
            <w:vAlign w:val="bottom"/>
          </w:tcPr>
          <w:p>
            <w:pPr>
              <w:spacing w:after="0"/>
              <w:rPr>
                <w:sz w:val="1"/>
                <w:szCs w:val="1"/>
                <w:color w:val="auto"/>
              </w:rPr>
            </w:pPr>
          </w:p>
        </w:tc>
      </w:tr>
      <w:tr>
        <w:trPr>
          <w:trHeight w:val="167"/>
        </w:trPr>
        <w:tc>
          <w:tcPr>
            <w:tcW w:w="27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Change from 31 December 2022 to 31 December 2023</w:t>
            </w: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(26.3) %</w:t>
            </w:r>
          </w:p>
        </w:tc>
        <w:tc>
          <w:tcPr>
            <w:tcW w:w="0" w:type="dxa"/>
            <w:vAlign w:val="bottom"/>
          </w:tcPr>
          <w:p>
            <w:pPr>
              <w:spacing w:after="0"/>
              <w:rPr>
                <w:sz w:val="1"/>
                <w:szCs w:val="1"/>
                <w:color w:val="auto"/>
              </w:rPr>
            </w:pPr>
          </w:p>
        </w:tc>
      </w:tr>
      <w:tr>
        <w:trPr>
          <w:trHeight w:val="211"/>
        </w:trPr>
        <w:tc>
          <w:tcPr>
            <w:tcW w:w="27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Euronext Paris</w:t>
            </w:r>
          </w:p>
        </w:tc>
        <w:tc>
          <w:tcPr>
            <w:tcW w:w="740" w:type="dxa"/>
            <w:vAlign w:val="bottom"/>
          </w:tcPr>
          <w:p>
            <w:pPr>
              <w:spacing w:after="0"/>
              <w:rPr>
                <w:sz w:val="18"/>
                <w:szCs w:val="18"/>
                <w:color w:val="auto"/>
              </w:rPr>
            </w:pPr>
          </w:p>
        </w:tc>
        <w:tc>
          <w:tcPr>
            <w:tcW w:w="740" w:type="dxa"/>
            <w:vAlign w:val="bottom"/>
          </w:tcPr>
          <w:p>
            <w:pPr>
              <w:spacing w:after="0"/>
              <w:rPr>
                <w:sz w:val="18"/>
                <w:szCs w:val="18"/>
                <w:color w:val="auto"/>
              </w:rPr>
            </w:pPr>
          </w:p>
        </w:tc>
        <w:tc>
          <w:tcPr>
            <w:tcW w:w="740" w:type="dxa"/>
            <w:vAlign w:val="bottom"/>
          </w:tcPr>
          <w:p>
            <w:pPr>
              <w:spacing w:after="0"/>
              <w:rPr>
                <w:sz w:val="18"/>
                <w:szCs w:val="18"/>
                <w:color w:val="auto"/>
              </w:rPr>
            </w:pPr>
          </w:p>
        </w:tc>
        <w:tc>
          <w:tcPr>
            <w:tcW w:w="0" w:type="dxa"/>
            <w:vAlign w:val="bottom"/>
          </w:tcPr>
          <w:p>
            <w:pPr>
              <w:spacing w:after="0"/>
              <w:rPr>
                <w:sz w:val="1"/>
                <w:szCs w:val="1"/>
                <w:color w:val="auto"/>
              </w:rPr>
            </w:pPr>
          </w:p>
        </w:tc>
      </w:tr>
      <w:tr>
        <w:trPr>
          <w:trHeight w:val="160"/>
        </w:trPr>
        <w:tc>
          <w:tcPr>
            <w:tcW w:w="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w:t>
            </w:r>
          </w:p>
        </w:tc>
        <w:tc>
          <w:tcPr>
            <w:tcW w:w="248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High</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Low</w:t>
            </w:r>
          </w:p>
        </w:tc>
        <w:tc>
          <w:tcPr>
            <w:tcW w:w="740" w:type="dxa"/>
            <w:vAlign w:val="bottom"/>
            <w:tcBorders>
              <w:bottom w:val="single" w:sz="8" w:color="005AFF"/>
            </w:tcBorders>
          </w:tcPr>
          <w:p>
            <w:pPr>
              <w:ind w:left="480"/>
              <w:spacing w:after="0"/>
              <w:rPr>
                <w:sz w:val="20"/>
                <w:szCs w:val="20"/>
                <w:color w:val="auto"/>
              </w:rPr>
            </w:pPr>
            <w:r>
              <w:rPr>
                <w:rFonts w:ascii="Times New Roman" w:cs="Times New Roman" w:eastAsia="Times New Roman" w:hAnsi="Times New Roman"/>
                <w:sz w:val="8"/>
                <w:szCs w:val="8"/>
                <w:b w:val="1"/>
                <w:bCs w:val="1"/>
                <w:color w:val="005AFF"/>
              </w:rPr>
              <w:t>Value</w:t>
            </w:r>
          </w:p>
        </w:tc>
        <w:tc>
          <w:tcPr>
            <w:tcW w:w="0" w:type="dxa"/>
            <w:vAlign w:val="bottom"/>
          </w:tcPr>
          <w:p>
            <w:pPr>
              <w:spacing w:after="0"/>
              <w:rPr>
                <w:sz w:val="1"/>
                <w:szCs w:val="1"/>
                <w:color w:val="auto"/>
              </w:rPr>
            </w:pPr>
          </w:p>
        </w:tc>
      </w:tr>
      <w:tr>
        <w:trPr>
          <w:trHeight w:val="140"/>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High/Low</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4.70</w:t>
            </w:r>
          </w:p>
        </w:tc>
        <w:tc>
          <w:tcPr>
            <w:tcW w:w="74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2.70</w:t>
            </w:r>
          </w:p>
        </w:tc>
        <w:tc>
          <w:tcPr>
            <w:tcW w:w="74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2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2023</w:t>
            </w:r>
          </w:p>
        </w:tc>
        <w:tc>
          <w:tcPr>
            <w:tcW w:w="2480" w:type="dxa"/>
            <w:vAlign w:val="bottom"/>
          </w:tcPr>
          <w:p>
            <w:pPr>
              <w:spacing w:after="0"/>
              <w:rPr>
                <w:sz w:val="20"/>
                <w:szCs w:val="20"/>
                <w:color w:val="auto"/>
              </w:rPr>
            </w:pPr>
            <w:r>
              <w:rPr>
                <w:rFonts w:ascii="Times New Roman" w:cs="Times New Roman" w:eastAsia="Times New Roman" w:hAnsi="Times New Roman"/>
                <w:sz w:val="10"/>
                <w:szCs w:val="10"/>
                <w:color w:val="0D0D0D"/>
              </w:rPr>
              <w:t>Full year Average (Volume-weighted)</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3.76</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2023</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3.06</w:t>
            </w:r>
          </w:p>
        </w:tc>
        <w:tc>
          <w:tcPr>
            <w:tcW w:w="0" w:type="dxa"/>
            <w:vAlign w:val="bottom"/>
          </w:tcPr>
          <w:p>
            <w:pPr>
              <w:spacing w:after="0"/>
              <w:rPr>
                <w:sz w:val="1"/>
                <w:szCs w:val="1"/>
                <w:color w:val="auto"/>
              </w:rPr>
            </w:pPr>
          </w:p>
        </w:tc>
      </w:tr>
      <w:tr>
        <w:trPr>
          <w:trHeight w:val="162"/>
        </w:trPr>
        <w:tc>
          <w:tcPr>
            <w:tcW w:w="27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Year-end value 31 December 2022</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ind w:left="480"/>
              <w:spacing w:after="0"/>
              <w:rPr>
                <w:sz w:val="20"/>
                <w:szCs w:val="20"/>
                <w:color w:val="auto"/>
              </w:rPr>
            </w:pPr>
            <w:r>
              <w:rPr>
                <w:rFonts w:ascii="Times New Roman" w:cs="Times New Roman" w:eastAsia="Times New Roman" w:hAnsi="Times New Roman"/>
                <w:sz w:val="10"/>
                <w:szCs w:val="10"/>
                <w:color w:val="005AFF"/>
              </w:rPr>
              <w:t>4.34</w:t>
            </w:r>
          </w:p>
        </w:tc>
        <w:tc>
          <w:tcPr>
            <w:tcW w:w="0" w:type="dxa"/>
            <w:vAlign w:val="bottom"/>
          </w:tcPr>
          <w:p>
            <w:pPr>
              <w:spacing w:after="0"/>
              <w:rPr>
                <w:sz w:val="1"/>
                <w:szCs w:val="1"/>
                <w:color w:val="auto"/>
              </w:rPr>
            </w:pPr>
          </w:p>
        </w:tc>
      </w:tr>
      <w:tr>
        <w:trPr>
          <w:trHeight w:val="167"/>
        </w:trPr>
        <w:tc>
          <w:tcPr>
            <w:tcW w:w="27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Change from 31 December 2022 to 31 December 2023</w:t>
            </w: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(29.5) %</w:t>
            </w:r>
          </w:p>
        </w:tc>
        <w:tc>
          <w:tcPr>
            <w:tcW w:w="0" w:type="dxa"/>
            <w:vAlign w:val="bottom"/>
          </w:tcPr>
          <w:p>
            <w:pPr>
              <w:spacing w:after="0"/>
              <w:rPr>
                <w:sz w:val="1"/>
                <w:szCs w:val="1"/>
                <w:color w:val="auto"/>
              </w:rPr>
            </w:pPr>
          </w:p>
        </w:tc>
      </w:tr>
    </w:tbl>
    <w:p>
      <w:pPr>
        <w:sectPr>
          <w:pgSz w:w="11900" w:h="16838" w:orient="portrait"/>
          <w:cols w:equalWidth="0" w:num="2">
            <w:col w:w="4940" w:space="160"/>
            <w:col w:w="4960"/>
          </w:cols>
          <w:pgMar w:left="960" w:top="409" w:right="879" w:bottom="1440" w:gutter="0" w:footer="0" w:header="0"/>
        </w:sectPr>
      </w:pPr>
    </w:p>
    <w:bookmarkStart w:id="116" w:name="page117"/>
    <w:bookmarkEnd w:id="116"/>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760" w:type="dxa"/>
            <w:vAlign w:val="bottom"/>
          </w:tcPr>
          <w:p>
            <w:pPr>
              <w:jc w:val="right"/>
              <w:ind w:right="53"/>
              <w:spacing w:after="0"/>
              <w:rPr>
                <w:sz w:val="20"/>
                <w:szCs w:val="20"/>
                <w:color w:val="auto"/>
              </w:rPr>
            </w:pPr>
            <w:r>
              <w:rPr>
                <w:rFonts w:ascii="Times New Roman" w:cs="Times New Roman" w:eastAsia="Times New Roman" w:hAnsi="Times New Roman"/>
                <w:sz w:val="9"/>
                <w:szCs w:val="9"/>
                <w:color w:val="auto"/>
              </w:rPr>
              <w:t>Corporate</w:t>
            </w:r>
          </w:p>
        </w:tc>
        <w:tc>
          <w:tcPr>
            <w:tcW w:w="520" w:type="dxa"/>
            <w:vAlign w:val="bottom"/>
          </w:tcPr>
          <w:p>
            <w:pPr>
              <w:spacing w:after="0"/>
              <w:rPr>
                <w:sz w:val="9"/>
                <w:szCs w:val="9"/>
                <w:color w:val="auto"/>
              </w:rPr>
            </w:pP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109</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760" w:type="dxa"/>
            <w:vAlign w:val="bottom"/>
          </w:tcPr>
          <w:p>
            <w:pPr>
              <w:jc w:val="right"/>
              <w:spacing w:after="0"/>
              <w:rPr>
                <w:sz w:val="20"/>
                <w:szCs w:val="20"/>
                <w:color w:val="auto"/>
              </w:rPr>
            </w:pPr>
            <w:r>
              <w:rPr>
                <w:rFonts w:ascii="Times New Roman" w:cs="Times New Roman" w:eastAsia="Times New Roman" w:hAnsi="Times New Roman"/>
                <w:sz w:val="9"/>
                <w:szCs w:val="9"/>
                <w:color w:val="auto"/>
              </w:rPr>
              <w:t>governance</w:t>
            </w:r>
          </w:p>
        </w:tc>
        <w:tc>
          <w:tcPr>
            <w:tcW w:w="520" w:type="dxa"/>
            <w:vAlign w:val="bottom"/>
          </w:tcPr>
          <w:p>
            <w:pPr>
              <w:spacing w:after="0"/>
              <w:rPr>
                <w:sz w:val="11"/>
                <w:szCs w:val="11"/>
                <w:color w:val="auto"/>
              </w:rPr>
            </w:pP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400" w:type="dxa"/>
            <w:vAlign w:val="bottom"/>
            <w:gridSpan w:val="2"/>
          </w:tcPr>
          <w:p>
            <w:pPr>
              <w:spacing w:after="0"/>
              <w:rPr>
                <w:sz w:val="3"/>
                <w:szCs w:val="3"/>
                <w:color w:val="auto"/>
              </w:rPr>
            </w:pPr>
          </w:p>
        </w:tc>
        <w:tc>
          <w:tcPr>
            <w:tcW w:w="52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400" w:type="dxa"/>
            <w:vAlign w:val="bottom"/>
            <w:gridSpan w:val="2"/>
          </w:tcPr>
          <w:p>
            <w:pPr>
              <w:jc w:val="right"/>
              <w:ind w:right="53"/>
              <w:spacing w:after="0"/>
              <w:rPr>
                <w:sz w:val="20"/>
                <w:szCs w:val="20"/>
                <w:color w:val="auto"/>
              </w:rPr>
            </w:pPr>
            <w:r>
              <w:rPr>
                <w:rFonts w:ascii="Times New Roman" w:cs="Times New Roman" w:eastAsia="Times New Roman" w:hAnsi="Times New Roman"/>
                <w:sz w:val="13"/>
                <w:szCs w:val="13"/>
                <w:color w:val="005AFF"/>
              </w:rPr>
              <w:t>Shares and shareholders</w:t>
            </w:r>
          </w:p>
        </w:tc>
        <w:tc>
          <w:tcPr>
            <w:tcW w:w="1520" w:type="dxa"/>
            <w:vAlign w:val="bottom"/>
            <w:gridSpan w:val="2"/>
          </w:tcPr>
          <w:p>
            <w:pPr>
              <w:ind w:left="20"/>
              <w:spacing w:after="0"/>
              <w:rPr>
                <w:sz w:val="20"/>
                <w:szCs w:val="20"/>
                <w:color w:val="auto"/>
              </w:rPr>
            </w:pPr>
            <w:r>
              <w:rPr>
                <w:rFonts w:ascii="Times New Roman" w:cs="Times New Roman" w:eastAsia="Times New Roman" w:hAnsi="Times New Roman"/>
                <w:sz w:val="13"/>
                <w:szCs w:val="13"/>
                <w:color w:val="005AFF"/>
              </w:rPr>
              <w:t>continued</w:t>
            </w:r>
          </w:p>
        </w:tc>
        <w:tc>
          <w:tcPr>
            <w:tcW w:w="12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6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10040"/>
          </w:cols>
          <w:pgMar w:left="960" w:top="409" w:right="899" w:bottom="1440" w:gutter="0" w:footer="0" w:header="0"/>
        </w:sectPr>
      </w:pPr>
    </w:p>
    <w:p>
      <w:pPr>
        <w:spacing w:after="0" w:line="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Stock option exercises</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Since 2019, Nokia has not administered any global stock option plans.</w:t>
      </w:r>
    </w:p>
    <w:p>
      <w:pPr>
        <w:spacing w:after="0" w:line="8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Dividend and share buybacks</w:t>
      </w:r>
    </w:p>
    <w:p>
      <w:pPr>
        <w:spacing w:after="0" w:line="13" w:lineRule="exact"/>
        <w:rPr>
          <w:sz w:val="20"/>
          <w:szCs w:val="20"/>
          <w:color w:val="auto"/>
        </w:rPr>
      </w:pPr>
    </w:p>
    <w:p>
      <w:pPr>
        <w:ind w:right="400"/>
        <w:spacing w:after="0" w:line="268" w:lineRule="auto"/>
        <w:rPr>
          <w:sz w:val="20"/>
          <w:szCs w:val="20"/>
          <w:color w:val="auto"/>
        </w:rPr>
      </w:pPr>
      <w:r>
        <w:rPr>
          <w:rFonts w:ascii="Times New Roman" w:cs="Times New Roman" w:eastAsia="Times New Roman" w:hAnsi="Times New Roman"/>
          <w:sz w:val="11"/>
          <w:szCs w:val="11"/>
          <w:color w:val="auto"/>
        </w:rPr>
        <w:t>The dividend to shareholders is Nokia’s principal method of distributing earnings to shareholders. The dividend policy was updated at the Capital Markets Day in March 2021 to be “We target recurring, stable and over time growing ordinary dividend payments, taking into account the previous year’s earnings as well as the company’s financial position and business outlook”.</w:t>
      </w:r>
    </w:p>
    <w:p>
      <w:pPr>
        <w:spacing w:after="0" w:line="50"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color w:val="auto"/>
        </w:rPr>
        <w:t>The Board of Directors proposes to the Annual General Meeting 2024 that based on the balance sheet to be adopted for the financial year ended on 31 December 2023, no dividend is distributed by a resolution of the Annual General Meeting. Instead, the Board of Directors proposes to be authorized to resolve in its discretion on the distribution of an aggregate maximum of EUR 0.13 per share as dividend from the retained earnings and/or as assets from the reserve for invested unrestricted equity. The authorization would be used to distribute dividend and/or assets from the reserve for invested unrestricted equity in four installments during the authorization period, in connection with the quarterly results, unless the Board</w:t>
      </w:r>
    </w:p>
    <w:p>
      <w:pPr>
        <w:spacing w:after="0" w:line="1" w:lineRule="exact"/>
        <w:rPr>
          <w:sz w:val="20"/>
          <w:szCs w:val="20"/>
          <w:color w:val="auto"/>
        </w:rPr>
      </w:pPr>
    </w:p>
    <w:p>
      <w:pPr>
        <w:ind w:right="500"/>
        <w:spacing w:after="0" w:line="259" w:lineRule="auto"/>
        <w:rPr>
          <w:sz w:val="20"/>
          <w:szCs w:val="20"/>
          <w:color w:val="auto"/>
        </w:rPr>
      </w:pPr>
      <w:r>
        <w:rPr>
          <w:rFonts w:ascii="Times New Roman" w:cs="Times New Roman" w:eastAsia="Times New Roman" w:hAnsi="Times New Roman"/>
          <w:sz w:val="11"/>
          <w:szCs w:val="11"/>
          <w:color w:val="auto"/>
        </w:rPr>
        <w:t>of Directors decides otherwise for a justified reason. The proposed total authorization for distribution of dividend and/or assets from the reserve for invested unrestricted equity is</w:t>
      </w:r>
    </w:p>
    <w:p>
      <w:pPr>
        <w:ind w:right="220"/>
        <w:spacing w:after="0" w:line="268" w:lineRule="auto"/>
        <w:rPr>
          <w:sz w:val="20"/>
          <w:szCs w:val="20"/>
          <w:color w:val="auto"/>
        </w:rPr>
      </w:pPr>
      <w:r>
        <w:rPr>
          <w:rFonts w:ascii="Times New Roman" w:cs="Times New Roman" w:eastAsia="Times New Roman" w:hAnsi="Times New Roman"/>
          <w:sz w:val="11"/>
          <w:szCs w:val="11"/>
          <w:color w:val="auto"/>
        </w:rPr>
        <w:t>in line with the Company’s dividend policy. The authorization would be valid until the opening of the next Annual General Meeting. The Board would make separate resolutions on the amount and timing of each distribution of dividend and/or assets from the reserve for invested unrestricted equity.</w:t>
      </w:r>
    </w:p>
    <w:p>
      <w:pPr>
        <w:spacing w:after="0" w:line="60"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Nokia’s Board of Directors has initiated a share buyback program under the current authorization from the Annual General Meeting to repurchase shares, with purchases expected to begin in the first quarter of 2024. The program targets to return up to EUR 600 million of cash to shareholders in tranches over a period of two years, subject to continued authorization from the Annual General Meeting.</w:t>
      </w:r>
    </w:p>
    <w:p>
      <w:pPr>
        <w:spacing w:after="0" w:line="60" w:lineRule="exact"/>
        <w:rPr>
          <w:sz w:val="20"/>
          <w:szCs w:val="20"/>
          <w:color w:val="auto"/>
        </w:rPr>
      </w:pPr>
    </w:p>
    <w:p>
      <w:pPr>
        <w:ind w:right="220"/>
        <w:spacing w:after="0" w:line="262" w:lineRule="auto"/>
        <w:rPr>
          <w:sz w:val="20"/>
          <w:szCs w:val="20"/>
          <w:color w:val="auto"/>
        </w:rPr>
      </w:pPr>
      <w:r>
        <w:rPr>
          <w:rFonts w:ascii="Times New Roman" w:cs="Times New Roman" w:eastAsia="Times New Roman" w:hAnsi="Times New Roman"/>
          <w:sz w:val="11"/>
          <w:szCs w:val="11"/>
          <w:color w:val="auto"/>
        </w:rPr>
        <w:t>In February 2022, Nokia’s Board of Directors initiated a share buyback program under the authorizations from the Annual General Meetings 2021 and 2022 to repurchase shares to return up to EUR 600 million of cash to shareholders in tranches over a period of two years. The first phase of the share buyback program with a maximum aggregate purchase price of EUR 300 million started in February 2022 and ended in November 2022. The second EUR 300 million phase of the share buyback program started in January 2023 and ended in November 2023.</w:t>
      </w:r>
    </w:p>
    <w:p>
      <w:pPr>
        <w:spacing w:after="0" w:line="3" w:lineRule="exact"/>
        <w:rPr>
          <w:sz w:val="20"/>
          <w:szCs w:val="20"/>
          <w:color w:val="auto"/>
        </w:rPr>
      </w:pPr>
    </w:p>
    <w:p>
      <w:pPr>
        <w:spacing w:after="0"/>
        <w:tabs>
          <w:tab w:leader="none" w:pos="3280" w:val="left"/>
        </w:tabs>
        <w:rPr>
          <w:sz w:val="20"/>
          <w:szCs w:val="20"/>
          <w:color w:val="auto"/>
        </w:rPr>
      </w:pPr>
      <w:r>
        <w:rPr>
          <w:rFonts w:ascii="Times New Roman" w:cs="Times New Roman" w:eastAsia="Times New Roman" w:hAnsi="Times New Roman"/>
          <w:sz w:val="11"/>
          <w:szCs w:val="11"/>
          <w:color w:val="auto"/>
        </w:rPr>
        <w:t>The whole share buyback program has now been completed and</w:t>
      </w:r>
      <w:r>
        <w:rPr>
          <w:sz w:val="20"/>
          <w:szCs w:val="20"/>
          <w:color w:val="auto"/>
        </w:rPr>
        <w:tab/>
      </w:r>
      <w:r>
        <w:rPr>
          <w:rFonts w:ascii="Times New Roman" w:cs="Times New Roman" w:eastAsia="Times New Roman" w:hAnsi="Times New Roman"/>
          <w:sz w:val="11"/>
          <w:szCs w:val="11"/>
          <w:color w:val="auto"/>
        </w:rPr>
        <w:t>the repurchased shares have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been cancelled.</w:t>
      </w:r>
    </w:p>
    <w:p>
      <w:pPr>
        <w:spacing w:after="0" w:line="89" w:lineRule="exact"/>
        <w:rPr>
          <w:sz w:val="20"/>
          <w:szCs w:val="20"/>
          <w:color w:val="auto"/>
        </w:rPr>
      </w:pPr>
    </w:p>
    <w:p>
      <w:pPr>
        <w:ind w:right="240"/>
        <w:spacing w:after="0" w:line="265" w:lineRule="auto"/>
        <w:rPr>
          <w:sz w:val="20"/>
          <w:szCs w:val="20"/>
          <w:color w:val="auto"/>
        </w:rPr>
      </w:pPr>
      <w:r>
        <w:rPr>
          <w:rFonts w:ascii="Times New Roman" w:cs="Times New Roman" w:eastAsia="Times New Roman" w:hAnsi="Times New Roman"/>
          <w:sz w:val="11"/>
          <w:szCs w:val="11"/>
          <w:color w:val="auto"/>
        </w:rPr>
        <w:t>We distribute distributable funds, if any, within the limits set by the Finnish Companies Act as defined below. We make and calculate the distribution, if any, in the form of cash dividends, assets from the reserve for invested unrestricted equity, share buybacks, or in some other form, or a combination of these. There is no specific formula by which the amount of a distribution is determined, although some limits set by law are discussed below. The timing and amount of future distributions of retained earnings and/or assets from the reserve for invested unrestricted equity, if any, will depend on our future results and financial conditions.</w:t>
      </w:r>
    </w:p>
    <w:p>
      <w:pPr>
        <w:spacing w:after="0" w:line="3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81" w:lineRule="exact"/>
        <w:rPr>
          <w:sz w:val="20"/>
          <w:szCs w:val="20"/>
          <w:color w:val="auto"/>
        </w:rPr>
      </w:pPr>
    </w:p>
    <w:p>
      <w:pPr>
        <w:ind w:right="640"/>
        <w:spacing w:after="0" w:line="266" w:lineRule="auto"/>
        <w:rPr>
          <w:sz w:val="20"/>
          <w:szCs w:val="20"/>
          <w:color w:val="auto"/>
        </w:rPr>
      </w:pPr>
      <w:r>
        <w:rPr>
          <w:rFonts w:ascii="Times New Roman" w:cs="Times New Roman" w:eastAsia="Times New Roman" w:hAnsi="Times New Roman"/>
          <w:sz w:val="11"/>
          <w:szCs w:val="11"/>
          <w:color w:val="auto"/>
        </w:rPr>
        <w:t>Under the Finnish Companies Act, we may distribute retained earnings and/or assets from the reserve for invested unrestricted equity on our shares only upon a shareholders’ resolution and subject to limited exceptions in the amount proposed by the Board. The amount of any distribution is limited to the amount of distributable earnings of the Parent Company pursuant to the last audited financial statements approved by our shareholders, taking into account the material changes in the financial situation of the Parent Company after the end of the last financial period and a statutory requirement that the distribution of earnings must not result in insolvency of the Parent Company. Subject to exceptions relating to the right of minority shareholders to request a certain minimum distribution, the distribution may not exceed the amount proposed by the Board of Directors.</w:t>
      </w:r>
    </w:p>
    <w:p>
      <w:pPr>
        <w:spacing w:after="0" w:line="52" w:lineRule="exact"/>
        <w:rPr>
          <w:sz w:val="20"/>
          <w:szCs w:val="20"/>
          <w:color w:val="auto"/>
        </w:rPr>
      </w:pPr>
    </w:p>
    <w:tbl>
      <w:tblPr>
        <w:tblLayout w:type="fixed"/>
        <w:tblInd w:w="0" w:type="dxa"/>
        <w:tblCellMar>
          <w:top w:w="0" w:type="dxa"/>
          <w:left w:w="0" w:type="dxa"/>
          <w:bottom w:w="0" w:type="dxa"/>
          <w:right w:w="0" w:type="dxa"/>
        </w:tblCellMar>
      </w:tblPr>
      <w:tr>
        <w:trPr>
          <w:trHeight w:val="144"/>
        </w:trPr>
        <w:tc>
          <w:tcPr>
            <w:tcW w:w="3980" w:type="dxa"/>
            <w:vAlign w:val="bottom"/>
            <w:gridSpan w:val="4"/>
          </w:tcPr>
          <w:p>
            <w:pPr>
              <w:spacing w:after="0"/>
              <w:rPr>
                <w:sz w:val="20"/>
                <w:szCs w:val="20"/>
                <w:color w:val="auto"/>
              </w:rPr>
            </w:pPr>
            <w:r>
              <w:rPr>
                <w:rFonts w:ascii="Times New Roman" w:cs="Times New Roman" w:eastAsia="Times New Roman" w:hAnsi="Times New Roman"/>
                <w:sz w:val="11"/>
                <w:szCs w:val="11"/>
                <w:b w:val="1"/>
                <w:bCs w:val="1"/>
                <w:color w:val="auto"/>
              </w:rPr>
              <w:t>Purchases of equity securities by the Company and affiliated purchasers</w:t>
            </w:r>
          </w:p>
        </w:tc>
        <w:tc>
          <w:tcPr>
            <w:tcW w:w="960" w:type="dxa"/>
            <w:vAlign w:val="bottom"/>
          </w:tcPr>
          <w:p>
            <w:pPr>
              <w:spacing w:after="0"/>
              <w:rPr>
                <w:sz w:val="12"/>
                <w:szCs w:val="12"/>
                <w:color w:val="auto"/>
              </w:rPr>
            </w:pPr>
          </w:p>
        </w:tc>
      </w:tr>
      <w:tr>
        <w:trPr>
          <w:trHeight w:val="148"/>
        </w:trPr>
        <w:tc>
          <w:tcPr>
            <w:tcW w:w="39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The table below presents additional information on the purchases of treasury shares in</w:t>
            </w:r>
          </w:p>
        </w:tc>
        <w:tc>
          <w:tcPr>
            <w:tcW w:w="960" w:type="dxa"/>
            <w:vAlign w:val="bottom"/>
          </w:tcPr>
          <w:p>
            <w:pPr>
              <w:ind w:left="480"/>
              <w:spacing w:after="0"/>
              <w:rPr>
                <w:sz w:val="20"/>
                <w:szCs w:val="20"/>
                <w:color w:val="auto"/>
              </w:rPr>
            </w:pPr>
            <w:r>
              <w:rPr>
                <w:rFonts w:ascii="Times New Roman" w:cs="Times New Roman" w:eastAsia="Times New Roman" w:hAnsi="Times New Roman"/>
                <w:sz w:val="11"/>
                <w:szCs w:val="11"/>
                <w:color w:val="auto"/>
              </w:rPr>
              <w:t>2023 :</w:t>
            </w:r>
          </w:p>
        </w:tc>
      </w:tr>
      <w:tr>
        <w:trPr>
          <w:trHeight w:val="218"/>
        </w:trPr>
        <w:tc>
          <w:tcPr>
            <w:tcW w:w="760" w:type="dxa"/>
            <w:vAlign w:val="bottom"/>
          </w:tcPr>
          <w:p>
            <w:pPr>
              <w:spacing w:after="0"/>
              <w:rPr>
                <w:sz w:val="18"/>
                <w:szCs w:val="18"/>
                <w:color w:val="auto"/>
              </w:rPr>
            </w:pPr>
          </w:p>
        </w:tc>
        <w:tc>
          <w:tcPr>
            <w:tcW w:w="1240" w:type="dxa"/>
            <w:vAlign w:val="bottom"/>
          </w:tcPr>
          <w:p>
            <w:pPr>
              <w:spacing w:after="0"/>
              <w:rPr>
                <w:sz w:val="18"/>
                <w:szCs w:val="18"/>
                <w:color w:val="auto"/>
              </w:rPr>
            </w:pPr>
          </w:p>
        </w:tc>
        <w:tc>
          <w:tcPr>
            <w:tcW w:w="1000" w:type="dxa"/>
            <w:vAlign w:val="bottom"/>
          </w:tcPr>
          <w:p>
            <w:pPr>
              <w:spacing w:after="0"/>
              <w:rPr>
                <w:sz w:val="18"/>
                <w:szCs w:val="18"/>
                <w:color w:val="auto"/>
              </w:rPr>
            </w:pPr>
          </w:p>
        </w:tc>
        <w:tc>
          <w:tcPr>
            <w:tcW w:w="980" w:type="dxa"/>
            <w:vAlign w:val="bottom"/>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Total number of shares</w:t>
            </w:r>
          </w:p>
        </w:tc>
        <w:tc>
          <w:tcPr>
            <w:tcW w:w="96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Maximum value of</w:t>
            </w:r>
          </w:p>
        </w:tc>
      </w:tr>
      <w:tr>
        <w:trPr>
          <w:trHeight w:val="91"/>
        </w:trPr>
        <w:tc>
          <w:tcPr>
            <w:tcW w:w="760" w:type="dxa"/>
            <w:vAlign w:val="bottom"/>
          </w:tcPr>
          <w:p>
            <w:pPr>
              <w:spacing w:after="0"/>
              <w:rPr>
                <w:sz w:val="7"/>
                <w:szCs w:val="7"/>
                <w:color w:val="auto"/>
              </w:rPr>
            </w:pPr>
          </w:p>
        </w:tc>
        <w:tc>
          <w:tcPr>
            <w:tcW w:w="1240" w:type="dxa"/>
            <w:vAlign w:val="bottom"/>
          </w:tcPr>
          <w:p>
            <w:pPr>
              <w:spacing w:after="0"/>
              <w:rPr>
                <w:sz w:val="7"/>
                <w:szCs w:val="7"/>
                <w:color w:val="auto"/>
              </w:rPr>
            </w:pPr>
          </w:p>
        </w:tc>
        <w:tc>
          <w:tcPr>
            <w:tcW w:w="1000" w:type="dxa"/>
            <w:vAlign w:val="bottom"/>
          </w:tcPr>
          <w:p>
            <w:pPr>
              <w:spacing w:after="0"/>
              <w:rPr>
                <w:sz w:val="7"/>
                <w:szCs w:val="7"/>
                <w:color w:val="auto"/>
              </w:rPr>
            </w:pPr>
          </w:p>
        </w:tc>
        <w:tc>
          <w:tcPr>
            <w:tcW w:w="980" w:type="dxa"/>
            <w:vAlign w:val="bottom"/>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purchased as part of</w:t>
            </w:r>
          </w:p>
        </w:tc>
        <w:tc>
          <w:tcPr>
            <w:tcW w:w="960" w:type="dxa"/>
            <w:vAlign w:val="bottom"/>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shares that may yet be</w:t>
            </w:r>
          </w:p>
        </w:tc>
      </w:tr>
      <w:tr>
        <w:trPr>
          <w:trHeight w:val="101"/>
        </w:trPr>
        <w:tc>
          <w:tcPr>
            <w:tcW w:w="760" w:type="dxa"/>
            <w:vAlign w:val="bottom"/>
          </w:tcPr>
          <w:p>
            <w:pPr>
              <w:spacing w:after="0"/>
              <w:rPr>
                <w:sz w:val="8"/>
                <w:szCs w:val="8"/>
                <w:color w:val="auto"/>
              </w:rPr>
            </w:pPr>
          </w:p>
        </w:tc>
        <w:tc>
          <w:tcPr>
            <w:tcW w:w="1240" w:type="dxa"/>
            <w:vAlign w:val="bottom"/>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Total number of shares</w:t>
            </w:r>
          </w:p>
        </w:tc>
        <w:tc>
          <w:tcPr>
            <w:tcW w:w="1000" w:type="dxa"/>
            <w:vAlign w:val="bottom"/>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Average price paid per</w:t>
            </w:r>
          </w:p>
        </w:tc>
        <w:tc>
          <w:tcPr>
            <w:tcW w:w="980" w:type="dxa"/>
            <w:vAlign w:val="bottom"/>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publicly announced</w:t>
            </w:r>
          </w:p>
        </w:tc>
        <w:tc>
          <w:tcPr>
            <w:tcW w:w="96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purchased under the</w:t>
            </w:r>
          </w:p>
        </w:tc>
      </w:tr>
      <w:tr>
        <w:trPr>
          <w:trHeight w:val="114"/>
        </w:trPr>
        <w:tc>
          <w:tcPr>
            <w:tcW w:w="7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Period</w:t>
            </w:r>
          </w:p>
        </w:tc>
        <w:tc>
          <w:tcPr>
            <w:tcW w:w="124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purchased</w:t>
            </w:r>
          </w:p>
        </w:tc>
        <w:tc>
          <w:tcPr>
            <w:tcW w:w="10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share, EUR</w:t>
            </w:r>
          </w:p>
        </w:tc>
        <w:tc>
          <w:tcPr>
            <w:tcW w:w="98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plans or programs</w:t>
            </w:r>
          </w:p>
        </w:tc>
        <w:tc>
          <w:tcPr>
            <w:tcW w:w="9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plans or programs, EUR</w:t>
            </w:r>
          </w:p>
        </w:tc>
      </w:tr>
      <w:tr>
        <w:trPr>
          <w:trHeight w:val="140"/>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January</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6 156 200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4.44</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6 156 200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272 653 299</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February</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5 991 500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4.40</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5 991 500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246 290 179</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March</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6 871 300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4.39</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6 871 300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216 111 864</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April</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5 556 000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4.19</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5 556 000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192 858 651</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May</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7 845 100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3.77</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7 845 100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163 286 436</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June</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7 725 400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3.83</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7 725 400</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133 733 303</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July</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8 004 933</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3.69</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8 004 933</w:t>
            </w:r>
          </w:p>
        </w:tc>
        <w:tc>
          <w:tcPr>
            <w:tcW w:w="960" w:type="dxa"/>
            <w:vAlign w:val="bottom"/>
          </w:tcPr>
          <w:p>
            <w:pPr>
              <w:ind w:left="320"/>
              <w:spacing w:after="0"/>
              <w:rPr>
                <w:sz w:val="20"/>
                <w:szCs w:val="20"/>
                <w:color w:val="auto"/>
              </w:rPr>
            </w:pPr>
            <w:r>
              <w:rPr>
                <w:rFonts w:ascii="Times New Roman" w:cs="Times New Roman" w:eastAsia="Times New Roman" w:hAnsi="Times New Roman"/>
                <w:sz w:val="10"/>
                <w:szCs w:val="10"/>
                <w:color w:val="0D0D0D"/>
              </w:rPr>
              <w:t>104 229 737</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August</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9 117 690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3.55</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9 117 690</w:t>
            </w:r>
          </w:p>
        </w:tc>
        <w:tc>
          <w:tcPr>
            <w:tcW w:w="9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71 835 889</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September</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8 030 700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3.68</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8 030 700</w:t>
            </w:r>
          </w:p>
        </w:tc>
        <w:tc>
          <w:tcPr>
            <w:tcW w:w="9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42 257 048</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October</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9 510 000</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3.26</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9 510 000</w:t>
            </w:r>
          </w:p>
        </w:tc>
        <w:tc>
          <w:tcPr>
            <w:tcW w:w="96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11 213 435</w:t>
            </w:r>
          </w:p>
        </w:tc>
      </w:tr>
      <w:tr>
        <w:trPr>
          <w:trHeight w:val="162"/>
        </w:trPr>
        <w:tc>
          <w:tcPr>
            <w:tcW w:w="7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November</w:t>
            </w:r>
          </w:p>
        </w:tc>
        <w:tc>
          <w:tcPr>
            <w:tcW w:w="124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3 492 188</w:t>
            </w:r>
          </w:p>
        </w:tc>
        <w:tc>
          <w:tcPr>
            <w:tcW w:w="10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3.21</w:t>
            </w:r>
          </w:p>
        </w:tc>
        <w:tc>
          <w:tcPr>
            <w:tcW w:w="98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3 492 188</w:t>
            </w:r>
          </w:p>
        </w:tc>
        <w:tc>
          <w:tcPr>
            <w:tcW w:w="960" w:type="dxa"/>
            <w:vAlign w:val="bottom"/>
          </w:tcPr>
          <w:p>
            <w:pPr>
              <w:ind w:left="860"/>
              <w:spacing w:after="0"/>
              <w:rPr>
                <w:sz w:val="20"/>
                <w:szCs w:val="20"/>
                <w:color w:val="auto"/>
              </w:rPr>
            </w:pPr>
            <w:r>
              <w:rPr>
                <w:rFonts w:ascii="Times New Roman" w:cs="Times New Roman" w:eastAsia="Times New Roman" w:hAnsi="Times New Roman"/>
                <w:sz w:val="10"/>
                <w:szCs w:val="10"/>
                <w:color w:val="0D0D0D"/>
                <w:w w:val="79"/>
              </w:rPr>
              <w:t>—</w:t>
            </w:r>
          </w:p>
        </w:tc>
      </w:tr>
      <w:tr>
        <w:trPr>
          <w:trHeight w:val="177"/>
        </w:trPr>
        <w:tc>
          <w:tcPr>
            <w:tcW w:w="7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December</w:t>
            </w:r>
          </w:p>
        </w:tc>
        <w:tc>
          <w:tcPr>
            <w:tcW w:w="12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10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9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w:t>
            </w:r>
          </w:p>
        </w:tc>
        <w:tc>
          <w:tcPr>
            <w:tcW w:w="960" w:type="dxa"/>
            <w:vAlign w:val="bottom"/>
            <w:tcBorders>
              <w:bottom w:val="single" w:sz="8" w:color="005AFF"/>
            </w:tcBorders>
          </w:tcPr>
          <w:p>
            <w:pPr>
              <w:ind w:left="860"/>
              <w:spacing w:after="0"/>
              <w:rPr>
                <w:sz w:val="20"/>
                <w:szCs w:val="20"/>
                <w:color w:val="auto"/>
              </w:rPr>
            </w:pPr>
            <w:r>
              <w:rPr>
                <w:rFonts w:ascii="Times New Roman" w:cs="Times New Roman" w:eastAsia="Times New Roman" w:hAnsi="Times New Roman"/>
                <w:sz w:val="10"/>
                <w:szCs w:val="10"/>
                <w:color w:val="0D0D0D"/>
                <w:w w:val="79"/>
              </w:rPr>
              <w:t>—</w:t>
            </w:r>
          </w:p>
        </w:tc>
      </w:tr>
      <w:tr>
        <w:trPr>
          <w:trHeight w:val="142"/>
        </w:trPr>
        <w:tc>
          <w:tcPr>
            <w:tcW w:w="7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24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005AFF"/>
              </w:rPr>
              <w:t>78 301 011</w:t>
            </w:r>
          </w:p>
        </w:tc>
        <w:tc>
          <w:tcPr>
            <w:tcW w:w="10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005AFF"/>
              </w:rPr>
              <w:t>3.83</w:t>
            </w:r>
          </w:p>
        </w:tc>
        <w:tc>
          <w:tcPr>
            <w:tcW w:w="980" w:type="dxa"/>
            <w:vAlign w:val="bottom"/>
            <w:tcBorders>
              <w:bottom w:val="single" w:sz="8" w:color="005AFF"/>
            </w:tcBorders>
          </w:tcPr>
          <w:p>
            <w:pPr>
              <w:jc w:val="right"/>
              <w:ind w:right="112"/>
              <w:spacing w:after="0"/>
              <w:rPr>
                <w:sz w:val="20"/>
                <w:szCs w:val="20"/>
                <w:color w:val="auto"/>
              </w:rPr>
            </w:pPr>
            <w:r>
              <w:rPr>
                <w:rFonts w:ascii="Times New Roman" w:cs="Times New Roman" w:eastAsia="Times New Roman" w:hAnsi="Times New Roman"/>
                <w:sz w:val="10"/>
                <w:szCs w:val="10"/>
                <w:b w:val="1"/>
                <w:bCs w:val="1"/>
                <w:color w:val="005AFF"/>
              </w:rPr>
              <w:t>78 301 011</w:t>
            </w:r>
          </w:p>
        </w:tc>
        <w:tc>
          <w:tcPr>
            <w:tcW w:w="960" w:type="dxa"/>
            <w:vAlign w:val="bottom"/>
            <w:tcBorders>
              <w:bottom w:val="single" w:sz="8" w:color="005AFF"/>
            </w:tcBorders>
          </w:tcPr>
          <w:p>
            <w:pPr>
              <w:ind w:left="840"/>
              <w:spacing w:after="0"/>
              <w:rPr>
                <w:sz w:val="20"/>
                <w:szCs w:val="20"/>
                <w:color w:val="auto"/>
              </w:rPr>
            </w:pPr>
            <w:r>
              <w:rPr>
                <w:rFonts w:ascii="Times New Roman" w:cs="Times New Roman" w:eastAsia="Times New Roman" w:hAnsi="Times New Roman"/>
                <w:sz w:val="10"/>
                <w:szCs w:val="10"/>
                <w:b w:val="1"/>
                <w:bCs w:val="1"/>
                <w:color w:val="005AFF"/>
                <w:w w:val="99"/>
              </w:rPr>
              <w:t>—</w:t>
            </w:r>
          </w:p>
        </w:tc>
      </w:tr>
    </w:tbl>
    <w:p>
      <w:pPr>
        <w:sectPr>
          <w:pgSz w:w="11900" w:h="16838" w:orient="portrait"/>
          <w:cols w:equalWidth="0" w:num="2">
            <w:col w:w="4580" w:space="520"/>
            <w:col w:w="4940"/>
          </w:cols>
          <w:pgMar w:left="960" w:top="409" w:right="899" w:bottom="1440" w:gutter="0" w:footer="0" w:header="0"/>
          <w:type w:val="continuous"/>
        </w:sectPr>
      </w:pPr>
    </w:p>
    <w:bookmarkStart w:id="117" w:name="page118"/>
    <w:bookmarkEnd w:id="117"/>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760" w:type="dxa"/>
            <w:vAlign w:val="bottom"/>
          </w:tcPr>
          <w:p>
            <w:pPr>
              <w:jc w:val="right"/>
              <w:ind w:right="53"/>
              <w:spacing w:after="0"/>
              <w:rPr>
                <w:sz w:val="20"/>
                <w:szCs w:val="20"/>
                <w:color w:val="auto"/>
              </w:rPr>
            </w:pPr>
            <w:r>
              <w:rPr>
                <w:rFonts w:ascii="Times New Roman" w:cs="Times New Roman" w:eastAsia="Times New Roman" w:hAnsi="Times New Roman"/>
                <w:sz w:val="9"/>
                <w:szCs w:val="9"/>
                <w:color w:val="auto"/>
              </w:rPr>
              <w:t>Corporate</w:t>
            </w:r>
          </w:p>
        </w:tc>
        <w:tc>
          <w:tcPr>
            <w:tcW w:w="520" w:type="dxa"/>
            <w:vAlign w:val="bottom"/>
          </w:tcPr>
          <w:p>
            <w:pPr>
              <w:spacing w:after="0"/>
              <w:rPr>
                <w:sz w:val="9"/>
                <w:szCs w:val="9"/>
                <w:color w:val="auto"/>
              </w:rPr>
            </w:pP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110</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760" w:type="dxa"/>
            <w:vAlign w:val="bottom"/>
          </w:tcPr>
          <w:p>
            <w:pPr>
              <w:jc w:val="right"/>
              <w:spacing w:after="0"/>
              <w:rPr>
                <w:sz w:val="20"/>
                <w:szCs w:val="20"/>
                <w:color w:val="auto"/>
              </w:rPr>
            </w:pPr>
            <w:r>
              <w:rPr>
                <w:rFonts w:ascii="Times New Roman" w:cs="Times New Roman" w:eastAsia="Times New Roman" w:hAnsi="Times New Roman"/>
                <w:sz w:val="9"/>
                <w:szCs w:val="9"/>
                <w:color w:val="auto"/>
              </w:rPr>
              <w:t>governance</w:t>
            </w:r>
          </w:p>
        </w:tc>
        <w:tc>
          <w:tcPr>
            <w:tcW w:w="520" w:type="dxa"/>
            <w:vAlign w:val="bottom"/>
          </w:tcPr>
          <w:p>
            <w:pPr>
              <w:spacing w:after="0"/>
              <w:rPr>
                <w:sz w:val="11"/>
                <w:szCs w:val="11"/>
                <w:color w:val="auto"/>
              </w:rPr>
            </w:pP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400" w:type="dxa"/>
            <w:vAlign w:val="bottom"/>
            <w:gridSpan w:val="2"/>
          </w:tcPr>
          <w:p>
            <w:pPr>
              <w:spacing w:after="0"/>
              <w:rPr>
                <w:sz w:val="3"/>
                <w:szCs w:val="3"/>
                <w:color w:val="auto"/>
              </w:rPr>
            </w:pPr>
          </w:p>
        </w:tc>
        <w:tc>
          <w:tcPr>
            <w:tcW w:w="52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0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1400" w:type="dxa"/>
            <w:vAlign w:val="bottom"/>
            <w:gridSpan w:val="2"/>
          </w:tcPr>
          <w:p>
            <w:pPr>
              <w:jc w:val="right"/>
              <w:ind w:right="53"/>
              <w:spacing w:after="0"/>
              <w:rPr>
                <w:sz w:val="20"/>
                <w:szCs w:val="20"/>
                <w:color w:val="auto"/>
              </w:rPr>
            </w:pPr>
            <w:r>
              <w:rPr>
                <w:rFonts w:ascii="Times New Roman" w:cs="Times New Roman" w:eastAsia="Times New Roman" w:hAnsi="Times New Roman"/>
                <w:sz w:val="13"/>
                <w:szCs w:val="13"/>
                <w:color w:val="005AFF"/>
              </w:rPr>
              <w:t>Shares and shareholders</w:t>
            </w:r>
          </w:p>
        </w:tc>
        <w:tc>
          <w:tcPr>
            <w:tcW w:w="1520" w:type="dxa"/>
            <w:vAlign w:val="bottom"/>
            <w:gridSpan w:val="2"/>
          </w:tcPr>
          <w:p>
            <w:pPr>
              <w:ind w:left="20"/>
              <w:spacing w:after="0"/>
              <w:rPr>
                <w:sz w:val="20"/>
                <w:szCs w:val="20"/>
                <w:color w:val="auto"/>
              </w:rPr>
            </w:pPr>
            <w:r>
              <w:rPr>
                <w:rFonts w:ascii="Times New Roman" w:cs="Times New Roman" w:eastAsia="Times New Roman" w:hAnsi="Times New Roman"/>
                <w:sz w:val="13"/>
                <w:szCs w:val="13"/>
                <w:color w:val="005AFF"/>
              </w:rPr>
              <w:t>continued</w:t>
            </w:r>
          </w:p>
        </w:tc>
        <w:tc>
          <w:tcPr>
            <w:tcW w:w="1280" w:type="dxa"/>
            <w:vAlign w:val="bottom"/>
          </w:tcPr>
          <w:p>
            <w:pPr>
              <w:spacing w:after="0"/>
              <w:rPr>
                <w:sz w:val="24"/>
                <w:szCs w:val="24"/>
                <w:color w:val="auto"/>
              </w:rPr>
            </w:pPr>
          </w:p>
        </w:tc>
        <w:tc>
          <w:tcPr>
            <w:tcW w:w="1000" w:type="dxa"/>
            <w:vAlign w:val="bottom"/>
          </w:tcPr>
          <w:p>
            <w:pPr>
              <w:spacing w:after="0"/>
              <w:rPr>
                <w:sz w:val="24"/>
                <w:szCs w:val="24"/>
                <w:color w:val="auto"/>
              </w:rPr>
            </w:pPr>
          </w:p>
        </w:tc>
        <w:tc>
          <w:tcPr>
            <w:tcW w:w="2660" w:type="dxa"/>
            <w:vAlign w:val="bottom"/>
          </w:tcPr>
          <w:p>
            <w:pPr>
              <w:spacing w:after="0"/>
              <w:rPr>
                <w:sz w:val="24"/>
                <w:szCs w:val="24"/>
                <w:color w:val="auto"/>
              </w:rPr>
            </w:pPr>
          </w:p>
        </w:tc>
        <w:tc>
          <w:tcPr>
            <w:tcW w:w="210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10100"/>
          </w:cols>
          <w:pgMar w:left="960" w:top="409" w:right="839" w:bottom="1440" w:gutter="0" w:footer="0" w:header="0"/>
        </w:sectPr>
      </w:pPr>
    </w:p>
    <w:p>
      <w:pPr>
        <w:spacing w:after="0" w:line="1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Shareholders</w:t>
      </w:r>
    </w:p>
    <w:p>
      <w:pPr>
        <w:spacing w:after="0" w:line="53"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4000" w:type="dxa"/>
            <w:vAlign w:val="bottom"/>
          </w:tcPr>
          <w:p>
            <w:pPr>
              <w:spacing w:after="0"/>
              <w:rPr>
                <w:sz w:val="20"/>
                <w:szCs w:val="20"/>
                <w:color w:val="auto"/>
              </w:rPr>
            </w:pPr>
            <w:r>
              <w:rPr>
                <w:rFonts w:ascii="Times New Roman" w:cs="Times New Roman" w:eastAsia="Times New Roman" w:hAnsi="Times New Roman"/>
                <w:sz w:val="11"/>
                <w:szCs w:val="11"/>
                <w:color w:val="auto"/>
              </w:rPr>
              <w:t>At 31 December 2023  , shareholders registered in Finland represented approximately</w:t>
            </w:r>
          </w:p>
        </w:tc>
        <w:tc>
          <w:tcPr>
            <w:tcW w:w="800" w:type="dxa"/>
            <w:vAlign w:val="bottom"/>
          </w:tcPr>
          <w:p>
            <w:pPr>
              <w:ind w:left="360"/>
              <w:spacing w:after="0"/>
              <w:rPr>
                <w:sz w:val="20"/>
                <w:szCs w:val="20"/>
                <w:color w:val="auto"/>
              </w:rPr>
            </w:pPr>
            <w:r>
              <w:rPr>
                <w:rFonts w:ascii="Times New Roman" w:cs="Times New Roman" w:eastAsia="Times New Roman" w:hAnsi="Times New Roman"/>
                <w:sz w:val="11"/>
                <w:szCs w:val="11"/>
                <w:color w:val="auto"/>
                <w:highlight w:val="white"/>
              </w:rPr>
              <w:t xml:space="preserve">26 </w:t>
            </w:r>
            <w:r>
              <w:rPr>
                <w:rFonts w:ascii="Times New Roman" w:cs="Times New Roman" w:eastAsia="Times New Roman" w:hAnsi="Times New Roman"/>
                <w:sz w:val="11"/>
                <w:szCs w:val="11"/>
                <w:color w:val="auto"/>
              </w:rPr>
              <w:t>% and</w:t>
            </w:r>
          </w:p>
        </w:tc>
      </w:tr>
      <w:tr>
        <w:trPr>
          <w:trHeight w:val="131"/>
        </w:trPr>
        <w:tc>
          <w:tcPr>
            <w:tcW w:w="4000" w:type="dxa"/>
            <w:vAlign w:val="bottom"/>
          </w:tcPr>
          <w:p>
            <w:pPr>
              <w:spacing w:after="0"/>
              <w:rPr>
                <w:sz w:val="20"/>
                <w:szCs w:val="20"/>
                <w:color w:val="auto"/>
              </w:rPr>
            </w:pPr>
            <w:r>
              <w:rPr>
                <w:rFonts w:ascii="Times New Roman" w:cs="Times New Roman" w:eastAsia="Times New Roman" w:hAnsi="Times New Roman"/>
                <w:sz w:val="11"/>
                <w:szCs w:val="11"/>
                <w:color w:val="auto"/>
              </w:rPr>
              <w:t>shareholders registered in the name of a nominee represented approximately</w:t>
            </w:r>
          </w:p>
        </w:tc>
        <w:tc>
          <w:tcPr>
            <w:tcW w:w="800" w:type="dxa"/>
            <w:vAlign w:val="bottom"/>
          </w:tcPr>
          <w:p>
            <w:pPr>
              <w:spacing w:after="0"/>
              <w:rPr>
                <w:sz w:val="20"/>
                <w:szCs w:val="20"/>
                <w:color w:val="auto"/>
              </w:rPr>
            </w:pPr>
            <w:r>
              <w:rPr>
                <w:rFonts w:ascii="Times New Roman" w:cs="Times New Roman" w:eastAsia="Times New Roman" w:hAnsi="Times New Roman"/>
                <w:sz w:val="11"/>
                <w:szCs w:val="11"/>
                <w:color w:val="auto"/>
                <w:highlight w:val="white"/>
              </w:rPr>
              <w:t xml:space="preserve">74 </w:t>
            </w:r>
            <w:r>
              <w:rPr>
                <w:rFonts w:ascii="Times New Roman" w:cs="Times New Roman" w:eastAsia="Times New Roman" w:hAnsi="Times New Roman"/>
                <w:sz w:val="11"/>
                <w:szCs w:val="11"/>
                <w:color w:val="auto"/>
              </w:rPr>
              <w:t>% of the total</w:t>
            </w:r>
          </w:p>
        </w:tc>
      </w:tr>
      <w:tr>
        <w:trPr>
          <w:trHeight w:val="148"/>
        </w:trPr>
        <w:tc>
          <w:tcPr>
            <w:tcW w:w="4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number of shares of Nokia Corporation. The number of directly registered shareholders was</w:t>
            </w:r>
          </w:p>
        </w:tc>
      </w:tr>
    </w:tbl>
    <w:p>
      <w:pPr>
        <w:ind w:right="220"/>
        <w:spacing w:after="0" w:line="297" w:lineRule="auto"/>
        <w:rPr>
          <w:sz w:val="20"/>
          <w:szCs w:val="20"/>
          <w:color w:val="auto"/>
        </w:rPr>
      </w:pPr>
      <w:r>
        <w:rPr>
          <w:rFonts w:ascii="Times New Roman" w:cs="Times New Roman" w:eastAsia="Times New Roman" w:hAnsi="Times New Roman"/>
          <w:sz w:val="11"/>
          <w:szCs w:val="11"/>
          <w:color w:val="auto"/>
        </w:rPr>
        <w:t>247 893 at 31 December 2023 . Each account operator (12) is included in this figure as only one registered shareholder.</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186"/>
        </w:trPr>
        <w:tc>
          <w:tcPr>
            <w:tcW w:w="230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Largest shareholders registered in Finland at</w:t>
            </w:r>
          </w:p>
        </w:tc>
        <w:tc>
          <w:tcPr>
            <w:tcW w:w="1200" w:type="dxa"/>
            <w:vAlign w:val="bottom"/>
            <w:gridSpan w:val="2"/>
          </w:tcPr>
          <w:p>
            <w:pPr>
              <w:jc w:val="right"/>
              <w:spacing w:after="0"/>
              <w:rPr>
                <w:sz w:val="20"/>
                <w:szCs w:val="20"/>
                <w:color w:val="auto"/>
              </w:rPr>
            </w:pPr>
            <w:r>
              <w:rPr>
                <w:rFonts w:ascii="Times New Roman" w:cs="Times New Roman" w:eastAsia="Times New Roman" w:hAnsi="Times New Roman"/>
                <w:sz w:val="11"/>
                <w:szCs w:val="11"/>
                <w:b w:val="1"/>
                <w:bCs w:val="1"/>
                <w:color w:val="auto"/>
              </w:rPr>
              <w:t xml:space="preserve">31 December 2023  </w:t>
            </w:r>
            <w:r>
              <w:rPr>
                <w:rFonts w:ascii="Times New Roman" w:cs="Times New Roman" w:eastAsia="Times New Roman" w:hAnsi="Times New Roman"/>
                <w:sz w:val="14"/>
                <w:szCs w:val="14"/>
                <w:b w:val="1"/>
                <w:bCs w:val="1"/>
                <w:color w:val="auto"/>
                <w:vertAlign w:val="superscript"/>
              </w:rPr>
              <w:t>(1)</w:t>
            </w:r>
          </w:p>
        </w:tc>
        <w:tc>
          <w:tcPr>
            <w:tcW w:w="740" w:type="dxa"/>
            <w:vAlign w:val="bottom"/>
          </w:tcPr>
          <w:p>
            <w:pPr>
              <w:spacing w:after="0"/>
              <w:rPr>
                <w:sz w:val="16"/>
                <w:szCs w:val="16"/>
                <w:color w:val="auto"/>
              </w:rPr>
            </w:pPr>
          </w:p>
        </w:tc>
        <w:tc>
          <w:tcPr>
            <w:tcW w:w="680" w:type="dxa"/>
            <w:vAlign w:val="bottom"/>
          </w:tcPr>
          <w:p>
            <w:pPr>
              <w:spacing w:after="0"/>
              <w:rPr>
                <w:sz w:val="16"/>
                <w:szCs w:val="16"/>
                <w:color w:val="auto"/>
              </w:rPr>
            </w:pPr>
          </w:p>
        </w:tc>
      </w:tr>
      <w:tr>
        <w:trPr>
          <w:trHeight w:val="101"/>
        </w:trPr>
        <w:tc>
          <w:tcPr>
            <w:tcW w:w="2300" w:type="dxa"/>
            <w:vAlign w:val="bottom"/>
          </w:tcPr>
          <w:p>
            <w:pPr>
              <w:spacing w:after="0"/>
              <w:rPr>
                <w:sz w:val="8"/>
                <w:szCs w:val="8"/>
                <w:color w:val="auto"/>
              </w:rPr>
            </w:pPr>
          </w:p>
        </w:tc>
        <w:tc>
          <w:tcPr>
            <w:tcW w:w="480" w:type="dxa"/>
            <w:vAlign w:val="bottom"/>
          </w:tcPr>
          <w:p>
            <w:pPr>
              <w:spacing w:after="0"/>
              <w:rPr>
                <w:sz w:val="8"/>
                <w:szCs w:val="8"/>
                <w:color w:val="auto"/>
              </w:rPr>
            </w:pPr>
          </w:p>
        </w:tc>
        <w:tc>
          <w:tcPr>
            <w:tcW w:w="72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Total number</w:t>
            </w:r>
          </w:p>
        </w:tc>
        <w:tc>
          <w:tcPr>
            <w:tcW w:w="740" w:type="dxa"/>
            <w:vAlign w:val="bottom"/>
          </w:tcPr>
          <w:p>
            <w:pPr>
              <w:spacing w:after="0"/>
              <w:rPr>
                <w:sz w:val="8"/>
                <w:szCs w:val="8"/>
                <w:color w:val="auto"/>
              </w:rPr>
            </w:pPr>
          </w:p>
        </w:tc>
        <w:tc>
          <w:tcPr>
            <w:tcW w:w="680" w:type="dxa"/>
            <w:vAlign w:val="bottom"/>
          </w:tcPr>
          <w:p>
            <w:pPr>
              <w:ind w:left="60"/>
              <w:spacing w:after="0"/>
              <w:rPr>
                <w:sz w:val="20"/>
                <w:szCs w:val="20"/>
                <w:color w:val="auto"/>
              </w:rPr>
            </w:pPr>
            <w:r>
              <w:rPr>
                <w:rFonts w:ascii="Times New Roman" w:cs="Times New Roman" w:eastAsia="Times New Roman" w:hAnsi="Times New Roman"/>
                <w:sz w:val="8"/>
                <w:szCs w:val="8"/>
                <w:b w:val="1"/>
                <w:bCs w:val="1"/>
                <w:color w:val="005AFF"/>
              </w:rPr>
              <w:t>% of all voting</w:t>
            </w:r>
          </w:p>
        </w:tc>
      </w:tr>
      <w:tr>
        <w:trPr>
          <w:trHeight w:val="114"/>
        </w:trPr>
        <w:tc>
          <w:tcPr>
            <w:tcW w:w="23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Shareholder</w:t>
            </w:r>
          </w:p>
        </w:tc>
        <w:tc>
          <w:tcPr>
            <w:tcW w:w="480" w:type="dxa"/>
            <w:vAlign w:val="bottom"/>
            <w:tcBorders>
              <w:bottom w:val="single" w:sz="8" w:color="005AFF"/>
            </w:tcBorders>
          </w:tcPr>
          <w:p>
            <w:pPr>
              <w:spacing w:after="0"/>
              <w:rPr>
                <w:sz w:val="9"/>
                <w:szCs w:val="9"/>
                <w:color w:val="auto"/>
              </w:rPr>
            </w:pPr>
          </w:p>
        </w:tc>
        <w:tc>
          <w:tcPr>
            <w:tcW w:w="72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of shares 000s</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 of all shares</w:t>
            </w:r>
          </w:p>
        </w:tc>
        <w:tc>
          <w:tcPr>
            <w:tcW w:w="680" w:type="dxa"/>
            <w:vAlign w:val="bottom"/>
            <w:tcBorders>
              <w:bottom w:val="single" w:sz="8" w:color="005AFF"/>
            </w:tcBorders>
          </w:tcPr>
          <w:p>
            <w:pPr>
              <w:jc w:val="center"/>
              <w:ind w:left="331"/>
              <w:spacing w:after="0"/>
              <w:rPr>
                <w:sz w:val="20"/>
                <w:szCs w:val="20"/>
                <w:color w:val="auto"/>
              </w:rPr>
            </w:pPr>
            <w:r>
              <w:rPr>
                <w:rFonts w:ascii="Times New Roman" w:cs="Times New Roman" w:eastAsia="Times New Roman" w:hAnsi="Times New Roman"/>
                <w:sz w:val="8"/>
                <w:szCs w:val="8"/>
                <w:b w:val="1"/>
                <w:bCs w:val="1"/>
                <w:color w:val="005AFF"/>
              </w:rPr>
              <w:t>rights</w:t>
            </w:r>
          </w:p>
        </w:tc>
      </w:tr>
      <w:tr>
        <w:trPr>
          <w:trHeight w:val="150"/>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Solidium Oy</w:t>
            </w:r>
          </w:p>
        </w:tc>
        <w:tc>
          <w:tcPr>
            <w:tcW w:w="480" w:type="dxa"/>
            <w:vAlign w:val="bottom"/>
          </w:tcPr>
          <w:p>
            <w:pPr>
              <w:spacing w:after="0"/>
              <w:rPr>
                <w:sz w:val="13"/>
                <w:szCs w:val="13"/>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325 000</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5.79</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5.79</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Keskinäinen Työeläkevakuutusyhtiö Varma</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80 236</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1.43</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1.43</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Keskinäinen Eläkevakuutusyhtiö Ilmarinen</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75 227</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1.34</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1.34</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Keskinäinen Työeläkevakuutusyhtiö Elo</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46 066</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0.82</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0.82</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Valtion Eläkerahasto</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37 000</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0.66</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0.66</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Oy Lival Ab</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17 310</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0.31</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0.31</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Svenska Litteratursällskapet i Finland r.f.</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15 217</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0.27</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0.27</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OP Finland Fund</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14 833</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0.26</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0.26</w:t>
            </w:r>
          </w:p>
        </w:tc>
      </w:tr>
      <w:tr>
        <w:trPr>
          <w:trHeight w:val="17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Nordea Bank Abp</w:t>
            </w:r>
          </w:p>
        </w:tc>
        <w:tc>
          <w:tcPr>
            <w:tcW w:w="48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14 047</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0.25</w:t>
            </w:r>
          </w:p>
        </w:tc>
        <w:tc>
          <w:tcPr>
            <w:tcW w:w="680" w:type="dxa"/>
            <w:vAlign w:val="bottom"/>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0.25</w:t>
            </w:r>
          </w:p>
        </w:tc>
      </w:tr>
      <w:tr>
        <w:trPr>
          <w:trHeight w:val="177"/>
        </w:trPr>
        <w:tc>
          <w:tcPr>
            <w:tcW w:w="23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Sijoitusrahasto Seligson &amp; Co</w:t>
            </w:r>
          </w:p>
        </w:tc>
        <w:tc>
          <w:tcPr>
            <w:tcW w:w="480" w:type="dxa"/>
            <w:vAlign w:val="bottom"/>
            <w:tcBorders>
              <w:bottom w:val="single" w:sz="8" w:color="005AFF"/>
            </w:tcBorders>
          </w:tcPr>
          <w:p>
            <w:pPr>
              <w:spacing w:after="0"/>
              <w:rPr>
                <w:sz w:val="15"/>
                <w:szCs w:val="15"/>
                <w:color w:val="auto"/>
              </w:rPr>
            </w:pPr>
          </w:p>
        </w:tc>
        <w:tc>
          <w:tcPr>
            <w:tcW w:w="7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13 639</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0.24</w:t>
            </w:r>
          </w:p>
        </w:tc>
        <w:tc>
          <w:tcPr>
            <w:tcW w:w="680" w:type="dxa"/>
            <w:vAlign w:val="bottom"/>
            <w:tcBorders>
              <w:bottom w:val="single" w:sz="8" w:color="005AFF"/>
            </w:tcBorders>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0.24</w:t>
            </w:r>
          </w:p>
        </w:tc>
      </w:tr>
    </w:tbl>
    <w:p>
      <w:pPr>
        <w:spacing w:after="0" w:line="41" w:lineRule="exact"/>
        <w:rPr>
          <w:sz w:val="20"/>
          <w:szCs w:val="20"/>
          <w:color w:val="auto"/>
        </w:rPr>
      </w:pPr>
    </w:p>
    <w:p>
      <w:pPr>
        <w:ind w:left="200" w:hanging="199"/>
        <w:spacing w:after="0"/>
        <w:tabs>
          <w:tab w:leader="none" w:pos="200" w:val="left"/>
        </w:tabs>
        <w:numPr>
          <w:ilvl w:val="0"/>
          <w:numId w:val="8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Excluding nominee registered shares and shares owned by Nokia Corporation. Nokia Corporation owned 76 437 051 shares at</w:t>
      </w:r>
    </w:p>
    <w:p>
      <w:pPr>
        <w:spacing w:after="0" w:line="7" w:lineRule="exact"/>
        <w:rPr>
          <w:sz w:val="20"/>
          <w:szCs w:val="20"/>
          <w:color w:val="auto"/>
        </w:rPr>
      </w:pPr>
    </w:p>
    <w:p>
      <w:pPr>
        <w:ind w:left="200"/>
        <w:spacing w:after="0"/>
        <w:tabs>
          <w:tab w:leader="none" w:pos="880" w:val="left"/>
        </w:tabs>
        <w:rPr>
          <w:sz w:val="20"/>
          <w:szCs w:val="20"/>
          <w:color w:val="auto"/>
        </w:rPr>
      </w:pPr>
      <w:r>
        <w:rPr>
          <w:rFonts w:ascii="Times New Roman" w:cs="Times New Roman" w:eastAsia="Times New Roman" w:hAnsi="Times New Roman"/>
          <w:sz w:val="8"/>
          <w:szCs w:val="8"/>
          <w:color w:val="auto"/>
        </w:rPr>
        <w:t>31 December 2023</w:t>
        <w:tab/>
        <w:t>.</w:t>
      </w:r>
    </w:p>
    <w:p>
      <w:pPr>
        <w:spacing w:after="0" w:line="76" w:lineRule="exact"/>
        <w:rPr>
          <w:sz w:val="20"/>
          <w:szCs w:val="20"/>
          <w:color w:val="auto"/>
        </w:rPr>
      </w:pPr>
    </w:p>
    <w:tbl>
      <w:tblPr>
        <w:tblLayout w:type="fixed"/>
        <w:tblInd w:w="0" w:type="dxa"/>
        <w:tblCellMar>
          <w:top w:w="0" w:type="dxa"/>
          <w:left w:w="0" w:type="dxa"/>
          <w:bottom w:w="0" w:type="dxa"/>
          <w:right w:w="0" w:type="dxa"/>
        </w:tblCellMar>
      </w:tblPr>
      <w:tr>
        <w:trPr>
          <w:trHeight w:val="151"/>
        </w:trPr>
        <w:tc>
          <w:tcPr>
            <w:tcW w:w="172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Breakdown of share ownership at</w:t>
            </w:r>
          </w:p>
        </w:tc>
        <w:tc>
          <w:tcPr>
            <w:tcW w:w="1040" w:type="dxa"/>
            <w:vAlign w:val="bottom"/>
            <w:gridSpan w:val="2"/>
          </w:tcPr>
          <w:p>
            <w:pPr>
              <w:jc w:val="right"/>
              <w:ind w:right="31"/>
              <w:spacing w:after="0"/>
              <w:rPr>
                <w:sz w:val="20"/>
                <w:szCs w:val="20"/>
                <w:color w:val="auto"/>
              </w:rPr>
            </w:pPr>
            <w:r>
              <w:rPr>
                <w:rFonts w:ascii="Times New Roman" w:cs="Times New Roman" w:eastAsia="Times New Roman" w:hAnsi="Times New Roman"/>
                <w:sz w:val="11"/>
                <w:szCs w:val="11"/>
                <w:b w:val="1"/>
                <w:bCs w:val="1"/>
                <w:color w:val="auto"/>
              </w:rPr>
              <w:t>31 December 2023</w:t>
            </w:r>
          </w:p>
        </w:tc>
        <w:tc>
          <w:tcPr>
            <w:tcW w:w="720" w:type="dxa"/>
            <w:vAlign w:val="bottom"/>
          </w:tcPr>
          <w:p>
            <w:pPr>
              <w:jc w:val="right"/>
              <w:ind w:right="552"/>
              <w:spacing w:after="0"/>
              <w:rPr>
                <w:sz w:val="20"/>
                <w:szCs w:val="20"/>
                <w:color w:val="auto"/>
              </w:rPr>
            </w:pPr>
            <w:r>
              <w:rPr>
                <w:rFonts w:ascii="Times New Roman" w:cs="Times New Roman" w:eastAsia="Times New Roman" w:hAnsi="Times New Roman"/>
                <w:sz w:val="7"/>
                <w:szCs w:val="7"/>
                <w:b w:val="1"/>
                <w:bCs w:val="1"/>
                <w:color w:val="auto"/>
              </w:rPr>
              <w:t>(1)</w:t>
            </w:r>
          </w:p>
        </w:tc>
        <w:tc>
          <w:tcPr>
            <w:tcW w:w="760" w:type="dxa"/>
            <w:vAlign w:val="bottom"/>
          </w:tcPr>
          <w:p>
            <w:pPr>
              <w:spacing w:after="0"/>
              <w:rPr>
                <w:sz w:val="13"/>
                <w:szCs w:val="13"/>
                <w:color w:val="auto"/>
              </w:rPr>
            </w:pPr>
          </w:p>
        </w:tc>
        <w:tc>
          <w:tcPr>
            <w:tcW w:w="700" w:type="dxa"/>
            <w:vAlign w:val="bottom"/>
          </w:tcPr>
          <w:p>
            <w:pPr>
              <w:spacing w:after="0"/>
              <w:rPr>
                <w:sz w:val="13"/>
                <w:szCs w:val="13"/>
                <w:color w:val="auto"/>
              </w:rPr>
            </w:pPr>
          </w:p>
        </w:tc>
      </w:tr>
      <w:tr>
        <w:trPr>
          <w:trHeight w:val="137"/>
        </w:trPr>
        <w:tc>
          <w:tcPr>
            <w:tcW w:w="1720" w:type="dxa"/>
            <w:vAlign w:val="bottom"/>
          </w:tcPr>
          <w:p>
            <w:pPr>
              <w:spacing w:after="0"/>
              <w:rPr>
                <w:sz w:val="11"/>
                <w:szCs w:val="11"/>
                <w:color w:val="auto"/>
              </w:rPr>
            </w:pPr>
          </w:p>
        </w:tc>
        <w:tc>
          <w:tcPr>
            <w:tcW w:w="320" w:type="dxa"/>
            <w:vAlign w:val="bottom"/>
          </w:tcPr>
          <w:p>
            <w:pPr>
              <w:spacing w:after="0"/>
              <w:rPr>
                <w:sz w:val="11"/>
                <w:szCs w:val="11"/>
                <w:color w:val="auto"/>
              </w:rPr>
            </w:pPr>
          </w:p>
        </w:tc>
        <w:tc>
          <w:tcPr>
            <w:tcW w:w="7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Number of</w:t>
            </w:r>
          </w:p>
        </w:tc>
        <w:tc>
          <w:tcPr>
            <w:tcW w:w="7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of</w:t>
            </w:r>
          </w:p>
        </w:tc>
        <w:tc>
          <w:tcPr>
            <w:tcW w:w="76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Total number</w:t>
            </w:r>
          </w:p>
        </w:tc>
        <w:tc>
          <w:tcPr>
            <w:tcW w:w="700" w:type="dxa"/>
            <w:vAlign w:val="bottom"/>
          </w:tcPr>
          <w:p>
            <w:pPr>
              <w:spacing w:after="0"/>
              <w:rPr>
                <w:sz w:val="11"/>
                <w:szCs w:val="11"/>
                <w:color w:val="auto"/>
              </w:rPr>
            </w:pPr>
          </w:p>
        </w:tc>
      </w:tr>
      <w:tr>
        <w:trPr>
          <w:trHeight w:val="114"/>
        </w:trPr>
        <w:tc>
          <w:tcPr>
            <w:tcW w:w="1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By number of shares owned</w:t>
            </w:r>
          </w:p>
        </w:tc>
        <w:tc>
          <w:tcPr>
            <w:tcW w:w="320" w:type="dxa"/>
            <w:vAlign w:val="bottom"/>
            <w:tcBorders>
              <w:bottom w:val="single" w:sz="8" w:color="005AFF"/>
            </w:tcBorders>
          </w:tcPr>
          <w:p>
            <w:pPr>
              <w:spacing w:after="0"/>
              <w:rPr>
                <w:sz w:val="9"/>
                <w:szCs w:val="9"/>
                <w:color w:val="auto"/>
              </w:rPr>
            </w:pPr>
          </w:p>
        </w:tc>
        <w:tc>
          <w:tcPr>
            <w:tcW w:w="7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shareholders</w:t>
            </w: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shareholders</w:t>
            </w:r>
          </w:p>
        </w:tc>
        <w:tc>
          <w:tcPr>
            <w:tcW w:w="7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of shares</w:t>
            </w:r>
          </w:p>
        </w:tc>
        <w:tc>
          <w:tcPr>
            <w:tcW w:w="7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 of all shares</w:t>
            </w:r>
          </w:p>
        </w:tc>
      </w:tr>
      <w:tr>
        <w:trPr>
          <w:trHeight w:val="150"/>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1–100</w:t>
            </w:r>
          </w:p>
        </w:tc>
        <w:tc>
          <w:tcPr>
            <w:tcW w:w="320" w:type="dxa"/>
            <w:vAlign w:val="bottom"/>
          </w:tcPr>
          <w:p>
            <w:pPr>
              <w:spacing w:after="0"/>
              <w:rPr>
                <w:sz w:val="13"/>
                <w:szCs w:val="13"/>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64 068</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25.85</w:t>
            </w:r>
          </w:p>
        </w:tc>
        <w:tc>
          <w:tcPr>
            <w:tcW w:w="76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3 099 887</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0.06</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101–1 000</w:t>
            </w:r>
          </w:p>
        </w:tc>
        <w:tc>
          <w:tcPr>
            <w:tcW w:w="32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113 516</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45.79</w:t>
            </w:r>
          </w:p>
        </w:tc>
        <w:tc>
          <w:tcPr>
            <w:tcW w:w="76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50 199 617</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0.89</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1 001–10 000</w:t>
            </w:r>
          </w:p>
        </w:tc>
        <w:tc>
          <w:tcPr>
            <w:tcW w:w="320" w:type="dxa"/>
            <w:vAlign w:val="bottom"/>
          </w:tcPr>
          <w:p>
            <w:pPr>
              <w:spacing w:after="0"/>
              <w:rPr>
                <w:sz w:val="14"/>
                <w:szCs w:val="14"/>
                <w:color w:val="auto"/>
              </w:rPr>
            </w:pP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61 876</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24.96</w:t>
            </w:r>
          </w:p>
        </w:tc>
        <w:tc>
          <w:tcPr>
            <w:tcW w:w="760" w:type="dxa"/>
            <w:vAlign w:val="bottom"/>
            <w:shd w:val="clear" w:color="auto" w:fill="F0F5FF"/>
          </w:tcPr>
          <w:p>
            <w:pPr>
              <w:jc w:val="right"/>
              <w:ind w:right="72"/>
              <w:spacing w:after="0"/>
              <w:rPr>
                <w:sz w:val="20"/>
                <w:szCs w:val="20"/>
                <w:color w:val="auto"/>
              </w:rPr>
            </w:pPr>
            <w:r>
              <w:rPr>
                <w:rFonts w:ascii="Times New Roman" w:cs="Times New Roman" w:eastAsia="Times New Roman" w:hAnsi="Times New Roman"/>
                <w:sz w:val="10"/>
                <w:szCs w:val="10"/>
                <w:color w:val="005AFF"/>
              </w:rPr>
              <w:t>193 112 400</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3.44</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10 001–100 000</w:t>
            </w:r>
          </w:p>
        </w:tc>
        <w:tc>
          <w:tcPr>
            <w:tcW w:w="320" w:type="dxa"/>
            <w:vAlign w:val="bottom"/>
          </w:tcPr>
          <w:p>
            <w:pPr>
              <w:spacing w:after="0"/>
              <w:rPr>
                <w:sz w:val="14"/>
                <w:szCs w:val="14"/>
                <w:color w:val="auto"/>
              </w:rPr>
            </w:pPr>
          </w:p>
        </w:tc>
        <w:tc>
          <w:tcPr>
            <w:tcW w:w="7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7 916</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3.19</w:t>
            </w:r>
          </w:p>
        </w:tc>
        <w:tc>
          <w:tcPr>
            <w:tcW w:w="760" w:type="dxa"/>
            <w:vAlign w:val="bottom"/>
            <w:shd w:val="clear" w:color="auto" w:fill="F0F5FF"/>
          </w:tcPr>
          <w:p>
            <w:pPr>
              <w:jc w:val="right"/>
              <w:ind w:right="72"/>
              <w:spacing w:after="0"/>
              <w:rPr>
                <w:sz w:val="20"/>
                <w:szCs w:val="20"/>
                <w:color w:val="auto"/>
              </w:rPr>
            </w:pPr>
            <w:r>
              <w:rPr>
                <w:rFonts w:ascii="Times New Roman" w:cs="Times New Roman" w:eastAsia="Times New Roman" w:hAnsi="Times New Roman"/>
                <w:sz w:val="10"/>
                <w:szCs w:val="10"/>
                <w:color w:val="005AFF"/>
              </w:rPr>
              <w:t>195 350 157</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3.48</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100 001–500 000</w:t>
            </w:r>
          </w:p>
        </w:tc>
        <w:tc>
          <w:tcPr>
            <w:tcW w:w="320" w:type="dxa"/>
            <w:vAlign w:val="bottom"/>
          </w:tcPr>
          <w:p>
            <w:pPr>
              <w:spacing w:after="0"/>
              <w:rPr>
                <w:sz w:val="14"/>
                <w:szCs w:val="14"/>
                <w:color w:val="auto"/>
              </w:rPr>
            </w:pPr>
          </w:p>
        </w:tc>
        <w:tc>
          <w:tcPr>
            <w:tcW w:w="7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408</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0.17</w:t>
            </w:r>
          </w:p>
        </w:tc>
        <w:tc>
          <w:tcPr>
            <w:tcW w:w="76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79 398 334</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1.41</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500 001–1 000 000</w:t>
            </w:r>
          </w:p>
        </w:tc>
        <w:tc>
          <w:tcPr>
            <w:tcW w:w="320" w:type="dxa"/>
            <w:vAlign w:val="bottom"/>
          </w:tcPr>
          <w:p>
            <w:pPr>
              <w:spacing w:after="0"/>
              <w:rPr>
                <w:sz w:val="14"/>
                <w:szCs w:val="14"/>
                <w:color w:val="auto"/>
              </w:rPr>
            </w:pP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0.02</w:t>
            </w:r>
          </w:p>
        </w:tc>
        <w:tc>
          <w:tcPr>
            <w:tcW w:w="76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25 598 078</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0.46</w:t>
            </w:r>
          </w:p>
        </w:tc>
      </w:tr>
      <w:tr>
        <w:trPr>
          <w:trHeight w:val="172"/>
        </w:trPr>
        <w:tc>
          <w:tcPr>
            <w:tcW w:w="1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1 000 001–5 000 000</w:t>
            </w:r>
          </w:p>
        </w:tc>
        <w:tc>
          <w:tcPr>
            <w:tcW w:w="320" w:type="dxa"/>
            <w:vAlign w:val="bottom"/>
          </w:tcPr>
          <w:p>
            <w:pPr>
              <w:spacing w:after="0"/>
              <w:rPr>
                <w:sz w:val="14"/>
                <w:szCs w:val="14"/>
                <w:color w:val="auto"/>
              </w:rPr>
            </w:pP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44</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0.02</w:t>
            </w:r>
          </w:p>
        </w:tc>
        <w:tc>
          <w:tcPr>
            <w:tcW w:w="760" w:type="dxa"/>
            <w:vAlign w:val="bottom"/>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99 933 974</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1.78</w:t>
            </w:r>
          </w:p>
        </w:tc>
      </w:tr>
      <w:tr>
        <w:trPr>
          <w:trHeight w:val="177"/>
        </w:trPr>
        <w:tc>
          <w:tcPr>
            <w:tcW w:w="1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Over 5 000 000</w:t>
            </w:r>
          </w:p>
        </w:tc>
        <w:tc>
          <w:tcPr>
            <w:tcW w:w="320" w:type="dxa"/>
            <w:vAlign w:val="bottom"/>
            <w:tcBorders>
              <w:bottom w:val="single" w:sz="8" w:color="005AFF"/>
            </w:tcBorders>
          </w:tcPr>
          <w:p>
            <w:pPr>
              <w:spacing w:after="0"/>
              <w:rPr>
                <w:sz w:val="15"/>
                <w:szCs w:val="15"/>
                <w:color w:val="auto"/>
              </w:rPr>
            </w:pP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0.01</w:t>
            </w:r>
          </w:p>
        </w:tc>
        <w:tc>
          <w:tcPr>
            <w:tcW w:w="760" w:type="dxa"/>
            <w:vAlign w:val="bottom"/>
            <w:tcBorders>
              <w:bottom w:val="single" w:sz="8" w:color="005AFF"/>
            </w:tcBorders>
            <w:shd w:val="clear" w:color="auto" w:fill="F0F5FF"/>
          </w:tcPr>
          <w:p>
            <w:pPr>
              <w:jc w:val="right"/>
              <w:ind w:right="72"/>
              <w:spacing w:after="0"/>
              <w:rPr>
                <w:sz w:val="20"/>
                <w:szCs w:val="20"/>
                <w:color w:val="auto"/>
              </w:rPr>
            </w:pPr>
            <w:r>
              <w:rPr>
                <w:rFonts w:ascii="Times New Roman" w:cs="Times New Roman" w:eastAsia="Times New Roman" w:hAnsi="Times New Roman"/>
                <w:sz w:val="10"/>
                <w:szCs w:val="10"/>
                <w:color w:val="005AFF"/>
              </w:rPr>
              <w:t>4 966 804 118</w:t>
            </w:r>
          </w:p>
        </w:tc>
        <w:tc>
          <w:tcPr>
            <w:tcW w:w="70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88.48</w:t>
            </w:r>
          </w:p>
        </w:tc>
      </w:tr>
      <w:tr>
        <w:trPr>
          <w:trHeight w:val="152"/>
        </w:trPr>
        <w:tc>
          <w:tcPr>
            <w:tcW w:w="1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320" w:type="dxa"/>
            <w:vAlign w:val="bottom"/>
            <w:tcBorders>
              <w:bottom w:val="single" w:sz="8" w:color="005AFF"/>
            </w:tcBorders>
          </w:tcPr>
          <w:p>
            <w:pPr>
              <w:spacing w:after="0"/>
              <w:rPr>
                <w:sz w:val="13"/>
                <w:szCs w:val="13"/>
                <w:color w:val="auto"/>
              </w:rPr>
            </w:pPr>
          </w:p>
        </w:tc>
        <w:tc>
          <w:tcPr>
            <w:tcW w:w="7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247 893</w:t>
            </w: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100</w:t>
            </w:r>
          </w:p>
        </w:tc>
        <w:tc>
          <w:tcPr>
            <w:tcW w:w="760" w:type="dxa"/>
            <w:vAlign w:val="bottom"/>
            <w:tcBorders>
              <w:bottom w:val="single" w:sz="8" w:color="005AFF"/>
            </w:tcBorders>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b w:val="1"/>
                <w:bCs w:val="1"/>
                <w:color w:val="005AFF"/>
              </w:rPr>
              <w:t>5 613 496 565</w:t>
            </w:r>
          </w:p>
        </w:tc>
        <w:tc>
          <w:tcPr>
            <w:tcW w:w="70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100</w:t>
            </w:r>
          </w:p>
        </w:tc>
      </w:tr>
      <w:tr>
        <w:trPr>
          <w:trHeight w:val="128"/>
        </w:trPr>
        <w:tc>
          <w:tcPr>
            <w:tcW w:w="3480" w:type="dxa"/>
            <w:vAlign w:val="bottom"/>
            <w:gridSpan w:val="4"/>
          </w:tcPr>
          <w:p>
            <w:pPr>
              <w:spacing w:after="0"/>
              <w:rPr>
                <w:sz w:val="20"/>
                <w:szCs w:val="20"/>
                <w:color w:val="auto"/>
              </w:rPr>
            </w:pPr>
            <w:r>
              <w:rPr>
                <w:rFonts w:ascii="Times New Roman" w:cs="Times New Roman" w:eastAsia="Times New Roman" w:hAnsi="Times New Roman"/>
                <w:sz w:val="8"/>
                <w:szCs w:val="8"/>
                <w:color w:val="auto"/>
              </w:rPr>
              <w:t>(1)   The breakdown covers only shareholders registered in Finland, and each account operator</w:t>
            </w:r>
          </w:p>
        </w:tc>
        <w:tc>
          <w:tcPr>
            <w:tcW w:w="1460" w:type="dxa"/>
            <w:vAlign w:val="bottom"/>
            <w:gridSpan w:val="2"/>
          </w:tcPr>
          <w:p>
            <w:pPr>
              <w:jc w:val="right"/>
              <w:ind w:right="350"/>
              <w:spacing w:after="0"/>
              <w:rPr>
                <w:sz w:val="20"/>
                <w:szCs w:val="20"/>
                <w:color w:val="auto"/>
              </w:rPr>
            </w:pPr>
            <w:r>
              <w:rPr>
                <w:rFonts w:ascii="Times New Roman" w:cs="Times New Roman" w:eastAsia="Times New Roman" w:hAnsi="Times New Roman"/>
                <w:sz w:val="8"/>
                <w:szCs w:val="8"/>
                <w:color w:val="auto"/>
                <w:highlight w:val="white"/>
                <w:w w:val="98"/>
              </w:rPr>
              <w:t xml:space="preserve">(12) </w:t>
            </w:r>
            <w:r>
              <w:rPr>
                <w:rFonts w:ascii="Times New Roman" w:cs="Times New Roman" w:eastAsia="Times New Roman" w:hAnsi="Times New Roman"/>
                <w:sz w:val="8"/>
                <w:szCs w:val="8"/>
                <w:color w:val="auto"/>
                <w:w w:val="98"/>
              </w:rPr>
              <w:t>is included in the number of</w:t>
            </w:r>
          </w:p>
        </w:tc>
      </w:tr>
      <w:tr>
        <w:trPr>
          <w:trHeight w:val="101"/>
        </w:trPr>
        <w:tc>
          <w:tcPr>
            <w:tcW w:w="4240" w:type="dxa"/>
            <w:vAlign w:val="bottom"/>
            <w:gridSpan w:val="5"/>
          </w:tcPr>
          <w:p>
            <w:pPr>
              <w:ind w:left="200"/>
              <w:spacing w:after="0"/>
              <w:rPr>
                <w:sz w:val="20"/>
                <w:szCs w:val="20"/>
                <w:color w:val="auto"/>
              </w:rPr>
            </w:pPr>
            <w:r>
              <w:rPr>
                <w:rFonts w:ascii="Times New Roman" w:cs="Times New Roman" w:eastAsia="Times New Roman" w:hAnsi="Times New Roman"/>
                <w:sz w:val="8"/>
                <w:szCs w:val="8"/>
                <w:color w:val="auto"/>
              </w:rPr>
              <w:t>shareholders as only one registered shareholder. As a result, the breakdown is not illustrative of the entire shareholder base</w:t>
            </w:r>
          </w:p>
        </w:tc>
        <w:tc>
          <w:tcPr>
            <w:tcW w:w="700" w:type="dxa"/>
            <w:vAlign w:val="bottom"/>
          </w:tcPr>
          <w:p>
            <w:pPr>
              <w:spacing w:after="0"/>
              <w:rPr>
                <w:sz w:val="8"/>
                <w:szCs w:val="8"/>
                <w:color w:val="auto"/>
              </w:rPr>
            </w:pPr>
          </w:p>
        </w:tc>
      </w:tr>
      <w:tr>
        <w:trPr>
          <w:trHeight w:val="104"/>
        </w:trPr>
        <w:tc>
          <w:tcPr>
            <w:tcW w:w="1720" w:type="dxa"/>
            <w:vAlign w:val="bottom"/>
          </w:tcPr>
          <w:p>
            <w:pPr>
              <w:ind w:left="200"/>
              <w:spacing w:after="0"/>
              <w:rPr>
                <w:sz w:val="20"/>
                <w:szCs w:val="20"/>
                <w:color w:val="auto"/>
              </w:rPr>
            </w:pPr>
            <w:r>
              <w:rPr>
                <w:rFonts w:ascii="Times New Roman" w:cs="Times New Roman" w:eastAsia="Times New Roman" w:hAnsi="Times New Roman"/>
                <w:sz w:val="8"/>
                <w:szCs w:val="8"/>
                <w:color w:val="auto"/>
              </w:rPr>
              <w:t>of Nokia.</w:t>
            </w:r>
          </w:p>
        </w:tc>
        <w:tc>
          <w:tcPr>
            <w:tcW w:w="320" w:type="dxa"/>
            <w:vAlign w:val="bottom"/>
          </w:tcPr>
          <w:p>
            <w:pPr>
              <w:spacing w:after="0"/>
              <w:rPr>
                <w:sz w:val="9"/>
                <w:szCs w:val="9"/>
                <w:color w:val="auto"/>
              </w:rPr>
            </w:pPr>
          </w:p>
        </w:tc>
        <w:tc>
          <w:tcPr>
            <w:tcW w:w="720" w:type="dxa"/>
            <w:vAlign w:val="bottom"/>
          </w:tcPr>
          <w:p>
            <w:pPr>
              <w:spacing w:after="0"/>
              <w:rPr>
                <w:sz w:val="9"/>
                <w:szCs w:val="9"/>
                <w:color w:val="auto"/>
              </w:rPr>
            </w:pPr>
          </w:p>
        </w:tc>
        <w:tc>
          <w:tcPr>
            <w:tcW w:w="720" w:type="dxa"/>
            <w:vAlign w:val="bottom"/>
          </w:tcPr>
          <w:p>
            <w:pPr>
              <w:spacing w:after="0"/>
              <w:rPr>
                <w:sz w:val="9"/>
                <w:szCs w:val="9"/>
                <w:color w:val="auto"/>
              </w:rPr>
            </w:pPr>
          </w:p>
        </w:tc>
        <w:tc>
          <w:tcPr>
            <w:tcW w:w="760" w:type="dxa"/>
            <w:vAlign w:val="bottom"/>
          </w:tcPr>
          <w:p>
            <w:pPr>
              <w:spacing w:after="0"/>
              <w:rPr>
                <w:sz w:val="9"/>
                <w:szCs w:val="9"/>
                <w:color w:val="auto"/>
              </w:rPr>
            </w:pPr>
          </w:p>
        </w:tc>
        <w:tc>
          <w:tcPr>
            <w:tcW w:w="700" w:type="dxa"/>
            <w:vAlign w:val="bottom"/>
          </w:tcPr>
          <w:p>
            <w:pPr>
              <w:spacing w:after="0"/>
              <w:rPr>
                <w:sz w:val="9"/>
                <w:szCs w:val="9"/>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64"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9"/>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By nationality</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 of shares</w:t>
            </w:r>
          </w:p>
        </w:tc>
      </w:tr>
      <w:tr>
        <w:trPr>
          <w:trHeight w:val="145"/>
        </w:trPr>
        <w:tc>
          <w:tcPr>
            <w:tcW w:w="42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Non-Finnish shareholders</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74.45</w:t>
            </w:r>
          </w:p>
        </w:tc>
      </w:tr>
      <w:tr>
        <w:trPr>
          <w:trHeight w:val="177"/>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Finnish shareholders</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25.55</w:t>
            </w:r>
          </w:p>
        </w:tc>
      </w:tr>
      <w:tr>
        <w:trPr>
          <w:trHeight w:val="152"/>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100.00</w:t>
            </w:r>
          </w:p>
        </w:tc>
      </w:tr>
      <w:tr>
        <w:trPr>
          <w:trHeight w:val="199"/>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By shareholder category (Finnish shareholders)</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 of shares</w:t>
            </w:r>
          </w:p>
        </w:tc>
      </w:tr>
      <w:tr>
        <w:trPr>
          <w:trHeight w:val="140"/>
        </w:trPr>
        <w:tc>
          <w:tcPr>
            <w:tcW w:w="42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Corporations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3.37</w:t>
            </w:r>
          </w:p>
        </w:tc>
      </w:tr>
      <w:tr>
        <w:trPr>
          <w:trHeight w:val="162"/>
        </w:trPr>
        <w:tc>
          <w:tcPr>
            <w:tcW w:w="42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Households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7.79</w:t>
            </w:r>
          </w:p>
        </w:tc>
      </w:tr>
      <w:tr>
        <w:trPr>
          <w:trHeight w:val="162"/>
        </w:trPr>
        <w:tc>
          <w:tcPr>
            <w:tcW w:w="42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and insurance institutions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2.80</w:t>
            </w:r>
          </w:p>
        </w:tc>
      </w:tr>
      <w:tr>
        <w:trPr>
          <w:trHeight w:val="162"/>
        </w:trPr>
        <w:tc>
          <w:tcPr>
            <w:tcW w:w="42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Non-profit organizations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1.23</w:t>
            </w:r>
          </w:p>
        </w:tc>
      </w:tr>
      <w:tr>
        <w:trPr>
          <w:trHeight w:val="167"/>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Governmental bodies (incl. pension insurance companies)</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10.36</w:t>
            </w:r>
          </w:p>
        </w:tc>
      </w:tr>
      <w:tr>
        <w:trPr>
          <w:trHeight w:val="142"/>
        </w:trPr>
        <w:tc>
          <w:tcPr>
            <w:tcW w:w="42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25.55</w:t>
            </w:r>
          </w:p>
        </w:tc>
      </w:tr>
    </w:tbl>
    <w:p>
      <w:pPr>
        <w:spacing w:after="0" w:line="119" w:lineRule="exact"/>
        <w:rPr>
          <w:sz w:val="20"/>
          <w:szCs w:val="20"/>
          <w:color w:val="auto"/>
        </w:rPr>
      </w:pPr>
    </w:p>
    <w:p>
      <w:pPr>
        <w:ind w:right="580"/>
        <w:spacing w:after="0" w:line="262" w:lineRule="auto"/>
        <w:rPr>
          <w:sz w:val="20"/>
          <w:szCs w:val="20"/>
          <w:color w:val="auto"/>
        </w:rPr>
      </w:pPr>
      <w:r>
        <w:rPr>
          <w:rFonts w:ascii="Times New Roman" w:cs="Times New Roman" w:eastAsia="Times New Roman" w:hAnsi="Times New Roman"/>
          <w:sz w:val="11"/>
          <w:szCs w:val="11"/>
          <w:color w:val="auto"/>
        </w:rPr>
        <w:t>At 31 December 2023 , a total of 673 777 277 ADSs (equivalent to the same number of shares or approximately 11.8% of the total shares) were outstanding and held of record by 95 655 registered holders in the United States. We are aware that many ADSs are held of record by brokers and other nominees, and accordingly the above number of holders is not necessarily representative of the actual number of persons who are beneficial holders of ADSs or the number of ADSs beneficially held by such persons. Based on information available from</w:t>
      </w:r>
    </w:p>
    <w:p>
      <w:pPr>
        <w:spacing w:after="0" w:line="3" w:lineRule="exact"/>
        <w:rPr>
          <w:sz w:val="20"/>
          <w:szCs w:val="20"/>
          <w:color w:val="auto"/>
        </w:rPr>
      </w:pPr>
    </w:p>
    <w:p>
      <w:pPr>
        <w:spacing w:after="0"/>
        <w:tabs>
          <w:tab w:leader="none" w:pos="4040" w:val="left"/>
        </w:tabs>
        <w:rPr>
          <w:sz w:val="20"/>
          <w:szCs w:val="20"/>
          <w:color w:val="auto"/>
        </w:rPr>
      </w:pPr>
      <w:r>
        <w:rPr>
          <w:rFonts w:ascii="Times New Roman" w:cs="Times New Roman" w:eastAsia="Times New Roman" w:hAnsi="Times New Roman"/>
          <w:sz w:val="11"/>
          <w:szCs w:val="11"/>
          <w:color w:val="auto"/>
        </w:rPr>
        <w:t>Broadridge Financial Solutions, Inc., the number of beneficial owners of ADSs at</w:t>
      </w:r>
      <w:r>
        <w:rPr>
          <w:sz w:val="20"/>
          <w:szCs w:val="20"/>
          <w:color w:val="auto"/>
        </w:rPr>
        <w:tab/>
      </w:r>
      <w:r>
        <w:rPr>
          <w:rFonts w:ascii="Times New Roman" w:cs="Times New Roman" w:eastAsia="Times New Roman" w:hAnsi="Times New Roman"/>
          <w:sz w:val="11"/>
          <w:szCs w:val="11"/>
          <w:color w:val="auto"/>
        </w:rPr>
        <w:t>31 December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2023 was 753 324.</w:t>
      </w:r>
    </w:p>
    <w:p>
      <w:pPr>
        <w:spacing w:after="0" w:line="89" w:lineRule="exact"/>
        <w:rPr>
          <w:sz w:val="20"/>
          <w:szCs w:val="20"/>
          <w:color w:val="auto"/>
        </w:rPr>
      </w:pPr>
    </w:p>
    <w:p>
      <w:pPr>
        <w:spacing w:after="0"/>
        <w:tabs>
          <w:tab w:leader="none" w:pos="3080" w:val="left"/>
          <w:tab w:leader="none" w:pos="4060" w:val="left"/>
        </w:tabs>
        <w:rPr>
          <w:sz w:val="20"/>
          <w:szCs w:val="20"/>
          <w:color w:val="auto"/>
        </w:rPr>
      </w:pPr>
      <w:r>
        <w:rPr>
          <w:rFonts w:ascii="Times New Roman" w:cs="Times New Roman" w:eastAsia="Times New Roman" w:hAnsi="Times New Roman"/>
          <w:sz w:val="11"/>
          <w:szCs w:val="11"/>
          <w:color w:val="auto"/>
        </w:rPr>
        <w:t>Based on information known to us as of 2 February 2024, at</w:t>
      </w:r>
      <w:r>
        <w:rPr>
          <w:sz w:val="20"/>
          <w:szCs w:val="20"/>
          <w:color w:val="auto"/>
        </w:rPr>
        <w:tab/>
      </w:r>
      <w:r>
        <w:rPr>
          <w:rFonts w:ascii="Times New Roman" w:cs="Times New Roman" w:eastAsia="Times New Roman" w:hAnsi="Times New Roman"/>
          <w:sz w:val="11"/>
          <w:szCs w:val="11"/>
          <w:color w:val="auto"/>
        </w:rPr>
        <w:t>31 December 2023</w:t>
        <w:tab/>
        <w:t>, BlackRock, Inc.</w:t>
      </w:r>
    </w:p>
    <w:p>
      <w:pPr>
        <w:spacing w:after="0" w:line="17" w:lineRule="exact"/>
        <w:rPr>
          <w:sz w:val="20"/>
          <w:szCs w:val="20"/>
          <w:color w:val="auto"/>
        </w:rPr>
      </w:pPr>
    </w:p>
    <w:p>
      <w:pPr>
        <w:ind w:right="560"/>
        <w:spacing w:after="0" w:line="286" w:lineRule="auto"/>
        <w:rPr>
          <w:sz w:val="20"/>
          <w:szCs w:val="20"/>
          <w:color w:val="auto"/>
        </w:rPr>
      </w:pPr>
      <w:r>
        <w:rPr>
          <w:rFonts w:ascii="Times New Roman" w:cs="Times New Roman" w:eastAsia="Times New Roman" w:hAnsi="Times New Roman"/>
          <w:sz w:val="11"/>
          <w:szCs w:val="11"/>
          <w:color w:val="auto"/>
        </w:rPr>
        <w:t>beneficially owned 372 591 440 Nokia shares, which at that time corresponded to approximately 6.6% of the total number of shares and voting rights of Nokia.</w:t>
      </w:r>
    </w:p>
    <w:p>
      <w:pPr>
        <w:spacing w:after="0" w:line="40" w:lineRule="exact"/>
        <w:rPr>
          <w:sz w:val="20"/>
          <w:szCs w:val="20"/>
          <w:color w:val="auto"/>
        </w:rPr>
      </w:pPr>
    </w:p>
    <w:p>
      <w:pPr>
        <w:ind w:right="520"/>
        <w:spacing w:after="0" w:line="289" w:lineRule="auto"/>
        <w:rPr>
          <w:sz w:val="20"/>
          <w:szCs w:val="20"/>
          <w:color w:val="auto"/>
        </w:rPr>
      </w:pPr>
      <w:r>
        <w:rPr>
          <w:rFonts w:ascii="Times New Roman" w:cs="Times New Roman" w:eastAsia="Times New Roman" w:hAnsi="Times New Roman"/>
          <w:sz w:val="11"/>
          <w:szCs w:val="11"/>
          <w:color w:val="auto"/>
        </w:rPr>
        <w:t>To the best of our knowledge, Nokia is not directly or indirectly owned or controlled by any other corporation or any government, and there are no arrangements that may result in a change of control of Nokia.</w:t>
      </w:r>
    </w:p>
    <w:p>
      <w:pPr>
        <w:spacing w:after="0" w:line="37" w:lineRule="exact"/>
        <w:rPr>
          <w:sz w:val="20"/>
          <w:szCs w:val="20"/>
          <w:color w:val="auto"/>
        </w:rPr>
      </w:pPr>
    </w:p>
    <w:p>
      <w:pPr>
        <w:spacing w:after="0"/>
        <w:tabs>
          <w:tab w:leader="none" w:pos="2740" w:val="left"/>
        </w:tabs>
        <w:rPr>
          <w:sz w:val="20"/>
          <w:szCs w:val="20"/>
          <w:color w:val="auto"/>
        </w:rPr>
      </w:pPr>
      <w:r>
        <w:rPr>
          <w:rFonts w:ascii="Times New Roman" w:cs="Times New Roman" w:eastAsia="Times New Roman" w:hAnsi="Times New Roman"/>
          <w:sz w:val="11"/>
          <w:szCs w:val="11"/>
          <w:b w:val="1"/>
          <w:bCs w:val="1"/>
          <w:color w:val="auto"/>
        </w:rPr>
        <w:t>Shares owned by the members of the Board and the</w:t>
      </w:r>
      <w:r>
        <w:rPr>
          <w:sz w:val="20"/>
          <w:szCs w:val="20"/>
          <w:color w:val="auto"/>
        </w:rPr>
        <w:tab/>
      </w:r>
      <w:r>
        <w:rPr>
          <w:rFonts w:ascii="Times New Roman" w:cs="Times New Roman" w:eastAsia="Times New Roman" w:hAnsi="Times New Roman"/>
          <w:sz w:val="11"/>
          <w:szCs w:val="11"/>
          <w:b w:val="1"/>
          <w:bCs w:val="1"/>
          <w:color w:val="auto"/>
        </w:rPr>
        <w:t>Group Leadership Team</w:t>
      </w:r>
    </w:p>
    <w:p>
      <w:pPr>
        <w:spacing w:after="0" w:line="24" w:lineRule="exact"/>
        <w:rPr>
          <w:sz w:val="20"/>
          <w:szCs w:val="20"/>
          <w:color w:val="auto"/>
        </w:rPr>
      </w:pPr>
    </w:p>
    <w:p>
      <w:pPr>
        <w:ind w:right="500"/>
        <w:spacing w:after="0" w:line="273" w:lineRule="auto"/>
        <w:rPr>
          <w:sz w:val="20"/>
          <w:szCs w:val="20"/>
          <w:color w:val="auto"/>
        </w:rPr>
      </w:pPr>
      <w:r>
        <w:rPr>
          <w:rFonts w:ascii="Times New Roman" w:cs="Times New Roman" w:eastAsia="Times New Roman" w:hAnsi="Times New Roman"/>
          <w:sz w:val="11"/>
          <w:szCs w:val="11"/>
          <w:color w:val="auto"/>
        </w:rPr>
        <w:t>At 31 December 2023 , the members of our Board and the Group Leadership Team held a total of 5 140 152 shares and ADSs in Nokia, which represented approximately 0.09% of our shares and total voting rights excluding shares held by the Nokia Group.</w:t>
      </w:r>
    </w:p>
    <w:p>
      <w:pPr>
        <w:spacing w:after="0" w:line="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Offer and listing details</w:t>
      </w:r>
    </w:p>
    <w:p>
      <w:pPr>
        <w:spacing w:after="0" w:line="19" w:lineRule="exact"/>
        <w:rPr>
          <w:sz w:val="20"/>
          <w:szCs w:val="20"/>
          <w:color w:val="auto"/>
        </w:rPr>
      </w:pPr>
    </w:p>
    <w:p>
      <w:pPr>
        <w:ind w:right="440"/>
        <w:spacing w:after="0" w:line="268" w:lineRule="auto"/>
        <w:rPr>
          <w:sz w:val="20"/>
          <w:szCs w:val="20"/>
          <w:color w:val="auto"/>
        </w:rPr>
      </w:pPr>
      <w:r>
        <w:rPr>
          <w:rFonts w:ascii="Times New Roman" w:cs="Times New Roman" w:eastAsia="Times New Roman" w:hAnsi="Times New Roman"/>
          <w:sz w:val="11"/>
          <w:szCs w:val="11"/>
          <w:color w:val="auto"/>
        </w:rPr>
        <w:t>Our capital consists of shares traded on Nasdaq Helsinki under the symbol “NOKIA” and Euronext Paris under the symbol “NOKIA”. Our ADSs, each representing one of our shares, are traded on the NYSE under the symbol “NOK”. The ADSs are evidenced by American Depositary Receipts (ADRs) issued by Citibank, N.A.</w:t>
      </w:r>
    </w:p>
    <w:p>
      <w:pPr>
        <w:sectPr>
          <w:pgSz w:w="11900" w:h="16838" w:orient="portrait"/>
          <w:cols w:equalWidth="0" w:num="2">
            <w:col w:w="4940" w:space="160"/>
            <w:col w:w="5000"/>
          </w:cols>
          <w:pgMar w:left="960" w:top="409" w:right="839" w:bottom="1440" w:gutter="0" w:footer="0" w:header="0"/>
          <w:type w:val="continuous"/>
        </w:sectPr>
      </w:pPr>
    </w:p>
    <w:bookmarkStart w:id="118" w:name="page119"/>
    <w:bookmarkEnd w:id="11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Articles of Association</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Articles of Association</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111</w:t>
      </w:r>
    </w:p>
    <w:p>
      <w:pPr>
        <w:spacing w:after="0" w:line="1382" w:lineRule="exact"/>
        <w:rPr>
          <w:sz w:val="20"/>
          <w:szCs w:val="20"/>
          <w:color w:val="auto"/>
        </w:rPr>
      </w:pPr>
    </w:p>
    <w:p>
      <w:pPr>
        <w:sectPr>
          <w:pgSz w:w="11900" w:h="16838" w:orient="portrait"/>
          <w:cols w:equalWidth="0" w:num="2">
            <w:col w:w="9080" w:space="720"/>
            <w:col w:w="160"/>
          </w:cols>
          <w:pgMar w:left="960" w:top="409" w:right="979" w:bottom="1440" w:gutter="0" w:footer="0" w:header="0"/>
        </w:sectPr>
      </w:pPr>
    </w:p>
    <w:p>
      <w:pPr>
        <w:spacing w:after="0"/>
        <w:rPr>
          <w:sz w:val="20"/>
          <w:szCs w:val="20"/>
          <w:color w:val="auto"/>
        </w:rPr>
      </w:pPr>
      <w:r>
        <w:rPr>
          <w:rFonts w:ascii="Times New Roman" w:cs="Times New Roman" w:eastAsia="Times New Roman" w:hAnsi="Times New Roman"/>
          <w:sz w:val="16"/>
          <w:szCs w:val="16"/>
          <w:color w:val="005AFF"/>
        </w:rPr>
        <w:t>Articles of Association</w:t>
      </w:r>
    </w:p>
    <w:p>
      <w:pPr>
        <w:spacing w:after="0" w:line="36"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rPr>
        <w:t>Amendment of our Articles of Association requires a resolution of the general meeting of shareholders, supported by two-thirds of the votes cast and two-thirds of the shares represented at the meeting.</w:t>
      </w:r>
    </w:p>
    <w:p>
      <w:pPr>
        <w:spacing w:after="0" w:line="4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Registration</w:t>
      </w:r>
    </w:p>
    <w:p>
      <w:pPr>
        <w:spacing w:after="0" w:line="46" w:lineRule="exact"/>
        <w:rPr>
          <w:sz w:val="20"/>
          <w:szCs w:val="20"/>
          <w:color w:val="auto"/>
        </w:rPr>
      </w:pPr>
    </w:p>
    <w:p>
      <w:pPr>
        <w:ind w:right="40"/>
        <w:spacing w:after="0" w:line="262" w:lineRule="auto"/>
        <w:rPr>
          <w:sz w:val="20"/>
          <w:szCs w:val="20"/>
          <w:color w:val="auto"/>
        </w:rPr>
      </w:pPr>
      <w:r>
        <w:rPr>
          <w:rFonts w:ascii="Times New Roman" w:cs="Times New Roman" w:eastAsia="Times New Roman" w:hAnsi="Times New Roman"/>
          <w:sz w:val="11"/>
          <w:szCs w:val="11"/>
          <w:color w:val="auto"/>
        </w:rPr>
        <w:t>Nokia Corporation is organized under the laws of the Republic of Finland and registered in the Finnish Trade Register under business identity code 0112038-9. Under its current Articles of Association, Nokia’s corporate purpose is to research, develop, manufacture, market, sell and deliver products, software and services in a wide range of consumer and business-to-business markets. These products, software and services relate to, among others, network infrastructure for telecommunication operators and other enterprises, the internet of things, human health and wellbeing, multi-media, big data and analytics, mobile devices and consumer wearables and other electronics. The company may also create, acquire and license intellectual property and software as well as engage in other industrial and commercial operations, including securities trading and other investment activities. The company may carry on its business operations directly, through subsidiary companies, affiliate companies and joint ventures.</w:t>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Directors’ voting powers</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Under Finnish law, resolutions of the Board shall be made</w:t>
      </w:r>
    </w:p>
    <w:p>
      <w:pPr>
        <w:spacing w:after="0" w:line="22" w:lineRule="exact"/>
        <w:rPr>
          <w:sz w:val="20"/>
          <w:szCs w:val="20"/>
          <w:color w:val="auto"/>
        </w:rPr>
      </w:pPr>
    </w:p>
    <w:p>
      <w:pPr>
        <w:ind w:right="20"/>
        <w:spacing w:after="0" w:line="260" w:lineRule="auto"/>
        <w:rPr>
          <w:sz w:val="20"/>
          <w:szCs w:val="20"/>
          <w:color w:val="auto"/>
        </w:rPr>
      </w:pPr>
      <w:r>
        <w:rPr>
          <w:rFonts w:ascii="Times New Roman" w:cs="Times New Roman" w:eastAsia="Times New Roman" w:hAnsi="Times New Roman"/>
          <w:sz w:val="11"/>
          <w:szCs w:val="11"/>
          <w:color w:val="auto"/>
        </w:rPr>
        <w:t>by a majority vote. A director shall refrain from taking any part in the consideration of an agreement between the director and the company or third party, or any other issue that may provide any material benefit to him or her, which may be contradictory to the interests of the company. Under Finnish law, there is no age limit requirement for directors, and there are no requirements under Finnish law that a director must own a minimum number of shares in order to qualify to act</w:t>
      </w:r>
    </w:p>
    <w:p>
      <w:pPr>
        <w:spacing w:after="0" w:line="1"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as a director. However, in accordance with the current Company policy, approximately 40% of the annual fee payable to the Board members is paid in Nokia shares purchased from the market or alternatively by using treasury shares held by Nokia, and the directors shall retain until the end of their directorship such number of shares that corresponds to the</w:t>
      </w:r>
    </w:p>
    <w:p>
      <w:pPr>
        <w:spacing w:after="0" w:line="20" w:lineRule="exact"/>
        <w:rPr>
          <w:sz w:val="20"/>
          <w:szCs w:val="20"/>
          <w:color w:val="auto"/>
        </w:rPr>
      </w:pPr>
      <w:r>
        <w:rPr>
          <w:sz w:val="20"/>
          <w:szCs w:val="20"/>
          <w:color w:val="auto"/>
        </w:rPr>
        <w:br w:type="column"/>
      </w:r>
    </w:p>
    <w:p>
      <w:pPr>
        <w:ind w:right="120"/>
        <w:spacing w:after="0" w:line="275" w:lineRule="auto"/>
        <w:rPr>
          <w:sz w:val="20"/>
          <w:szCs w:val="20"/>
          <w:color w:val="auto"/>
        </w:rPr>
      </w:pPr>
      <w:r>
        <w:rPr>
          <w:rFonts w:ascii="Times New Roman" w:cs="Times New Roman" w:eastAsia="Times New Roman" w:hAnsi="Times New Roman"/>
          <w:sz w:val="11"/>
          <w:szCs w:val="11"/>
          <w:color w:val="auto"/>
        </w:rPr>
        <w:t>number of shares they have received as Board remuneration during their first three years of service (the net amount received after deducting those shares used for offsetting any costs relating to the acquisition of the shares, including taxes).</w:t>
      </w:r>
    </w:p>
    <w:p>
      <w:pPr>
        <w:spacing w:after="0" w:line="40"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Share rights, preferences and restrictions</w:t>
      </w:r>
    </w:p>
    <w:p>
      <w:pPr>
        <w:spacing w:after="0" w:line="36"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Each share confers the right to one vote at general meetings. According to Finnish law, a company generally must hold an Annual General Meeting called by the Board within six months from the end of the financial year. Additionally, the Board is obliged to call an Extraordinary General Meeting whenever such meeting is deemed necessary, or at the request of the auditor</w:t>
      </w:r>
    </w:p>
    <w:p>
      <w:pPr>
        <w:spacing w:after="0" w:line="1"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or shareholders representing a minimum of one-tenth of all outstanding shares. Under our Articles of Association, the Board is elected at least annually at the Annual General Meeting of shareholders for a term ending at the end of the next Annual General Meeting.</w:t>
      </w:r>
    </w:p>
    <w:p>
      <w:pPr>
        <w:spacing w:after="0" w:line="61" w:lineRule="exact"/>
        <w:rPr>
          <w:sz w:val="20"/>
          <w:szCs w:val="20"/>
          <w:color w:val="auto"/>
        </w:rPr>
      </w:pPr>
    </w:p>
    <w:p>
      <w:pPr>
        <w:ind w:right="220"/>
        <w:spacing w:after="0" w:line="269" w:lineRule="auto"/>
        <w:rPr>
          <w:sz w:val="20"/>
          <w:szCs w:val="20"/>
          <w:color w:val="auto"/>
        </w:rPr>
      </w:pPr>
      <w:r>
        <w:rPr>
          <w:rFonts w:ascii="Times New Roman" w:cs="Times New Roman" w:eastAsia="Times New Roman" w:hAnsi="Times New Roman"/>
          <w:sz w:val="11"/>
          <w:szCs w:val="11"/>
          <w:color w:val="auto"/>
        </w:rPr>
        <w:t>Under Finnish law, shareholders may attend and vote at general meetings in person or by proxy. It is not customary in Finland for a company to issue forms of proxy to its shareholders. Accordingly, Nokia does not do so. However, registered holders and beneficial owners of ADSs are issued forms of proxy by the Depositary.</w:t>
      </w:r>
    </w:p>
    <w:p>
      <w:pPr>
        <w:spacing w:after="0" w:line="60"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To attend and vote at a general meeting, a shareholder must be registered in the register of shareholders in the Finnish book-entry system on or prior to the record date set forth in the notice of the general meeting. A registered holder</w:t>
      </w:r>
    </w:p>
    <w:p>
      <w:pPr>
        <w:ind w:right="80"/>
        <w:spacing w:after="0" w:line="264" w:lineRule="auto"/>
        <w:rPr>
          <w:sz w:val="20"/>
          <w:szCs w:val="20"/>
          <w:color w:val="auto"/>
        </w:rPr>
      </w:pPr>
      <w:r>
        <w:rPr>
          <w:rFonts w:ascii="Times New Roman" w:cs="Times New Roman" w:eastAsia="Times New Roman" w:hAnsi="Times New Roman"/>
          <w:sz w:val="11"/>
          <w:szCs w:val="11"/>
          <w:color w:val="auto"/>
        </w:rPr>
        <w:t>or a beneficial owner of the ADSs, like other beneficial owners whose shares are registered in the Company’s register</w:t>
      </w:r>
    </w:p>
    <w:p>
      <w:pPr>
        <w:ind w:right="340"/>
        <w:spacing w:after="0" w:line="268" w:lineRule="auto"/>
        <w:rPr>
          <w:sz w:val="20"/>
          <w:szCs w:val="20"/>
          <w:color w:val="auto"/>
        </w:rPr>
      </w:pPr>
      <w:r>
        <w:rPr>
          <w:rFonts w:ascii="Times New Roman" w:cs="Times New Roman" w:eastAsia="Times New Roman" w:hAnsi="Times New Roman"/>
          <w:sz w:val="11"/>
          <w:szCs w:val="11"/>
          <w:color w:val="auto"/>
        </w:rPr>
        <w:t>of shareholders in the name of a nominee, may vote with their shares provided that they arrange to have their name entered in the temporary register of shareholders for the general meeting.</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The record date is the eighth business day preceding the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meeting. To be entered in the temporary register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shareholders for the general meeting, a holder of ADSs must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provide the Depositary, or have his or her broker or other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custodian provide the Depositary, on or before the voting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deadline, as defined in the proxy material issued by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Depositary, a proxy with the following information: the name,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address, and social security number or another corresponding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personal identification number of the holder of the ADSs,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number of shares to be voted by the holder of the ADSs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the voting instructions. The register of shareholders 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the record date of each general meeting is public until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end of the respective meeting. Other nominee registered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shareholders can attend and vote at general meetings by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instructing their broker or other custodian to register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shareholder in Nokia’s temporary register of shareholders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give the voting instructions in accordance with the broker’s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custodian’s instructions.</w:t>
      </w:r>
    </w:p>
    <w:p>
      <w:pPr>
        <w:spacing w:after="0" w:line="89" w:lineRule="exact"/>
        <w:rPr>
          <w:sz w:val="20"/>
          <w:szCs w:val="20"/>
          <w:color w:val="auto"/>
        </w:rPr>
      </w:pPr>
    </w:p>
    <w:p>
      <w:pPr>
        <w:ind w:right="220"/>
        <w:spacing w:after="0" w:line="269" w:lineRule="auto"/>
        <w:rPr>
          <w:sz w:val="20"/>
          <w:szCs w:val="20"/>
          <w:color w:val="auto"/>
        </w:rPr>
      </w:pPr>
      <w:r>
        <w:rPr>
          <w:rFonts w:ascii="Times New Roman" w:cs="Times New Roman" w:eastAsia="Times New Roman" w:hAnsi="Times New Roman"/>
          <w:sz w:val="11"/>
          <w:szCs w:val="11"/>
          <w:color w:val="auto"/>
        </w:rPr>
        <w:t>By completing and returning the form of proxy provided by the Depositary, a holder of ADSs also authorizes the Depositary to give notice to us, required by our Articles of Association, of the holder’s intention to attend the general meeting.</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rights of shareholders are related to the shares as</w:t>
      </w:r>
    </w:p>
    <w:p>
      <w:pPr>
        <w:spacing w:after="0" w:line="22" w:lineRule="exact"/>
        <w:rPr>
          <w:sz w:val="20"/>
          <w:szCs w:val="20"/>
          <w:color w:val="auto"/>
        </w:rPr>
      </w:pPr>
    </w:p>
    <w:p>
      <w:pPr>
        <w:ind w:right="200"/>
        <w:spacing w:after="0" w:line="260" w:lineRule="auto"/>
        <w:rPr>
          <w:sz w:val="20"/>
          <w:szCs w:val="20"/>
          <w:color w:val="auto"/>
        </w:rPr>
      </w:pPr>
      <w:r>
        <w:rPr>
          <w:rFonts w:ascii="Times New Roman" w:cs="Times New Roman" w:eastAsia="Times New Roman" w:hAnsi="Times New Roman"/>
          <w:sz w:val="11"/>
          <w:szCs w:val="11"/>
          <w:color w:val="auto"/>
        </w:rPr>
        <w:t>set forth in the Finnish Companies Act and our Articles of Association. Neither Finnish law nor our Articles of Association set limitations on the rights to own Nokia securities, including the rights of foreign shareholders to hold or exercise voting rights in the said securities. Amendment of the Articles of Association requires a decision of the general meeting of shareholders, supported by two-thirds of the votes cast</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two-thirds of the shares represented at the meeting.</w:t>
      </w:r>
    </w:p>
    <w:p>
      <w:pPr>
        <w:spacing w:after="0" w:line="79" w:lineRule="exact"/>
        <w:rPr>
          <w:sz w:val="20"/>
          <w:szCs w:val="20"/>
          <w:color w:val="auto"/>
        </w:rPr>
      </w:pPr>
    </w:p>
    <w:p>
      <w:pPr>
        <w:ind w:right="400"/>
        <w:spacing w:after="0" w:line="274" w:lineRule="auto"/>
        <w:rPr>
          <w:sz w:val="20"/>
          <w:szCs w:val="20"/>
          <w:color w:val="auto"/>
        </w:rPr>
      </w:pPr>
      <w:r>
        <w:rPr>
          <w:rFonts w:ascii="Times New Roman" w:cs="Times New Roman" w:eastAsia="Times New Roman" w:hAnsi="Times New Roman"/>
          <w:sz w:val="11"/>
          <w:szCs w:val="11"/>
          <w:color w:val="auto"/>
        </w:rPr>
        <w:t>Each of our shares confers equal rights to share in the distribution of the Company’s funds. Under Finnish law, dividend entitlement lapses after three years if a dividend remains unclaimed for that period, in which case the unclaimed dividend will be recognized as income by Nokia.</w:t>
      </w:r>
    </w:p>
    <w:p>
      <w:pPr>
        <w:spacing w:after="0" w:line="699" w:lineRule="exact"/>
        <w:rPr>
          <w:sz w:val="20"/>
          <w:szCs w:val="20"/>
          <w:color w:val="auto"/>
        </w:rPr>
      </w:pPr>
    </w:p>
    <w:p>
      <w:pPr>
        <w:sectPr>
          <w:pgSz w:w="11900" w:h="16838" w:orient="portrait"/>
          <w:cols w:equalWidth="0" w:num="3">
            <w:col w:w="2920" w:space="480"/>
            <w:col w:w="2980" w:space="420"/>
            <w:col w:w="3160"/>
          </w:cols>
          <w:pgMar w:left="960" w:top="409" w:right="97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60"/>
          </w:cols>
          <w:pgMar w:left="960" w:top="409" w:right="979" w:bottom="1440" w:gutter="0" w:footer="0" w:header="0"/>
          <w:type w:val="continuous"/>
        </w:sectPr>
      </w:pPr>
    </w:p>
    <w:bookmarkStart w:id="119" w:name="page120"/>
    <w:bookmarkEnd w:id="11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Articles of Association continued</w:t>
      </w:r>
    </w:p>
    <w:p>
      <w:pPr>
        <w:spacing w:after="0" w:line="318" w:lineRule="exact"/>
        <w:rPr>
          <w:sz w:val="20"/>
          <w:szCs w:val="20"/>
          <w:color w:val="auto"/>
        </w:rPr>
      </w:pPr>
    </w:p>
    <w:p>
      <w:pPr>
        <w:ind w:right="400"/>
        <w:spacing w:after="0" w:line="275" w:lineRule="auto"/>
        <w:rPr>
          <w:sz w:val="20"/>
          <w:szCs w:val="20"/>
          <w:color w:val="auto"/>
        </w:rPr>
      </w:pPr>
      <w:r>
        <w:rPr>
          <w:rFonts w:ascii="Times New Roman" w:cs="Times New Roman" w:eastAsia="Times New Roman" w:hAnsi="Times New Roman"/>
          <w:sz w:val="16"/>
          <w:szCs w:val="16"/>
          <w:color w:val="005AFF"/>
        </w:rPr>
        <w:t>Disclosure of shareholder ownership or voting power</w:t>
      </w:r>
    </w:p>
    <w:p>
      <w:pPr>
        <w:spacing w:after="0" w:line="1"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According to the Finnish Securities Market Act, a shareholder shall disclose his or her ownership or voting power to the company and the Finnish Financial Supervisory Authority when the ownership or voting power reaches, exceeds or falls below 5, 10, 15, 20, 25, 30, 50 or 90% of all the shares or the voting rights. The term “ownership” includes ownership by the shareholder, as well as selected related parties, and calculating the ownership or voting power covers agreements or other arrangements, which when concluded would cause the proportion of voting rights or number of shares to reach, exceed or fall below the aforementioned limits. Upon receiving such notice, the company shall disclose it by a stock exchange release without undue delay.</w:t>
      </w:r>
    </w:p>
    <w:p>
      <w:pPr>
        <w:spacing w:after="0" w:line="19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Purchase obligation</w:t>
      </w:r>
    </w:p>
    <w:p>
      <w:pPr>
        <w:spacing w:after="0" w:line="36" w:lineRule="exact"/>
        <w:rPr>
          <w:sz w:val="20"/>
          <w:szCs w:val="20"/>
          <w:color w:val="auto"/>
        </w:rPr>
      </w:pPr>
    </w:p>
    <w:p>
      <w:pPr>
        <w:spacing w:after="0" w:line="261" w:lineRule="auto"/>
        <w:rPr>
          <w:sz w:val="20"/>
          <w:szCs w:val="20"/>
          <w:color w:val="auto"/>
        </w:rPr>
      </w:pPr>
      <w:r>
        <w:rPr>
          <w:rFonts w:ascii="Times New Roman" w:cs="Times New Roman" w:eastAsia="Times New Roman" w:hAnsi="Times New Roman"/>
          <w:sz w:val="11"/>
          <w:szCs w:val="11"/>
          <w:color w:val="auto"/>
        </w:rPr>
        <w:t>Our Articles of Association require a shareholder that holds one-third or one-half of all of our shares to purchase the shares of all other shareholders that so request. A shareholder who becomes subject to the purchase obligation is also obligated to purchase any subscription rights, stock options or convertible bonds issued by the company if so requested by the holder. The purchase price of the shares under our Articles of Association is the higher of: (a) the weighted average trading price of the shares on Nasdaq Helsinki during the ten business days prior to the day on which we have been notified by the purchaser that its holding has reached or exceeded</w:t>
      </w:r>
    </w:p>
    <w:p>
      <w:pPr>
        <w:spacing w:after="0" w:line="6"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the threshold referred to above or, in the absence of such notification or its failure to arrive within the specified period, the day on which our Board otherwise becomes aware of this; or (b) the average price, weighted by the number of shares, which the purchaser has paid for the shares it has acquired during the last 12 months preceding the date referred to in (a).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80"/>
        <w:spacing w:after="0" w:line="262" w:lineRule="auto"/>
        <w:rPr>
          <w:sz w:val="20"/>
          <w:szCs w:val="20"/>
          <w:color w:val="auto"/>
        </w:rPr>
      </w:pPr>
      <w:r>
        <w:rPr>
          <w:rFonts w:ascii="Times New Roman" w:cs="Times New Roman" w:eastAsia="Times New Roman" w:hAnsi="Times New Roman"/>
          <w:sz w:val="11"/>
          <w:szCs w:val="11"/>
          <w:color w:val="auto"/>
        </w:rPr>
        <w:t>Under the Finnish Securities Market Act, a shareholder whose voting power exceeds 30% or 50% of the total voting rights in a company shall, within one month, offer to purchase the remaining shares of the company, as well as any other rights entitling to the shares issued by the company, such as subscription rights, convertible bonds or stock options issued by the company. The purchase price shall be the market price of the securities in question. Subject to certain exceptions, the market price is determined on the basis of the highest price paid for the security during the preceding six months by the shareholder or any party in close connection to the shareholder. Subject to certain exceptions, if the shareholder or any related party has not during the six months preceding the offer acquired any securities that are the target for the offer, the market price is determined based on the average</w:t>
      </w:r>
    </w:p>
    <w:p>
      <w:pPr>
        <w:spacing w:after="0" w:line="4" w:lineRule="exact"/>
        <w:rPr>
          <w:sz w:val="20"/>
          <w:szCs w:val="20"/>
          <w:color w:val="auto"/>
        </w:rPr>
      </w:pPr>
    </w:p>
    <w:p>
      <w:pPr>
        <w:ind w:right="140"/>
        <w:spacing w:after="0" w:line="286" w:lineRule="auto"/>
        <w:rPr>
          <w:sz w:val="20"/>
          <w:szCs w:val="20"/>
          <w:color w:val="auto"/>
        </w:rPr>
      </w:pPr>
      <w:r>
        <w:rPr>
          <w:rFonts w:ascii="Times New Roman" w:cs="Times New Roman" w:eastAsia="Times New Roman" w:hAnsi="Times New Roman"/>
          <w:sz w:val="11"/>
          <w:szCs w:val="11"/>
          <w:color w:val="auto"/>
        </w:rPr>
        <w:t>of the prices paid for the security in public trading during the preceding three months weighted by the volume of trade.</w:t>
      </w:r>
    </w:p>
    <w:p>
      <w:pPr>
        <w:spacing w:after="0" w:line="51"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Under the Finnish Companies Act, a shareholder whose holding exceeds nine-tenths of the total number of shares or voting rights in Nokia has both the right and, upon a request from the minority shareholders, the obligation to purchase all the shares of the minority shareholders for the then current market price. The market price is determined, among other things, on the basis of the recent market price of the shares. The purchase procedure under the Finnish Companies Act differs, and the purchase price may differ, from the purchase procedure and price under the Finnish Securities Market Act, as discussed above. However, if the threshold of nine-tenths has been exceeded through either a mandatory or a voluntary public offer pursuant to the Finnish Securities Market Act, the market price under the Finnish Companies Act is deemed to be the price offered in the public offer, unless there are specific reasons to deviate from it.</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112</w:t>
      </w:r>
    </w:p>
    <w:p>
      <w:pPr>
        <w:spacing w:after="0" w:line="200" w:lineRule="exact"/>
        <w:rPr>
          <w:sz w:val="20"/>
          <w:szCs w:val="20"/>
          <w:color w:val="auto"/>
        </w:rPr>
      </w:pPr>
    </w:p>
    <w:p>
      <w:pPr>
        <w:spacing w:after="0" w:line="200" w:lineRule="exact"/>
        <w:rPr>
          <w:sz w:val="20"/>
          <w:szCs w:val="20"/>
          <w:color w:val="auto"/>
        </w:rPr>
      </w:pPr>
    </w:p>
    <w:p>
      <w:pPr>
        <w:spacing w:after="0" w:line="33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Pre-emptive rights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connection with any offering of shares, the existing</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shareholders have a pre-emptive right to subscribe for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shares offered in proportion to the amount of shares in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their possession. However, a general meeting of shareholders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may vote, by a majority of two-thirds of the votes cast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two-thirds of the shares represented at the meeting, to waive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this pre-emptive right provided that, from the company’s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perspective, weighty financial grounds exist.</w:t>
      </w:r>
    </w:p>
    <w:p>
      <w:pPr>
        <w:spacing w:after="0" w:line="72" w:lineRule="exact"/>
        <w:rPr>
          <w:sz w:val="20"/>
          <w:szCs w:val="20"/>
          <w:color w:val="auto"/>
        </w:rPr>
      </w:pPr>
    </w:p>
    <w:p>
      <w:pPr>
        <w:ind w:right="1020"/>
        <w:spacing w:after="0" w:line="275" w:lineRule="auto"/>
        <w:rPr>
          <w:sz w:val="20"/>
          <w:szCs w:val="20"/>
          <w:color w:val="auto"/>
        </w:rPr>
      </w:pPr>
      <w:r>
        <w:rPr>
          <w:rFonts w:ascii="Times New Roman" w:cs="Times New Roman" w:eastAsia="Times New Roman" w:hAnsi="Times New Roman"/>
          <w:sz w:val="16"/>
          <w:szCs w:val="16"/>
          <w:color w:val="005AFF"/>
        </w:rPr>
        <w:t>Monitoring of Foreign Corporate Acquisitions</w:t>
      </w:r>
    </w:p>
    <w:p>
      <w:pPr>
        <w:spacing w:after="0" w:line="1" w:lineRule="exact"/>
        <w:rPr>
          <w:sz w:val="20"/>
          <w:szCs w:val="20"/>
          <w:color w:val="auto"/>
        </w:rPr>
      </w:pPr>
    </w:p>
    <w:p>
      <w:pPr>
        <w:ind w:right="220"/>
        <w:spacing w:after="0" w:line="263" w:lineRule="auto"/>
        <w:rPr>
          <w:sz w:val="20"/>
          <w:szCs w:val="20"/>
          <w:color w:val="auto"/>
        </w:rPr>
      </w:pPr>
      <w:r>
        <w:rPr>
          <w:rFonts w:ascii="Times New Roman" w:cs="Times New Roman" w:eastAsia="Times New Roman" w:hAnsi="Times New Roman"/>
          <w:sz w:val="11"/>
          <w:szCs w:val="11"/>
          <w:color w:val="auto"/>
        </w:rPr>
        <w:t>Under the Finnish Act on the Monitoring of Foreign Corporate Acquisitions (2012/172 as amended), a notification to the Ministry of Economic Affairs and Employment is required for a non-resident of Finland, directly or indirectly, when acquiring one-tenth or more of the voting power or corresponding</w:t>
      </w:r>
    </w:p>
    <w:p>
      <w:pPr>
        <w:spacing w:after="0" w:line="1" w:lineRule="exact"/>
        <w:rPr>
          <w:sz w:val="20"/>
          <w:szCs w:val="20"/>
          <w:color w:val="auto"/>
        </w:rPr>
      </w:pPr>
    </w:p>
    <w:p>
      <w:pPr>
        <w:ind w:right="120"/>
        <w:spacing w:after="0" w:line="260" w:lineRule="auto"/>
        <w:rPr>
          <w:sz w:val="20"/>
          <w:szCs w:val="20"/>
          <w:color w:val="auto"/>
        </w:rPr>
      </w:pPr>
      <w:r>
        <w:rPr>
          <w:rFonts w:ascii="Times New Roman" w:cs="Times New Roman" w:eastAsia="Times New Roman" w:hAnsi="Times New Roman"/>
          <w:sz w:val="11"/>
          <w:szCs w:val="11"/>
          <w:color w:val="auto"/>
        </w:rPr>
        <w:t>factual influence in a company. The Ministry of Economic Affairs and Employment has to confirm the acquisition unless the acquisition would jeopardize important national interests, in which case the matter is referred to the Council of State. If the company in question is operating in the defense sector, an approval by the Ministry of Economic Affairs and Employment is required before the acquisition is made. These requirements</w:t>
      </w:r>
    </w:p>
    <w:p>
      <w:pPr>
        <w:spacing w:after="0" w:line="2" w:lineRule="exact"/>
        <w:rPr>
          <w:sz w:val="20"/>
          <w:szCs w:val="20"/>
          <w:color w:val="auto"/>
        </w:rPr>
      </w:pPr>
    </w:p>
    <w:p>
      <w:pPr>
        <w:ind w:right="280"/>
        <w:spacing w:after="0" w:line="260" w:lineRule="auto"/>
        <w:rPr>
          <w:sz w:val="20"/>
          <w:szCs w:val="20"/>
          <w:color w:val="auto"/>
        </w:rPr>
      </w:pPr>
      <w:r>
        <w:rPr>
          <w:rFonts w:ascii="Times New Roman" w:cs="Times New Roman" w:eastAsia="Times New Roman" w:hAnsi="Times New Roman"/>
          <w:sz w:val="11"/>
          <w:szCs w:val="11"/>
          <w:color w:val="auto"/>
        </w:rPr>
        <w:t>are not applicable if, for instance, the voting power is acquired in a share issue that is proportional to the holder’s ownership of the shares. Moreover, the requirements do not apply to residents of countries in the European Economic Area or EFTA countries, except where at least one-tenth of shares</w:t>
      </w:r>
    </w:p>
    <w:p>
      <w:pPr>
        <w:spacing w:after="0" w:line="3" w:lineRule="exact"/>
        <w:rPr>
          <w:sz w:val="20"/>
          <w:szCs w:val="20"/>
          <w:color w:val="auto"/>
        </w:rPr>
      </w:pPr>
    </w:p>
    <w:p>
      <w:pPr>
        <w:ind w:right="400"/>
        <w:spacing w:after="0" w:line="297" w:lineRule="auto"/>
        <w:rPr>
          <w:sz w:val="20"/>
          <w:szCs w:val="20"/>
          <w:color w:val="auto"/>
        </w:rPr>
      </w:pPr>
      <w:r>
        <w:rPr>
          <w:rFonts w:ascii="Times New Roman" w:cs="Times New Roman" w:eastAsia="Times New Roman" w:hAnsi="Times New Roman"/>
          <w:sz w:val="11"/>
          <w:szCs w:val="11"/>
          <w:color w:val="auto"/>
        </w:rPr>
        <w:t>or other controlling right in such resident are held by a party not resident in the European Economic Area or EFTA.</w:t>
      </w:r>
    </w:p>
    <w:p>
      <w:pPr>
        <w:sectPr>
          <w:pgSz w:w="11900" w:h="16838" w:orient="portrait"/>
          <w:cols w:equalWidth="0" w:num="3">
            <w:col w:w="2960" w:space="440"/>
            <w:col w:w="2940" w:space="460"/>
            <w:col w:w="3160"/>
          </w:cols>
          <w:pgMar w:left="960" w:top="409" w:right="979" w:bottom="1440" w:gutter="0" w:footer="0" w:header="0"/>
        </w:sectPr>
      </w:pPr>
    </w:p>
    <w:bookmarkStart w:id="120" w:name="page121"/>
    <w:bookmarkEnd w:id="12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113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0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Risk factors</w:t>
      </w:r>
    </w:p>
    <w:p>
      <w:pPr>
        <w:sectPr>
          <w:pgSz w:w="11900" w:h="16838" w:orient="portrait"/>
          <w:cols w:equalWidth="0" w:num="1">
            <w:col w:w="9960"/>
          </w:cols>
          <w:pgMar w:left="960" w:top="409" w:right="979" w:bottom="1440" w:gutter="0" w:footer="0" w:header="0"/>
        </w:sectPr>
      </w:pP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Risk factors</w:t>
      </w:r>
    </w:p>
    <w:p>
      <w:pPr>
        <w:spacing w:after="0" w:line="161"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3"/>
          <w:szCs w:val="13"/>
          <w:color w:val="auto"/>
        </w:rPr>
        <w:t>Set forth below is a description of risk factors that could affect our business. Shareholders and potential investors should carefully review the following risk factors, in addition to other information contained in this report. The risk factors described below should not be construed as exhaustive. There may be additional risks that are unknown to us, and other risks currently believed to be immaterial that could turn out to be material.</w:t>
      </w:r>
    </w:p>
    <w:p>
      <w:pPr>
        <w:spacing w:after="0" w:line="10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These risks, either individually or collectively, could adversely</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3"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1"/>
        </w:trPr>
        <w:tc>
          <w:tcPr>
            <w:tcW w:w="2960" w:type="dxa"/>
            <w:vAlign w:val="bottom"/>
          </w:tcPr>
          <w:p>
            <w:pPr>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Trends, such as cloudification, Open RAN and openness in</w:t>
            </w:r>
          </w:p>
        </w:tc>
        <w:tc>
          <w:tcPr>
            <w:tcW w:w="280" w:type="dxa"/>
            <w:vAlign w:val="bottom"/>
          </w:tcPr>
          <w:p>
            <w:pPr>
              <w:spacing w:after="0"/>
              <w:rPr>
                <w:sz w:val="11"/>
                <w:szCs w:val="11"/>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suppliers operate, including the ongoing situations in</w:t>
            </w:r>
          </w:p>
        </w:tc>
        <w:tc>
          <w:tcPr>
            <w:tcW w:w="0" w:type="dxa"/>
            <w:vAlign w:val="bottom"/>
          </w:tcPr>
          <w:p>
            <w:pPr>
              <w:spacing w:after="0"/>
              <w:rPr>
                <w:sz w:val="1"/>
                <w:szCs w:val="1"/>
                <w:color w:val="auto"/>
              </w:rPr>
            </w:pPr>
          </w:p>
        </w:tc>
      </w:tr>
      <w:tr>
        <w:trPr>
          <w:trHeight w:val="142"/>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general, virtualization and disaggregation with potential</w:t>
            </w:r>
          </w:p>
        </w:tc>
        <w:tc>
          <w:tcPr>
            <w:tcW w:w="280" w:type="dxa"/>
            <w:vAlign w:val="bottom"/>
          </w:tcPr>
          <w:p>
            <w:pPr>
              <w:spacing w:after="0"/>
              <w:rPr>
                <w:sz w:val="12"/>
                <w:szCs w:val="12"/>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Ukraine and the Middle East;</w:t>
            </w:r>
          </w:p>
        </w:tc>
        <w:tc>
          <w:tcPr>
            <w:tcW w:w="0" w:type="dxa"/>
            <w:vAlign w:val="bottom"/>
          </w:tcPr>
          <w:p>
            <w:pPr>
              <w:spacing w:after="0"/>
              <w:rPr>
                <w:sz w:val="1"/>
                <w:szCs w:val="1"/>
                <w:color w:val="auto"/>
              </w:rPr>
            </w:pPr>
          </w:p>
        </w:tc>
      </w:tr>
      <w:tr>
        <w:trPr>
          <w:trHeight w:val="142"/>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impact on our portfolio of products and services, competitiv</w:t>
            </w:r>
          </w:p>
        </w:tc>
        <w:tc>
          <w:tcPr>
            <w:tcW w:w="28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e</w:t>
            </w:r>
          </w:p>
        </w:tc>
        <w:tc>
          <w:tcPr>
            <w:tcW w:w="29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The cyclical nature of the markets in which we operate,</w:t>
            </w:r>
          </w:p>
        </w:tc>
        <w:tc>
          <w:tcPr>
            <w:tcW w:w="0" w:type="dxa"/>
            <w:vAlign w:val="bottom"/>
          </w:tcPr>
          <w:p>
            <w:pPr>
              <w:spacing w:after="0"/>
              <w:rPr>
                <w:sz w:val="1"/>
                <w:szCs w:val="1"/>
                <w:color w:val="auto"/>
              </w:rPr>
            </w:pPr>
          </w:p>
        </w:tc>
      </w:tr>
      <w:tr>
        <w:trPr>
          <w:trHeight w:val="81"/>
        </w:trPr>
        <w:tc>
          <w:tcPr>
            <w:tcW w:w="29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landscape, business models and our margin profile;</w:t>
            </w:r>
          </w:p>
        </w:tc>
        <w:tc>
          <w:tcPr>
            <w:tcW w:w="280" w:type="dxa"/>
            <w:vAlign w:val="bottom"/>
          </w:tcPr>
          <w:p>
            <w:pPr>
              <w:spacing w:after="0"/>
              <w:rPr>
                <w:sz w:val="7"/>
                <w:szCs w:val="7"/>
                <w:color w:val="auto"/>
              </w:rPr>
            </w:pPr>
          </w:p>
        </w:tc>
        <w:tc>
          <w:tcPr>
            <w:tcW w:w="296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2960" w:type="dxa"/>
            <w:vAlign w:val="bottom"/>
            <w:vMerge w:val="continue"/>
          </w:tcPr>
          <w:p>
            <w:pPr>
              <w:spacing w:after="0"/>
              <w:rPr>
                <w:sz w:val="5"/>
                <w:szCs w:val="5"/>
                <w:color w:val="auto"/>
              </w:rPr>
            </w:pPr>
          </w:p>
        </w:tc>
        <w:tc>
          <w:tcPr>
            <w:tcW w:w="280" w:type="dxa"/>
            <w:vAlign w:val="bottom"/>
          </w:tcPr>
          <w:p>
            <w:pPr>
              <w:spacing w:after="0"/>
              <w:rPr>
                <w:sz w:val="5"/>
                <w:szCs w:val="5"/>
                <w:color w:val="auto"/>
              </w:rPr>
            </w:pPr>
          </w:p>
        </w:tc>
        <w:tc>
          <w:tcPr>
            <w:tcW w:w="2960" w:type="dxa"/>
            <w:vAlign w:val="bottom"/>
            <w:vMerge w:val="restart"/>
          </w:tcPr>
          <w:p>
            <w:pPr>
              <w:ind w:left="320"/>
              <w:spacing w:after="0"/>
              <w:rPr>
                <w:sz w:val="20"/>
                <w:szCs w:val="20"/>
                <w:color w:val="auto"/>
              </w:rPr>
            </w:pPr>
            <w:r>
              <w:rPr>
                <w:rFonts w:ascii="Times New Roman" w:cs="Times New Roman" w:eastAsia="Times New Roman" w:hAnsi="Times New Roman"/>
                <w:sz w:val="11"/>
                <w:szCs w:val="11"/>
                <w:color w:val="auto"/>
              </w:rPr>
              <w:t>competitor behavior, technological changes and the speed</w:t>
            </w:r>
          </w:p>
        </w:tc>
        <w:tc>
          <w:tcPr>
            <w:tcW w:w="0" w:type="dxa"/>
            <w:vAlign w:val="bottom"/>
          </w:tcPr>
          <w:p>
            <w:pPr>
              <w:spacing w:after="0"/>
              <w:rPr>
                <w:sz w:val="1"/>
                <w:szCs w:val="1"/>
                <w:color w:val="auto"/>
              </w:rPr>
            </w:pPr>
          </w:p>
        </w:tc>
      </w:tr>
      <w:tr>
        <w:trPr>
          <w:trHeight w:val="64"/>
        </w:trPr>
        <w:tc>
          <w:tcPr>
            <w:tcW w:w="2960" w:type="dxa"/>
            <w:vAlign w:val="bottom"/>
          </w:tcPr>
          <w:p>
            <w:pPr>
              <w:spacing w:after="0"/>
              <w:rPr>
                <w:sz w:val="5"/>
                <w:szCs w:val="5"/>
                <w:color w:val="auto"/>
              </w:rPr>
            </w:pPr>
          </w:p>
        </w:tc>
        <w:tc>
          <w:tcPr>
            <w:tcW w:w="280" w:type="dxa"/>
            <w:vAlign w:val="bottom"/>
          </w:tcPr>
          <w:p>
            <w:pPr>
              <w:spacing w:after="0"/>
              <w:rPr>
                <w:sz w:val="5"/>
                <w:szCs w:val="5"/>
                <w:color w:val="auto"/>
              </w:rPr>
            </w:pPr>
          </w:p>
        </w:tc>
        <w:tc>
          <w:tcPr>
            <w:tcW w:w="296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142"/>
        </w:trPr>
        <w:tc>
          <w:tcPr>
            <w:tcW w:w="2960" w:type="dxa"/>
            <w:vAlign w:val="bottom"/>
          </w:tcPr>
          <w:p>
            <w:pPr>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The degree our investments, including venture funds,</w:t>
            </w:r>
          </w:p>
        </w:tc>
        <w:tc>
          <w:tcPr>
            <w:tcW w:w="280" w:type="dxa"/>
            <w:vAlign w:val="bottom"/>
          </w:tcPr>
          <w:p>
            <w:pPr>
              <w:spacing w:after="0"/>
              <w:rPr>
                <w:sz w:val="12"/>
                <w:szCs w:val="12"/>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of technological adoption, customer consolidation, the</w:t>
            </w:r>
          </w:p>
        </w:tc>
        <w:tc>
          <w:tcPr>
            <w:tcW w:w="0" w:type="dxa"/>
            <w:vAlign w:val="bottom"/>
          </w:tcPr>
          <w:p>
            <w:pPr>
              <w:spacing w:after="0"/>
              <w:rPr>
                <w:sz w:val="1"/>
                <w:szCs w:val="1"/>
                <w:color w:val="auto"/>
              </w:rPr>
            </w:pPr>
          </w:p>
        </w:tc>
      </w:tr>
      <w:tr>
        <w:trPr>
          <w:trHeight w:val="131"/>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result in technologies, products or services that achieve or</w:t>
            </w:r>
          </w:p>
        </w:tc>
        <w:tc>
          <w:tcPr>
            <w:tcW w:w="280" w:type="dxa"/>
            <w:vAlign w:val="bottom"/>
          </w:tcPr>
          <w:p>
            <w:pPr>
              <w:spacing w:after="0"/>
              <w:rPr>
                <w:sz w:val="11"/>
                <w:szCs w:val="11"/>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number of competent suppliers, customer purchasing</w:t>
            </w:r>
          </w:p>
        </w:tc>
        <w:tc>
          <w:tcPr>
            <w:tcW w:w="0" w:type="dxa"/>
            <w:vAlign w:val="bottom"/>
          </w:tcPr>
          <w:p>
            <w:pPr>
              <w:spacing w:after="0"/>
              <w:rPr>
                <w:sz w:val="1"/>
                <w:szCs w:val="1"/>
                <w:color w:val="auto"/>
              </w:rPr>
            </w:pPr>
          </w:p>
        </w:tc>
      </w:tr>
      <w:tr>
        <w:trPr>
          <w:trHeight w:val="142"/>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retain broad or timely market acceptance, answer to the</w:t>
            </w:r>
          </w:p>
        </w:tc>
        <w:tc>
          <w:tcPr>
            <w:tcW w:w="280" w:type="dxa"/>
            <w:vAlign w:val="bottom"/>
          </w:tcPr>
          <w:p>
            <w:pPr>
              <w:spacing w:after="0"/>
              <w:rPr>
                <w:sz w:val="12"/>
                <w:szCs w:val="12"/>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and spending appetite and behavior, deployments and</w:t>
            </w:r>
          </w:p>
        </w:tc>
        <w:tc>
          <w:tcPr>
            <w:tcW w:w="0" w:type="dxa"/>
            <w:vAlign w:val="bottom"/>
          </w:tcPr>
          <w:p>
            <w:pPr>
              <w:spacing w:after="0"/>
              <w:rPr>
                <w:sz w:val="1"/>
                <w:szCs w:val="1"/>
                <w:color w:val="auto"/>
              </w:rPr>
            </w:pPr>
          </w:p>
        </w:tc>
      </w:tr>
      <w:tr>
        <w:trPr>
          <w:trHeight w:val="142"/>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expanding needs or preferences of our customers or</w:t>
            </w:r>
          </w:p>
        </w:tc>
        <w:tc>
          <w:tcPr>
            <w:tcW w:w="280" w:type="dxa"/>
            <w:vAlign w:val="bottom"/>
          </w:tcPr>
          <w:p>
            <w:pPr>
              <w:spacing w:after="0"/>
              <w:rPr>
                <w:sz w:val="12"/>
                <w:szCs w:val="12"/>
                <w:color w:val="auto"/>
              </w:rPr>
            </w:pPr>
          </w:p>
        </w:tc>
        <w:tc>
          <w:tcPr>
            <w:tcW w:w="2960" w:type="dxa"/>
            <w:vAlign w:val="bottom"/>
          </w:tcPr>
          <w:p>
            <w:pPr>
              <w:ind w:left="320"/>
              <w:spacing w:after="0"/>
              <w:rPr>
                <w:sz w:val="20"/>
                <w:szCs w:val="20"/>
                <w:color w:val="auto"/>
              </w:rPr>
            </w:pPr>
            <w:r>
              <w:rPr>
                <w:rFonts w:ascii="Times New Roman" w:cs="Times New Roman" w:eastAsia="Times New Roman" w:hAnsi="Times New Roman"/>
                <w:sz w:val="11"/>
                <w:szCs w:val="11"/>
                <w:color w:val="auto"/>
              </w:rPr>
              <w:t>rollout timing;</w:t>
            </w:r>
          </w:p>
        </w:tc>
        <w:tc>
          <w:tcPr>
            <w:tcW w:w="0" w:type="dxa"/>
            <w:vAlign w:val="bottom"/>
          </w:tcPr>
          <w:p>
            <w:pPr>
              <w:spacing w:after="0"/>
              <w:rPr>
                <w:sz w:val="1"/>
                <w:szCs w:val="1"/>
                <w:color w:val="auto"/>
              </w:rPr>
            </w:pPr>
          </w:p>
        </w:tc>
      </w:tr>
      <w:tr>
        <w:trPr>
          <w:trHeight w:val="131"/>
        </w:trPr>
        <w:tc>
          <w:tcPr>
            <w:tcW w:w="29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consumers, or in breakthrough innovations, research assets,</w:t>
            </w:r>
          </w:p>
        </w:tc>
        <w:tc>
          <w:tcPr>
            <w:tcW w:w="280" w:type="dxa"/>
            <w:vAlign w:val="bottom"/>
          </w:tcPr>
          <w:p>
            <w:pPr>
              <w:spacing w:after="0"/>
              <w:rPr>
                <w:sz w:val="11"/>
                <w:szCs w:val="11"/>
                <w:color w:val="auto"/>
              </w:rPr>
            </w:pPr>
          </w:p>
        </w:tc>
        <w:tc>
          <w:tcPr>
            <w:tcW w:w="29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High inflation and our ability to pass increased costs to</w:t>
            </w:r>
          </w:p>
        </w:tc>
        <w:tc>
          <w:tcPr>
            <w:tcW w:w="0" w:type="dxa"/>
            <w:vAlign w:val="bottom"/>
          </w:tcPr>
          <w:p>
            <w:pPr>
              <w:spacing w:after="0"/>
              <w:rPr>
                <w:sz w:val="1"/>
                <w:szCs w:val="1"/>
                <w:color w:val="auto"/>
              </w:rPr>
            </w:pPr>
          </w:p>
        </w:tc>
      </w:tr>
      <w:tr>
        <w:trPr>
          <w:trHeight w:val="81"/>
        </w:trPr>
        <w:tc>
          <w:tcPr>
            <w:tcW w:w="296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digitalization and intellectual property that we could</w:t>
            </w:r>
          </w:p>
        </w:tc>
        <w:tc>
          <w:tcPr>
            <w:tcW w:w="280" w:type="dxa"/>
            <w:vAlign w:val="bottom"/>
          </w:tcPr>
          <w:p>
            <w:pPr>
              <w:spacing w:after="0"/>
              <w:rPr>
                <w:sz w:val="7"/>
                <w:szCs w:val="7"/>
                <w:color w:val="auto"/>
              </w:rPr>
            </w:pPr>
          </w:p>
        </w:tc>
        <w:tc>
          <w:tcPr>
            <w:tcW w:w="296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2960" w:type="dxa"/>
            <w:vAlign w:val="bottom"/>
            <w:vMerge w:val="continue"/>
          </w:tcPr>
          <w:p>
            <w:pPr>
              <w:spacing w:after="0"/>
              <w:rPr>
                <w:sz w:val="5"/>
                <w:szCs w:val="5"/>
                <w:color w:val="auto"/>
              </w:rPr>
            </w:pPr>
          </w:p>
        </w:tc>
        <w:tc>
          <w:tcPr>
            <w:tcW w:w="280" w:type="dxa"/>
            <w:vAlign w:val="bottom"/>
          </w:tcPr>
          <w:p>
            <w:pPr>
              <w:spacing w:after="0"/>
              <w:rPr>
                <w:sz w:val="5"/>
                <w:szCs w:val="5"/>
                <w:color w:val="auto"/>
              </w:rPr>
            </w:pPr>
          </w:p>
        </w:tc>
        <w:tc>
          <w:tcPr>
            <w:tcW w:w="2960" w:type="dxa"/>
            <w:vAlign w:val="bottom"/>
            <w:vMerge w:val="restart"/>
          </w:tcPr>
          <w:p>
            <w:pPr>
              <w:ind w:left="320"/>
              <w:spacing w:after="0"/>
              <w:rPr>
                <w:sz w:val="20"/>
                <w:szCs w:val="20"/>
                <w:color w:val="auto"/>
              </w:rPr>
            </w:pPr>
            <w:r>
              <w:rPr>
                <w:rFonts w:ascii="Times New Roman" w:cs="Times New Roman" w:eastAsia="Times New Roman" w:hAnsi="Times New Roman"/>
                <w:sz w:val="11"/>
                <w:szCs w:val="11"/>
                <w:color w:val="auto"/>
              </w:rPr>
              <w:t>our pricing;</w:t>
            </w:r>
          </w:p>
        </w:tc>
        <w:tc>
          <w:tcPr>
            <w:tcW w:w="0" w:type="dxa"/>
            <w:vAlign w:val="bottom"/>
          </w:tcPr>
          <w:p>
            <w:pPr>
              <w:spacing w:after="0"/>
              <w:rPr>
                <w:sz w:val="1"/>
                <w:szCs w:val="1"/>
                <w:color w:val="auto"/>
              </w:rPr>
            </w:pPr>
          </w:p>
        </w:tc>
      </w:tr>
      <w:tr>
        <w:trPr>
          <w:trHeight w:val="87"/>
        </w:trPr>
        <w:tc>
          <w:tcPr>
            <w:tcW w:w="2960" w:type="dxa"/>
            <w:vAlign w:val="bottom"/>
            <w:vMerge w:val="restart"/>
          </w:tcPr>
          <w:p>
            <w:pPr>
              <w:ind w:left="160"/>
              <w:spacing w:after="0" w:line="123" w:lineRule="exact"/>
              <w:rPr>
                <w:sz w:val="20"/>
                <w:szCs w:val="20"/>
                <w:color w:val="auto"/>
              </w:rPr>
            </w:pPr>
            <w:r>
              <w:rPr>
                <w:rFonts w:ascii="Times New Roman" w:cs="Times New Roman" w:eastAsia="Times New Roman" w:hAnsi="Times New Roman"/>
                <w:sz w:val="11"/>
                <w:szCs w:val="11"/>
                <w:color w:val="auto"/>
              </w:rPr>
              <w:t>otherwise utilize for value creation;</w:t>
            </w:r>
          </w:p>
        </w:tc>
        <w:tc>
          <w:tcPr>
            <w:tcW w:w="280" w:type="dxa"/>
            <w:vAlign w:val="bottom"/>
          </w:tcPr>
          <w:p>
            <w:pPr>
              <w:spacing w:after="0"/>
              <w:rPr>
                <w:sz w:val="7"/>
                <w:szCs w:val="7"/>
                <w:color w:val="auto"/>
              </w:rPr>
            </w:pPr>
          </w:p>
        </w:tc>
        <w:tc>
          <w:tcPr>
            <w:tcW w:w="296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36"/>
        </w:trPr>
        <w:tc>
          <w:tcPr>
            <w:tcW w:w="2960" w:type="dxa"/>
            <w:vAlign w:val="bottom"/>
            <w:vMerge w:val="continue"/>
          </w:tcPr>
          <w:p>
            <w:pPr>
              <w:spacing w:after="0"/>
              <w:rPr>
                <w:sz w:val="3"/>
                <w:szCs w:val="3"/>
                <w:color w:val="auto"/>
              </w:rPr>
            </w:pPr>
          </w:p>
        </w:tc>
        <w:tc>
          <w:tcPr>
            <w:tcW w:w="280" w:type="dxa"/>
            <w:vAlign w:val="bottom"/>
          </w:tcPr>
          <w:p>
            <w:pPr>
              <w:spacing w:after="0"/>
              <w:rPr>
                <w:sz w:val="3"/>
                <w:szCs w:val="3"/>
                <w:color w:val="auto"/>
              </w:rPr>
            </w:pPr>
          </w:p>
        </w:tc>
        <w:tc>
          <w:tcPr>
            <w:tcW w:w="2960" w:type="dxa"/>
            <w:vAlign w:val="bottom"/>
          </w:tcPr>
          <w:p>
            <w:pPr>
              <w:spacing w:after="0"/>
              <w:rPr>
                <w:sz w:val="3"/>
                <w:szCs w:val="3"/>
                <w:color w:val="auto"/>
              </w:rPr>
            </w:pPr>
          </w:p>
        </w:tc>
        <w:tc>
          <w:tcPr>
            <w:tcW w:w="0" w:type="dxa"/>
            <w:vAlign w:val="bottom"/>
          </w:tcPr>
          <w:p>
            <w:pPr>
              <w:spacing w:after="0" w:line="20" w:lineRule="exact"/>
              <w:rPr>
                <w:sz w:val="1"/>
                <w:szCs w:val="1"/>
                <w:color w:val="auto"/>
              </w:rPr>
            </w:pPr>
          </w:p>
        </w:tc>
      </w:tr>
    </w:tbl>
    <w:p>
      <w:pPr>
        <w:spacing w:after="0" w:line="1" w:lineRule="exact"/>
        <w:rPr>
          <w:sz w:val="20"/>
          <w:szCs w:val="20"/>
          <w:color w:val="auto"/>
        </w:rPr>
      </w:pPr>
    </w:p>
    <w:p>
      <w:pPr>
        <w:sectPr>
          <w:pgSz w:w="11900" w:h="16838" w:orient="portrait"/>
          <w:cols w:equalWidth="0" w:num="2">
            <w:col w:w="3080" w:space="340"/>
            <w:col w:w="6540"/>
          </w:cols>
          <w:pgMar w:left="960" w:top="409" w:right="979" w:bottom="1440" w:gutter="0" w:footer="0" w:header="0"/>
          <w:type w:val="continuous"/>
        </w:sectPr>
      </w:pPr>
    </w:p>
    <w:p>
      <w:pPr>
        <w:ind w:right="80"/>
        <w:spacing w:after="0" w:line="261" w:lineRule="auto"/>
        <w:rPr>
          <w:sz w:val="20"/>
          <w:szCs w:val="20"/>
          <w:color w:val="auto"/>
        </w:rPr>
      </w:pPr>
      <w:r>
        <w:rPr>
          <w:rFonts w:ascii="Times New Roman" w:cs="Times New Roman" w:eastAsia="Times New Roman" w:hAnsi="Times New Roman"/>
          <w:sz w:val="11"/>
          <w:szCs w:val="11"/>
          <w:color w:val="auto"/>
        </w:rPr>
        <w:t>affect our business, competitiveness, market share, sales, costs, expenses, results of operations, profitability, financial condition, liquidity, reputation, brand and share price. Unless otherwise indicated or the context otherwise requires, references in these risk factors to “Nokia”, the “Nokia Group”, “Group”, “we”, “us” and “our” mean Nokia’s consolidated operating segments. Certain risks or events may be more prevalent with respect to the Group or a certain business group, business or part of the Group.</w:t>
      </w:r>
    </w:p>
    <w:p>
      <w:pPr>
        <w:spacing w:after="0" w:line="202" w:lineRule="exact"/>
        <w:rPr>
          <w:sz w:val="20"/>
          <w:szCs w:val="20"/>
          <w:color w:val="auto"/>
        </w:rPr>
      </w:pPr>
    </w:p>
    <w:p>
      <w:pPr>
        <w:ind w:right="140"/>
        <w:spacing w:after="0" w:line="264" w:lineRule="auto"/>
        <w:rPr>
          <w:sz w:val="20"/>
          <w:szCs w:val="20"/>
          <w:color w:val="auto"/>
        </w:rPr>
      </w:pPr>
      <w:r>
        <w:rPr>
          <w:rFonts w:ascii="Times New Roman" w:cs="Times New Roman" w:eastAsia="Times New Roman" w:hAnsi="Times New Roman"/>
          <w:sz w:val="11"/>
          <w:szCs w:val="11"/>
          <w:color w:val="auto"/>
        </w:rPr>
        <w:t>In evaluating the risks, one should not rely exclusively on the bullets in the below summary but read the full risk factor discussion. This report also contains forward-looking statements that involve risks and uncertainties presented</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“Forward-looking statements” above.</w:t>
      </w:r>
    </w:p>
    <w:p>
      <w:pPr>
        <w:spacing w:after="0" w:line="76"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Risk factors summary</w:t>
      </w:r>
    </w:p>
    <w:p>
      <w:pPr>
        <w:spacing w:after="0" w:line="36" w:lineRule="exact"/>
        <w:rPr>
          <w:sz w:val="20"/>
          <w:szCs w:val="20"/>
          <w:color w:val="auto"/>
        </w:rPr>
      </w:pPr>
    </w:p>
    <w:p>
      <w:pPr>
        <w:ind w:right="40"/>
        <w:spacing w:after="0" w:line="274" w:lineRule="auto"/>
        <w:rPr>
          <w:sz w:val="20"/>
          <w:szCs w:val="20"/>
          <w:color w:val="auto"/>
        </w:rPr>
      </w:pPr>
      <w:r>
        <w:rPr>
          <w:rFonts w:ascii="Times New Roman" w:cs="Times New Roman" w:eastAsia="Times New Roman" w:hAnsi="Times New Roman"/>
          <w:sz w:val="11"/>
          <w:szCs w:val="11"/>
          <w:color w:val="auto"/>
        </w:rPr>
        <w:t>Our capability to compete as a trusted partner for critical networks, and remain a leading provider of technology, software and services in the industries and markets in which we operate, is dependent on multiple external and internal factors, partially outside our control, such as :</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Risks related to our strategy and its execution</w:t>
      </w:r>
    </w:p>
    <w:p>
      <w:pPr>
        <w:spacing w:after="0" w:line="32" w:lineRule="exact"/>
        <w:rPr>
          <w:sz w:val="20"/>
          <w:szCs w:val="20"/>
          <w:color w:val="auto"/>
        </w:rPr>
      </w:pPr>
    </w:p>
    <w:p>
      <w:pPr>
        <w:ind w:left="180" w:right="160" w:hanging="171"/>
        <w:spacing w:after="0" w:line="279" w:lineRule="auto"/>
        <w:tabs>
          <w:tab w:leader="none" w:pos="180" w:val="left"/>
        </w:tabs>
        <w:numPr>
          <w:ilvl w:val="0"/>
          <w:numId w:val="8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Sustained traffic growth over customers’ networks, introduction of new use cases and low-latency services to drive the demand for our products;</w:t>
      </w:r>
    </w:p>
    <w:p>
      <w:pPr>
        <w:spacing w:after="0" w:line="54" w:lineRule="exact"/>
        <w:rPr>
          <w:rFonts w:ascii="Times New Roman" w:cs="Times New Roman" w:eastAsia="Times New Roman" w:hAnsi="Times New Roman"/>
          <w:sz w:val="11"/>
          <w:szCs w:val="11"/>
          <w:color w:val="005AFF"/>
        </w:rPr>
      </w:pPr>
    </w:p>
    <w:p>
      <w:pPr>
        <w:ind w:left="180" w:hanging="171"/>
        <w:spacing w:after="0" w:line="279" w:lineRule="auto"/>
        <w:tabs>
          <w:tab w:leader="none" w:pos="180" w:val="left"/>
        </w:tabs>
        <w:numPr>
          <w:ilvl w:val="0"/>
          <w:numId w:val="8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Reaching technology limits in key technologies which might change demand patterns for our products and competitive dynamics;</w:t>
      </w:r>
    </w:p>
    <w:p>
      <w:pPr>
        <w:spacing w:after="0" w:line="17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68" w:lineRule="exact"/>
        <w:rPr>
          <w:sz w:val="20"/>
          <w:szCs w:val="20"/>
          <w:color w:val="auto"/>
        </w:rPr>
      </w:pPr>
    </w:p>
    <w:p>
      <w:pPr>
        <w:ind w:left="180" w:right="100" w:hanging="170"/>
        <w:spacing w:after="0" w:line="269" w:lineRule="auto"/>
        <w:tabs>
          <w:tab w:leader="none" w:pos="180" w:val="left"/>
        </w:tabs>
        <w:numPr>
          <w:ilvl w:val="0"/>
          <w:numId w:val="8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success in acquiring or divesting businesses and technologies, integrating acquisitions, entering into licensing arrangements, forming and managing joint ventures or partnerships and in realizing the anticipated benefits, synergies, cost savings or efficiencies from these transactions;</w:t>
      </w:r>
    </w:p>
    <w:p>
      <w:pPr>
        <w:spacing w:after="0" w:line="59" w:lineRule="exact"/>
        <w:rPr>
          <w:rFonts w:ascii="Times New Roman" w:cs="Times New Roman" w:eastAsia="Times New Roman" w:hAnsi="Times New Roman"/>
          <w:sz w:val="11"/>
          <w:szCs w:val="11"/>
          <w:color w:val="005AFF"/>
        </w:rPr>
      </w:pPr>
    </w:p>
    <w:p>
      <w:pPr>
        <w:ind w:left="180" w:hanging="170"/>
        <w:spacing w:after="0" w:line="266" w:lineRule="auto"/>
        <w:tabs>
          <w:tab w:leader="none" w:pos="180" w:val="left"/>
        </w:tabs>
        <w:numPr>
          <w:ilvl w:val="0"/>
          <w:numId w:val="8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success in continuing to improve our organizational and operational structure for increased operational efficiency, executing our business plans and business models, in identifying and implementing the appropriate measures to improve cost-efficiency and in managing the inflationary pressure on costs in order to continue investments in R&amp;D and future capabilities, including 5G-Advanced and 6G, enterprise, cloud, security, automation, digitalization, and development of new standard essential patents; and</w:t>
      </w:r>
    </w:p>
    <w:p>
      <w:pPr>
        <w:spacing w:after="0" w:line="52" w:lineRule="exact"/>
        <w:rPr>
          <w:rFonts w:ascii="Times New Roman" w:cs="Times New Roman" w:eastAsia="Times New Roman" w:hAnsi="Times New Roman"/>
          <w:sz w:val="11"/>
          <w:szCs w:val="11"/>
          <w:color w:val="005AFF"/>
        </w:rPr>
      </w:pPr>
    </w:p>
    <w:p>
      <w:pPr>
        <w:ind w:left="180" w:right="20" w:hanging="170"/>
        <w:spacing w:after="0" w:line="274" w:lineRule="auto"/>
        <w:tabs>
          <w:tab w:leader="none" w:pos="180" w:val="left"/>
        </w:tabs>
        <w:numPr>
          <w:ilvl w:val="0"/>
          <w:numId w:val="8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meet our sustainability targets, including with respect to our greenhouse gas emission commitments, and to comply with stakeholder expectations and increasing number of regulations regarding sustainability activities and disclosures.</w:t>
      </w:r>
    </w:p>
    <w:p>
      <w:pPr>
        <w:spacing w:after="0" w:line="47" w:lineRule="exact"/>
        <w:rPr>
          <w:sz w:val="20"/>
          <w:szCs w:val="20"/>
          <w:color w:val="auto"/>
        </w:rPr>
      </w:pPr>
    </w:p>
    <w:p>
      <w:pPr>
        <w:ind w:right="260"/>
        <w:spacing w:after="0" w:line="275" w:lineRule="auto"/>
        <w:rPr>
          <w:sz w:val="20"/>
          <w:szCs w:val="20"/>
          <w:color w:val="auto"/>
        </w:rPr>
      </w:pPr>
      <w:r>
        <w:rPr>
          <w:rFonts w:ascii="Times New Roman" w:cs="Times New Roman" w:eastAsia="Times New Roman" w:hAnsi="Times New Roman"/>
          <w:sz w:val="13"/>
          <w:szCs w:val="13"/>
          <w:color w:val="auto"/>
        </w:rPr>
        <w:t>Surrounding economic, financial and competitive environment</w:t>
      </w:r>
    </w:p>
    <w:p>
      <w:pPr>
        <w:spacing w:after="0" w:line="1" w:lineRule="exact"/>
        <w:rPr>
          <w:sz w:val="20"/>
          <w:szCs w:val="20"/>
          <w:color w:val="auto"/>
        </w:rPr>
      </w:pPr>
    </w:p>
    <w:p>
      <w:pPr>
        <w:ind w:left="180" w:right="20" w:hanging="170"/>
        <w:spacing w:after="0" w:line="274" w:lineRule="auto"/>
        <w:tabs>
          <w:tab w:leader="none" w:pos="180" w:val="left"/>
        </w:tabs>
        <w:numPr>
          <w:ilvl w:val="0"/>
          <w:numId w:val="9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General economic and financial market conditions, such as high inflation, increased global macroeconomic uncertainty, major currency fluctuations, higher interest rates and financing costs, and other developments in the economies and industries where we, our customers, partners and</w:t>
      </w:r>
    </w:p>
    <w:p>
      <w:pPr>
        <w:spacing w:after="0" w:line="20" w:lineRule="exact"/>
        <w:rPr>
          <w:sz w:val="20"/>
          <w:szCs w:val="20"/>
          <w:color w:val="auto"/>
        </w:rPr>
      </w:pPr>
      <w:r>
        <w:rPr>
          <w:sz w:val="20"/>
          <w:szCs w:val="20"/>
          <w:color w:val="auto"/>
        </w:rPr>
        <w:br w:type="column"/>
      </w:r>
    </w:p>
    <w:p>
      <w:pPr>
        <w:spacing w:after="0" w:line="18" w:lineRule="exact"/>
        <w:rPr>
          <w:sz w:val="20"/>
          <w:szCs w:val="20"/>
          <w:color w:val="auto"/>
        </w:rPr>
      </w:pPr>
    </w:p>
    <w:p>
      <w:pPr>
        <w:ind w:left="180" w:right="260" w:hanging="169"/>
        <w:spacing w:after="0" w:line="290" w:lineRule="auto"/>
        <w:tabs>
          <w:tab w:leader="none" w:pos="180" w:val="left"/>
        </w:tabs>
        <w:numPr>
          <w:ilvl w:val="0"/>
          <w:numId w:val="9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Price erosion largely driven by competition challenging the connectivity business models of our customers;</w:t>
      </w:r>
    </w:p>
    <w:p>
      <w:pPr>
        <w:spacing w:after="0" w:line="48" w:lineRule="exact"/>
        <w:rPr>
          <w:rFonts w:ascii="Times New Roman" w:cs="Times New Roman" w:eastAsia="Times New Roman" w:hAnsi="Times New Roman"/>
          <w:sz w:val="11"/>
          <w:szCs w:val="11"/>
          <w:color w:val="005AFF"/>
        </w:rPr>
      </w:pPr>
    </w:p>
    <w:p>
      <w:pPr>
        <w:ind w:left="180" w:right="460" w:hanging="169"/>
        <w:spacing w:after="0" w:line="309" w:lineRule="auto"/>
        <w:tabs>
          <w:tab w:leader="none" w:pos="180" w:val="left"/>
        </w:tabs>
        <w:numPr>
          <w:ilvl w:val="0"/>
          <w:numId w:val="9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dependency on a limited number of customers and large multi-year agreements;</w:t>
      </w:r>
    </w:p>
    <w:p>
      <w:pPr>
        <w:spacing w:after="0" w:line="28" w:lineRule="exact"/>
        <w:rPr>
          <w:rFonts w:ascii="Times New Roman" w:cs="Times New Roman" w:eastAsia="Times New Roman" w:hAnsi="Times New Roman"/>
          <w:sz w:val="11"/>
          <w:szCs w:val="11"/>
          <w:color w:val="005AFF"/>
        </w:rPr>
      </w:pPr>
    </w:p>
    <w:p>
      <w:pPr>
        <w:ind w:left="180" w:right="240" w:hanging="169"/>
        <w:spacing w:after="0" w:line="275" w:lineRule="auto"/>
        <w:tabs>
          <w:tab w:leader="none" w:pos="180" w:val="left"/>
        </w:tabs>
        <w:numPr>
          <w:ilvl w:val="0"/>
          <w:numId w:val="9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Competitiveness of, or developments regarding, pricing and agreement terms we offer, including developments with respect to customer financing or extended payment terms or credit lines that we provide our customers; and</w:t>
      </w:r>
    </w:p>
    <w:p>
      <w:pPr>
        <w:spacing w:after="0" w:line="57" w:lineRule="exact"/>
        <w:rPr>
          <w:rFonts w:ascii="Times New Roman" w:cs="Times New Roman" w:eastAsia="Times New Roman" w:hAnsi="Times New Roman"/>
          <w:sz w:val="11"/>
          <w:szCs w:val="11"/>
          <w:color w:val="005AFF"/>
        </w:rPr>
      </w:pPr>
    </w:p>
    <w:p>
      <w:pPr>
        <w:ind w:left="180" w:right="540" w:hanging="169"/>
        <w:spacing w:after="0" w:line="290" w:lineRule="auto"/>
        <w:tabs>
          <w:tab w:leader="none" w:pos="180" w:val="left"/>
        </w:tabs>
        <w:numPr>
          <w:ilvl w:val="0"/>
          <w:numId w:val="9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Willingness of banks or other institutions to purchase our receivables.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Our competitiveness</w:t>
      </w:r>
    </w:p>
    <w:p>
      <w:pPr>
        <w:spacing w:after="0" w:line="32" w:lineRule="exact"/>
        <w:rPr>
          <w:sz w:val="20"/>
          <w:szCs w:val="20"/>
          <w:color w:val="auto"/>
        </w:rPr>
      </w:pPr>
    </w:p>
    <w:p>
      <w:pPr>
        <w:ind w:left="180" w:right="580" w:hanging="169"/>
        <w:spacing w:after="0" w:line="290" w:lineRule="auto"/>
        <w:tabs>
          <w:tab w:leader="none" w:pos="180" w:val="left"/>
        </w:tabs>
        <w:numPr>
          <w:ilvl w:val="0"/>
          <w:numId w:val="9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adapt to changing business models, technological changes and to meet new competition;</w:t>
      </w:r>
    </w:p>
    <w:p>
      <w:pPr>
        <w:spacing w:after="0" w:line="48" w:lineRule="exact"/>
        <w:rPr>
          <w:rFonts w:ascii="Times New Roman" w:cs="Times New Roman" w:eastAsia="Times New Roman" w:hAnsi="Times New Roman"/>
          <w:sz w:val="11"/>
          <w:szCs w:val="11"/>
          <w:color w:val="005AFF"/>
        </w:rPr>
      </w:pPr>
    </w:p>
    <w:p>
      <w:pPr>
        <w:ind w:left="180" w:right="140" w:hanging="169"/>
        <w:spacing w:after="0" w:line="269" w:lineRule="auto"/>
        <w:tabs>
          <w:tab w:leader="none" w:pos="180" w:val="left"/>
        </w:tabs>
        <w:numPr>
          <w:ilvl w:val="0"/>
          <w:numId w:val="9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invest in new competitive high-quality products and services, such as 5G-Advanced, Open RAN, 6G, the Internet of Things (IoT), the cloud or software, upgrades and technologies that have accurately anticipated technological, regulatory and market trends;</w:t>
      </w:r>
    </w:p>
    <w:p>
      <w:pPr>
        <w:spacing w:after="0" w:line="59" w:lineRule="exact"/>
        <w:rPr>
          <w:rFonts w:ascii="Times New Roman" w:cs="Times New Roman" w:eastAsia="Times New Roman" w:hAnsi="Times New Roman"/>
          <w:sz w:val="11"/>
          <w:szCs w:val="11"/>
          <w:color w:val="005AFF"/>
        </w:rPr>
      </w:pPr>
    </w:p>
    <w:p>
      <w:pPr>
        <w:ind w:left="180" w:right="580" w:hanging="169"/>
        <w:spacing w:after="0" w:line="279" w:lineRule="auto"/>
        <w:tabs>
          <w:tab w:leader="none" w:pos="180" w:val="left"/>
        </w:tabs>
        <w:numPr>
          <w:ilvl w:val="0"/>
          <w:numId w:val="9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success in the development of new technologies and services, their rollout and commercialization in a timely manner;</w:t>
      </w:r>
    </w:p>
    <w:p>
      <w:pPr>
        <w:spacing w:after="0" w:line="54" w:lineRule="exact"/>
        <w:rPr>
          <w:rFonts w:ascii="Times New Roman" w:cs="Times New Roman" w:eastAsia="Times New Roman" w:hAnsi="Times New Roman"/>
          <w:sz w:val="11"/>
          <w:szCs w:val="11"/>
          <w:color w:val="005AFF"/>
        </w:rPr>
      </w:pPr>
    </w:p>
    <w:p>
      <w:pPr>
        <w:ind w:left="180" w:right="520" w:hanging="169"/>
        <w:spacing w:after="0" w:line="290" w:lineRule="auto"/>
        <w:tabs>
          <w:tab w:leader="none" w:pos="180" w:val="left"/>
        </w:tabs>
        <w:numPr>
          <w:ilvl w:val="0"/>
          <w:numId w:val="92"/>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capabilities to manage end-to-end costs related to our portfolio of products and services;</w:t>
      </w:r>
    </w:p>
    <w:p>
      <w:pPr>
        <w:sectPr>
          <w:pgSz w:w="11900" w:h="16838" w:orient="portrait"/>
          <w:cols w:equalWidth="0" w:num="3">
            <w:col w:w="2960" w:space="440"/>
            <w:col w:w="2940" w:space="460"/>
            <w:col w:w="3160"/>
          </w:cols>
          <w:pgMar w:left="960" w:top="409" w:right="979" w:bottom="1440" w:gutter="0" w:footer="0" w:header="0"/>
          <w:type w:val="continuous"/>
        </w:sectPr>
      </w:pPr>
    </w:p>
    <w:bookmarkStart w:id="121" w:name="page122"/>
    <w:bookmarkEnd w:id="12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left="180" w:right="40" w:hanging="171"/>
        <w:spacing w:after="0" w:line="275"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Severity of inefficiencies, incidents, malfunctions or disruptions of our information technology systems and processes or disruptions of services relying on our own or third-party IT, including cybersecurity threats and incidents;</w:t>
      </w:r>
    </w:p>
    <w:p>
      <w:pPr>
        <w:spacing w:after="0" w:line="37" w:lineRule="exact"/>
        <w:rPr>
          <w:rFonts w:ascii="Times New Roman" w:cs="Times New Roman" w:eastAsia="Times New Roman" w:hAnsi="Times New Roman"/>
          <w:sz w:val="11"/>
          <w:szCs w:val="11"/>
          <w:color w:val="005AFF"/>
        </w:rPr>
      </w:pPr>
    </w:p>
    <w:p>
      <w:pPr>
        <w:jc w:val="both"/>
        <w:ind w:left="180" w:right="60" w:hanging="171"/>
        <w:spacing w:after="0" w:line="289"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Actual or perceived security or privacy breaches, as well as defects, errors or vulnerabilities in our technology and that of third-party providers;</w:t>
      </w:r>
    </w:p>
    <w:p>
      <w:pPr>
        <w:spacing w:after="0" w:line="28" w:lineRule="exact"/>
        <w:rPr>
          <w:rFonts w:ascii="Times New Roman" w:cs="Times New Roman" w:eastAsia="Times New Roman" w:hAnsi="Times New Roman"/>
          <w:sz w:val="11"/>
          <w:szCs w:val="11"/>
          <w:color w:val="005AFF"/>
        </w:rPr>
      </w:pPr>
    </w:p>
    <w:p>
      <w:pPr>
        <w:ind w:left="180" w:right="100" w:hanging="171"/>
        <w:spacing w:after="0" w:line="269"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manufacturing, service creation, delivery, logistics or supply chain to operate without significant interruptions or shortages, including the impacts of geopolitical tensions and open conflicts feeding uncertainty in the global supply chain;</w:t>
      </w:r>
    </w:p>
    <w:p>
      <w:pPr>
        <w:spacing w:after="0" w:line="49" w:lineRule="exact"/>
        <w:rPr>
          <w:rFonts w:ascii="Times New Roman" w:cs="Times New Roman" w:eastAsia="Times New Roman" w:hAnsi="Times New Roman"/>
          <w:sz w:val="11"/>
          <w:szCs w:val="11"/>
          <w:color w:val="005AFF"/>
        </w:rPr>
      </w:pPr>
    </w:p>
    <w:p>
      <w:pPr>
        <w:jc w:val="both"/>
        <w:ind w:left="180" w:right="80" w:hanging="171"/>
        <w:spacing w:after="0" w:line="269"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Performance capabilities of our partners and suppliers, and their high standards to meet product quality, health, safety or security requirements or comply with other regulations or local laws, such as environmental or labor laws;</w:t>
      </w:r>
    </w:p>
    <w:p>
      <w:pPr>
        <w:spacing w:after="0" w:line="49" w:lineRule="exact"/>
        <w:rPr>
          <w:rFonts w:ascii="Times New Roman" w:cs="Times New Roman" w:eastAsia="Times New Roman" w:hAnsi="Times New Roman"/>
          <w:sz w:val="11"/>
          <w:szCs w:val="11"/>
          <w:color w:val="005AFF"/>
        </w:rPr>
      </w:pPr>
    </w:p>
    <w:p>
      <w:pPr>
        <w:ind w:left="180" w:right="40" w:hanging="171"/>
        <w:spacing w:after="0" w:line="269"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Natural or man-made disasters, military actions, wars, labor unrest, civil unrest or health crises, such as another global pandemic, impacting our service delivery or production sites or the production sites of our suppliers, which are geographically concentrated; and</w:t>
      </w:r>
    </w:p>
    <w:p>
      <w:pPr>
        <w:spacing w:after="0" w:line="39" w:lineRule="exact"/>
        <w:rPr>
          <w:rFonts w:ascii="Times New Roman" w:cs="Times New Roman" w:eastAsia="Times New Roman" w:hAnsi="Times New Roman"/>
          <w:sz w:val="11"/>
          <w:szCs w:val="11"/>
          <w:color w:val="005AFF"/>
        </w:rPr>
      </w:pPr>
    </w:p>
    <w:p>
      <w:pPr>
        <w:ind w:left="180" w:hanging="171"/>
        <w:spacing w:after="0" w:line="309" w:lineRule="auto"/>
        <w:tabs>
          <w:tab w:leader="none" w:pos="180" w:val="left"/>
        </w:tabs>
        <w:numPr>
          <w:ilvl w:val="0"/>
          <w:numId w:val="9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retain, develop, reskill and recruit appropriately skilled employees in the right activities and locations.</w:t>
      </w:r>
    </w:p>
    <w:p>
      <w:pPr>
        <w:spacing w:after="0" w:line="39" w:lineRule="exact"/>
        <w:rPr>
          <w:sz w:val="20"/>
          <w:szCs w:val="20"/>
          <w:color w:val="auto"/>
        </w:rPr>
      </w:pPr>
    </w:p>
    <w:p>
      <w:pPr>
        <w:ind w:right="280"/>
        <w:spacing w:after="0" w:line="275" w:lineRule="auto"/>
        <w:rPr>
          <w:sz w:val="20"/>
          <w:szCs w:val="20"/>
          <w:color w:val="auto"/>
        </w:rPr>
      </w:pPr>
      <w:r>
        <w:rPr>
          <w:rFonts w:ascii="Times New Roman" w:cs="Times New Roman" w:eastAsia="Times New Roman" w:hAnsi="Times New Roman"/>
          <w:sz w:val="13"/>
          <w:szCs w:val="13"/>
          <w:color w:val="auto"/>
        </w:rPr>
        <w:t>Intellectual property rights, technology and brand licensing</w:t>
      </w:r>
    </w:p>
    <w:p>
      <w:pPr>
        <w:spacing w:after="0" w:line="1" w:lineRule="exact"/>
        <w:rPr>
          <w:sz w:val="20"/>
          <w:szCs w:val="20"/>
          <w:color w:val="auto"/>
        </w:rPr>
      </w:pPr>
    </w:p>
    <w:p>
      <w:pPr>
        <w:ind w:left="180" w:right="120" w:hanging="171"/>
        <w:spacing w:after="0" w:line="269" w:lineRule="auto"/>
        <w:tabs>
          <w:tab w:leader="none" w:pos="180" w:val="left"/>
        </w:tabs>
        <w:numPr>
          <w:ilvl w:val="0"/>
          <w:numId w:val="9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create new relevant technologies, products and services through our R&amp;D, as well as our ability to protect our innovations and to maintain the strength of our intellectual property portfolio;</w:t>
      </w:r>
    </w:p>
    <w:p>
      <w:pPr>
        <w:spacing w:after="0" w:line="49" w:lineRule="exact"/>
        <w:rPr>
          <w:rFonts w:ascii="Times New Roman" w:cs="Times New Roman" w:eastAsia="Times New Roman" w:hAnsi="Times New Roman"/>
          <w:sz w:val="11"/>
          <w:szCs w:val="11"/>
          <w:color w:val="005AFF"/>
        </w:rPr>
      </w:pPr>
    </w:p>
    <w:p>
      <w:pPr>
        <w:ind w:left="180" w:right="280" w:hanging="171"/>
        <w:spacing w:after="0" w:line="269" w:lineRule="auto"/>
        <w:tabs>
          <w:tab w:leader="none" w:pos="180" w:val="left"/>
        </w:tabs>
        <w:numPr>
          <w:ilvl w:val="0"/>
          <w:numId w:val="9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monetize our intellectual property for instance, due to market, regulatory and other developments, or court rulings in intellectual property-related litigation and other disputes;</w:t>
      </w:r>
    </w:p>
    <w:p>
      <w:pPr>
        <w:spacing w:after="0" w:line="49" w:lineRule="exact"/>
        <w:rPr>
          <w:rFonts w:ascii="Times New Roman" w:cs="Times New Roman" w:eastAsia="Times New Roman" w:hAnsi="Times New Roman"/>
          <w:sz w:val="11"/>
          <w:szCs w:val="11"/>
          <w:color w:val="005AFF"/>
        </w:rPr>
      </w:pPr>
    </w:p>
    <w:p>
      <w:pPr>
        <w:jc w:val="both"/>
        <w:ind w:left="180" w:right="120" w:hanging="171"/>
        <w:spacing w:after="0" w:line="290" w:lineRule="auto"/>
        <w:tabs>
          <w:tab w:leader="none" w:pos="180" w:val="left"/>
        </w:tabs>
        <w:numPr>
          <w:ilvl w:val="0"/>
          <w:numId w:val="9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Uncertainty relating to the evolving global regulatory and standardization landscape relating to intellectual property;</w:t>
      </w:r>
    </w:p>
    <w:p>
      <w:pPr>
        <w:spacing w:after="0" w:line="38" w:lineRule="exact"/>
        <w:rPr>
          <w:rFonts w:ascii="Times New Roman" w:cs="Times New Roman" w:eastAsia="Times New Roman" w:hAnsi="Times New Roman"/>
          <w:sz w:val="11"/>
          <w:szCs w:val="11"/>
          <w:color w:val="005AFF"/>
        </w:rPr>
      </w:pPr>
    </w:p>
    <w:p>
      <w:pPr>
        <w:ind w:left="180" w:right="20" w:hanging="171"/>
        <w:spacing w:after="0" w:line="290" w:lineRule="auto"/>
        <w:tabs>
          <w:tab w:leader="none" w:pos="180" w:val="left"/>
        </w:tabs>
        <w:numPr>
          <w:ilvl w:val="0"/>
          <w:numId w:val="9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Developments in the concentrated smartphone market, the source of a significant portion of our patent licensing income;</w:t>
      </w:r>
    </w:p>
    <w:p>
      <w:pPr>
        <w:spacing w:after="0" w:line="28" w:lineRule="exact"/>
        <w:rPr>
          <w:rFonts w:ascii="Times New Roman" w:cs="Times New Roman" w:eastAsia="Times New Roman" w:hAnsi="Times New Roman"/>
          <w:sz w:val="11"/>
          <w:szCs w:val="11"/>
          <w:color w:val="005AFF"/>
        </w:rPr>
      </w:pPr>
    </w:p>
    <w:p>
      <w:pPr>
        <w:ind w:left="180" w:right="140" w:hanging="171"/>
        <w:spacing w:after="0" w:line="275" w:lineRule="auto"/>
        <w:tabs>
          <w:tab w:leader="none" w:pos="180" w:val="left"/>
        </w:tabs>
        <w:numPr>
          <w:ilvl w:val="0"/>
          <w:numId w:val="9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Success and profitability of technology licensing, brand licensing and other business ventures, including venture fund investments where the valuation and proceeds of our venture fund investments may fluctuate;</w:t>
      </w:r>
    </w:p>
    <w:p>
      <w:pPr>
        <w:spacing w:after="0" w:line="1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left="180" w:right="240" w:hanging="170"/>
        <w:spacing w:after="0" w:line="274" w:lineRule="auto"/>
        <w:tabs>
          <w:tab w:leader="none" w:pos="180" w:val="left"/>
        </w:tabs>
        <w:numPr>
          <w:ilvl w:val="0"/>
          <w:numId w:val="9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renew existing license agreements and conclude new license agreements regarding our intellectual property that we license to others on acceptable commercial terms, and the timing, cost, and potential need for litigation to achieve such renewals and new license agreements;</w:t>
      </w:r>
    </w:p>
    <w:p>
      <w:pPr>
        <w:spacing w:after="0" w:line="46" w:lineRule="exact"/>
        <w:rPr>
          <w:rFonts w:ascii="Times New Roman" w:cs="Times New Roman" w:eastAsia="Times New Roman" w:hAnsi="Times New Roman"/>
          <w:sz w:val="11"/>
          <w:szCs w:val="11"/>
          <w:color w:val="005AFF"/>
        </w:rPr>
      </w:pPr>
    </w:p>
    <w:p>
      <w:pPr>
        <w:ind w:left="180" w:hanging="167"/>
        <w:spacing w:after="0"/>
        <w:tabs>
          <w:tab w:leader="none" w:pos="180" w:val="left"/>
        </w:tabs>
        <w:numPr>
          <w:ilvl w:val="0"/>
          <w:numId w:val="9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Claims that we have allegedly infringed third parties’ IPR; and</w:t>
      </w:r>
    </w:p>
    <w:p>
      <w:pPr>
        <w:spacing w:after="0" w:line="95" w:lineRule="exact"/>
        <w:rPr>
          <w:rFonts w:ascii="Times New Roman" w:cs="Times New Roman" w:eastAsia="Times New Roman" w:hAnsi="Times New Roman"/>
          <w:sz w:val="11"/>
          <w:szCs w:val="11"/>
          <w:color w:val="005AFF"/>
        </w:rPr>
      </w:pPr>
    </w:p>
    <w:p>
      <w:pPr>
        <w:jc w:val="both"/>
        <w:ind w:left="180" w:right="680" w:hanging="170"/>
        <w:spacing w:after="0" w:line="279" w:lineRule="auto"/>
        <w:tabs>
          <w:tab w:leader="none" w:pos="180" w:val="left"/>
        </w:tabs>
        <w:numPr>
          <w:ilvl w:val="0"/>
          <w:numId w:val="9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renew or finalize licenses regarding technologies that are licensed to us on acceptable commercial terms.</w:t>
      </w:r>
    </w:p>
    <w:p>
      <w:pPr>
        <w:spacing w:after="0" w:line="55" w:lineRule="exact"/>
        <w:rPr>
          <w:sz w:val="20"/>
          <w:szCs w:val="20"/>
          <w:color w:val="auto"/>
        </w:rPr>
      </w:pPr>
    </w:p>
    <w:p>
      <w:pPr>
        <w:ind w:right="640"/>
        <w:spacing w:after="0" w:line="275" w:lineRule="auto"/>
        <w:rPr>
          <w:sz w:val="20"/>
          <w:szCs w:val="20"/>
          <w:color w:val="auto"/>
        </w:rPr>
      </w:pPr>
      <w:r>
        <w:rPr>
          <w:rFonts w:ascii="Times New Roman" w:cs="Times New Roman" w:eastAsia="Times New Roman" w:hAnsi="Times New Roman"/>
          <w:sz w:val="13"/>
          <w:szCs w:val="13"/>
          <w:color w:val="auto"/>
        </w:rPr>
        <w:t>Geopolitical, legal, regulatory and compliance environment</w:t>
      </w:r>
    </w:p>
    <w:p>
      <w:pPr>
        <w:spacing w:after="0" w:line="1" w:lineRule="exact"/>
        <w:rPr>
          <w:sz w:val="20"/>
          <w:szCs w:val="20"/>
          <w:color w:val="auto"/>
        </w:rPr>
      </w:pPr>
    </w:p>
    <w:p>
      <w:pPr>
        <w:ind w:left="180" w:right="220" w:hanging="170"/>
        <w:spacing w:after="0" w:line="269" w:lineRule="auto"/>
        <w:tabs>
          <w:tab w:leader="none" w:pos="180" w:val="left"/>
        </w:tabs>
        <w:numPr>
          <w:ilvl w:val="0"/>
          <w:numId w:val="9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Direct and indirect regulation and political developments affecting trade, taxation, national security, competition law, export controls and sanctions, cyber security, supply chains, environmental, social and governance topics and anti-corruption;</w:t>
      </w:r>
    </w:p>
    <w:p>
      <w:pPr>
        <w:spacing w:after="0" w:line="59"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9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Geopolitical tensions, escalations or expansions into open</w:t>
      </w:r>
    </w:p>
    <w:p>
      <w:pPr>
        <w:spacing w:after="0" w:line="17" w:lineRule="exact"/>
        <w:rPr>
          <w:sz w:val="20"/>
          <w:szCs w:val="20"/>
          <w:color w:val="auto"/>
        </w:rPr>
      </w:pPr>
    </w:p>
    <w:p>
      <w:pPr>
        <w:ind w:left="180"/>
        <w:spacing w:after="0"/>
        <w:tabs>
          <w:tab w:leader="none" w:pos="2680" w:val="left"/>
        </w:tabs>
        <w:rPr>
          <w:sz w:val="20"/>
          <w:szCs w:val="20"/>
          <w:color w:val="auto"/>
        </w:rPr>
      </w:pPr>
      <w:r>
        <w:rPr>
          <w:rFonts w:ascii="Times New Roman" w:cs="Times New Roman" w:eastAsia="Times New Roman" w:hAnsi="Times New Roman"/>
          <w:sz w:val="11"/>
          <w:szCs w:val="11"/>
          <w:color w:val="auto"/>
        </w:rPr>
        <w:t>conflicts, such as potential further developments</w:t>
      </w:r>
      <w:r>
        <w:rPr>
          <w:sz w:val="20"/>
          <w:szCs w:val="20"/>
          <w:color w:val="auto"/>
        </w:rPr>
        <w:tab/>
      </w:r>
      <w:r>
        <w:rPr>
          <w:rFonts w:ascii="Times New Roman" w:cs="Times New Roman" w:eastAsia="Times New Roman" w:hAnsi="Times New Roman"/>
          <w:sz w:val="11"/>
          <w:szCs w:val="11"/>
          <w:color w:val="auto"/>
        </w:rPr>
        <w:t>related to</w:t>
      </w:r>
    </w:p>
    <w:p>
      <w:pPr>
        <w:spacing w:after="0" w:line="10" w:lineRule="exact"/>
        <w:rPr>
          <w:sz w:val="20"/>
          <w:szCs w:val="20"/>
          <w:color w:val="auto"/>
        </w:rPr>
      </w:pPr>
    </w:p>
    <w:p>
      <w:pPr>
        <w:ind w:left="180"/>
        <w:spacing w:after="0"/>
        <w:tabs>
          <w:tab w:leader="none" w:pos="1200" w:val="left"/>
          <w:tab w:leader="none" w:pos="2620" w:val="left"/>
        </w:tabs>
        <w:rPr>
          <w:sz w:val="20"/>
          <w:szCs w:val="20"/>
          <w:color w:val="auto"/>
        </w:rPr>
      </w:pPr>
      <w:r>
        <w:rPr>
          <w:rFonts w:ascii="Times New Roman" w:cs="Times New Roman" w:eastAsia="Times New Roman" w:hAnsi="Times New Roman"/>
          <w:sz w:val="11"/>
          <w:szCs w:val="11"/>
          <w:color w:val="auto"/>
        </w:rPr>
        <w:t>the situations with R</w:t>
        <w:tab/>
        <w:t>ussia and Ukraine or in Gaza</w:t>
        <w:tab/>
        <w:t>, risks</w:t>
      </w:r>
    </w:p>
    <w:p>
      <w:pPr>
        <w:spacing w:after="0" w:line="15" w:lineRule="exact"/>
        <w:rPr>
          <w:sz w:val="20"/>
          <w:szCs w:val="20"/>
          <w:color w:val="auto"/>
        </w:rPr>
      </w:pPr>
    </w:p>
    <w:p>
      <w:pPr>
        <w:ind w:left="180" w:right="280"/>
        <w:spacing w:after="0" w:line="278" w:lineRule="auto"/>
        <w:rPr>
          <w:sz w:val="20"/>
          <w:szCs w:val="20"/>
          <w:color w:val="auto"/>
        </w:rPr>
      </w:pPr>
      <w:r>
        <w:rPr>
          <w:rFonts w:ascii="Times New Roman" w:cs="Times New Roman" w:eastAsia="Times New Roman" w:hAnsi="Times New Roman"/>
          <w:sz w:val="11"/>
          <w:szCs w:val="11"/>
          <w:color w:val="auto"/>
        </w:rPr>
        <w:t>related to increasing tensions in the Red Sea and the South China Sea;</w:t>
      </w:r>
    </w:p>
    <w:p>
      <w:pPr>
        <w:spacing w:after="0" w:line="54" w:lineRule="exact"/>
        <w:rPr>
          <w:sz w:val="20"/>
          <w:szCs w:val="20"/>
          <w:color w:val="auto"/>
        </w:rPr>
      </w:pPr>
    </w:p>
    <w:p>
      <w:pPr>
        <w:ind w:left="180" w:right="280" w:hanging="170"/>
        <w:spacing w:after="0" w:line="269" w:lineRule="auto"/>
        <w:tabs>
          <w:tab w:leader="none" w:pos="180" w:val="left"/>
        </w:tabs>
        <w:numPr>
          <w:ilvl w:val="0"/>
          <w:numId w:val="9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Changes in existing regulations or in their application, and emerging new regulations applicable to current or new technologies, products or telecommunications and technology sectors in general impacting our products, services or business;</w:t>
      </w:r>
    </w:p>
    <w:p>
      <w:pPr>
        <w:spacing w:after="0" w:line="59" w:lineRule="exact"/>
        <w:rPr>
          <w:rFonts w:ascii="Times New Roman" w:cs="Times New Roman" w:eastAsia="Times New Roman" w:hAnsi="Times New Roman"/>
          <w:sz w:val="11"/>
          <w:szCs w:val="11"/>
          <w:color w:val="005AFF"/>
        </w:rPr>
      </w:pPr>
    </w:p>
    <w:p>
      <w:pPr>
        <w:ind w:left="180" w:right="300" w:hanging="170"/>
        <w:spacing w:after="0" w:line="279" w:lineRule="auto"/>
        <w:tabs>
          <w:tab w:leader="none" w:pos="180" w:val="left"/>
        </w:tabs>
        <w:numPr>
          <w:ilvl w:val="0"/>
          <w:numId w:val="9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products, services and operations meeting all relevant quality, health, safety or security standards and other recommendations and regulatory requirements globally;</w:t>
      </w:r>
    </w:p>
    <w:p>
      <w:pPr>
        <w:spacing w:after="0" w:line="54" w:lineRule="exact"/>
        <w:rPr>
          <w:rFonts w:ascii="Times New Roman" w:cs="Times New Roman" w:eastAsia="Times New Roman" w:hAnsi="Times New Roman"/>
          <w:sz w:val="11"/>
          <w:szCs w:val="11"/>
          <w:color w:val="005AFF"/>
        </w:rPr>
      </w:pPr>
    </w:p>
    <w:p>
      <w:pPr>
        <w:jc w:val="both"/>
        <w:ind w:left="180" w:right="320" w:hanging="170"/>
        <w:spacing w:after="0" w:line="279" w:lineRule="auto"/>
        <w:tabs>
          <w:tab w:leader="none" w:pos="180" w:val="left"/>
        </w:tabs>
        <w:numPr>
          <w:ilvl w:val="0"/>
          <w:numId w:val="9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Compliance with laws and regulations relating to privacy, data protection, and the protection or transfer of personal data;</w:t>
      </w:r>
    </w:p>
    <w:p>
      <w:pPr>
        <w:spacing w:after="0" w:line="44" w:lineRule="exact"/>
        <w:rPr>
          <w:rFonts w:ascii="Times New Roman" w:cs="Times New Roman" w:eastAsia="Times New Roman" w:hAnsi="Times New Roman"/>
          <w:sz w:val="11"/>
          <w:szCs w:val="11"/>
          <w:color w:val="005AFF"/>
        </w:rPr>
      </w:pPr>
    </w:p>
    <w:p>
      <w:pPr>
        <w:ind w:left="180" w:right="300" w:hanging="170"/>
        <w:spacing w:after="0" w:line="275" w:lineRule="auto"/>
        <w:tabs>
          <w:tab w:leader="none" w:pos="180" w:val="left"/>
        </w:tabs>
        <w:numPr>
          <w:ilvl w:val="0"/>
          <w:numId w:val="9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Disruptiveness of litigation, arbitration or agreement-related disputes, and inspections, investigations, claims, and government proceedings which we may be subject to at any given time due to the global nature of our business;</w:t>
      </w:r>
    </w:p>
    <w:p>
      <w:pPr>
        <w:spacing w:after="0" w:line="57" w:lineRule="exact"/>
        <w:rPr>
          <w:rFonts w:ascii="Times New Roman" w:cs="Times New Roman" w:eastAsia="Times New Roman" w:hAnsi="Times New Roman"/>
          <w:sz w:val="11"/>
          <w:szCs w:val="11"/>
          <w:color w:val="005AFF"/>
        </w:rPr>
      </w:pPr>
    </w:p>
    <w:p>
      <w:pPr>
        <w:ind w:left="180" w:right="240" w:hanging="170"/>
        <w:spacing w:after="0" w:line="275" w:lineRule="auto"/>
        <w:tabs>
          <w:tab w:leader="none" w:pos="180" w:val="left"/>
        </w:tabs>
        <w:numPr>
          <w:ilvl w:val="0"/>
          <w:numId w:val="9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maintain an effective system of governance and compliance processes, disclosure controls and internal control over financial reporting and influence those of third parties whose performance we may be held liable for;</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114</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jc w:val="both"/>
        <w:ind w:left="180" w:right="440" w:hanging="169"/>
        <w:spacing w:after="0" w:line="274" w:lineRule="auto"/>
        <w:tabs>
          <w:tab w:leader="none" w:pos="180" w:val="left"/>
        </w:tabs>
        <w:numPr>
          <w:ilvl w:val="0"/>
          <w:numId w:val="9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degree of control and level of influence in the joint ventures where Nokia is the minority partner and other affiliated companies where Nokia does not have direct management control, or which are not fully integrated into its operational infrastructure; and</w:t>
      </w:r>
    </w:p>
    <w:p>
      <w:pPr>
        <w:spacing w:after="0" w:line="46" w:lineRule="exact"/>
        <w:rPr>
          <w:rFonts w:ascii="Times New Roman" w:cs="Times New Roman" w:eastAsia="Times New Roman" w:hAnsi="Times New Roman"/>
          <w:sz w:val="11"/>
          <w:szCs w:val="11"/>
          <w:color w:val="005AFF"/>
        </w:rPr>
      </w:pPr>
    </w:p>
    <w:p>
      <w:pPr>
        <w:ind w:left="180" w:right="680" w:hanging="169"/>
        <w:spacing w:after="0" w:line="289" w:lineRule="auto"/>
        <w:tabs>
          <w:tab w:leader="none" w:pos="180" w:val="left"/>
        </w:tabs>
        <w:numPr>
          <w:ilvl w:val="0"/>
          <w:numId w:val="9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Damage caused to existing undersea infrastructure during installation or maintenance of undersea telecommunications cable networks.</w:t>
      </w:r>
    </w:p>
    <w:p>
      <w:pPr>
        <w:spacing w:after="0" w:line="3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and tax-related uncertainties</w:t>
      </w:r>
    </w:p>
    <w:p>
      <w:pPr>
        <w:spacing w:after="0" w:line="32" w:lineRule="exact"/>
        <w:rPr>
          <w:sz w:val="20"/>
          <w:szCs w:val="20"/>
          <w:color w:val="auto"/>
        </w:rPr>
      </w:pPr>
    </w:p>
    <w:p>
      <w:pPr>
        <w:ind w:left="180" w:right="340" w:hanging="169"/>
        <w:spacing w:after="0" w:line="279" w:lineRule="auto"/>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Complex tax laws and rules, including any changes in the aforesaid, as well as diverse tax authority practices and interpretations;</w:t>
      </w:r>
    </w:p>
    <w:p>
      <w:pPr>
        <w:spacing w:after="0" w:line="54" w:lineRule="exact"/>
        <w:rPr>
          <w:rFonts w:ascii="Times New Roman" w:cs="Times New Roman" w:eastAsia="Times New Roman" w:hAnsi="Times New Roman"/>
          <w:sz w:val="11"/>
          <w:szCs w:val="11"/>
          <w:color w:val="005AFF"/>
        </w:rPr>
      </w:pPr>
    </w:p>
    <w:p>
      <w:pPr>
        <w:ind w:left="180" w:right="480" w:hanging="169"/>
        <w:spacing w:after="0" w:line="309" w:lineRule="auto"/>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utilize our tax attributes and deferred tax assets;</w:t>
      </w:r>
    </w:p>
    <w:p>
      <w:pPr>
        <w:spacing w:after="0" w:line="28"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Access to sources of funding on favorable terms or at all;</w:t>
      </w:r>
    </w:p>
    <w:p>
      <w:pPr>
        <w:spacing w:after="0" w:line="95" w:lineRule="exact"/>
        <w:rPr>
          <w:rFonts w:ascii="Times New Roman" w:cs="Times New Roman" w:eastAsia="Times New Roman" w:hAnsi="Times New Roman"/>
          <w:sz w:val="11"/>
          <w:szCs w:val="11"/>
          <w:color w:val="005AFF"/>
        </w:rPr>
      </w:pPr>
    </w:p>
    <w:p>
      <w:pPr>
        <w:ind w:left="180" w:hanging="169"/>
        <w:spacing w:after="0"/>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maintain our credit ratings;</w:t>
      </w:r>
    </w:p>
    <w:p>
      <w:pPr>
        <w:spacing w:after="0" w:line="85" w:lineRule="exact"/>
        <w:rPr>
          <w:rFonts w:ascii="Times New Roman" w:cs="Times New Roman" w:eastAsia="Times New Roman" w:hAnsi="Times New Roman"/>
          <w:sz w:val="11"/>
          <w:szCs w:val="11"/>
          <w:color w:val="005AFF"/>
        </w:rPr>
      </w:pPr>
    </w:p>
    <w:p>
      <w:pPr>
        <w:ind w:left="180" w:right="400" w:hanging="169"/>
        <w:spacing w:after="0" w:line="289" w:lineRule="auto"/>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Exchange rate fluctuations impacting our net sales, costs and results of operations, as well as the US dollar value of our dividends and market price of our ADSs;</w:t>
      </w:r>
    </w:p>
    <w:p>
      <w:pPr>
        <w:spacing w:after="0" w:line="38" w:lineRule="exact"/>
        <w:rPr>
          <w:rFonts w:ascii="Times New Roman" w:cs="Times New Roman" w:eastAsia="Times New Roman" w:hAnsi="Times New Roman"/>
          <w:sz w:val="11"/>
          <w:szCs w:val="11"/>
          <w:color w:val="005AFF"/>
        </w:rPr>
      </w:pPr>
    </w:p>
    <w:p>
      <w:pPr>
        <w:ind w:left="180" w:right="400" w:hanging="169"/>
        <w:spacing w:after="0" w:line="279" w:lineRule="auto"/>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pension and other post-employment benefit obligations and the potential need for increased funding; and</w:t>
      </w:r>
    </w:p>
    <w:p>
      <w:pPr>
        <w:spacing w:after="0" w:line="54" w:lineRule="exact"/>
        <w:rPr>
          <w:rFonts w:ascii="Times New Roman" w:cs="Times New Roman" w:eastAsia="Times New Roman" w:hAnsi="Times New Roman"/>
          <w:sz w:val="11"/>
          <w:szCs w:val="11"/>
          <w:color w:val="005AFF"/>
        </w:rPr>
      </w:pPr>
    </w:p>
    <w:p>
      <w:pPr>
        <w:ind w:left="180" w:right="460" w:hanging="169"/>
        <w:spacing w:after="0" w:line="309" w:lineRule="auto"/>
        <w:tabs>
          <w:tab w:leader="none" w:pos="180" w:val="left"/>
        </w:tabs>
        <w:numPr>
          <w:ilvl w:val="0"/>
          <w:numId w:val="9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Recoverability of the carrying amount of our goodwill, which could result in significant impairment charges.</w:t>
      </w:r>
    </w:p>
    <w:p>
      <w:pPr>
        <w:spacing w:after="0" w:line="2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Ownership of our shares</w:t>
      </w:r>
    </w:p>
    <w:p>
      <w:pPr>
        <w:spacing w:after="0" w:line="32" w:lineRule="exact"/>
        <w:rPr>
          <w:sz w:val="20"/>
          <w:szCs w:val="20"/>
          <w:color w:val="auto"/>
        </w:rPr>
      </w:pPr>
    </w:p>
    <w:p>
      <w:pPr>
        <w:ind w:left="180" w:right="400" w:hanging="169"/>
        <w:spacing w:after="0" w:line="279" w:lineRule="auto"/>
        <w:tabs>
          <w:tab w:leader="none" w:pos="180" w:val="left"/>
        </w:tabs>
        <w:numPr>
          <w:ilvl w:val="0"/>
          <w:numId w:val="10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Uncertainty of the amount of dividend and/or repayment of capital and other profit distributions such as share buybacks to shareholders for each financial period;</w:t>
      </w:r>
    </w:p>
    <w:p>
      <w:pPr>
        <w:spacing w:after="0" w:line="54" w:lineRule="exact"/>
        <w:rPr>
          <w:rFonts w:ascii="Times New Roman" w:cs="Times New Roman" w:eastAsia="Times New Roman" w:hAnsi="Times New Roman"/>
          <w:sz w:val="11"/>
          <w:szCs w:val="11"/>
          <w:color w:val="005AFF"/>
        </w:rPr>
      </w:pPr>
    </w:p>
    <w:p>
      <w:pPr>
        <w:jc w:val="both"/>
        <w:ind w:left="180" w:right="480" w:hanging="169"/>
        <w:spacing w:after="0" w:line="309" w:lineRule="auto"/>
        <w:tabs>
          <w:tab w:leader="none" w:pos="180" w:val="left"/>
        </w:tabs>
        <w:numPr>
          <w:ilvl w:val="0"/>
          <w:numId w:val="10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Volatility of the trading price of our shares and ADSs, including as a result of factors outside our control; and</w:t>
      </w:r>
    </w:p>
    <w:p>
      <w:pPr>
        <w:spacing w:after="0" w:line="28" w:lineRule="exact"/>
        <w:rPr>
          <w:rFonts w:ascii="Times New Roman" w:cs="Times New Roman" w:eastAsia="Times New Roman" w:hAnsi="Times New Roman"/>
          <w:sz w:val="11"/>
          <w:szCs w:val="11"/>
          <w:color w:val="005AFF"/>
        </w:rPr>
      </w:pPr>
    </w:p>
    <w:p>
      <w:pPr>
        <w:ind w:left="180" w:right="480" w:hanging="169"/>
        <w:spacing w:after="0" w:line="279" w:lineRule="auto"/>
        <w:tabs>
          <w:tab w:leader="none" w:pos="180" w:val="left"/>
        </w:tabs>
        <w:numPr>
          <w:ilvl w:val="0"/>
          <w:numId w:val="100"/>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Potential requirement of non-Finnish shareholders to provide detailed information in order to obtain advantageous withholding tax treatment for dividends.</w:t>
      </w:r>
    </w:p>
    <w:p>
      <w:pPr>
        <w:sectPr>
          <w:pgSz w:w="11900" w:h="16838" w:orient="portrait"/>
          <w:cols w:equalWidth="0" w:num="3">
            <w:col w:w="2960" w:space="440"/>
            <w:col w:w="3140" w:space="260"/>
            <w:col w:w="3160"/>
          </w:cols>
          <w:pgMar w:left="960" w:top="409" w:right="979" w:bottom="1440" w:gutter="0" w:footer="0" w:header="0"/>
        </w:sectPr>
      </w:pPr>
    </w:p>
    <w:bookmarkStart w:id="122" w:name="page123"/>
    <w:bookmarkEnd w:id="12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115</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920" w:space="480"/>
            <w:col w:w="6560"/>
          </w:cols>
          <w:pgMar w:left="960" w:top="409" w:right="979" w:bottom="1440" w:gutter="0" w:footer="0" w:header="0"/>
        </w:sectPr>
      </w:pPr>
    </w:p>
    <w:p>
      <w:pPr>
        <w:spacing w:after="0" w:line="1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Full risk factor discussion</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Risks related to our strategy and its execution</w:t>
      </w:r>
    </w:p>
    <w:p>
      <w:pPr>
        <w:spacing w:after="0" w:line="30"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b w:val="1"/>
          <w:bCs w:val="1"/>
          <w:color w:val="auto"/>
        </w:rPr>
        <w:t>We may be unable to successfully implement our strategic plans, sustain or improve the operational and financial performance of our business groups, correctly identify or successfully pursue business opportunities, correctly anticipate or successfully mitigate technological disruptions that have adverse effects on our business, or otherwise grow our business.</w:t>
      </w:r>
    </w:p>
    <w:p>
      <w:pPr>
        <w:spacing w:after="0" w:line="3"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Our success is dependent on our ability to become and remain a leading provider of technology, software and services in the industries and markets in which we operate. However, there can be no assurance that we will correctly identify trends, opportunities or threats to pursue or mitigate to be able to achieve the goals or targets we have set. For example, our plans assume sustained growth in traffic over our customers’ networks. For this to happen, video streaming needs to continue to grow significantly or new high-data use cases (for instance, Virtual Reality or Augmented Reality) need to be developed and drive high concurrency traffic. We also assume a growing number of use cases and demand for low latency services. Should these not materialize, demand for our products and services might be negatively affected.</w:t>
      </w:r>
    </w:p>
    <w:p>
      <w:pPr>
        <w:spacing w:after="0" w:line="55"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Our path to continued technology leadership lies in long-term research and development to drive innovation across a comprehensive portfolio of network equipment, software, services and licensing. We are investing, for instance, in 5G-Advanced and 6G research, security and development of new standard-essential patents. The R&amp;D of innovative products, services and technologies is a complex and uncertain process and there can be no assurance that our investments will result in technologies, products or services that achieve or retain broad or timely market acceptance, are commercially successful, answer to the expanding needs or preferences of our customers or consumers, or breakthrough innovations that we could otherwise utilize for value creation. As an example, while we believe that the progress of cloudification and open RAN and openness in general creates an opportunity for us to differentiate with our products and to serve our customers better, it may lead to entry of new competitors with different business models to build multi-vendor RAN networks. The virtualization and cloudification of core and radio networks and the convergence of IT and telecommunications may lower barriers of entry for IT and webscale companies in the traditional telecommunications industry or they may build up</w:t>
      </w:r>
    </w:p>
    <w:p>
      <w:pPr>
        <w:spacing w:after="0" w:line="1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60"/>
        <w:spacing w:after="0" w:line="265" w:lineRule="auto"/>
        <w:rPr>
          <w:sz w:val="20"/>
          <w:szCs w:val="20"/>
          <w:color w:val="auto"/>
        </w:rPr>
      </w:pPr>
      <w:r>
        <w:rPr>
          <w:rFonts w:ascii="Times New Roman" w:cs="Times New Roman" w:eastAsia="Times New Roman" w:hAnsi="Times New Roman"/>
          <w:sz w:val="11"/>
          <w:szCs w:val="11"/>
          <w:color w:val="auto"/>
        </w:rPr>
        <w:t>tight strategic partnerships with our traditional competitors or our communications service provider customers. The enhanced competition might result in increased price competition and negatively affect our margins. Virtualization and disaggregation might also affect other parts of our portfolio and lead to changes in competitive landscape, business models, and margin profile. Also, reaching certain technology limits, for example in Optical or in spectral efficiency gains in 6G, might adversely change the demand pattern and competitive dynamics for our products and services. We see the network as the key enabler of metaverse opportunities, but the network capabilities will need to evolve to fulfill the anticipated needs.</w:t>
      </w:r>
    </w:p>
    <w:p>
      <w:pPr>
        <w:spacing w:after="0" w:line="63" w:lineRule="exact"/>
        <w:rPr>
          <w:sz w:val="20"/>
          <w:szCs w:val="20"/>
          <w:color w:val="auto"/>
        </w:rPr>
      </w:pPr>
    </w:p>
    <w:p>
      <w:pPr>
        <w:ind w:right="260"/>
        <w:spacing w:after="0" w:line="261" w:lineRule="auto"/>
        <w:rPr>
          <w:sz w:val="20"/>
          <w:szCs w:val="20"/>
          <w:color w:val="auto"/>
        </w:rPr>
      </w:pPr>
      <w:r>
        <w:rPr>
          <w:rFonts w:ascii="Times New Roman" w:cs="Times New Roman" w:eastAsia="Times New Roman" w:hAnsi="Times New Roman"/>
          <w:sz w:val="11"/>
          <w:szCs w:val="11"/>
          <w:color w:val="auto"/>
        </w:rPr>
        <w:t>We implement our strategic plans, for instance, by entering into licensing arrangements, partnering with third parties and may engage in possible transactions, such as acquisitions, mergers, joint ventures or minority investments that could complement or improve our existing operations or technologies and enable us to grow our business. We also engage to divestitures of our existing businesses or operations in order to sharpen our business focus. Additionally, we may make investments in certain investment funds, including NGP Capital, that invest in</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other companies. There can be no assurance that our efforts</w:t>
      </w:r>
    </w:p>
    <w:p>
      <w:pPr>
        <w:spacing w:after="0" w:line="15" w:lineRule="exact"/>
        <w:rPr>
          <w:sz w:val="20"/>
          <w:szCs w:val="20"/>
          <w:color w:val="auto"/>
        </w:rPr>
      </w:pPr>
    </w:p>
    <w:p>
      <w:pPr>
        <w:spacing w:after="0"/>
        <w:tabs>
          <w:tab w:leader="none" w:pos="2860" w:val="left"/>
        </w:tabs>
        <w:rPr>
          <w:sz w:val="20"/>
          <w:szCs w:val="20"/>
          <w:color w:val="auto"/>
        </w:rPr>
      </w:pPr>
      <w:r>
        <w:rPr>
          <w:rFonts w:ascii="Times New Roman" w:cs="Times New Roman" w:eastAsia="Times New Roman" w:hAnsi="Times New Roman"/>
          <w:sz w:val="11"/>
          <w:szCs w:val="11"/>
          <w:color w:val="auto"/>
        </w:rPr>
        <w:t>to continuously improve our operations and efficiencies</w:t>
      </w:r>
      <w:r>
        <w:rPr>
          <w:sz w:val="20"/>
          <w:szCs w:val="20"/>
          <w:color w:val="auto"/>
        </w:rPr>
        <w:tab/>
      </w:r>
      <w:r>
        <w:rPr>
          <w:rFonts w:ascii="Times New Roman" w:cs="Times New Roman" w:eastAsia="Times New Roman" w:hAnsi="Times New Roman"/>
          <w:sz w:val="11"/>
          <w:szCs w:val="11"/>
          <w:color w:val="auto"/>
        </w:rPr>
        <w:t>will 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continue  to generate the expected results or improvements 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that we will achieve intended targets or financial objectives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related to such efforts. For instance, the underlying rationale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the business case in terms of profits, revenue, strategic</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impact or otherwise justifying the creation or continuation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arrangement may not be realized. We may also encounter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issues or inefficiencies related to our organizational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operational structure, including being unable to successfully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implement the business plans. Also, the planned transactions</w:t>
      </w:r>
    </w:p>
    <w:p>
      <w:pPr>
        <w:spacing w:after="0" w:line="15" w:lineRule="exact"/>
        <w:rPr>
          <w:sz w:val="20"/>
          <w:szCs w:val="20"/>
          <w:color w:val="auto"/>
        </w:rPr>
      </w:pPr>
    </w:p>
    <w:p>
      <w:pPr>
        <w:ind w:right="280"/>
        <w:spacing w:after="0" w:line="263" w:lineRule="auto"/>
        <w:rPr>
          <w:sz w:val="20"/>
          <w:szCs w:val="20"/>
          <w:color w:val="auto"/>
        </w:rPr>
      </w:pPr>
      <w:r>
        <w:rPr>
          <w:rFonts w:ascii="Times New Roman" w:cs="Times New Roman" w:eastAsia="Times New Roman" w:hAnsi="Times New Roman"/>
          <w:sz w:val="11"/>
          <w:szCs w:val="11"/>
          <w:color w:val="auto"/>
        </w:rPr>
        <w:t>may not ultimately be completed on favorable terms or at all, or transactions may result in liabilities. Transactions may result in claims between the parties such as indemnification or breach of contract claims, which can consume time and management attention, and the outcome of any claims related to transactions may be difficult to predict. Furthermore, our initial assumptions may be incorrect in evaluating a transaction or we may fail or be unable to discover or identify significant matters during the course of performing our due diligence. Therefore, we may be exposed to unknown, larger or contingent liabilities of acquired businesses, such as those related to contractual obligations, taxes, pensions, environmental liabilities, disputes and compliance matters.</w:t>
      </w:r>
    </w:p>
    <w:p>
      <w:pPr>
        <w:spacing w:after="0" w:line="20" w:lineRule="exact"/>
        <w:rPr>
          <w:sz w:val="20"/>
          <w:szCs w:val="20"/>
          <w:color w:val="auto"/>
        </w:rPr>
      </w:pPr>
      <w:r>
        <w:rPr>
          <w:sz w:val="20"/>
          <w:szCs w:val="20"/>
          <w:color w:val="auto"/>
        </w:rPr>
        <w:br w:type="column"/>
      </w:r>
    </w:p>
    <w:p>
      <w:pPr>
        <w:spacing w:after="0" w:line="104" w:lineRule="exact"/>
        <w:rPr>
          <w:sz w:val="20"/>
          <w:szCs w:val="20"/>
          <w:color w:val="auto"/>
        </w:rPr>
      </w:pPr>
    </w:p>
    <w:p>
      <w:pPr>
        <w:jc w:val="both"/>
        <w:ind w:right="320"/>
        <w:spacing w:after="0" w:line="271" w:lineRule="auto"/>
        <w:rPr>
          <w:sz w:val="20"/>
          <w:szCs w:val="20"/>
          <w:color w:val="auto"/>
        </w:rPr>
      </w:pPr>
      <w:r>
        <w:rPr>
          <w:rFonts w:ascii="Times New Roman" w:cs="Times New Roman" w:eastAsia="Times New Roman" w:hAnsi="Times New Roman"/>
          <w:sz w:val="11"/>
          <w:szCs w:val="11"/>
          <w:b w:val="1"/>
          <w:bCs w:val="1"/>
          <w:color w:val="auto"/>
        </w:rPr>
        <w:t>Performance failures of our partners, as well as failures to agree to partnering arrangements with third parties could adversely affect us.</w:t>
      </w:r>
    </w:p>
    <w:p>
      <w:pPr>
        <w:ind w:right="440"/>
        <w:spacing w:after="0" w:line="259" w:lineRule="auto"/>
        <w:rPr>
          <w:sz w:val="20"/>
          <w:szCs w:val="20"/>
          <w:color w:val="auto"/>
        </w:rPr>
      </w:pPr>
      <w:r>
        <w:rPr>
          <w:rFonts w:ascii="Times New Roman" w:cs="Times New Roman" w:eastAsia="Times New Roman" w:hAnsi="Times New Roman"/>
          <w:sz w:val="11"/>
          <w:szCs w:val="11"/>
          <w:color w:val="auto"/>
        </w:rPr>
        <w:t>We are increasingly collaborating and partnering with third parties to develop technologies, products and services,</w:t>
      </w:r>
    </w:p>
    <w:p>
      <w:pPr>
        <w:ind w:right="220"/>
        <w:spacing w:after="0" w:line="261" w:lineRule="auto"/>
        <w:rPr>
          <w:sz w:val="20"/>
          <w:szCs w:val="20"/>
          <w:color w:val="auto"/>
        </w:rPr>
      </w:pPr>
      <w:r>
        <w:rPr>
          <w:rFonts w:ascii="Times New Roman" w:cs="Times New Roman" w:eastAsia="Times New Roman" w:hAnsi="Times New Roman"/>
          <w:sz w:val="11"/>
          <w:szCs w:val="11"/>
          <w:color w:val="auto"/>
        </w:rPr>
        <w:t>as well as seeking new revenue streams through partnering arrangements. We also depend on partners in our efforts to monetize our brands and technologies, including those of Nokia and Nokia Bell Labs, and we have outsourced various functions to third parties and are relying on them to provide certain services to us. Furthermore, according to our technology vision for 2030, the opportunities of the metaverse will be realized by a multi-party value ecosystem developed around collaboration, co-innovation and partnering. Although the objective of the collaborative and partnering arrangements is a mutually beneficial outcome for each party, our ability to introduce and provide technologies, products and services in a timely manner and so that those are commercially viable and meet our,</w:t>
      </w:r>
    </w:p>
    <w:p>
      <w:pPr>
        <w:spacing w:after="0" w:line="2" w:lineRule="exact"/>
        <w:rPr>
          <w:sz w:val="20"/>
          <w:szCs w:val="20"/>
          <w:color w:val="auto"/>
        </w:rPr>
      </w:pPr>
    </w:p>
    <w:p>
      <w:pPr>
        <w:ind w:right="340"/>
        <w:spacing w:after="0" w:line="263" w:lineRule="auto"/>
        <w:rPr>
          <w:sz w:val="20"/>
          <w:szCs w:val="20"/>
          <w:color w:val="auto"/>
        </w:rPr>
      </w:pPr>
      <w:r>
        <w:rPr>
          <w:rFonts w:ascii="Times New Roman" w:cs="Times New Roman" w:eastAsia="Times New Roman" w:hAnsi="Times New Roman"/>
          <w:sz w:val="11"/>
          <w:szCs w:val="11"/>
          <w:color w:val="auto"/>
        </w:rPr>
        <w:t>our customers’ and consumers’ quality, safety, security and other standards could be hampered by performance or other failures of our partners or the companies we collaborate with. For instance, if a partner acts inconsistently with our ethical, sustainability, compliance, brand, or quality standards, this can negatively affect our reputation, the value of our brand and the business outcome of our partnerships. Furthermore, if we fail altogether to achieve the collaboration or partnering arrangements needed to succeed, we may be unable to bring our products, services or technologies to market successfully or in a timely manner. It is also possible that the parties we currently collaborate with, turn into our competitors.</w:t>
      </w:r>
    </w:p>
    <w:p>
      <w:pPr>
        <w:spacing w:after="0" w:line="54" w:lineRule="exact"/>
        <w:rPr>
          <w:sz w:val="20"/>
          <w:szCs w:val="20"/>
          <w:color w:val="auto"/>
        </w:rPr>
      </w:pPr>
    </w:p>
    <w:p>
      <w:pPr>
        <w:ind w:right="300"/>
        <w:spacing w:after="0" w:line="263" w:lineRule="auto"/>
        <w:rPr>
          <w:sz w:val="20"/>
          <w:szCs w:val="20"/>
          <w:color w:val="auto"/>
        </w:rPr>
      </w:pPr>
      <w:r>
        <w:rPr>
          <w:rFonts w:ascii="Times New Roman" w:cs="Times New Roman" w:eastAsia="Times New Roman" w:hAnsi="Times New Roman"/>
          <w:sz w:val="11"/>
          <w:szCs w:val="11"/>
          <w:color w:val="auto"/>
        </w:rPr>
        <w:t>In many areas, including IT, finance and human resources-related arrangements, a failure to maintain an efficient relationship with the selected partner may lead to ongoing operational problems or even to severe business disruptions, and the availability of the processes and services upon which we rely may be interrupted. Performance problems may result in missed reporting deadlines, internal controls challenges, financial losses, missed business opportunities and reputational harm. In addition, as management’s focus shifts from a direct to an indirect operational control in these areas, there is a risk that without active management and monitoring of the relationship, the services provided may be below appropriate quality standards. Partners may not meet agreed service levels, in which case, depending on the impacted service, our contractual remedies may not fully cure all of the damages we may suffer. This is particularly true for any</w:t>
      </w:r>
    </w:p>
    <w:p>
      <w:pPr>
        <w:sectPr>
          <w:pgSz w:w="11900" w:h="16838" w:orient="portrait"/>
          <w:cols w:equalWidth="0" w:num="3">
            <w:col w:w="2920" w:space="480"/>
            <w:col w:w="3180" w:space="220"/>
            <w:col w:w="3160"/>
          </w:cols>
          <w:pgMar w:left="960" w:top="409" w:right="979" w:bottom="1440" w:gutter="0" w:footer="0" w:header="0"/>
          <w:type w:val="continuous"/>
        </w:sectPr>
      </w:pPr>
    </w:p>
    <w:bookmarkStart w:id="123" w:name="page124"/>
    <w:bookmarkEnd w:id="123"/>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deficiencies that would impact the reporting requirements applicable to us as a company listed on multiple stock exchanges. In outsourcing projects, we may encounter disruption to business resulting from broken processes and distraction of our employees that may need to train the partner’s staff or be trained in the partner’s systems. Adjustments to staff size and transfer of employees to the partner’s companies could have an adverse effect on us, for instance through impacting the morale of our employees and raising complex labor law issues and resulting in the loss of key personnel. Additionally, partnering and outsourcing arrangements can create a dependency on the outsourcing company, causing issues in our ability to learn from day-to-day responsibilities, gain hands-on experience, adapt to changing business needs and properly transfer the specific know-how to the new outsourcing partners. Concerns could equally arise from giving third parties access to confidential data, strategic technology applications and books and records. There is also a risk that we may not be able to determine whether controls have been effectively implemented, and whether the partner company’s performance-monitoring reports are accurate.</w:t>
      </w:r>
    </w:p>
    <w:p>
      <w:pPr>
        <w:spacing w:after="0" w:line="199" w:lineRule="exact"/>
        <w:rPr>
          <w:sz w:val="20"/>
          <w:szCs w:val="20"/>
          <w:color w:val="auto"/>
        </w:rPr>
      </w:pPr>
    </w:p>
    <w:p>
      <w:pPr>
        <w:jc w:val="both"/>
        <w:spacing w:after="0" w:line="267" w:lineRule="auto"/>
        <w:rPr>
          <w:sz w:val="20"/>
          <w:szCs w:val="20"/>
          <w:color w:val="auto"/>
        </w:rPr>
      </w:pPr>
      <w:r>
        <w:rPr>
          <w:rFonts w:ascii="Times New Roman" w:cs="Times New Roman" w:eastAsia="Times New Roman" w:hAnsi="Times New Roman"/>
          <w:sz w:val="11"/>
          <w:szCs w:val="11"/>
          <w:b w:val="1"/>
          <w:bCs w:val="1"/>
          <w:color w:val="auto"/>
        </w:rPr>
        <w:t>Our efforts aimed at managing and improving our financial or operational performance may not lead to targeted results, benefits, cost savings or improvements in our competitiveness.</w:t>
      </w:r>
    </w:p>
    <w:p>
      <w:pPr>
        <w:spacing w:after="0" w:line="1" w:lineRule="exact"/>
        <w:rPr>
          <w:sz w:val="20"/>
          <w:szCs w:val="20"/>
          <w:color w:val="auto"/>
        </w:rPr>
      </w:pPr>
    </w:p>
    <w:p>
      <w:pPr>
        <w:ind w:right="40"/>
        <w:spacing w:after="0" w:line="265" w:lineRule="auto"/>
        <w:rPr>
          <w:sz w:val="20"/>
          <w:szCs w:val="20"/>
          <w:color w:val="auto"/>
        </w:rPr>
      </w:pPr>
      <w:r>
        <w:rPr>
          <w:rFonts w:ascii="Times New Roman" w:cs="Times New Roman" w:eastAsia="Times New Roman" w:hAnsi="Times New Roman"/>
          <w:sz w:val="11"/>
          <w:szCs w:val="11"/>
          <w:color w:val="auto"/>
        </w:rPr>
        <w:t>We are continuously targeting increased efficiency of our operations. In October 2023, we announced strategic and operational changes to our business and a program to reset our cost base while protecting our R&amp;D capacity and commitment to technology leadership. The program targets to lower our cost base on a gross basis (i.e. before inflation) by between EUR 800 million and EUR 1 200 million by the end of 2026 compared to 2023 assuming on-target variable pay in both periods.</w:t>
      </w:r>
    </w:p>
    <w:p>
      <w:pPr>
        <w:spacing w:after="0" w:line="191" w:lineRule="exact"/>
        <w:rPr>
          <w:sz w:val="20"/>
          <w:szCs w:val="20"/>
          <w:color w:val="auto"/>
        </w:rPr>
      </w:pPr>
    </w:p>
    <w:p>
      <w:pPr>
        <w:ind w:right="100"/>
        <w:spacing w:after="0" w:line="265" w:lineRule="auto"/>
        <w:rPr>
          <w:sz w:val="20"/>
          <w:szCs w:val="20"/>
          <w:color w:val="auto"/>
        </w:rPr>
      </w:pPr>
      <w:r>
        <w:rPr>
          <w:rFonts w:ascii="Times New Roman" w:cs="Times New Roman" w:eastAsia="Times New Roman" w:hAnsi="Times New Roman"/>
          <w:sz w:val="11"/>
          <w:szCs w:val="11"/>
          <w:color w:val="auto"/>
        </w:rPr>
        <w:t>Failure by us to determine the appropriate operational structure, prioritization of operating expenses and other costs, to identify and implement the appropriate measures to increase simplicity and improve cost-efficiency, or to maintain achieved efficiency levels, could limit our future investments and have a material adverse effect on our competitiveness, results of operations and financial condition. Our current and future cost-saving measures may be costly, potentially disruptive to operations, and may not lead to sustainable improvements in our overall competitiveness and profitability and there can be no assurance that such measures will be met as planned in contemplated timeframes or at all. Our plans</w:t>
      </w:r>
    </w:p>
    <w:p>
      <w:pPr>
        <w:spacing w:after="0" w:line="17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1"/>
          <w:szCs w:val="11"/>
          <w:color w:val="auto"/>
        </w:rPr>
        <w:t>may be altered in the future, including adjusting any projected financial or other targets. The anticipated costs or the level of disruption expected from implementing such plans or restructurings may be higher than expected. Efforts to plan and implement cost-saving initiatives may divert management attention from the rest of the business and adversely affect our business.</w:t>
      </w:r>
    </w:p>
    <w:p>
      <w:pPr>
        <w:spacing w:after="0" w:line="59"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1"/>
          <w:szCs w:val="11"/>
          <w:color w:val="auto"/>
        </w:rPr>
        <w:t>There are also several other factors that may prevent or delay a successful implementation of any cost-saving or efficiency improvement initiatives, including, among others, the following:</w:t>
      </w:r>
    </w:p>
    <w:p>
      <w:pPr>
        <w:spacing w:after="0" w:line="44" w:lineRule="exact"/>
        <w:rPr>
          <w:sz w:val="20"/>
          <w:szCs w:val="20"/>
          <w:color w:val="auto"/>
        </w:rPr>
      </w:pPr>
    </w:p>
    <w:p>
      <w:pPr>
        <w:ind w:left="180" w:right="160" w:hanging="170"/>
        <w:spacing w:after="0" w:line="274"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the need to make additional investments in other areas such as 5G-Advanced and 6G, enterprise, security, cloud, development of new standard essential patents and automation/digitalization of services and our own operations;</w:t>
      </w:r>
    </w:p>
    <w:p>
      <w:pPr>
        <w:spacing w:after="0" w:line="46" w:lineRule="exact"/>
        <w:rPr>
          <w:rFonts w:ascii="Times New Roman" w:cs="Times New Roman" w:eastAsia="Times New Roman" w:hAnsi="Times New Roman"/>
          <w:sz w:val="11"/>
          <w:szCs w:val="11"/>
          <w:color w:val="005AFF"/>
        </w:rPr>
      </w:pPr>
    </w:p>
    <w:p>
      <w:pPr>
        <w:ind w:left="180" w:right="340" w:hanging="170"/>
        <w:spacing w:after="0" w:line="309"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inaccuracy in our expectations with respect to market growth, customer demand and other trends;</w:t>
      </w:r>
    </w:p>
    <w:p>
      <w:pPr>
        <w:spacing w:after="0" w:line="38" w:lineRule="exact"/>
        <w:rPr>
          <w:rFonts w:ascii="Times New Roman" w:cs="Times New Roman" w:eastAsia="Times New Roman" w:hAnsi="Times New Roman"/>
          <w:sz w:val="11"/>
          <w:szCs w:val="11"/>
          <w:color w:val="005AFF"/>
        </w:rPr>
      </w:pPr>
    </w:p>
    <w:p>
      <w:pPr>
        <w:ind w:left="180" w:right="20" w:hanging="170"/>
        <w:spacing w:after="0" w:line="279"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legislative constraints or unfavorable changes in legislation in the markets in which we operate influencing timing, costs and expected savings of certain contemplated initiatives;</w:t>
      </w:r>
    </w:p>
    <w:p>
      <w:pPr>
        <w:spacing w:after="0" w:line="44" w:lineRule="exact"/>
        <w:rPr>
          <w:rFonts w:ascii="Times New Roman" w:cs="Times New Roman" w:eastAsia="Times New Roman" w:hAnsi="Times New Roman"/>
          <w:sz w:val="11"/>
          <w:szCs w:val="11"/>
          <w:color w:val="005AFF"/>
        </w:rPr>
      </w:pPr>
    </w:p>
    <w:p>
      <w:pPr>
        <w:ind w:left="180" w:right="80" w:hanging="170"/>
        <w:spacing w:after="0" w:line="280"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our ability to align and adjust resources, systems and tools, including digitalization and automation of processes, related to implementation of planned organizational changes;</w:t>
      </w:r>
    </w:p>
    <w:p>
      <w:pPr>
        <w:spacing w:after="0" w:line="194" w:lineRule="exact"/>
        <w:rPr>
          <w:rFonts w:ascii="Times New Roman" w:cs="Times New Roman" w:eastAsia="Times New Roman" w:hAnsi="Times New Roman"/>
          <w:sz w:val="11"/>
          <w:szCs w:val="11"/>
          <w:color w:val="005AFF"/>
        </w:rPr>
      </w:pPr>
    </w:p>
    <w:p>
      <w:pPr>
        <w:ind w:left="180" w:right="60" w:hanging="170"/>
        <w:spacing w:after="0" w:line="271"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intended business plans may require us to inform or consult with employees and labor representatives, and such processes may influence the timing, costs and extent of expected savings and the feasibility of certain contemplated initiatives;</w:t>
      </w:r>
    </w:p>
    <w:p>
      <w:pPr>
        <w:spacing w:after="0" w:line="197" w:lineRule="exact"/>
        <w:rPr>
          <w:rFonts w:ascii="Times New Roman" w:cs="Times New Roman" w:eastAsia="Times New Roman" w:hAnsi="Times New Roman"/>
          <w:sz w:val="11"/>
          <w:szCs w:val="11"/>
          <w:color w:val="005AFF"/>
        </w:rPr>
      </w:pPr>
    </w:p>
    <w:p>
      <w:pPr>
        <w:ind w:left="180" w:hanging="170"/>
        <w:spacing w:after="0"/>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accelerating inflation driving increase in cost base; and</w:t>
      </w:r>
    </w:p>
    <w:p>
      <w:pPr>
        <w:spacing w:after="0" w:line="85" w:lineRule="exact"/>
        <w:rPr>
          <w:rFonts w:ascii="Times New Roman" w:cs="Times New Roman" w:eastAsia="Times New Roman" w:hAnsi="Times New Roman"/>
          <w:sz w:val="11"/>
          <w:szCs w:val="11"/>
          <w:color w:val="005AFF"/>
        </w:rPr>
      </w:pPr>
    </w:p>
    <w:p>
      <w:pPr>
        <w:ind w:left="180" w:right="200" w:hanging="170"/>
        <w:spacing w:after="0" w:line="309" w:lineRule="auto"/>
        <w:tabs>
          <w:tab w:leader="none" w:pos="180" w:val="left"/>
        </w:tabs>
        <w:numPr>
          <w:ilvl w:val="0"/>
          <w:numId w:val="101"/>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bargaining power of our suppliers which may prevent us from achieving targeted procurement savings.</w:t>
      </w:r>
    </w:p>
    <w:p>
      <w:pPr>
        <w:spacing w:after="0" w:line="38" w:lineRule="exact"/>
        <w:rPr>
          <w:sz w:val="20"/>
          <w:szCs w:val="20"/>
          <w:color w:val="auto"/>
        </w:rPr>
      </w:pPr>
    </w:p>
    <w:p>
      <w:pPr>
        <w:ind w:right="220"/>
        <w:spacing w:after="0" w:line="269" w:lineRule="auto"/>
        <w:rPr>
          <w:sz w:val="20"/>
          <w:szCs w:val="20"/>
          <w:color w:val="auto"/>
        </w:rPr>
      </w:pPr>
      <w:r>
        <w:rPr>
          <w:rFonts w:ascii="Times New Roman" w:cs="Times New Roman" w:eastAsia="Times New Roman" w:hAnsi="Times New Roman"/>
          <w:sz w:val="11"/>
          <w:szCs w:val="11"/>
          <w:color w:val="auto"/>
        </w:rPr>
        <w:t>Furthermore, cost-saving initiatives may negatively affect our ability to develop new or improve existing products and compete effectively in certain markets, and there is no guarantee that we will continue to be able to successfully innovate or remain technologically competitive.</w:t>
      </w:r>
    </w:p>
    <w:p>
      <w:pPr>
        <w:spacing w:after="0" w:line="58" w:lineRule="exact"/>
        <w:rPr>
          <w:sz w:val="20"/>
          <w:szCs w:val="20"/>
          <w:color w:val="auto"/>
        </w:rPr>
      </w:pPr>
    </w:p>
    <w:p>
      <w:pPr>
        <w:ind w:right="80"/>
        <w:spacing w:after="0" w:line="281" w:lineRule="auto"/>
        <w:rPr>
          <w:sz w:val="20"/>
          <w:szCs w:val="20"/>
          <w:color w:val="auto"/>
        </w:rPr>
      </w:pPr>
      <w:r>
        <w:rPr>
          <w:rFonts w:ascii="Times New Roman" w:cs="Times New Roman" w:eastAsia="Times New Roman" w:hAnsi="Times New Roman"/>
          <w:sz w:val="11"/>
          <w:szCs w:val="11"/>
          <w:b w:val="1"/>
          <w:bCs w:val="1"/>
          <w:color w:val="auto"/>
        </w:rPr>
        <w:t>We may be subject to increased scrutiny related to our sustainability activities and disclosures, and our reputation and brand as well as the willingness of customers and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116</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ind w:right="200"/>
        <w:spacing w:after="0" w:line="276" w:lineRule="auto"/>
        <w:rPr>
          <w:sz w:val="20"/>
          <w:szCs w:val="20"/>
          <w:color w:val="auto"/>
        </w:rPr>
      </w:pPr>
      <w:r>
        <w:rPr>
          <w:rFonts w:ascii="Times New Roman" w:cs="Times New Roman" w:eastAsia="Times New Roman" w:hAnsi="Times New Roman"/>
          <w:sz w:val="11"/>
          <w:szCs w:val="11"/>
          <w:b w:val="1"/>
          <w:bCs w:val="1"/>
          <w:color w:val="auto"/>
        </w:rPr>
        <w:t>suppliers to do business with us could be harmed if we fail to meet our sustainability goals.</w:t>
      </w:r>
    </w:p>
    <w:p>
      <w:pPr>
        <w:spacing w:after="0" w:line="1" w:lineRule="exact"/>
        <w:rPr>
          <w:sz w:val="20"/>
          <w:szCs w:val="20"/>
          <w:color w:val="auto"/>
        </w:rPr>
      </w:pPr>
    </w:p>
    <w:p>
      <w:pPr>
        <w:ind w:right="320"/>
        <w:spacing w:after="0" w:line="261" w:lineRule="auto"/>
        <w:rPr>
          <w:sz w:val="20"/>
          <w:szCs w:val="20"/>
          <w:color w:val="auto"/>
        </w:rPr>
      </w:pPr>
      <w:r>
        <w:rPr>
          <w:rFonts w:ascii="Times New Roman" w:cs="Times New Roman" w:eastAsia="Times New Roman" w:hAnsi="Times New Roman"/>
          <w:sz w:val="11"/>
          <w:szCs w:val="11"/>
          <w:color w:val="auto"/>
        </w:rPr>
        <w:t>Our business could be negatively impacted by a failure to appropriately address existing and emerging matters relating to sustainability and good corporate citizenship. We may fail or be unable to fully achieve one or more of our sustainability targets, such as our greenhouse gas emission commitments, due to a range of factors within or beyond our control, and we may adjust or modify our targets in light of new information, adjusted projections, or a change in business strategy, any of which could negatively impact our brand, reputation, and business. It is also possible that stakeholders may not be satisfied with our sustainability disclosures, targets and practices or the speed of their adoption which could result in action against Nokia by regulators or other third parties or negative pressure on us or our stock.</w:t>
      </w:r>
    </w:p>
    <w:p>
      <w:pPr>
        <w:spacing w:after="0" w:line="70"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The ESG regulatory environment is complex and fast-moving with new standards proposed or adopted by various regulators around the world, the applicability of which to Nokia needs to be constantly and consistently evaluated. A failure to, or perception of a failure to, adapt, disclose metrics and set targets that are rigorous enough or in an acceptable format or otherwise in compliance with applicable regulations, or to prioritize the most relevant sustainability actions and targets, could negatively impact our ESG-related third-party ratings, brand, reputation, and business. It is also possible that third parties rating our ESG practices and performance may make unfavorable, inaccurate or unsubstantiated interpretations of our ESG practices and performance based on their own assessments and publish such interpretations with or without offering us the possibility to comment. We could also incur additional costs and require additional resources to address evolving regulatory requirements and to monitor and report on our sustainability performance programs, and those of our value chain partners, as required, and to comply with various sustainability practices and disclosure requirements. The lack of global standardization in the way data disclosures should be made is making ESG-related reporting difficult, which may contribute to challenges for investors to correctly assess disclosures or our ability to comply with each disclosure requirement. In addition to this, the challenge of data collection may affect our ability to accurately evaluate climate-and other ESG-related risks and identify and implement strategies for long-term resilience. Furthermore, we foresee that the global rate of technology adoption will be partially driven by sustainability matters such as governance, security</w:t>
      </w:r>
    </w:p>
    <w:p>
      <w:pPr>
        <w:sectPr>
          <w:pgSz w:w="11900" w:h="16838" w:orient="portrait"/>
          <w:cols w:equalWidth="0" w:num="3">
            <w:col w:w="2960" w:space="440"/>
            <w:col w:w="2960" w:space="440"/>
            <w:col w:w="3160"/>
          </w:cols>
          <w:pgMar w:left="960" w:top="409" w:right="979" w:bottom="1440" w:gutter="0" w:footer="0" w:header="0"/>
        </w:sectPr>
      </w:pPr>
    </w:p>
    <w:bookmarkStart w:id="124" w:name="page125"/>
    <w:bookmarkEnd w:id="12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117</w:t>
            </w:r>
          </w:p>
        </w:tc>
        <w:tc>
          <w:tcPr>
            <w:tcW w:w="0" w:type="dxa"/>
            <w:vAlign w:val="bottom"/>
          </w:tcPr>
          <w:p>
            <w:pPr>
              <w:spacing w:after="0"/>
              <w:rPr>
                <w:sz w:val="1"/>
                <w:szCs w:val="1"/>
                <w:color w:val="auto"/>
              </w:rPr>
            </w:pPr>
          </w:p>
        </w:tc>
      </w:tr>
      <w:tr>
        <w:trPr>
          <w:trHeight w:val="130"/>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-262890</wp:posOffset>
            </wp:positionV>
            <wp:extent cx="7216140" cy="511810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94" w:lineRule="exact"/>
        <w:rPr>
          <w:sz w:val="20"/>
          <w:szCs w:val="20"/>
          <w:color w:val="auto"/>
        </w:rPr>
      </w:pPr>
    </w:p>
    <w:p>
      <w:pPr>
        <w:sectPr>
          <w:pgSz w:w="11900" w:h="16838" w:orient="portrait"/>
          <w:cols w:equalWidth="0" w:num="2">
            <w:col w:w="2920" w:space="480"/>
            <w:col w:w="6560"/>
          </w:cols>
          <w:pgMar w:left="960" w:top="409" w:right="979" w:bottom="1440" w:gutter="0" w:footer="0" w:header="0"/>
        </w:sectPr>
      </w:pPr>
    </w:p>
    <w:p>
      <w:pPr>
        <w:spacing w:after="0" w:line="126"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and energy efficiency in the longer term. Our failure, or perceived failure, to meet sustainability disclosure regulations, standards, practices or sustainability targets could result in legal sanctions, as well as negatively impact our reputation, employee retention, access to financing and the willingness of our customers and suppliers to do business with us.</w:t>
      </w:r>
    </w:p>
    <w:p>
      <w:pPr>
        <w:spacing w:after="0" w:line="60" w:lineRule="exact"/>
        <w:rPr>
          <w:sz w:val="20"/>
          <w:szCs w:val="20"/>
          <w:color w:val="auto"/>
        </w:rPr>
      </w:pPr>
    </w:p>
    <w:p>
      <w:pPr>
        <w:jc w:val="both"/>
        <w:ind w:right="240"/>
        <w:spacing w:after="0" w:line="269" w:lineRule="auto"/>
        <w:rPr>
          <w:sz w:val="20"/>
          <w:szCs w:val="20"/>
          <w:color w:val="auto"/>
        </w:rPr>
      </w:pPr>
      <w:r>
        <w:rPr>
          <w:rFonts w:ascii="Times New Roman" w:cs="Times New Roman" w:eastAsia="Times New Roman" w:hAnsi="Times New Roman"/>
          <w:sz w:val="13"/>
          <w:szCs w:val="13"/>
          <w:color w:val="auto"/>
        </w:rPr>
        <w:t>Risks related to the general economic and financial market conditions and to the industries and markets in which we operate</w:t>
      </w:r>
    </w:p>
    <w:p>
      <w:pPr>
        <w:spacing w:after="0" w:line="1" w:lineRule="exact"/>
        <w:rPr>
          <w:sz w:val="20"/>
          <w:szCs w:val="20"/>
          <w:color w:val="auto"/>
        </w:rPr>
      </w:pPr>
    </w:p>
    <w:p>
      <w:pPr>
        <w:spacing w:after="0" w:line="313" w:lineRule="auto"/>
        <w:rPr>
          <w:sz w:val="20"/>
          <w:szCs w:val="20"/>
          <w:color w:val="auto"/>
        </w:rPr>
      </w:pPr>
      <w:r>
        <w:rPr>
          <w:rFonts w:ascii="Times New Roman" w:cs="Times New Roman" w:eastAsia="Times New Roman" w:hAnsi="Times New Roman"/>
          <w:sz w:val="11"/>
          <w:szCs w:val="11"/>
          <w:b w:val="1"/>
          <w:bCs w:val="1"/>
          <w:color w:val="auto"/>
        </w:rPr>
        <w:t>Our sales and profitability have been and may in the future be materially and adversely affected by general economic and</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margin products and services. Further, the purchasing power of our customers, particularly in developing markets, depends to a greater extent on the price development of basic commodities and currency fluctuations, which may render our products or services unaffordable. Economic slowdown may also lead to an overcapacity in supply and inflated inventories, and to delays and shortages in case of sharp recovery and ramp-up of demand with a potentially adverse effect on our ability and our suppliers’ ability to deliver products and services in time. Increasing inflation and other current market conditions are driving cost increases in operations, materials and labor and may also result in strikes and other industrial actions.</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agreement terms. We compete with companies that have large overall scale, which affords such companies more flexibility compared to us. In addition, new competition may be entering the network infrastructure and related services business through adoption of new technologies or business models, such as virtualized RAN and Open RAN or as-a-service models for products or services.</w:t>
      </w:r>
    </w:p>
    <w:p>
      <w:pPr>
        <w:spacing w:after="0" w:line="59" w:lineRule="exact"/>
        <w:rPr>
          <w:sz w:val="20"/>
          <w:szCs w:val="20"/>
          <w:color w:val="auto"/>
        </w:rPr>
      </w:pPr>
    </w:p>
    <w:p>
      <w:pPr>
        <w:ind w:right="320"/>
        <w:spacing w:after="0" w:line="263" w:lineRule="auto"/>
        <w:rPr>
          <w:sz w:val="20"/>
          <w:szCs w:val="20"/>
          <w:color w:val="auto"/>
        </w:rPr>
      </w:pPr>
      <w:r>
        <w:rPr>
          <w:rFonts w:ascii="Times New Roman" w:cs="Times New Roman" w:eastAsia="Times New Roman" w:hAnsi="Times New Roman"/>
          <w:sz w:val="11"/>
          <w:szCs w:val="11"/>
          <w:color w:val="auto"/>
        </w:rPr>
        <w:t>We are particularly dependent on the investments made by communications service providers in mobile connectivity, network infrastructure and related services. The pace and size of such investments are in turn dependent on the ability of communications service providers to increase their subscriber</w:t>
      </w:r>
    </w:p>
    <w:p>
      <w:pPr>
        <w:spacing w:after="0" w:line="1" w:lineRule="exact"/>
        <w:rPr>
          <w:sz w:val="20"/>
          <w:szCs w:val="20"/>
          <w:color w:val="auto"/>
        </w:rPr>
      </w:pPr>
    </w:p>
    <w:p>
      <w:pPr>
        <w:sectPr>
          <w:pgSz w:w="11900" w:h="16838" w:orient="portrait"/>
          <w:cols w:equalWidth="0" w:num="3">
            <w:col w:w="3020" w:space="380"/>
            <w:col w:w="2920" w:space="480"/>
            <w:col w:w="3160"/>
          </w:cols>
          <w:pgMar w:left="960" w:top="409" w:right="979" w:bottom="1440" w:gutter="0" w:footer="0" w:header="0"/>
          <w:type w:val="continuous"/>
        </w:sectPr>
      </w:pPr>
    </w:p>
    <w:p>
      <w:pPr>
        <w:spacing w:after="0" w:line="239" w:lineRule="auto"/>
        <w:rPr>
          <w:sz w:val="20"/>
          <w:szCs w:val="20"/>
          <w:color w:val="auto"/>
        </w:rPr>
      </w:pPr>
      <w:r>
        <w:rPr>
          <w:rFonts w:ascii="Times New Roman" w:cs="Times New Roman" w:eastAsia="Times New Roman" w:hAnsi="Times New Roman"/>
          <w:sz w:val="11"/>
          <w:szCs w:val="11"/>
          <w:b w:val="1"/>
          <w:bCs w:val="1"/>
          <w:color w:val="auto"/>
        </w:rPr>
        <w:t>financial market conditions, such as accelerating inflation, increased global macroeconomic uncertainty, major currency fluctuations, higher interest rates and financing costs, and other developments in the economies where we operate.</w:t>
      </w:r>
    </w:p>
    <w:p>
      <w:pPr>
        <w:spacing w:after="0" w:line="2" w:lineRule="exact"/>
        <w:rPr>
          <w:sz w:val="20"/>
          <w:szCs w:val="20"/>
          <w:color w:val="auto"/>
        </w:rPr>
      </w:pPr>
    </w:p>
    <w:p>
      <w:pPr>
        <w:ind w:right="140"/>
        <w:spacing w:after="0" w:line="261" w:lineRule="auto"/>
        <w:rPr>
          <w:sz w:val="20"/>
          <w:szCs w:val="20"/>
          <w:color w:val="auto"/>
        </w:rPr>
      </w:pPr>
      <w:r>
        <w:rPr>
          <w:rFonts w:ascii="Times New Roman" w:cs="Times New Roman" w:eastAsia="Times New Roman" w:hAnsi="Times New Roman"/>
          <w:sz w:val="11"/>
          <w:szCs w:val="11"/>
          <w:color w:val="auto"/>
        </w:rPr>
        <w:t>We are a company with global operations with sales, R&amp;D, manufacturing facilities, partners and suppliers located in various countries around the world. Adverse developments in and the general weakness of global economic conditions has had an adverse effect on us and the spending of our customers during the past year. For instance, the uncertain nature, magnitude, and duration of hostilities stemming from Russia’s military invasion of Ukraine, including the potential effects of sanctions limitations, retaliatory cyber-attacks on the world economy and markets, or any other geopolitical escalation, for instance in the Middle East or Taiwan, could contribute to increased market volatility and uncertainty, which could have an adverse impact on macroeconomic factors affecting market demand, inflationary development and supply.</w:t>
      </w:r>
    </w:p>
    <w:p>
      <w:pPr>
        <w:spacing w:after="0" w:line="70"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Any adverse developments in economies, such as increases in the level of inflation, interest rates or unemployment, may affect demand for consumables, such as mobile devices, mobile subscriptions and both the services that end-users subscribe to and the usage levels of such services, which may lead communications service providers to invest less in related infrastructure and services or to invest in low-margin products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26"/>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General uncertainty and adverse developments in the financial</w:t>
            </w:r>
          </w:p>
        </w:tc>
        <w:tc>
          <w:tcPr>
            <w:tcW w:w="180" w:type="dxa"/>
            <w:vAlign w:val="bottom"/>
          </w:tcPr>
          <w:p>
            <w:pPr>
              <w:spacing w:after="0"/>
              <w:rPr>
                <w:sz w:val="10"/>
                <w:szCs w:val="10"/>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numbers, reduce churn, maintain or increase their average</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markets could have a material adverse effect on our, our</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revenue per user, and compete with business models eroding</w:t>
            </w: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customers’, suppliers’ and other partners’ ability to obtain</w:t>
            </w:r>
          </w:p>
        </w:tc>
        <w:tc>
          <w:tcPr>
            <w:tcW w:w="180" w:type="dxa"/>
            <w:vAlign w:val="bottom"/>
          </w:tcPr>
          <w:p>
            <w:pPr>
              <w:spacing w:after="0"/>
              <w:rPr>
                <w:sz w:val="11"/>
                <w:szCs w:val="11"/>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revenue from traditional voice, messaging and data transport</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sufficient or affordable financing on satisfying terms. Higher</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services, as well as the financial condition of such service</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interest rates have increased the cost of financing. Uncertain</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providers. Their cost containment actions and merger activity</w:t>
            </w: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market conditions may further increase the price of financing</w:t>
            </w:r>
          </w:p>
        </w:tc>
        <w:tc>
          <w:tcPr>
            <w:tcW w:w="180" w:type="dxa"/>
            <w:vAlign w:val="bottom"/>
          </w:tcPr>
          <w:p>
            <w:pPr>
              <w:spacing w:after="0"/>
              <w:rPr>
                <w:sz w:val="11"/>
                <w:szCs w:val="11"/>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have in the past constricted capital expenditure, and may</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or decrease its availability if the banks and investors were to</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continue to do so in the future, resulting in further competition</w:t>
            </w: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tighten lending standards or increase interest rates, or if</w:t>
            </w:r>
          </w:p>
        </w:tc>
        <w:tc>
          <w:tcPr>
            <w:tcW w:w="180" w:type="dxa"/>
            <w:vAlign w:val="bottom"/>
          </w:tcPr>
          <w:p>
            <w:pPr>
              <w:spacing w:after="0"/>
              <w:rPr>
                <w:sz w:val="11"/>
                <w:szCs w:val="11"/>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and pressure on pricing and profitability. In addition, the</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certain assets would decline in value, which could lead to</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investments of the communications service providers in the</w:t>
            </w: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difficulties in raising funds or accessing liquidity necessary</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new spectrum assets may reduce their funds available for</w:t>
            </w: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to maintain our financial condition and ongoing operations.</w:t>
            </w:r>
          </w:p>
        </w:tc>
        <w:tc>
          <w:tcPr>
            <w:tcW w:w="180" w:type="dxa"/>
            <w:vAlign w:val="bottom"/>
          </w:tcPr>
          <w:p>
            <w:pPr>
              <w:spacing w:after="0"/>
              <w:rPr>
                <w:sz w:val="11"/>
                <w:szCs w:val="11"/>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investing in the new network infrastructure and related</w:t>
            </w:r>
          </w:p>
        </w:tc>
        <w:tc>
          <w:tcPr>
            <w:tcW w:w="0" w:type="dxa"/>
            <w:vAlign w:val="bottom"/>
          </w:tcPr>
          <w:p>
            <w:pPr>
              <w:spacing w:after="0"/>
              <w:rPr>
                <w:sz w:val="1"/>
                <w:szCs w:val="1"/>
                <w:color w:val="auto"/>
              </w:rPr>
            </w:pPr>
          </w:p>
        </w:tc>
      </w:tr>
      <w:tr>
        <w:trPr>
          <w:trHeight w:val="142"/>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We face intense competition and are dependent on</w:t>
            </w:r>
          </w:p>
        </w:tc>
        <w:tc>
          <w:tcPr>
            <w:tcW w:w="180" w:type="dxa"/>
            <w:vAlign w:val="bottom"/>
          </w:tcPr>
          <w:p>
            <w:pPr>
              <w:spacing w:after="0"/>
              <w:rPr>
                <w:sz w:val="12"/>
                <w:szCs w:val="12"/>
                <w:color w:val="auto"/>
              </w:rPr>
            </w:pPr>
          </w:p>
        </w:tc>
        <w:tc>
          <w:tcPr>
            <w:tcW w:w="298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services. Furthermore, the level of demand by communications</w:t>
            </w: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service providers and other customers that purchase our</w:t>
            </w:r>
          </w:p>
        </w:tc>
        <w:tc>
          <w:tcPr>
            <w:tcW w:w="0" w:type="dxa"/>
            <w:vAlign w:val="bottom"/>
          </w:tcPr>
          <w:p>
            <w:pPr>
              <w:spacing w:after="0"/>
              <w:rPr>
                <w:sz w:val="1"/>
                <w:szCs w:val="1"/>
                <w:color w:val="auto"/>
              </w:rPr>
            </w:pPr>
          </w:p>
        </w:tc>
      </w:tr>
      <w:tr>
        <w:trPr>
          <w:trHeight w:val="5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development of the industries and markets in which we</w:t>
            </w:r>
          </w:p>
        </w:tc>
        <w:tc>
          <w:tcPr>
            <w:tcW w:w="180" w:type="dxa"/>
            <w:vAlign w:val="bottom"/>
          </w:tcPr>
          <w:p>
            <w:pPr>
              <w:spacing w:after="0"/>
              <w:rPr>
                <w:sz w:val="4"/>
                <w:szCs w:val="4"/>
                <w:color w:val="auto"/>
              </w:rPr>
            </w:pPr>
          </w:p>
        </w:tc>
        <w:tc>
          <w:tcPr>
            <w:tcW w:w="29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products and services is dependent on their ability to monetize</w:t>
            </w:r>
          </w:p>
        </w:tc>
        <w:tc>
          <w:tcPr>
            <w:tcW w:w="0" w:type="dxa"/>
            <w:vAlign w:val="bottom"/>
          </w:tcPr>
          <w:p>
            <w:pPr>
              <w:spacing w:after="0"/>
              <w:rPr>
                <w:sz w:val="1"/>
                <w:szCs w:val="1"/>
                <w:color w:val="auto"/>
              </w:rPr>
            </w:pPr>
          </w:p>
        </w:tc>
      </w:tr>
      <w:tr>
        <w:trPr>
          <w:trHeight w:val="6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operate. The markets are cyclical and are affected by many</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their investment and introduce new use cases and can</w:t>
            </w:r>
          </w:p>
        </w:tc>
        <w:tc>
          <w:tcPr>
            <w:tcW w:w="0" w:type="dxa"/>
            <w:vAlign w:val="bottom"/>
          </w:tcPr>
          <w:p>
            <w:pPr>
              <w:spacing w:after="0"/>
              <w:rPr>
                <w:sz w:val="1"/>
                <w:szCs w:val="1"/>
                <w:color w:val="auto"/>
              </w:rPr>
            </w:pPr>
          </w:p>
        </w:tc>
      </w:tr>
      <w:tr>
        <w:trPr>
          <w:trHeight w:val="6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factors, including the general economic environment,</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therefore change quickly and vary over short periods of time.</w:t>
            </w:r>
          </w:p>
        </w:tc>
        <w:tc>
          <w:tcPr>
            <w:tcW w:w="0" w:type="dxa"/>
            <w:vAlign w:val="bottom"/>
          </w:tcPr>
          <w:p>
            <w:pPr>
              <w:spacing w:after="0"/>
              <w:rPr>
                <w:sz w:val="1"/>
                <w:szCs w:val="1"/>
                <w:color w:val="auto"/>
              </w:rPr>
            </w:pPr>
          </w:p>
        </w:tc>
      </w:tr>
      <w:tr>
        <w:trPr>
          <w:trHeight w:val="5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technological change  s or the speed of technological adoption</w:t>
            </w:r>
          </w:p>
        </w:tc>
        <w:tc>
          <w:tcPr>
            <w:tcW w:w="180" w:type="dxa"/>
            <w:vAlign w:val="bottom"/>
            <w:vMerge w:val="restart"/>
          </w:tcPr>
          <w:p>
            <w:pPr>
              <w:jc w:val="right"/>
              <w:ind w:right="23"/>
              <w:spacing w:after="0"/>
              <w:rPr>
                <w:sz w:val="20"/>
                <w:szCs w:val="20"/>
                <w:color w:val="auto"/>
              </w:rPr>
            </w:pPr>
            <w:r>
              <w:rPr>
                <w:rFonts w:ascii="Times New Roman" w:cs="Times New Roman" w:eastAsia="Times New Roman" w:hAnsi="Times New Roman"/>
                <w:sz w:val="11"/>
                <w:szCs w:val="11"/>
                <w:b w:val="1"/>
                <w:bCs w:val="1"/>
                <w:color w:val="auto"/>
              </w:rPr>
              <w:t>,</w:t>
            </w:r>
          </w:p>
        </w:tc>
        <w:tc>
          <w:tcPr>
            <w:tcW w:w="29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vMerge w:val="continue"/>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Communications service providers may also consolidate their</w:t>
            </w:r>
          </w:p>
        </w:tc>
        <w:tc>
          <w:tcPr>
            <w:tcW w:w="0" w:type="dxa"/>
            <w:vAlign w:val="bottom"/>
          </w:tcPr>
          <w:p>
            <w:pPr>
              <w:spacing w:after="0"/>
              <w:rPr>
                <w:sz w:val="1"/>
                <w:szCs w:val="1"/>
                <w:color w:val="auto"/>
              </w:rPr>
            </w:pPr>
          </w:p>
        </w:tc>
      </w:tr>
      <w:tr>
        <w:trPr>
          <w:trHeight w:val="6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competitor behavior, customer consolidation, customers’</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supplier base to our disadvantage — all the way to a one-</w:t>
            </w:r>
          </w:p>
        </w:tc>
        <w:tc>
          <w:tcPr>
            <w:tcW w:w="0" w:type="dxa"/>
            <w:vAlign w:val="bottom"/>
          </w:tcPr>
          <w:p>
            <w:pPr>
              <w:spacing w:after="0"/>
              <w:rPr>
                <w:sz w:val="1"/>
                <w:szCs w:val="1"/>
                <w:color w:val="auto"/>
              </w:rPr>
            </w:pPr>
          </w:p>
        </w:tc>
      </w:tr>
      <w:tr>
        <w:trPr>
          <w:trHeight w:val="5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purchasing and spending appetite and behavior, including mix</w:t>
            </w:r>
          </w:p>
        </w:tc>
        <w:tc>
          <w:tcPr>
            <w:tcW w:w="180" w:type="dxa"/>
            <w:vAlign w:val="bottom"/>
          </w:tcPr>
          <w:p>
            <w:pPr>
              <w:spacing w:after="0"/>
              <w:rPr>
                <w:sz w:val="4"/>
                <w:szCs w:val="4"/>
                <w:color w:val="auto"/>
              </w:rPr>
            </w:pPr>
          </w:p>
        </w:tc>
        <w:tc>
          <w:tcPr>
            <w:tcW w:w="29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supplier model, for instance in a specific product area. A</w:t>
            </w:r>
          </w:p>
        </w:tc>
        <w:tc>
          <w:tcPr>
            <w:tcW w:w="0" w:type="dxa"/>
            <w:vAlign w:val="bottom"/>
          </w:tcPr>
          <w:p>
            <w:pPr>
              <w:spacing w:after="0"/>
              <w:rPr>
                <w:sz w:val="1"/>
                <w:szCs w:val="1"/>
                <w:color w:val="auto"/>
              </w:rPr>
            </w:pPr>
          </w:p>
        </w:tc>
      </w:tr>
      <w:tr>
        <w:trPr>
          <w:trHeight w:val="6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of supply, deployments and rollout timing. Our existing</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portion of our revenues is driven by the timing of completion</w:t>
            </w:r>
          </w:p>
        </w:tc>
        <w:tc>
          <w:tcPr>
            <w:tcW w:w="0" w:type="dxa"/>
            <w:vAlign w:val="bottom"/>
          </w:tcPr>
          <w:p>
            <w:pPr>
              <w:spacing w:after="0"/>
              <w:rPr>
                <w:sz w:val="1"/>
                <w:szCs w:val="1"/>
                <w:color w:val="auto"/>
              </w:rPr>
            </w:pPr>
          </w:p>
        </w:tc>
      </w:tr>
      <w:tr>
        <w:trPr>
          <w:trHeight w:val="6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competition and new competition challenging the connectivity</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9"/>
        </w:trPr>
        <w:tc>
          <w:tcPr>
            <w:tcW w:w="3140" w:type="dxa"/>
            <w:vAlign w:val="bottom"/>
            <w:vMerge w:val="continue"/>
          </w:tcPr>
          <w:p>
            <w:pPr>
              <w:spacing w:after="0"/>
              <w:rPr>
                <w:sz w:val="6"/>
                <w:szCs w:val="6"/>
                <w:color w:val="auto"/>
              </w:rPr>
            </w:pPr>
          </w:p>
        </w:tc>
        <w:tc>
          <w:tcPr>
            <w:tcW w:w="180" w:type="dxa"/>
            <w:vAlign w:val="bottom"/>
          </w:tcPr>
          <w:p>
            <w:pPr>
              <w:spacing w:after="0"/>
              <w:rPr>
                <w:sz w:val="6"/>
                <w:szCs w:val="6"/>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and customer acceptances. As a result of the uncertainty and</w:t>
            </w:r>
          </w:p>
        </w:tc>
        <w:tc>
          <w:tcPr>
            <w:tcW w:w="0" w:type="dxa"/>
            <w:vAlign w:val="bottom"/>
          </w:tcPr>
          <w:p>
            <w:pPr>
              <w:spacing w:after="0"/>
              <w:rPr>
                <w:sz w:val="1"/>
                <w:szCs w:val="1"/>
                <w:color w:val="auto"/>
              </w:rPr>
            </w:pPr>
          </w:p>
        </w:tc>
      </w:tr>
      <w:tr>
        <w:trPr>
          <w:trHeight w:val="53"/>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business models of our customers are driving price erosion.</w:t>
            </w:r>
          </w:p>
        </w:tc>
        <w:tc>
          <w:tcPr>
            <w:tcW w:w="180" w:type="dxa"/>
            <w:vAlign w:val="bottom"/>
          </w:tcPr>
          <w:p>
            <w:pPr>
              <w:spacing w:after="0"/>
              <w:rPr>
                <w:sz w:val="4"/>
                <w:szCs w:val="4"/>
                <w:color w:val="auto"/>
              </w:rPr>
            </w:pPr>
          </w:p>
        </w:tc>
        <w:tc>
          <w:tcPr>
            <w:tcW w:w="29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140" w:type="dxa"/>
            <w:vAlign w:val="bottom"/>
            <w:vMerge w:val="continue"/>
          </w:tcPr>
          <w:p>
            <w:pPr>
              <w:spacing w:after="0"/>
              <w:rPr>
                <w:sz w:val="7"/>
                <w:szCs w:val="7"/>
                <w:color w:val="auto"/>
              </w:rPr>
            </w:pPr>
          </w:p>
        </w:tc>
        <w:tc>
          <w:tcPr>
            <w:tcW w:w="180" w:type="dxa"/>
            <w:vAlign w:val="bottom"/>
          </w:tcPr>
          <w:p>
            <w:pPr>
              <w:spacing w:after="0"/>
              <w:rPr>
                <w:sz w:val="7"/>
                <w:szCs w:val="7"/>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variations in the telecommunications and vertical industries,</w:t>
            </w:r>
          </w:p>
        </w:tc>
        <w:tc>
          <w:tcPr>
            <w:tcW w:w="0" w:type="dxa"/>
            <w:vAlign w:val="bottom"/>
          </w:tcPr>
          <w:p>
            <w:pPr>
              <w:spacing w:after="0"/>
              <w:rPr>
                <w:sz w:val="1"/>
                <w:szCs w:val="1"/>
                <w:color w:val="auto"/>
              </w:rPr>
            </w:pPr>
          </w:p>
        </w:tc>
      </w:tr>
      <w:tr>
        <w:trPr>
          <w:trHeight w:val="6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The competitive environment in the markets in which</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140" w:type="dxa"/>
            <w:vAlign w:val="bottom"/>
            <w:vMerge w:val="continue"/>
          </w:tcPr>
          <w:p>
            <w:pPr>
              <w:spacing w:after="0"/>
              <w:rPr>
                <w:sz w:val="7"/>
                <w:szCs w:val="7"/>
                <w:color w:val="auto"/>
              </w:rPr>
            </w:pPr>
          </w:p>
        </w:tc>
        <w:tc>
          <w:tcPr>
            <w:tcW w:w="180" w:type="dxa"/>
            <w:vAlign w:val="bottom"/>
          </w:tcPr>
          <w:p>
            <w:pPr>
              <w:spacing w:after="0"/>
              <w:rPr>
                <w:sz w:val="7"/>
                <w:szCs w:val="7"/>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accurately forecasting revenues, results and cash flow remains</w:t>
            </w:r>
          </w:p>
        </w:tc>
        <w:tc>
          <w:tcPr>
            <w:tcW w:w="0" w:type="dxa"/>
            <w:vAlign w:val="bottom"/>
          </w:tcPr>
          <w:p>
            <w:pPr>
              <w:spacing w:after="0"/>
              <w:rPr>
                <w:sz w:val="1"/>
                <w:szCs w:val="1"/>
                <w:color w:val="auto"/>
              </w:rPr>
            </w:pPr>
          </w:p>
        </w:tc>
      </w:tr>
      <w:tr>
        <w:trPr>
          <w:trHeight w:val="5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we operate, including the related services markets, is</w:t>
            </w:r>
          </w:p>
        </w:tc>
        <w:tc>
          <w:tcPr>
            <w:tcW w:w="180" w:type="dxa"/>
            <w:vAlign w:val="bottom"/>
          </w:tcPr>
          <w:p>
            <w:pPr>
              <w:spacing w:after="0"/>
              <w:rPr>
                <w:sz w:val="4"/>
                <w:szCs w:val="4"/>
                <w:color w:val="auto"/>
              </w:rPr>
            </w:pPr>
          </w:p>
        </w:tc>
        <w:tc>
          <w:tcPr>
            <w:tcW w:w="29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140" w:type="dxa"/>
            <w:vAlign w:val="bottom"/>
            <w:vMerge w:val="continue"/>
          </w:tcPr>
          <w:p>
            <w:pPr>
              <w:spacing w:after="0"/>
              <w:rPr>
                <w:sz w:val="7"/>
                <w:szCs w:val="7"/>
                <w:color w:val="auto"/>
              </w:rPr>
            </w:pPr>
          </w:p>
        </w:tc>
        <w:tc>
          <w:tcPr>
            <w:tcW w:w="180" w:type="dxa"/>
            <w:vAlign w:val="bottom"/>
          </w:tcPr>
          <w:p>
            <w:pPr>
              <w:spacing w:after="0"/>
              <w:rPr>
                <w:sz w:val="7"/>
                <w:szCs w:val="7"/>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difficult. Furthermore, significant reduction of business with us</w:t>
            </w:r>
          </w:p>
        </w:tc>
        <w:tc>
          <w:tcPr>
            <w:tcW w:w="0" w:type="dxa"/>
            <w:vAlign w:val="bottom"/>
          </w:tcPr>
          <w:p>
            <w:pPr>
              <w:spacing w:after="0"/>
              <w:rPr>
                <w:sz w:val="1"/>
                <w:szCs w:val="1"/>
                <w:color w:val="auto"/>
              </w:rPr>
            </w:pPr>
          </w:p>
        </w:tc>
      </w:tr>
      <w:tr>
        <w:trPr>
          <w:trHeight w:val="6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characterized by maturing industry technologies, 5G and</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140" w:type="dxa"/>
            <w:vAlign w:val="bottom"/>
            <w:vMerge w:val="continue"/>
          </w:tcPr>
          <w:p>
            <w:pPr>
              <w:spacing w:after="0"/>
              <w:rPr>
                <w:sz w:val="7"/>
                <w:szCs w:val="7"/>
                <w:color w:val="auto"/>
              </w:rPr>
            </w:pPr>
          </w:p>
        </w:tc>
        <w:tc>
          <w:tcPr>
            <w:tcW w:w="180" w:type="dxa"/>
            <w:vAlign w:val="bottom"/>
          </w:tcPr>
          <w:p>
            <w:pPr>
              <w:spacing w:after="0"/>
              <w:rPr>
                <w:sz w:val="7"/>
                <w:szCs w:val="7"/>
                <w:color w:val="auto"/>
              </w:rPr>
            </w:pPr>
          </w:p>
        </w:tc>
        <w:tc>
          <w:tcPr>
            <w:tcW w:w="2980" w:type="dxa"/>
            <w:vAlign w:val="bottom"/>
            <w:vMerge w:val="restart"/>
          </w:tcPr>
          <w:p>
            <w:pPr>
              <w:ind w:left="80"/>
              <w:spacing w:after="0"/>
              <w:rPr>
                <w:sz w:val="20"/>
                <w:szCs w:val="20"/>
                <w:color w:val="auto"/>
              </w:rPr>
            </w:pPr>
            <w:r>
              <w:rPr>
                <w:rFonts w:ascii="Times New Roman" w:cs="Times New Roman" w:eastAsia="Times New Roman" w:hAnsi="Times New Roman"/>
                <w:sz w:val="11"/>
                <w:szCs w:val="11"/>
                <w:color w:val="auto"/>
              </w:rPr>
              <w:t>could result in the loss of benefits related to economies of scale.</w:t>
            </w:r>
          </w:p>
        </w:tc>
        <w:tc>
          <w:tcPr>
            <w:tcW w:w="0" w:type="dxa"/>
            <w:vAlign w:val="bottom"/>
          </w:tcPr>
          <w:p>
            <w:pPr>
              <w:spacing w:after="0"/>
              <w:rPr>
                <w:sz w:val="1"/>
                <w:szCs w:val="1"/>
                <w:color w:val="auto"/>
              </w:rPr>
            </w:pPr>
          </w:p>
        </w:tc>
      </w:tr>
      <w:tr>
        <w:trPr>
          <w:trHeight w:val="67"/>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related new technologies, diversification of supplier</w:t>
            </w:r>
          </w:p>
        </w:tc>
        <w:tc>
          <w:tcPr>
            <w:tcW w:w="180" w:type="dxa"/>
            <w:vAlign w:val="bottom"/>
          </w:tcPr>
          <w:p>
            <w:pPr>
              <w:spacing w:after="0"/>
              <w:rPr>
                <w:sz w:val="5"/>
                <w:szCs w:val="5"/>
                <w:color w:val="auto"/>
              </w:rPr>
            </w:pPr>
          </w:p>
        </w:tc>
        <w:tc>
          <w:tcPr>
            <w:tcW w:w="298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140" w:type="dxa"/>
            <w:vAlign w:val="bottom"/>
            <w:vMerge w:val="continue"/>
          </w:tcPr>
          <w:p>
            <w:pPr>
              <w:spacing w:after="0"/>
              <w:rPr>
                <w:sz w:val="7"/>
                <w:szCs w:val="7"/>
                <w:color w:val="auto"/>
              </w:rPr>
            </w:pPr>
          </w:p>
        </w:tc>
        <w:tc>
          <w:tcPr>
            <w:tcW w:w="180" w:type="dxa"/>
            <w:vAlign w:val="bottom"/>
          </w:tcPr>
          <w:p>
            <w:pPr>
              <w:spacing w:after="0"/>
              <w:rPr>
                <w:sz w:val="7"/>
                <w:szCs w:val="7"/>
                <w:color w:val="auto"/>
              </w:rPr>
            </w:pPr>
          </w:p>
        </w:tc>
        <w:tc>
          <w:tcPr>
            <w:tcW w:w="2980" w:type="dxa"/>
            <w:vAlign w:val="bottom"/>
          </w:tcPr>
          <w:p>
            <w:pPr>
              <w:spacing w:after="0"/>
              <w:rPr>
                <w:sz w:val="7"/>
                <w:szCs w:val="7"/>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p>
      <w:pPr>
        <w:sectPr>
          <w:pgSz w:w="11900" w:h="16838" w:orient="portrait"/>
          <w:cols w:equalWidth="0" w:num="2">
            <w:col w:w="3000" w:space="400"/>
            <w:col w:w="6560"/>
          </w:cols>
          <w:pgMar w:left="960" w:top="409" w:right="979" w:bottom="1440" w:gutter="0" w:footer="0" w:header="0"/>
          <w:type w:val="continuous"/>
        </w:sectPr>
      </w:pPr>
    </w:p>
    <w:p>
      <w:pPr>
        <w:spacing w:after="0" w:line="250" w:lineRule="auto"/>
        <w:rPr>
          <w:sz w:val="20"/>
          <w:szCs w:val="20"/>
          <w:color w:val="auto"/>
        </w:rPr>
      </w:pPr>
      <w:r>
        <w:rPr>
          <w:rFonts w:ascii="Times New Roman" w:cs="Times New Roman" w:eastAsia="Times New Roman" w:hAnsi="Times New Roman"/>
          <w:sz w:val="11"/>
          <w:szCs w:val="11"/>
          <w:color w:val="auto"/>
        </w:rPr>
        <w:t>and services. This may further be mirrored as an adverse effect on the business of our patent, technology or brand licensees and our patent licensing income. Likewise, adverse developments in economic conditions may lead certain customer segments, such as webscale companies, transportation &amp; logistics, energy, manufacturing, and public sector verticals, to invest less or delay spend in infrastructure and services to digitize their operations or to invest in low-</w:t>
      </w:r>
    </w:p>
    <w:p>
      <w:pPr>
        <w:spacing w:after="0" w:line="2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64" w:lineRule="auto"/>
        <w:rPr>
          <w:sz w:val="20"/>
          <w:szCs w:val="20"/>
          <w:color w:val="auto"/>
        </w:rPr>
      </w:pPr>
      <w:r>
        <w:rPr>
          <w:rFonts w:ascii="Times New Roman" w:cs="Times New Roman" w:eastAsia="Times New Roman" w:hAnsi="Times New Roman"/>
          <w:sz w:val="11"/>
          <w:szCs w:val="11"/>
          <w:color w:val="auto"/>
        </w:rPr>
        <w:t>ecosystems, equipment price erosion and aggressive price competition. Our competition endeavors to gain market share in selected regions where Nokia has a large footprint. Despite strong growth in mobile data traffic, most of our customer base has been facing persistent erosion in unit revenue and is reverting to vendors to compensate for it. Competition for new customers, as well as for new infrastructure deployment, is particularly intense and focused on the favorability of price and</w:t>
      </w:r>
    </w:p>
    <w:p>
      <w:pPr>
        <w:spacing w:after="0" w:line="20" w:lineRule="exact"/>
        <w:rPr>
          <w:sz w:val="20"/>
          <w:szCs w:val="20"/>
          <w:color w:val="auto"/>
        </w:rPr>
      </w:pPr>
      <w:r>
        <w:rPr>
          <w:sz w:val="20"/>
          <w:szCs w:val="20"/>
          <w:color w:val="auto"/>
        </w:rPr>
        <w:br w:type="column"/>
      </w:r>
    </w:p>
    <w:p>
      <w:pPr>
        <w:ind w:right="180"/>
        <w:spacing w:after="0" w:line="264" w:lineRule="auto"/>
        <w:rPr>
          <w:sz w:val="20"/>
          <w:szCs w:val="20"/>
          <w:color w:val="auto"/>
        </w:rPr>
      </w:pPr>
      <w:r>
        <w:rPr>
          <w:rFonts w:ascii="Times New Roman" w:cs="Times New Roman" w:eastAsia="Times New Roman" w:hAnsi="Times New Roman"/>
          <w:sz w:val="11"/>
          <w:szCs w:val="11"/>
          <w:color w:val="auto"/>
        </w:rPr>
        <w:t>We may be unable to respond successfully to technological changes in the markets in which we operate. Market developments favoring new technological solutions, such as Software Defined Networks (SDNs), Edge computing, cloud and virtualization, may result in reduced spending to the benefit of our competitors who have, or may have, a stronger position in such technologies. The technological viability of standardized, low-margin hardware products in combination with the</w:t>
      </w:r>
    </w:p>
    <w:p>
      <w:pPr>
        <w:sectPr>
          <w:pgSz w:w="11900" w:h="16838" w:orient="portrait"/>
          <w:cols w:equalWidth="0" w:num="3">
            <w:col w:w="2800" w:space="600"/>
            <w:col w:w="2920" w:space="480"/>
            <w:col w:w="3160"/>
          </w:cols>
          <w:pgMar w:left="960" w:top="409" w:right="979" w:bottom="1440" w:gutter="0" w:footer="0" w:header="0"/>
          <w:type w:val="continuous"/>
        </w:sectPr>
      </w:pPr>
    </w:p>
    <w:bookmarkStart w:id="125" w:name="page126"/>
    <w:bookmarkEnd w:id="12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auto"/>
        </w:rPr>
        <w:t>118</w:t>
      </w:r>
    </w:p>
    <w:p>
      <w:pPr>
        <w:spacing w:after="0" w:line="637" w:lineRule="exact"/>
        <w:rPr>
          <w:sz w:val="20"/>
          <w:szCs w:val="20"/>
          <w:color w:val="auto"/>
        </w:rPr>
      </w:pPr>
    </w:p>
    <w:p>
      <w:pPr>
        <w:sectPr>
          <w:pgSz w:w="11900" w:h="16838" w:orient="portrait"/>
          <w:cols w:equalWidth="0" w:num="2">
            <w:col w:w="9080" w:space="720"/>
            <w:col w:w="180"/>
          </w:cols>
          <w:pgMar w:left="960" w:top="409" w:right="959" w:bottom="1440" w:gutter="0" w:footer="0" w:header="0"/>
        </w:sectPr>
      </w:pPr>
    </w:p>
    <w:p>
      <w:pPr>
        <w:spacing w:after="0" w:line="126" w:lineRule="exact"/>
        <w:rPr>
          <w:sz w:val="20"/>
          <w:szCs w:val="20"/>
          <w:color w:val="auto"/>
        </w:rPr>
      </w:pPr>
    </w:p>
    <w:p>
      <w:pPr>
        <w:ind w:right="220"/>
        <w:spacing w:after="0" w:line="265" w:lineRule="auto"/>
        <w:rPr>
          <w:sz w:val="20"/>
          <w:szCs w:val="20"/>
          <w:color w:val="auto"/>
        </w:rPr>
      </w:pPr>
      <w:r>
        <w:rPr>
          <w:rFonts w:ascii="Times New Roman" w:cs="Times New Roman" w:eastAsia="Times New Roman" w:hAnsi="Times New Roman"/>
          <w:sz w:val="11"/>
          <w:szCs w:val="11"/>
          <w:color w:val="auto"/>
        </w:rPr>
        <w:t>virtualization of functions can induce a change in purchase behavior, resulting in favoring other vendors or in higher bargaining power versus Nokia due to more alternative vendors. Our customers may prefer best-of-breed from multiple vendors, a single vendor or turn to alternative vendors</w:t>
      </w:r>
    </w:p>
    <w:p>
      <w:pPr>
        <w:spacing w:after="0" w:line="1"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to maintain end-to-end services. Additionally, new competitors may enter the industry as a result of acquisitions or shifts in technology. Furthermore, some companies, including webscale companies, may drive a faster pace of innovation in telecommunications infrastructure through more collaborative approaches and open technologies across access, backhaul,</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core and management.</w:t>
      </w:r>
    </w:p>
    <w:p>
      <w:pPr>
        <w:spacing w:after="0" w:line="89" w:lineRule="exact"/>
        <w:rPr>
          <w:sz w:val="20"/>
          <w:szCs w:val="20"/>
          <w:color w:val="auto"/>
        </w:rPr>
      </w:pPr>
    </w:p>
    <w:p>
      <w:pPr>
        <w:ind w:right="280"/>
        <w:spacing w:after="0" w:line="262" w:lineRule="auto"/>
        <w:rPr>
          <w:sz w:val="20"/>
          <w:szCs w:val="20"/>
          <w:color w:val="auto"/>
        </w:rPr>
      </w:pPr>
      <w:r>
        <w:rPr>
          <w:rFonts w:ascii="Times New Roman" w:cs="Times New Roman" w:eastAsia="Times New Roman" w:hAnsi="Times New Roman"/>
          <w:sz w:val="11"/>
          <w:szCs w:val="11"/>
          <w:color w:val="auto"/>
        </w:rPr>
        <w:t>We expect to generate a significant share of our growth from new customers, including webscale companies and vertical customers, for example in transportation &amp; logistics, energy, manufacturing, and public sector verticals. Each of these sectors may face adverse industry developments, which may significantly impact the size of investments addressable by us and our ability to address these investments, in terms of both having the right products available and being able to obtain new customers and having the right go-to-market capabilities and expertise to address the specific needs of these sectors.</w:t>
      </w:r>
    </w:p>
    <w:p>
      <w:pPr>
        <w:spacing w:after="0" w:line="1"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1"/>
          <w:szCs w:val="11"/>
          <w:color w:val="auto"/>
        </w:rPr>
        <w:t>Furthermore, there are various incumbent and</w:t>
      </w:r>
      <w:r>
        <w:rPr>
          <w:sz w:val="20"/>
          <w:szCs w:val="20"/>
          <w:color w:val="auto"/>
        </w:rPr>
        <w:tab/>
      </w:r>
      <w:r>
        <w:rPr>
          <w:rFonts w:ascii="Times New Roman" w:cs="Times New Roman" w:eastAsia="Times New Roman" w:hAnsi="Times New Roman"/>
          <w:sz w:val="11"/>
          <w:szCs w:val="11"/>
          <w:color w:val="auto"/>
        </w:rPr>
        <w:t>new actors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competing with Nokia in these customer groups we</w:t>
      </w:r>
    </w:p>
    <w:p>
      <w:pPr>
        <w:spacing w:after="0" w:line="10"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strategically target. With these types of customers, the nature of competition and the required capabilities can be significantly different from the communications service provider market, including competition based on access network, core network, cloud infrastructure, platforms, applications and devices, and related services.</w:t>
      </w:r>
    </w:p>
    <w:p>
      <w:pPr>
        <w:spacing w:after="0" w:line="52" w:lineRule="exact"/>
        <w:rPr>
          <w:sz w:val="20"/>
          <w:szCs w:val="20"/>
          <w:color w:val="auto"/>
        </w:rPr>
      </w:pPr>
    </w:p>
    <w:p>
      <w:pPr>
        <w:ind w:right="240"/>
        <w:spacing w:after="0" w:line="263" w:lineRule="auto"/>
        <w:rPr>
          <w:sz w:val="20"/>
          <w:szCs w:val="20"/>
          <w:color w:val="auto"/>
        </w:rPr>
      </w:pPr>
      <w:r>
        <w:rPr>
          <w:rFonts w:ascii="Times New Roman" w:cs="Times New Roman" w:eastAsia="Times New Roman" w:hAnsi="Times New Roman"/>
          <w:sz w:val="11"/>
          <w:szCs w:val="11"/>
          <w:color w:val="auto"/>
        </w:rPr>
        <w:t>Competitive intensity remains high in the market as competitors seek to take share in 5G rollouts, which is creating a risk of persistent high price erosion in the industry. If domestic and global economic conditions worsen, overall spending on 5G infrastructure may be reduced or delayed, and spending in our other network products and services might be even more rapidly reduced to preserve the customer investment in 5G, which would adversely impact demand for our products and services in these markets. Further, any reduction in our market share in 5G compared with our installed base in 4G due to decisions to protect our profitability, inability to meet the customers’ requirements or other reasons, may have a material negative effect on</w:t>
      </w:r>
    </w:p>
    <w:p>
      <w:pPr>
        <w:spacing w:after="0"/>
        <w:rPr>
          <w:sz w:val="20"/>
          <w:szCs w:val="20"/>
          <w:color w:val="auto"/>
        </w:rPr>
      </w:pPr>
      <w:r>
        <w:rPr>
          <w:rFonts w:ascii="Times New Roman" w:cs="Times New Roman" w:eastAsia="Times New Roman" w:hAnsi="Times New Roman"/>
          <w:sz w:val="11"/>
          <w:szCs w:val="11"/>
          <w:color w:val="auto"/>
        </w:rPr>
        <w:t>our scale and profitability.</w:t>
      </w:r>
    </w:p>
    <w:p>
      <w:pPr>
        <w:spacing w:after="0" w:line="33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4" w:lineRule="exact"/>
        <w:rPr>
          <w:sz w:val="20"/>
          <w:szCs w:val="20"/>
          <w:color w:val="auto"/>
        </w:rPr>
      </w:pPr>
    </w:p>
    <w:p>
      <w:pPr>
        <w:ind w:right="60"/>
        <w:spacing w:after="0" w:line="264" w:lineRule="auto"/>
        <w:rPr>
          <w:sz w:val="20"/>
          <w:szCs w:val="20"/>
          <w:color w:val="auto"/>
        </w:rPr>
      </w:pPr>
      <w:r>
        <w:rPr>
          <w:rFonts w:ascii="Times New Roman" w:cs="Times New Roman" w:eastAsia="Times New Roman" w:hAnsi="Times New Roman"/>
          <w:sz w:val="11"/>
          <w:szCs w:val="11"/>
          <w:b w:val="1"/>
          <w:bCs w:val="1"/>
          <w:color w:val="auto"/>
        </w:rPr>
        <w:t>We are dependent on a limited number of customers and large multi-year agreements. The loss of a single customer or contract, operator consolidation, unfavorable contract terms or other issues related to a single agreement may have a material adverse effect on our business and financial condition.</w:t>
      </w:r>
    </w:p>
    <w:p>
      <w:pPr>
        <w:spacing w:after="0" w:line="3" w:lineRule="exact"/>
        <w:rPr>
          <w:sz w:val="20"/>
          <w:szCs w:val="20"/>
          <w:color w:val="auto"/>
        </w:rPr>
      </w:pPr>
    </w:p>
    <w:p>
      <w:pPr>
        <w:ind w:right="40"/>
        <w:spacing w:after="0" w:line="261" w:lineRule="auto"/>
        <w:rPr>
          <w:sz w:val="20"/>
          <w:szCs w:val="20"/>
          <w:color w:val="auto"/>
        </w:rPr>
      </w:pPr>
      <w:r>
        <w:rPr>
          <w:rFonts w:ascii="Times New Roman" w:cs="Times New Roman" w:eastAsia="Times New Roman" w:hAnsi="Times New Roman"/>
          <w:sz w:val="11"/>
          <w:szCs w:val="11"/>
          <w:color w:val="auto"/>
        </w:rPr>
        <w:t>A significant proportion of the net sales and profits that we generate have historically been derived from a limited number of customers. As consolidation among existing customers continues, it is possible that an even greater portion of</w:t>
      </w:r>
    </w:p>
    <w:p>
      <w:pPr>
        <w:spacing w:after="0" w:line="1"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our net sales will be attributable to a smaller number of large communications service providers. These developments are also likely to increase the impact on our net sales based on the outcome of certain individual agreement tenders. Communications service providers are also increasingly entering into asset sharing arrangements, as well as joint procurement agreements, which may reduce their investments and the number of networks available for us to service. Furthermore, procurement organizations of certain large communications service providers sell consulting services to enhance the negotiating position of small operators with their vendors.</w:t>
      </w:r>
    </w:p>
    <w:p>
      <w:pPr>
        <w:spacing w:after="0" w:line="64"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As a result of the intense competition in the industry, we may increasingly be required to agree to less favorable terms in order to remain competitive. Any unfavorable developments in relation to, or any change in the agreement terms applicable to, a major customer may have a material adverse effect on our business, results of operations and financial condition. Also, agreements in the networks business are typically complex and long-term in nature and it is possible that over time the contract terms of the agreement may prove less favorable to us than originally expected, for instance due to changes in costs and product portfolio decisions, and those may be difficult to amend promptly to address new developments, such as the accelerating inflation that we are currently facing.</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jc w:val="both"/>
        <w:ind w:right="340"/>
        <w:spacing w:after="0" w:line="275" w:lineRule="auto"/>
        <w:rPr>
          <w:sz w:val="20"/>
          <w:szCs w:val="20"/>
          <w:color w:val="auto"/>
        </w:rPr>
      </w:pPr>
      <w:r>
        <w:rPr>
          <w:rFonts w:ascii="Times New Roman" w:cs="Times New Roman" w:eastAsia="Times New Roman" w:hAnsi="Times New Roman"/>
          <w:sz w:val="11"/>
          <w:szCs w:val="11"/>
          <w:color w:val="auto"/>
        </w:rPr>
        <w:t>Furthermore, in particular given the bargaining power of our customers or limited legal ability to deviate from the standard governmental contract terms, we may be exposed to onerous terms and liabilities in our customer contracts.</w:t>
      </w:r>
    </w:p>
    <w:p>
      <w:pPr>
        <w:spacing w:after="0" w:line="57" w:lineRule="exact"/>
        <w:rPr>
          <w:sz w:val="20"/>
          <w:szCs w:val="20"/>
          <w:color w:val="auto"/>
        </w:rPr>
      </w:pPr>
    </w:p>
    <w:p>
      <w:pPr>
        <w:ind w:right="280"/>
        <w:spacing w:after="0" w:line="263" w:lineRule="auto"/>
        <w:rPr>
          <w:sz w:val="20"/>
          <w:szCs w:val="20"/>
          <w:color w:val="auto"/>
        </w:rPr>
      </w:pPr>
      <w:r>
        <w:rPr>
          <w:rFonts w:ascii="Times New Roman" w:cs="Times New Roman" w:eastAsia="Times New Roman" w:hAnsi="Times New Roman"/>
          <w:sz w:val="11"/>
          <w:szCs w:val="11"/>
          <w:color w:val="auto"/>
        </w:rPr>
        <w:t>Loss of a single customer, its significant business or contract, or other issues related to a single agreement, may have a material adverse effect on our business and financial condition. We have lost customers and contracts in the past and the same may happen in the future. Furthermore, any suspension, termination or non-performance by us under an agreement’s terms may have a material adverse effect on us, for example due to penalties for breaches, early termination or reduced orders or customer footprint. In addition, we may lose existing agreements, or we may be unable to renew or gain new agreements, for instance due to customer policies that limit the ability of customers to have one network provider exceeding a certain threshold of business in a given market or as a result of merger activity where the customer may decide to concentrate their spending elsewhere.</w:t>
      </w:r>
    </w:p>
    <w:p>
      <w:pPr>
        <w:spacing w:after="0" w:line="203" w:lineRule="exact"/>
        <w:rPr>
          <w:sz w:val="20"/>
          <w:szCs w:val="20"/>
          <w:color w:val="auto"/>
        </w:rPr>
      </w:pPr>
    </w:p>
    <w:p>
      <w:pPr>
        <w:ind w:right="420"/>
        <w:spacing w:after="0" w:line="265" w:lineRule="auto"/>
        <w:rPr>
          <w:sz w:val="20"/>
          <w:szCs w:val="20"/>
          <w:color w:val="auto"/>
        </w:rPr>
      </w:pPr>
      <w:r>
        <w:rPr>
          <w:rFonts w:ascii="Times New Roman" w:cs="Times New Roman" w:eastAsia="Times New Roman" w:hAnsi="Times New Roman"/>
          <w:sz w:val="11"/>
          <w:szCs w:val="11"/>
          <w:color w:val="auto"/>
        </w:rPr>
        <w:t>The timing of sales and results of operations associated with large multi-year agreements or turnkey projects may differ</w:t>
      </w:r>
    </w:p>
    <w:p>
      <w:pPr>
        <w:ind w:right="340"/>
        <w:spacing w:after="0" w:line="264" w:lineRule="auto"/>
        <w:rPr>
          <w:sz w:val="20"/>
          <w:szCs w:val="20"/>
          <w:color w:val="auto"/>
        </w:rPr>
      </w:pPr>
      <w:r>
        <w:rPr>
          <w:rFonts w:ascii="Times New Roman" w:cs="Times New Roman" w:eastAsia="Times New Roman" w:hAnsi="Times New Roman"/>
          <w:sz w:val="11"/>
          <w:szCs w:val="11"/>
          <w:color w:val="auto"/>
        </w:rPr>
        <w:t>significantly from expectations. For instance, recognition of sales and related costs in network implementation projects are</w:t>
      </w:r>
    </w:p>
    <w:p>
      <w:pPr>
        <w:spacing w:after="0"/>
        <w:tabs>
          <w:tab w:leader="none" w:pos="2880" w:val="left"/>
        </w:tabs>
        <w:rPr>
          <w:sz w:val="20"/>
          <w:szCs w:val="20"/>
          <w:color w:val="auto"/>
        </w:rPr>
      </w:pPr>
      <w:r>
        <w:rPr>
          <w:rFonts w:ascii="Times New Roman" w:cs="Times New Roman" w:eastAsia="Times New Roman" w:hAnsi="Times New Roman"/>
          <w:sz w:val="11"/>
          <w:szCs w:val="11"/>
          <w:color w:val="auto"/>
        </w:rPr>
        <w:t>often linked with achievement of customer acceptances,</w:t>
      </w:r>
      <w:r>
        <w:rPr>
          <w:sz w:val="20"/>
          <w:szCs w:val="20"/>
          <w:color w:val="auto"/>
        </w:rPr>
        <w:tab/>
      </w:r>
      <w:r>
        <w:rPr>
          <w:rFonts w:ascii="Times New Roman" w:cs="Times New Roman" w:eastAsia="Times New Roman" w:hAnsi="Times New Roman"/>
          <w:sz w:val="11"/>
          <w:szCs w:val="11"/>
          <w:color w:val="auto"/>
        </w:rPr>
        <w:t>which</w:t>
      </w:r>
    </w:p>
    <w:p>
      <w:pPr>
        <w:spacing w:after="0" w:line="10" w:lineRule="exact"/>
        <w:rPr>
          <w:sz w:val="20"/>
          <w:szCs w:val="20"/>
          <w:color w:val="auto"/>
        </w:rPr>
      </w:pPr>
    </w:p>
    <w:p>
      <w:pPr>
        <w:ind w:right="420"/>
        <w:spacing w:after="0" w:line="259" w:lineRule="auto"/>
        <w:rPr>
          <w:sz w:val="20"/>
          <w:szCs w:val="20"/>
          <w:color w:val="auto"/>
        </w:rPr>
      </w:pPr>
      <w:r>
        <w:rPr>
          <w:rFonts w:ascii="Times New Roman" w:cs="Times New Roman" w:eastAsia="Times New Roman" w:hAnsi="Times New Roman"/>
          <w:sz w:val="11"/>
          <w:szCs w:val="11"/>
          <w:color w:val="auto"/>
        </w:rPr>
        <w:t>may delay for reasons that may or may not be attributable to us. Moreover, such agreements often require dedication of</w:t>
      </w:r>
    </w:p>
    <w:p>
      <w:pPr>
        <w:spacing w:after="0"/>
        <w:rPr>
          <w:sz w:val="20"/>
          <w:szCs w:val="20"/>
          <w:color w:val="auto"/>
        </w:rPr>
      </w:pPr>
      <w:r>
        <w:rPr>
          <w:rFonts w:ascii="Times New Roman" w:cs="Times New Roman" w:eastAsia="Times New Roman" w:hAnsi="Times New Roman"/>
          <w:sz w:val="11"/>
          <w:szCs w:val="11"/>
          <w:color w:val="auto"/>
        </w:rPr>
        <w:t>substantial amounts of working capital and other resources,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which may adversely affect our cash flow, particularly in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early stages of an agreement’s term, or may require us to</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continue to sell certain products and services, or to sell in</w:t>
      </w:r>
    </w:p>
    <w:p>
      <w:pPr>
        <w:spacing w:after="0" w:line="10" w:lineRule="exact"/>
        <w:rPr>
          <w:sz w:val="20"/>
          <w:szCs w:val="20"/>
          <w:color w:val="auto"/>
        </w:rPr>
      </w:pPr>
    </w:p>
    <w:p>
      <w:pPr>
        <w:ind w:right="540"/>
        <w:spacing w:after="0" w:line="263" w:lineRule="auto"/>
        <w:rPr>
          <w:sz w:val="20"/>
          <w:szCs w:val="20"/>
          <w:color w:val="auto"/>
        </w:rPr>
      </w:pPr>
      <w:r>
        <w:rPr>
          <w:rFonts w:ascii="Times New Roman" w:cs="Times New Roman" w:eastAsia="Times New Roman" w:hAnsi="Times New Roman"/>
          <w:sz w:val="11"/>
          <w:szCs w:val="11"/>
          <w:color w:val="auto"/>
        </w:rPr>
        <w:t>certain markets that would otherwise be discontinued or exited, thereby diverting resources from developing more</w:t>
      </w:r>
    </w:p>
    <w:p>
      <w:pPr>
        <w:ind w:right="300"/>
        <w:spacing w:after="0" w:line="263" w:lineRule="auto"/>
        <w:rPr>
          <w:sz w:val="20"/>
          <w:szCs w:val="20"/>
          <w:color w:val="auto"/>
        </w:rPr>
      </w:pPr>
      <w:r>
        <w:rPr>
          <w:rFonts w:ascii="Times New Roman" w:cs="Times New Roman" w:eastAsia="Times New Roman" w:hAnsi="Times New Roman"/>
          <w:sz w:val="11"/>
          <w:szCs w:val="11"/>
          <w:color w:val="auto"/>
        </w:rPr>
        <w:t>profitable or strategically important products and services, or focusing on more profitable or strategically important markets. Furthermore, our customer agreements may involve complex transformation of the networks as the customers deploy new technologies and the related costs and scope of required deliverables may differ from our expectations at the time we enter into such agreements.</w:t>
      </w:r>
    </w:p>
    <w:p>
      <w:pPr>
        <w:sectPr>
          <w:pgSz w:w="11900" w:h="16838" w:orient="portrait"/>
          <w:cols w:equalWidth="0" w:num="3">
            <w:col w:w="3100" w:space="300"/>
            <w:col w:w="2900" w:space="500"/>
            <w:col w:w="3180"/>
          </w:cols>
          <w:pgMar w:left="960" w:top="409" w:right="959" w:bottom="1440" w:gutter="0" w:footer="0" w:header="0"/>
          <w:type w:val="continuous"/>
        </w:sectPr>
      </w:pPr>
    </w:p>
    <w:bookmarkStart w:id="126" w:name="page127"/>
    <w:bookmarkEnd w:id="126"/>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4"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b w:val="1"/>
          <w:bCs w:val="1"/>
          <w:color w:val="auto"/>
        </w:rPr>
        <w:t>We may be adversely affected by developments with respect to customer financing or extended payment terms that we provide to our customers. Unwillingness of banks or other institutions to provide guarantees or financing to our customers or purchase our receivables could impair our capability to enter agreements with new customers or markets, to mitigate payment risk and to manage our liquidity.</w:t>
      </w:r>
    </w:p>
    <w:p>
      <w:pPr>
        <w:spacing w:after="0" w:line="2" w:lineRule="exact"/>
        <w:rPr>
          <w:sz w:val="20"/>
          <w:szCs w:val="20"/>
          <w:color w:val="auto"/>
        </w:rPr>
      </w:pPr>
    </w:p>
    <w:p>
      <w:pPr>
        <w:ind w:right="100"/>
        <w:spacing w:after="0" w:line="260" w:lineRule="auto"/>
        <w:rPr>
          <w:sz w:val="20"/>
          <w:szCs w:val="20"/>
          <w:color w:val="auto"/>
        </w:rPr>
      </w:pPr>
      <w:r>
        <w:rPr>
          <w:rFonts w:ascii="Times New Roman" w:cs="Times New Roman" w:eastAsia="Times New Roman" w:hAnsi="Times New Roman"/>
          <w:sz w:val="11"/>
          <w:szCs w:val="11"/>
          <w:color w:val="auto"/>
        </w:rPr>
        <w:t>Requests for customer financing and extended payment terms are typical for our industry and uncertainty or lack of liquidity in the financing markets, among other things, may result in increased customer financing requests. In the event that export credit agencies face constraints on their ability or willingness to provide guarantees or financing to our customers, or there is insufficient demand from banks or other financial institutions to purchase receivables, such events could have a material adverse effect on our business and financial condition. Furthermore, reduced availability of credits by export credit agencies supporting our sales could affect</w:t>
      </w:r>
    </w:p>
    <w:p>
      <w:pPr>
        <w:spacing w:after="0" w:line="5" w:lineRule="exact"/>
        <w:rPr>
          <w:sz w:val="20"/>
          <w:szCs w:val="20"/>
          <w:color w:val="auto"/>
        </w:rPr>
      </w:pPr>
    </w:p>
    <w:p>
      <w:pPr>
        <w:ind w:right="320"/>
        <w:spacing w:after="0" w:line="286" w:lineRule="auto"/>
        <w:rPr>
          <w:sz w:val="20"/>
          <w:szCs w:val="20"/>
          <w:color w:val="auto"/>
        </w:rPr>
      </w:pPr>
      <w:r>
        <w:rPr>
          <w:rFonts w:ascii="Times New Roman" w:cs="Times New Roman" w:eastAsia="Times New Roman" w:hAnsi="Times New Roman"/>
          <w:sz w:val="11"/>
          <w:szCs w:val="11"/>
          <w:color w:val="auto"/>
        </w:rPr>
        <w:t>our ability to attract customers and enter new markets thus facing the possibility of reduced sales.</w:t>
      </w:r>
    </w:p>
    <w:p>
      <w:pPr>
        <w:spacing w:after="0" w:line="40" w:lineRule="exact"/>
        <w:rPr>
          <w:sz w:val="20"/>
          <w:szCs w:val="20"/>
          <w:color w:val="auto"/>
        </w:rPr>
      </w:pPr>
    </w:p>
    <w:p>
      <w:pPr>
        <w:ind w:right="120"/>
        <w:spacing w:after="0" w:line="266" w:lineRule="auto"/>
        <w:rPr>
          <w:sz w:val="20"/>
          <w:szCs w:val="20"/>
          <w:color w:val="auto"/>
        </w:rPr>
      </w:pPr>
      <w:r>
        <w:rPr>
          <w:rFonts w:ascii="Times New Roman" w:cs="Times New Roman" w:eastAsia="Times New Roman" w:hAnsi="Times New Roman"/>
          <w:sz w:val="11"/>
          <w:szCs w:val="11"/>
          <w:color w:val="auto"/>
        </w:rPr>
        <w:t>In certain cases, the amounts and duration of these financings and trade credits, and the associated impact on our working capital, may be significant. We have agreed to extended payment terms for a number of our customers and may continue to do so in the future. Extended payment terms may result in a material aggregate amount of trade credits and even when the associated risk is mitigated by a diversified customer portfolio, defaults in the aggregate could have a material adverse effect on us.</w:t>
      </w:r>
    </w:p>
    <w:p>
      <w:pPr>
        <w:spacing w:after="0" w:line="203" w:lineRule="exact"/>
        <w:rPr>
          <w:sz w:val="20"/>
          <w:szCs w:val="20"/>
          <w:color w:val="auto"/>
        </w:rPr>
      </w:pPr>
    </w:p>
    <w:p>
      <w:pPr>
        <w:ind w:right="40"/>
        <w:spacing w:after="0" w:line="263" w:lineRule="auto"/>
        <w:rPr>
          <w:sz w:val="20"/>
          <w:szCs w:val="20"/>
          <w:color w:val="auto"/>
        </w:rPr>
      </w:pPr>
      <w:r>
        <w:rPr>
          <w:rFonts w:ascii="Times New Roman" w:cs="Times New Roman" w:eastAsia="Times New Roman" w:hAnsi="Times New Roman"/>
          <w:sz w:val="11"/>
          <w:szCs w:val="11"/>
          <w:color w:val="auto"/>
        </w:rPr>
        <w:t>All in all, our ability to manage our total customer financing and trade credit exposure depends on a number of factors, including, but not limited to market conditions affecting our customers, the levels and terms of credit available to us and our customers, the cooperation of export credit agencies and our ability to mitigate exposure on acceptable terms. We may be unsuccessful in managing the challenges associated with the customer financing and trade credit exposure that we may face from time to time, particularly in difficult financial conditions in the market. While defaults under financings, guarantees and trade credits to our customers resulting in impairment charges and credit losses have not been significant for us in the past, these may increase in the future, in particular in markets such as India with increased risks potentially affecting our customers. Further, commercial banks may not continue to be able or willing to provide sufficient long-term financing, even if backed</w:t>
      </w:r>
    </w:p>
    <w:p>
      <w:pPr>
        <w:spacing w:after="0" w:line="17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92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120" w:type="dxa"/>
            <w:vAlign w:val="bottom"/>
          </w:tcPr>
          <w:p>
            <w:pPr>
              <w:ind w:left="160"/>
              <w:spacing w:after="0"/>
              <w:rPr>
                <w:sz w:val="20"/>
                <w:szCs w:val="20"/>
                <w:color w:val="auto"/>
              </w:rPr>
            </w:pPr>
            <w:r>
              <w:rPr>
                <w:rFonts w:ascii="Times New Roman" w:cs="Times New Roman" w:eastAsia="Times New Roman" w:hAnsi="Times New Roman"/>
                <w:sz w:val="9"/>
                <w:szCs w:val="9"/>
                <w:color w:val="auto"/>
              </w:rPr>
              <w:t>Financial</w:t>
            </w:r>
          </w:p>
        </w:tc>
        <w:tc>
          <w:tcPr>
            <w:tcW w:w="420" w:type="dxa"/>
            <w:vAlign w:val="bottom"/>
          </w:tcPr>
          <w:p>
            <w:pPr>
              <w:ind w:left="60"/>
              <w:spacing w:after="0"/>
              <w:rPr>
                <w:sz w:val="20"/>
                <w:szCs w:val="20"/>
                <w:color w:val="auto"/>
              </w:rPr>
            </w:pPr>
            <w:r>
              <w:rPr>
                <w:rFonts w:ascii="Times New Roman" w:cs="Times New Roman" w:eastAsia="Times New Roman" w:hAnsi="Times New Roman"/>
                <w:sz w:val="9"/>
                <w:szCs w:val="9"/>
                <w:color w:val="auto"/>
              </w:rPr>
              <w:t>Other</w:t>
            </w:r>
          </w:p>
        </w:tc>
        <w:tc>
          <w:tcPr>
            <w:tcW w:w="580" w:type="dxa"/>
            <w:vAlign w:val="bottom"/>
          </w:tcPr>
          <w:p>
            <w:pPr>
              <w:spacing w:after="0"/>
              <w:rPr>
                <w:sz w:val="9"/>
                <w:szCs w:val="9"/>
                <w:color w:val="auto"/>
              </w:rPr>
            </w:pPr>
          </w:p>
        </w:tc>
        <w:tc>
          <w:tcPr>
            <w:tcW w:w="240" w:type="dxa"/>
            <w:vAlign w:val="bottom"/>
          </w:tcPr>
          <w:p>
            <w:pPr>
              <w:spacing w:after="0"/>
              <w:rPr>
                <w:sz w:val="9"/>
                <w:szCs w:val="9"/>
                <w:color w:val="auto"/>
              </w:rPr>
            </w:pPr>
          </w:p>
        </w:tc>
        <w:tc>
          <w:tcPr>
            <w:tcW w:w="2540" w:type="dxa"/>
            <w:vAlign w:val="bottom"/>
          </w:tcPr>
          <w:p>
            <w:pPr>
              <w:spacing w:after="0"/>
              <w:rPr>
                <w:sz w:val="9"/>
                <w:szCs w:val="9"/>
                <w:color w:val="auto"/>
              </w:rPr>
            </w:pPr>
          </w:p>
        </w:tc>
        <w:tc>
          <w:tcPr>
            <w:tcW w:w="74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119</w:t>
            </w:r>
          </w:p>
        </w:tc>
        <w:tc>
          <w:tcPr>
            <w:tcW w:w="0" w:type="dxa"/>
            <w:vAlign w:val="bottom"/>
          </w:tcPr>
          <w:p>
            <w:pPr>
              <w:spacing w:after="0"/>
              <w:rPr>
                <w:sz w:val="1"/>
                <w:szCs w:val="1"/>
                <w:color w:val="auto"/>
              </w:rPr>
            </w:pPr>
          </w:p>
        </w:tc>
      </w:tr>
      <w:tr>
        <w:trPr>
          <w:trHeight w:val="130"/>
        </w:trPr>
        <w:tc>
          <w:tcPr>
            <w:tcW w:w="92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120" w:type="dxa"/>
            <w:vAlign w:val="bottom"/>
          </w:tcPr>
          <w:p>
            <w:pPr>
              <w:ind w:left="160"/>
              <w:spacing w:after="0"/>
              <w:rPr>
                <w:sz w:val="20"/>
                <w:szCs w:val="20"/>
                <w:color w:val="auto"/>
              </w:rPr>
            </w:pPr>
            <w:r>
              <w:rPr>
                <w:rFonts w:ascii="Times New Roman" w:cs="Times New Roman" w:eastAsia="Times New Roman" w:hAnsi="Times New Roman"/>
                <w:sz w:val="9"/>
                <w:szCs w:val="9"/>
                <w:color w:val="auto"/>
              </w:rPr>
              <w:t>statements</w:t>
            </w:r>
          </w:p>
        </w:tc>
        <w:tc>
          <w:tcPr>
            <w:tcW w:w="1000" w:type="dxa"/>
            <w:vAlign w:val="bottom"/>
            <w:gridSpan w:val="2"/>
          </w:tcPr>
          <w:p>
            <w:pPr>
              <w:ind w:left="60"/>
              <w:spacing w:after="0"/>
              <w:rPr>
                <w:sz w:val="20"/>
                <w:szCs w:val="20"/>
                <w:color w:val="auto"/>
              </w:rPr>
            </w:pPr>
            <w:r>
              <w:rPr>
                <w:rFonts w:ascii="Times New Roman" w:cs="Times New Roman" w:eastAsia="Times New Roman" w:hAnsi="Times New Roman"/>
                <w:sz w:val="9"/>
                <w:szCs w:val="9"/>
                <w:color w:val="auto"/>
              </w:rPr>
              <w:t>information</w:t>
            </w:r>
          </w:p>
        </w:tc>
        <w:tc>
          <w:tcPr>
            <w:tcW w:w="240" w:type="dxa"/>
            <w:vAlign w:val="bottom"/>
          </w:tcPr>
          <w:p>
            <w:pPr>
              <w:spacing w:after="0"/>
              <w:rPr>
                <w:sz w:val="11"/>
                <w:szCs w:val="11"/>
                <w:color w:val="auto"/>
              </w:rPr>
            </w:pPr>
          </w:p>
        </w:tc>
        <w:tc>
          <w:tcPr>
            <w:tcW w:w="2540" w:type="dxa"/>
            <w:vAlign w:val="bottom"/>
          </w:tcPr>
          <w:p>
            <w:pPr>
              <w:spacing w:after="0"/>
              <w:rPr>
                <w:sz w:val="11"/>
                <w:szCs w:val="11"/>
                <w:color w:val="auto"/>
              </w:rPr>
            </w:pPr>
          </w:p>
        </w:tc>
        <w:tc>
          <w:tcPr>
            <w:tcW w:w="7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861"/>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by export credit agency guarantees, due to their own constraints,</w:t>
            </w:r>
          </w:p>
        </w:tc>
        <w:tc>
          <w:tcPr>
            <w:tcW w:w="240" w:type="dxa"/>
            <w:vAlign w:val="bottom"/>
          </w:tcPr>
          <w:p>
            <w:pPr>
              <w:spacing w:after="0"/>
              <w:rPr>
                <w:sz w:val="24"/>
                <w:szCs w:val="24"/>
                <w:color w:val="auto"/>
              </w:rPr>
            </w:pPr>
          </w:p>
        </w:tc>
        <w:tc>
          <w:tcPr>
            <w:tcW w:w="3280" w:type="dxa"/>
            <w:vAlign w:val="bottom"/>
            <w:gridSpan w:val="2"/>
          </w:tcPr>
          <w:p>
            <w:pPr>
              <w:ind w:left="14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maintaining and building up strategic partnerships in our</w:t>
            </w:r>
          </w:p>
        </w:tc>
        <w:tc>
          <w:tcPr>
            <w:tcW w:w="0" w:type="dxa"/>
            <w:vAlign w:val="bottom"/>
          </w:tcPr>
          <w:p>
            <w:pPr>
              <w:spacing w:after="0"/>
              <w:rPr>
                <w:sz w:val="1"/>
                <w:szCs w:val="1"/>
                <w:color w:val="auto"/>
              </w:rPr>
            </w:pPr>
          </w:p>
        </w:tc>
      </w:tr>
      <w:tr>
        <w:trPr>
          <w:trHeight w:val="142"/>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and certain of our competitors may also have greater access to</w:t>
            </w:r>
          </w:p>
        </w:tc>
        <w:tc>
          <w:tcPr>
            <w:tcW w:w="240" w:type="dxa"/>
            <w:vAlign w:val="bottom"/>
          </w:tcPr>
          <w:p>
            <w:pPr>
              <w:spacing w:after="0"/>
              <w:rPr>
                <w:sz w:val="12"/>
                <w:szCs w:val="12"/>
                <w:color w:val="auto"/>
              </w:rPr>
            </w:pPr>
          </w:p>
        </w:tc>
        <w:tc>
          <w:tcPr>
            <w:tcW w:w="3280" w:type="dxa"/>
            <w:vAlign w:val="bottom"/>
            <w:gridSpan w:val="2"/>
          </w:tcPr>
          <w:p>
            <w:pPr>
              <w:ind w:left="300"/>
              <w:spacing w:after="0"/>
              <w:rPr>
                <w:sz w:val="20"/>
                <w:szCs w:val="20"/>
                <w:color w:val="auto"/>
              </w:rPr>
            </w:pPr>
            <w:r>
              <w:rPr>
                <w:rFonts w:ascii="Times New Roman" w:cs="Times New Roman" w:eastAsia="Times New Roman" w:hAnsi="Times New Roman"/>
                <w:sz w:val="11"/>
                <w:szCs w:val="11"/>
                <w:color w:val="auto"/>
              </w:rPr>
              <w:t>value creation chain (e.g. in product creation and project</w:t>
            </w:r>
          </w:p>
        </w:tc>
        <w:tc>
          <w:tcPr>
            <w:tcW w:w="0" w:type="dxa"/>
            <w:vAlign w:val="bottom"/>
          </w:tcPr>
          <w:p>
            <w:pPr>
              <w:spacing w:after="0"/>
              <w:rPr>
                <w:sz w:val="1"/>
                <w:szCs w:val="1"/>
                <w:color w:val="auto"/>
              </w:rPr>
            </w:pPr>
          </w:p>
        </w:tc>
      </w:tr>
      <w:tr>
        <w:trPr>
          <w:trHeight w:val="131"/>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such financing, which could adversely affect our competitiveness</w:t>
            </w:r>
          </w:p>
        </w:tc>
        <w:tc>
          <w:tcPr>
            <w:tcW w:w="240" w:type="dxa"/>
            <w:vAlign w:val="bottom"/>
          </w:tcPr>
          <w:p>
            <w:pPr>
              <w:jc w:val="right"/>
              <w:ind w:right="83"/>
              <w:spacing w:after="0"/>
              <w:rPr>
                <w:sz w:val="20"/>
                <w:szCs w:val="20"/>
                <w:color w:val="auto"/>
              </w:rPr>
            </w:pPr>
            <w:r>
              <w:rPr>
                <w:rFonts w:ascii="Times New Roman" w:cs="Times New Roman" w:eastAsia="Times New Roman" w:hAnsi="Times New Roman"/>
                <w:sz w:val="11"/>
                <w:szCs w:val="11"/>
                <w:color w:val="auto"/>
              </w:rPr>
              <w:t>.</w:t>
            </w:r>
          </w:p>
        </w:tc>
        <w:tc>
          <w:tcPr>
            <w:tcW w:w="2540" w:type="dxa"/>
            <w:vAlign w:val="bottom"/>
          </w:tcPr>
          <w:p>
            <w:pPr>
              <w:ind w:left="300"/>
              <w:spacing w:after="0"/>
              <w:rPr>
                <w:sz w:val="20"/>
                <w:szCs w:val="20"/>
                <w:color w:val="auto"/>
              </w:rPr>
            </w:pPr>
            <w:r>
              <w:rPr>
                <w:rFonts w:ascii="Times New Roman" w:cs="Times New Roman" w:eastAsia="Times New Roman" w:hAnsi="Times New Roman"/>
                <w:sz w:val="11"/>
                <w:szCs w:val="11"/>
                <w:color w:val="auto"/>
              </w:rPr>
              <w:t>delivery); and</w:t>
            </w:r>
          </w:p>
        </w:tc>
        <w:tc>
          <w:tcPr>
            <w:tcW w:w="7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Additionally, we have sold certain receivables to banks or other</w:t>
            </w:r>
          </w:p>
        </w:tc>
        <w:tc>
          <w:tcPr>
            <w:tcW w:w="240" w:type="dxa"/>
            <w:vAlign w:val="bottom"/>
          </w:tcPr>
          <w:p>
            <w:pPr>
              <w:spacing w:after="0"/>
              <w:rPr>
                <w:sz w:val="12"/>
                <w:szCs w:val="12"/>
                <w:color w:val="auto"/>
              </w:rPr>
            </w:pPr>
          </w:p>
        </w:tc>
        <w:tc>
          <w:tcPr>
            <w:tcW w:w="3280" w:type="dxa"/>
            <w:vAlign w:val="bottom"/>
            <w:gridSpan w:val="2"/>
            <w:vMerge w:val="restart"/>
          </w:tcPr>
          <w:p>
            <w:pPr>
              <w:ind w:left="14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leveraging our technological strengths and addressing</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financial institutions, and any significant change in our ability</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40" w:type="dxa"/>
            <w:vAlign w:val="bottom"/>
            <w:gridSpan w:val="4"/>
            <w:vMerge w:val="continue"/>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restart"/>
          </w:tcPr>
          <w:p>
            <w:pPr>
              <w:ind w:left="300"/>
              <w:spacing w:after="0"/>
              <w:rPr>
                <w:sz w:val="20"/>
                <w:szCs w:val="20"/>
                <w:color w:val="auto"/>
              </w:rPr>
            </w:pPr>
            <w:r>
              <w:rPr>
                <w:rFonts w:ascii="Times New Roman" w:cs="Times New Roman" w:eastAsia="Times New Roman" w:hAnsi="Times New Roman"/>
                <w:sz w:val="11"/>
                <w:szCs w:val="11"/>
                <w:color w:val="auto"/>
              </w:rPr>
              <w:t>competing technological and product developments carried</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to continue this practice could impair our capability to mitigate</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040" w:type="dxa"/>
            <w:vAlign w:val="bottom"/>
            <w:gridSpan w:val="4"/>
            <w:vMerge w:val="continue"/>
          </w:tcPr>
          <w:p>
            <w:pPr>
              <w:spacing w:after="0"/>
              <w:rPr>
                <w:sz w:val="5"/>
                <w:szCs w:val="5"/>
                <w:color w:val="auto"/>
              </w:rPr>
            </w:pPr>
          </w:p>
        </w:tc>
        <w:tc>
          <w:tcPr>
            <w:tcW w:w="240" w:type="dxa"/>
            <w:vAlign w:val="bottom"/>
          </w:tcPr>
          <w:p>
            <w:pPr>
              <w:spacing w:after="0"/>
              <w:rPr>
                <w:sz w:val="5"/>
                <w:szCs w:val="5"/>
                <w:color w:val="auto"/>
              </w:rPr>
            </w:pPr>
          </w:p>
        </w:tc>
        <w:tc>
          <w:tcPr>
            <w:tcW w:w="3280" w:type="dxa"/>
            <w:vAlign w:val="bottom"/>
            <w:gridSpan w:val="2"/>
            <w:vMerge w:val="restart"/>
          </w:tcPr>
          <w:p>
            <w:pPr>
              <w:ind w:left="300"/>
              <w:spacing w:after="0"/>
              <w:rPr>
                <w:sz w:val="20"/>
                <w:szCs w:val="20"/>
                <w:color w:val="auto"/>
              </w:rPr>
            </w:pPr>
            <w:r>
              <w:rPr>
                <w:rFonts w:ascii="Times New Roman" w:cs="Times New Roman" w:eastAsia="Times New Roman" w:hAnsi="Times New Roman"/>
                <w:sz w:val="11"/>
                <w:szCs w:val="11"/>
                <w:color w:val="auto"/>
              </w:rPr>
              <w:t>out by competitors while keeping prices and costs at</w:t>
            </w:r>
          </w:p>
        </w:tc>
        <w:tc>
          <w:tcPr>
            <w:tcW w:w="0" w:type="dxa"/>
            <w:vAlign w:val="bottom"/>
          </w:tcPr>
          <w:p>
            <w:pPr>
              <w:spacing w:after="0"/>
              <w:rPr>
                <w:sz w:val="1"/>
                <w:szCs w:val="1"/>
                <w:color w:val="auto"/>
              </w:rPr>
            </w:pPr>
          </w:p>
        </w:tc>
      </w:tr>
      <w:tr>
        <w:trPr>
          <w:trHeight w:val="81"/>
        </w:trPr>
        <w:tc>
          <w:tcPr>
            <w:tcW w:w="2460" w:type="dxa"/>
            <w:vAlign w:val="bottom"/>
            <w:gridSpan w:val="3"/>
            <w:vMerge w:val="restart"/>
          </w:tcPr>
          <w:p>
            <w:pPr>
              <w:spacing w:after="0"/>
              <w:rPr>
                <w:sz w:val="20"/>
                <w:szCs w:val="20"/>
                <w:color w:val="auto"/>
              </w:rPr>
            </w:pPr>
            <w:r>
              <w:rPr>
                <w:rFonts w:ascii="Times New Roman" w:cs="Times New Roman" w:eastAsia="Times New Roman" w:hAnsi="Times New Roman"/>
                <w:sz w:val="11"/>
                <w:szCs w:val="11"/>
                <w:color w:val="auto"/>
              </w:rPr>
              <w:t>such payment risk and to manage our liquidity.</w:t>
            </w:r>
          </w:p>
        </w:tc>
        <w:tc>
          <w:tcPr>
            <w:tcW w:w="580" w:type="dxa"/>
            <w:vAlign w:val="bottom"/>
          </w:tcPr>
          <w:p>
            <w:pPr>
              <w:spacing w:after="0"/>
              <w:rPr>
                <w:sz w:val="7"/>
                <w:szCs w:val="7"/>
                <w:color w:val="auto"/>
              </w:rPr>
            </w:pP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2460" w:type="dxa"/>
            <w:vAlign w:val="bottom"/>
            <w:gridSpan w:val="3"/>
            <w:vMerge w:val="continue"/>
          </w:tcPr>
          <w:p>
            <w:pPr>
              <w:spacing w:after="0"/>
              <w:rPr>
                <w:sz w:val="5"/>
                <w:szCs w:val="5"/>
                <w:color w:val="auto"/>
              </w:rPr>
            </w:pPr>
          </w:p>
        </w:tc>
        <w:tc>
          <w:tcPr>
            <w:tcW w:w="580" w:type="dxa"/>
            <w:vAlign w:val="bottom"/>
          </w:tcPr>
          <w:p>
            <w:pPr>
              <w:spacing w:after="0"/>
              <w:rPr>
                <w:sz w:val="5"/>
                <w:szCs w:val="5"/>
                <w:color w:val="auto"/>
              </w:rPr>
            </w:pPr>
          </w:p>
        </w:tc>
        <w:tc>
          <w:tcPr>
            <w:tcW w:w="240" w:type="dxa"/>
            <w:vAlign w:val="bottom"/>
          </w:tcPr>
          <w:p>
            <w:pPr>
              <w:spacing w:after="0"/>
              <w:rPr>
                <w:sz w:val="5"/>
                <w:szCs w:val="5"/>
                <w:color w:val="auto"/>
              </w:rPr>
            </w:pPr>
          </w:p>
        </w:tc>
        <w:tc>
          <w:tcPr>
            <w:tcW w:w="2540" w:type="dxa"/>
            <w:vAlign w:val="bottom"/>
            <w:vMerge w:val="restart"/>
          </w:tcPr>
          <w:p>
            <w:pPr>
              <w:ind w:left="300"/>
              <w:spacing w:after="0"/>
              <w:rPr>
                <w:sz w:val="20"/>
                <w:szCs w:val="20"/>
                <w:color w:val="auto"/>
              </w:rPr>
            </w:pPr>
            <w:r>
              <w:rPr>
                <w:rFonts w:ascii="Times New Roman" w:cs="Times New Roman" w:eastAsia="Times New Roman" w:hAnsi="Times New Roman"/>
                <w:sz w:val="11"/>
                <w:szCs w:val="11"/>
                <w:color w:val="auto"/>
              </w:rPr>
              <w:t>competitive levels.</w:t>
            </w:r>
          </w:p>
        </w:tc>
        <w:tc>
          <w:tcPr>
            <w:tcW w:w="74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2460" w:type="dxa"/>
            <w:vAlign w:val="bottom"/>
            <w:gridSpan w:val="3"/>
            <w:vMerge w:val="restart"/>
          </w:tcPr>
          <w:p>
            <w:pPr>
              <w:spacing w:after="0"/>
              <w:rPr>
                <w:sz w:val="20"/>
                <w:szCs w:val="20"/>
                <w:color w:val="auto"/>
              </w:rPr>
            </w:pPr>
            <w:r>
              <w:rPr>
                <w:rFonts w:ascii="Times New Roman" w:cs="Times New Roman" w:eastAsia="Times New Roman" w:hAnsi="Times New Roman"/>
                <w:sz w:val="11"/>
                <w:szCs w:val="11"/>
                <w:color w:val="auto"/>
              </w:rPr>
              <w:t>Nokia also arranges bank  guarantees and bonds</w:t>
            </w:r>
          </w:p>
        </w:tc>
        <w:tc>
          <w:tcPr>
            <w:tcW w:w="5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and issues</w:t>
            </w:r>
          </w:p>
        </w:tc>
        <w:tc>
          <w:tcPr>
            <w:tcW w:w="240" w:type="dxa"/>
            <w:vAlign w:val="bottom"/>
          </w:tcPr>
          <w:p>
            <w:pPr>
              <w:spacing w:after="0"/>
              <w:rPr>
                <w:sz w:val="7"/>
                <w:szCs w:val="7"/>
                <w:color w:val="auto"/>
              </w:rPr>
            </w:pPr>
          </w:p>
        </w:tc>
        <w:tc>
          <w:tcPr>
            <w:tcW w:w="2540" w:type="dxa"/>
            <w:vAlign w:val="bottom"/>
            <w:vMerge w:val="continue"/>
          </w:tcPr>
          <w:p>
            <w:pPr>
              <w:spacing w:after="0"/>
              <w:rPr>
                <w:sz w:val="7"/>
                <w:szCs w:val="7"/>
                <w:color w:val="auto"/>
              </w:rPr>
            </w:pPr>
          </w:p>
        </w:tc>
        <w:tc>
          <w:tcPr>
            <w:tcW w:w="74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25"/>
        </w:trPr>
        <w:tc>
          <w:tcPr>
            <w:tcW w:w="2460" w:type="dxa"/>
            <w:vAlign w:val="bottom"/>
            <w:gridSpan w:val="3"/>
            <w:vMerge w:val="continue"/>
          </w:tcPr>
          <w:p>
            <w:pPr>
              <w:spacing w:after="0"/>
              <w:rPr>
                <w:sz w:val="10"/>
                <w:szCs w:val="10"/>
                <w:color w:val="auto"/>
              </w:rPr>
            </w:pPr>
          </w:p>
        </w:tc>
        <w:tc>
          <w:tcPr>
            <w:tcW w:w="580" w:type="dxa"/>
            <w:vAlign w:val="bottom"/>
            <w:vMerge w:val="continue"/>
          </w:tcPr>
          <w:p>
            <w:pPr>
              <w:spacing w:after="0"/>
              <w:rPr>
                <w:sz w:val="10"/>
                <w:szCs w:val="10"/>
                <w:color w:val="auto"/>
              </w:rPr>
            </w:pPr>
          </w:p>
        </w:tc>
        <w:tc>
          <w:tcPr>
            <w:tcW w:w="240" w:type="dxa"/>
            <w:vAlign w:val="bottom"/>
          </w:tcPr>
          <w:p>
            <w:pPr>
              <w:spacing w:after="0"/>
              <w:rPr>
                <w:sz w:val="10"/>
                <w:szCs w:val="10"/>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The industries in which we operate are characterized by rapidly</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commercial guarantees in customers’ favor in relation to our</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040" w:type="dxa"/>
            <w:vAlign w:val="bottom"/>
            <w:gridSpan w:val="4"/>
            <w:vMerge w:val="continue"/>
          </w:tcPr>
          <w:p>
            <w:pPr>
              <w:spacing w:after="0"/>
              <w:rPr>
                <w:sz w:val="5"/>
                <w:szCs w:val="5"/>
                <w:color w:val="auto"/>
              </w:rPr>
            </w:pPr>
          </w:p>
        </w:tc>
        <w:tc>
          <w:tcPr>
            <w:tcW w:w="240" w:type="dxa"/>
            <w:vAlign w:val="bottom"/>
          </w:tcPr>
          <w:p>
            <w:pPr>
              <w:spacing w:after="0"/>
              <w:rPr>
                <w:sz w:val="5"/>
                <w:szCs w:val="5"/>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evolving technologies, frequent new technological requirements,</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business. In the event we are unable to collect outstanding</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40" w:type="dxa"/>
            <w:vAlign w:val="bottom"/>
            <w:gridSpan w:val="4"/>
            <w:vMerge w:val="continue"/>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product feature introductions and evolving industry standards.</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guarantees and bonds, this could limit our possibilities to issue</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040" w:type="dxa"/>
            <w:vAlign w:val="bottom"/>
            <w:gridSpan w:val="4"/>
            <w:vMerge w:val="continue"/>
          </w:tcPr>
          <w:p>
            <w:pPr>
              <w:spacing w:after="0"/>
              <w:rPr>
                <w:sz w:val="5"/>
                <w:szCs w:val="5"/>
                <w:color w:val="auto"/>
              </w:rPr>
            </w:pPr>
          </w:p>
        </w:tc>
        <w:tc>
          <w:tcPr>
            <w:tcW w:w="240" w:type="dxa"/>
            <w:vAlign w:val="bottom"/>
          </w:tcPr>
          <w:p>
            <w:pPr>
              <w:spacing w:after="0"/>
              <w:rPr>
                <w:sz w:val="5"/>
                <w:szCs w:val="5"/>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The participants in the markets where we operate compete on</w:t>
            </w:r>
          </w:p>
        </w:tc>
        <w:tc>
          <w:tcPr>
            <w:tcW w:w="0" w:type="dxa"/>
            <w:vAlign w:val="bottom"/>
          </w:tcPr>
          <w:p>
            <w:pPr>
              <w:spacing w:after="0"/>
              <w:rPr>
                <w:sz w:val="1"/>
                <w:szCs w:val="1"/>
                <w:color w:val="auto"/>
              </w:rPr>
            </w:pPr>
          </w:p>
        </w:tc>
      </w:tr>
      <w:tr>
        <w:trPr>
          <w:trHeight w:val="81"/>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new guarantees and bonds, which are required in customer</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040" w:type="dxa"/>
            <w:vAlign w:val="bottom"/>
            <w:gridSpan w:val="4"/>
            <w:vMerge w:val="continue"/>
          </w:tcPr>
          <w:p>
            <w:pPr>
              <w:spacing w:after="0"/>
              <w:rPr>
                <w:sz w:val="5"/>
                <w:szCs w:val="5"/>
                <w:color w:val="auto"/>
              </w:rPr>
            </w:pPr>
          </w:p>
        </w:tc>
        <w:tc>
          <w:tcPr>
            <w:tcW w:w="240" w:type="dxa"/>
            <w:vAlign w:val="bottom"/>
          </w:tcPr>
          <w:p>
            <w:pPr>
              <w:spacing w:after="0"/>
              <w:rPr>
                <w:sz w:val="5"/>
                <w:szCs w:val="5"/>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the basis of product and service offerings, technical capabilities</w:t>
            </w:r>
          </w:p>
        </w:tc>
        <w:tc>
          <w:tcPr>
            <w:tcW w:w="0" w:type="dxa"/>
            <w:vAlign w:val="bottom"/>
          </w:tcPr>
          <w:p>
            <w:pPr>
              <w:spacing w:after="0"/>
              <w:rPr>
                <w:sz w:val="1"/>
                <w:szCs w:val="1"/>
                <w:color w:val="auto"/>
              </w:rPr>
            </w:pPr>
          </w:p>
        </w:tc>
      </w:tr>
      <w:tr>
        <w:trPr>
          <w:trHeight w:val="81"/>
        </w:trPr>
        <w:tc>
          <w:tcPr>
            <w:tcW w:w="2460" w:type="dxa"/>
            <w:vAlign w:val="bottom"/>
            <w:gridSpan w:val="3"/>
            <w:vMerge w:val="restart"/>
          </w:tcPr>
          <w:p>
            <w:pPr>
              <w:spacing w:after="0"/>
              <w:rPr>
                <w:sz w:val="20"/>
                <w:szCs w:val="20"/>
                <w:color w:val="auto"/>
              </w:rPr>
            </w:pPr>
            <w:r>
              <w:rPr>
                <w:rFonts w:ascii="Times New Roman" w:cs="Times New Roman" w:eastAsia="Times New Roman" w:hAnsi="Times New Roman"/>
                <w:sz w:val="11"/>
                <w:szCs w:val="11"/>
                <w:color w:val="auto"/>
              </w:rPr>
              <w:t>agreements or practices. We also face a risk that such</w:t>
            </w:r>
          </w:p>
        </w:tc>
        <w:tc>
          <w:tcPr>
            <w:tcW w:w="580" w:type="dxa"/>
            <w:vAlign w:val="bottom"/>
          </w:tcPr>
          <w:p>
            <w:pPr>
              <w:spacing w:after="0"/>
              <w:rPr>
                <w:sz w:val="7"/>
                <w:szCs w:val="7"/>
                <w:color w:val="auto"/>
              </w:rPr>
            </w:pP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2460" w:type="dxa"/>
            <w:vAlign w:val="bottom"/>
            <w:gridSpan w:val="3"/>
            <w:vMerge w:val="continue"/>
          </w:tcPr>
          <w:p>
            <w:pPr>
              <w:spacing w:after="0"/>
              <w:rPr>
                <w:sz w:val="4"/>
                <w:szCs w:val="4"/>
                <w:color w:val="auto"/>
              </w:rPr>
            </w:pPr>
          </w:p>
        </w:tc>
        <w:tc>
          <w:tcPr>
            <w:tcW w:w="580" w:type="dxa"/>
            <w:vAlign w:val="bottom"/>
          </w:tcPr>
          <w:p>
            <w:pPr>
              <w:spacing w:after="0"/>
              <w:rPr>
                <w:sz w:val="4"/>
                <w:szCs w:val="4"/>
                <w:color w:val="auto"/>
              </w:rPr>
            </w:pPr>
          </w:p>
        </w:tc>
        <w:tc>
          <w:tcPr>
            <w:tcW w:w="240" w:type="dxa"/>
            <w:vAlign w:val="bottom"/>
          </w:tcPr>
          <w:p>
            <w:pPr>
              <w:spacing w:after="0"/>
              <w:rPr>
                <w:sz w:val="4"/>
                <w:szCs w:val="4"/>
                <w:color w:val="auto"/>
              </w:rPr>
            </w:pPr>
          </w:p>
        </w:tc>
        <w:tc>
          <w:tcPr>
            <w:tcW w:w="2540" w:type="dxa"/>
            <w:vAlign w:val="bottom"/>
            <w:vMerge w:val="restart"/>
          </w:tcPr>
          <w:p>
            <w:pPr>
              <w:ind w:left="120"/>
              <w:spacing w:after="0"/>
              <w:rPr>
                <w:sz w:val="20"/>
                <w:szCs w:val="20"/>
                <w:color w:val="auto"/>
              </w:rPr>
            </w:pPr>
            <w:r>
              <w:rPr>
                <w:rFonts w:ascii="Times New Roman" w:cs="Times New Roman" w:eastAsia="Times New Roman" w:hAnsi="Times New Roman"/>
                <w:sz w:val="11"/>
                <w:szCs w:val="11"/>
                <w:color w:val="auto"/>
              </w:rPr>
              <w:t>and quality in addition to price and affordability.</w:t>
            </w:r>
          </w:p>
        </w:tc>
        <w:tc>
          <w:tcPr>
            <w:tcW w:w="7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98"/>
        </w:trPr>
        <w:tc>
          <w:tcPr>
            <w:tcW w:w="2460" w:type="dxa"/>
            <w:vAlign w:val="bottom"/>
            <w:gridSpan w:val="3"/>
            <w:vMerge w:val="restart"/>
          </w:tcPr>
          <w:p>
            <w:pPr>
              <w:spacing w:after="0"/>
              <w:rPr>
                <w:sz w:val="20"/>
                <w:szCs w:val="20"/>
                <w:color w:val="auto"/>
              </w:rPr>
            </w:pPr>
            <w:r>
              <w:rPr>
                <w:rFonts w:ascii="Times New Roman" w:cs="Times New Roman" w:eastAsia="Times New Roman" w:hAnsi="Times New Roman"/>
                <w:sz w:val="11"/>
                <w:szCs w:val="11"/>
                <w:color w:val="auto"/>
              </w:rPr>
              <w:t>commercial guarantees/bonds may be unfairly called.</w:t>
            </w:r>
          </w:p>
        </w:tc>
        <w:tc>
          <w:tcPr>
            <w:tcW w:w="580" w:type="dxa"/>
            <w:vAlign w:val="bottom"/>
          </w:tcPr>
          <w:p>
            <w:pPr>
              <w:spacing w:after="0"/>
              <w:rPr>
                <w:sz w:val="8"/>
                <w:szCs w:val="8"/>
                <w:color w:val="auto"/>
              </w:rPr>
            </w:pPr>
          </w:p>
        </w:tc>
        <w:tc>
          <w:tcPr>
            <w:tcW w:w="240" w:type="dxa"/>
            <w:vAlign w:val="bottom"/>
          </w:tcPr>
          <w:p>
            <w:pPr>
              <w:spacing w:after="0"/>
              <w:rPr>
                <w:sz w:val="8"/>
                <w:szCs w:val="8"/>
                <w:color w:val="auto"/>
              </w:rPr>
            </w:pPr>
          </w:p>
        </w:tc>
        <w:tc>
          <w:tcPr>
            <w:tcW w:w="2540" w:type="dxa"/>
            <w:vAlign w:val="bottom"/>
            <w:vMerge w:val="continue"/>
          </w:tcPr>
          <w:p>
            <w:pPr>
              <w:spacing w:after="0"/>
              <w:rPr>
                <w:sz w:val="8"/>
                <w:szCs w:val="8"/>
                <w:color w:val="auto"/>
              </w:rPr>
            </w:pPr>
          </w:p>
        </w:tc>
        <w:tc>
          <w:tcPr>
            <w:tcW w:w="74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51"/>
        </w:trPr>
        <w:tc>
          <w:tcPr>
            <w:tcW w:w="2460" w:type="dxa"/>
            <w:vAlign w:val="bottom"/>
            <w:gridSpan w:val="3"/>
            <w:vMerge w:val="continue"/>
          </w:tcPr>
          <w:p>
            <w:pPr>
              <w:spacing w:after="0"/>
              <w:rPr>
                <w:sz w:val="4"/>
                <w:szCs w:val="4"/>
                <w:color w:val="auto"/>
              </w:rPr>
            </w:pPr>
          </w:p>
        </w:tc>
        <w:tc>
          <w:tcPr>
            <w:tcW w:w="580" w:type="dxa"/>
            <w:vAlign w:val="bottom"/>
          </w:tcPr>
          <w:p>
            <w:pPr>
              <w:spacing w:after="0"/>
              <w:rPr>
                <w:sz w:val="4"/>
                <w:szCs w:val="4"/>
                <w:color w:val="auto"/>
              </w:rPr>
            </w:pPr>
          </w:p>
        </w:tc>
        <w:tc>
          <w:tcPr>
            <w:tcW w:w="240" w:type="dxa"/>
            <w:vAlign w:val="bottom"/>
          </w:tcPr>
          <w:p>
            <w:pPr>
              <w:spacing w:after="0"/>
              <w:rPr>
                <w:sz w:val="4"/>
                <w:szCs w:val="4"/>
                <w:color w:val="auto"/>
              </w:rPr>
            </w:pPr>
          </w:p>
        </w:tc>
        <w:tc>
          <w:tcPr>
            <w:tcW w:w="2540" w:type="dxa"/>
            <w:vAlign w:val="bottom"/>
          </w:tcPr>
          <w:p>
            <w:pPr>
              <w:spacing w:after="0"/>
              <w:rPr>
                <w:sz w:val="4"/>
                <w:szCs w:val="4"/>
                <w:color w:val="auto"/>
              </w:rPr>
            </w:pPr>
          </w:p>
        </w:tc>
        <w:tc>
          <w:tcPr>
            <w:tcW w:w="7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55"/>
        </w:trPr>
        <w:tc>
          <w:tcPr>
            <w:tcW w:w="2040" w:type="dxa"/>
            <w:vAlign w:val="bottom"/>
            <w:gridSpan w:val="2"/>
            <w:vMerge w:val="restart"/>
          </w:tcPr>
          <w:p>
            <w:pPr>
              <w:spacing w:after="0"/>
              <w:rPr>
                <w:sz w:val="20"/>
                <w:szCs w:val="20"/>
                <w:color w:val="auto"/>
              </w:rPr>
            </w:pPr>
            <w:r>
              <w:rPr>
                <w:rFonts w:ascii="Times New Roman" w:cs="Times New Roman" w:eastAsia="Times New Roman" w:hAnsi="Times New Roman"/>
                <w:sz w:val="13"/>
                <w:szCs w:val="13"/>
                <w:color w:val="auto"/>
              </w:rPr>
              <w:t>Risks impacting our competitiveness</w:t>
            </w:r>
          </w:p>
        </w:tc>
        <w:tc>
          <w:tcPr>
            <w:tcW w:w="42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240" w:type="dxa"/>
            <w:vAlign w:val="bottom"/>
          </w:tcPr>
          <w:p>
            <w:pPr>
              <w:spacing w:after="0"/>
              <w:rPr>
                <w:sz w:val="13"/>
                <w:szCs w:val="13"/>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The R&amp;D of new, innovative and technologically advanced</w:t>
            </w:r>
          </w:p>
        </w:tc>
        <w:tc>
          <w:tcPr>
            <w:tcW w:w="0" w:type="dxa"/>
            <w:vAlign w:val="bottom"/>
          </w:tcPr>
          <w:p>
            <w:pPr>
              <w:spacing w:after="0"/>
              <w:rPr>
                <w:sz w:val="1"/>
                <w:szCs w:val="1"/>
                <w:color w:val="auto"/>
              </w:rPr>
            </w:pPr>
          </w:p>
        </w:tc>
      </w:tr>
      <w:tr>
        <w:trPr>
          <w:trHeight w:val="93"/>
        </w:trPr>
        <w:tc>
          <w:tcPr>
            <w:tcW w:w="2040" w:type="dxa"/>
            <w:vAlign w:val="bottom"/>
            <w:gridSpan w:val="2"/>
            <w:vMerge w:val="continue"/>
          </w:tcPr>
          <w:p>
            <w:pPr>
              <w:spacing w:after="0"/>
              <w:rPr>
                <w:sz w:val="8"/>
                <w:szCs w:val="8"/>
                <w:color w:val="auto"/>
              </w:rPr>
            </w:pPr>
          </w:p>
        </w:tc>
        <w:tc>
          <w:tcPr>
            <w:tcW w:w="420" w:type="dxa"/>
            <w:vAlign w:val="bottom"/>
          </w:tcPr>
          <w:p>
            <w:pPr>
              <w:spacing w:after="0"/>
              <w:rPr>
                <w:sz w:val="8"/>
                <w:szCs w:val="8"/>
                <w:color w:val="auto"/>
              </w:rPr>
            </w:pPr>
          </w:p>
        </w:tc>
        <w:tc>
          <w:tcPr>
            <w:tcW w:w="580" w:type="dxa"/>
            <w:vAlign w:val="bottom"/>
          </w:tcPr>
          <w:p>
            <w:pPr>
              <w:spacing w:after="0"/>
              <w:rPr>
                <w:sz w:val="8"/>
                <w:szCs w:val="8"/>
                <w:color w:val="auto"/>
              </w:rPr>
            </w:pPr>
          </w:p>
        </w:tc>
        <w:tc>
          <w:tcPr>
            <w:tcW w:w="240" w:type="dxa"/>
            <w:vAlign w:val="bottom"/>
          </w:tcPr>
          <w:p>
            <w:pPr>
              <w:spacing w:after="0"/>
              <w:rPr>
                <w:sz w:val="8"/>
                <w:szCs w:val="8"/>
                <w:color w:val="auto"/>
              </w:rPr>
            </w:pPr>
          </w:p>
        </w:tc>
        <w:tc>
          <w:tcPr>
            <w:tcW w:w="2540" w:type="dxa"/>
            <w:vAlign w:val="bottom"/>
            <w:vMerge w:val="restart"/>
          </w:tcPr>
          <w:p>
            <w:pPr>
              <w:ind w:left="120"/>
              <w:spacing w:after="0"/>
              <w:rPr>
                <w:sz w:val="20"/>
                <w:szCs w:val="20"/>
                <w:color w:val="auto"/>
              </w:rPr>
            </w:pPr>
            <w:r>
              <w:rPr>
                <w:rFonts w:ascii="Times New Roman" w:cs="Times New Roman" w:eastAsia="Times New Roman" w:hAnsi="Times New Roman"/>
                <w:sz w:val="11"/>
                <w:szCs w:val="11"/>
                <w:color w:val="auto"/>
              </w:rPr>
              <w:t>products, such as 5G-Advanced, Open RAN, 6G,</w:t>
            </w:r>
          </w:p>
        </w:tc>
        <w:tc>
          <w:tcPr>
            <w:tcW w:w="740" w:type="dxa"/>
            <w:vAlign w:val="bottom"/>
            <w:vMerge w:val="restart"/>
          </w:tcPr>
          <w:p>
            <w:pPr>
              <w:jc w:val="right"/>
              <w:ind w:right="21"/>
              <w:spacing w:after="0"/>
              <w:rPr>
                <w:sz w:val="20"/>
                <w:szCs w:val="20"/>
                <w:color w:val="auto"/>
              </w:rPr>
            </w:pPr>
            <w:r>
              <w:rPr>
                <w:rFonts w:ascii="Times New Roman" w:cs="Times New Roman" w:eastAsia="Times New Roman" w:hAnsi="Times New Roman"/>
                <w:sz w:val="11"/>
                <w:szCs w:val="11"/>
                <w:color w:val="auto"/>
              </w:rPr>
              <w:t>IoT, the cloud</w:t>
            </w:r>
          </w:p>
        </w:tc>
        <w:tc>
          <w:tcPr>
            <w:tcW w:w="0" w:type="dxa"/>
            <w:vAlign w:val="bottom"/>
          </w:tcPr>
          <w:p>
            <w:pPr>
              <w:spacing w:after="0"/>
              <w:rPr>
                <w:sz w:val="1"/>
                <w:szCs w:val="1"/>
                <w:color w:val="auto"/>
              </w:rPr>
            </w:pPr>
          </w:p>
        </w:tc>
      </w:tr>
      <w:tr>
        <w:trPr>
          <w:trHeight w:val="38"/>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b w:val="1"/>
                <w:bCs w:val="1"/>
                <w:color w:val="auto"/>
              </w:rPr>
              <w:t>We may fail to invest effectively and profitably in new</w:t>
            </w:r>
          </w:p>
        </w:tc>
        <w:tc>
          <w:tcPr>
            <w:tcW w:w="240" w:type="dxa"/>
            <w:vAlign w:val="bottom"/>
          </w:tcPr>
          <w:p>
            <w:pPr>
              <w:spacing w:after="0"/>
              <w:rPr>
                <w:sz w:val="3"/>
                <w:szCs w:val="3"/>
                <w:color w:val="auto"/>
              </w:rPr>
            </w:pPr>
          </w:p>
        </w:tc>
        <w:tc>
          <w:tcPr>
            <w:tcW w:w="2540" w:type="dxa"/>
            <w:vAlign w:val="bottom"/>
            <w:vMerge w:val="continue"/>
          </w:tcPr>
          <w:p>
            <w:pPr>
              <w:spacing w:after="0"/>
              <w:rPr>
                <w:sz w:val="3"/>
                <w:szCs w:val="3"/>
                <w:color w:val="auto"/>
              </w:rPr>
            </w:pPr>
          </w:p>
        </w:tc>
        <w:tc>
          <w:tcPr>
            <w:tcW w:w="740" w:type="dxa"/>
            <w:vAlign w:val="bottom"/>
            <w:vMerge w:val="continue"/>
          </w:tcPr>
          <w:p>
            <w:pPr>
              <w:spacing w:after="0"/>
              <w:rPr>
                <w:sz w:val="3"/>
                <w:szCs w:val="3"/>
                <w:color w:val="auto"/>
              </w:rPr>
            </w:pPr>
          </w:p>
        </w:tc>
        <w:tc>
          <w:tcPr>
            <w:tcW w:w="0" w:type="dxa"/>
            <w:vAlign w:val="bottom"/>
          </w:tcPr>
          <w:p>
            <w:pPr>
              <w:spacing w:after="0" w:line="20" w:lineRule="exact"/>
              <w:rPr>
                <w:sz w:val="1"/>
                <w:szCs w:val="1"/>
                <w:color w:val="auto"/>
              </w:rPr>
            </w:pPr>
          </w:p>
        </w:tc>
      </w:tr>
      <w:tr>
        <w:trPr>
          <w:trHeight w:val="114"/>
        </w:trPr>
        <w:tc>
          <w:tcPr>
            <w:tcW w:w="3040" w:type="dxa"/>
            <w:vAlign w:val="bottom"/>
            <w:gridSpan w:val="4"/>
            <w:vMerge w:val="continue"/>
          </w:tcPr>
          <w:p>
            <w:pPr>
              <w:spacing w:after="0"/>
              <w:rPr>
                <w:sz w:val="9"/>
                <w:szCs w:val="9"/>
                <w:color w:val="auto"/>
              </w:rPr>
            </w:pPr>
          </w:p>
        </w:tc>
        <w:tc>
          <w:tcPr>
            <w:tcW w:w="240" w:type="dxa"/>
            <w:vAlign w:val="bottom"/>
          </w:tcPr>
          <w:p>
            <w:pPr>
              <w:spacing w:after="0"/>
              <w:rPr>
                <w:sz w:val="9"/>
                <w:szCs w:val="9"/>
                <w:color w:val="auto"/>
              </w:rPr>
            </w:pPr>
          </w:p>
        </w:tc>
        <w:tc>
          <w:tcPr>
            <w:tcW w:w="3280" w:type="dxa"/>
            <w:vAlign w:val="bottom"/>
            <w:gridSpan w:val="2"/>
          </w:tcPr>
          <w:p>
            <w:pPr>
              <w:ind w:left="120"/>
              <w:spacing w:after="0" w:line="114" w:lineRule="exact"/>
              <w:rPr>
                <w:sz w:val="20"/>
                <w:szCs w:val="20"/>
                <w:color w:val="auto"/>
              </w:rPr>
            </w:pPr>
            <w:r>
              <w:rPr>
                <w:rFonts w:ascii="Times New Roman" w:cs="Times New Roman" w:eastAsia="Times New Roman" w:hAnsi="Times New Roman"/>
                <w:sz w:val="11"/>
                <w:szCs w:val="11"/>
                <w:color w:val="auto"/>
              </w:rPr>
              <w:t>and software as well as upgrades to current products and new</w:t>
            </w:r>
          </w:p>
        </w:tc>
        <w:tc>
          <w:tcPr>
            <w:tcW w:w="0" w:type="dxa"/>
            <w:vAlign w:val="bottom"/>
          </w:tcPr>
          <w:p>
            <w:pPr>
              <w:spacing w:after="0"/>
              <w:rPr>
                <w:sz w:val="1"/>
                <w:szCs w:val="1"/>
                <w:color w:val="auto"/>
              </w:rPr>
            </w:pPr>
          </w:p>
        </w:tc>
      </w:tr>
      <w:tr>
        <w:trPr>
          <w:trHeight w:val="127"/>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b w:val="1"/>
                <w:bCs w:val="1"/>
                <w:color w:val="auto"/>
              </w:rPr>
              <w:t>competitive high-quality products, services, upgrades and</w:t>
            </w:r>
          </w:p>
        </w:tc>
        <w:tc>
          <w:tcPr>
            <w:tcW w:w="240" w:type="dxa"/>
            <w:vAlign w:val="bottom"/>
          </w:tcPr>
          <w:p>
            <w:pPr>
              <w:spacing w:after="0"/>
              <w:rPr>
                <w:sz w:val="11"/>
                <w:szCs w:val="11"/>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generations of technologies, is a complex and an uncertain</w:t>
            </w:r>
          </w:p>
        </w:tc>
        <w:tc>
          <w:tcPr>
            <w:tcW w:w="0" w:type="dxa"/>
            <w:vAlign w:val="bottom"/>
          </w:tcPr>
          <w:p>
            <w:pPr>
              <w:spacing w:after="0"/>
              <w:rPr>
                <w:sz w:val="1"/>
                <w:szCs w:val="1"/>
                <w:color w:val="auto"/>
              </w:rPr>
            </w:pPr>
          </w:p>
        </w:tc>
      </w:tr>
      <w:tr>
        <w:trPr>
          <w:trHeight w:val="42"/>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b w:val="1"/>
                <w:bCs w:val="1"/>
                <w:color w:val="auto"/>
              </w:rPr>
              <w:t>technologies or bring them to the market in a timely manner.</w:t>
            </w:r>
          </w:p>
        </w:tc>
        <w:tc>
          <w:tcPr>
            <w:tcW w:w="240" w:type="dxa"/>
            <w:vAlign w:val="bottom"/>
          </w:tcPr>
          <w:p>
            <w:pPr>
              <w:spacing w:after="0"/>
              <w:rPr>
                <w:sz w:val="3"/>
                <w:szCs w:val="3"/>
                <w:color w:val="auto"/>
              </w:rPr>
            </w:pPr>
          </w:p>
        </w:tc>
        <w:tc>
          <w:tcPr>
            <w:tcW w:w="3280" w:type="dxa"/>
            <w:vAlign w:val="bottom"/>
            <w:gridSpan w:val="2"/>
            <w:vMerge w:val="continue"/>
          </w:tcPr>
          <w:p>
            <w:pPr>
              <w:spacing w:after="0"/>
              <w:rPr>
                <w:sz w:val="3"/>
                <w:szCs w:val="3"/>
                <w:color w:val="auto"/>
              </w:rPr>
            </w:pPr>
          </w:p>
        </w:tc>
        <w:tc>
          <w:tcPr>
            <w:tcW w:w="0" w:type="dxa"/>
            <w:vAlign w:val="bottom"/>
          </w:tcPr>
          <w:p>
            <w:pPr>
              <w:spacing w:after="0"/>
              <w:rPr>
                <w:sz w:val="1"/>
                <w:szCs w:val="1"/>
                <w:color w:val="auto"/>
              </w:rPr>
            </w:pPr>
          </w:p>
        </w:tc>
      </w:tr>
      <w:tr>
        <w:trPr>
          <w:trHeight w:val="99"/>
        </w:trPr>
        <w:tc>
          <w:tcPr>
            <w:tcW w:w="3040" w:type="dxa"/>
            <w:vAlign w:val="bottom"/>
            <w:gridSpan w:val="4"/>
            <w:vMerge w:val="continue"/>
          </w:tcPr>
          <w:p>
            <w:pPr>
              <w:spacing w:after="0"/>
              <w:rPr>
                <w:sz w:val="8"/>
                <w:szCs w:val="8"/>
                <w:color w:val="auto"/>
              </w:rPr>
            </w:pPr>
          </w:p>
        </w:tc>
        <w:tc>
          <w:tcPr>
            <w:tcW w:w="240" w:type="dxa"/>
            <w:vAlign w:val="bottom"/>
          </w:tcPr>
          <w:p>
            <w:pPr>
              <w:spacing w:after="0"/>
              <w:rPr>
                <w:sz w:val="8"/>
                <w:szCs w:val="8"/>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process requiring high levels of innovation and investment,</w:t>
            </w:r>
          </w:p>
        </w:tc>
        <w:tc>
          <w:tcPr>
            <w:tcW w:w="0" w:type="dxa"/>
            <w:vAlign w:val="bottom"/>
          </w:tcPr>
          <w:p>
            <w:pPr>
              <w:spacing w:after="0"/>
              <w:rPr>
                <w:sz w:val="1"/>
                <w:szCs w:val="1"/>
                <w:color w:val="auto"/>
              </w:rPr>
            </w:pPr>
          </w:p>
        </w:tc>
      </w:tr>
      <w:tr>
        <w:trPr>
          <w:trHeight w:val="32"/>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b w:val="1"/>
                <w:bCs w:val="1"/>
                <w:color w:val="auto"/>
              </w:rPr>
              <w:t>We also may fail to adapt to changing business models.</w:t>
            </w:r>
          </w:p>
        </w:tc>
        <w:tc>
          <w:tcPr>
            <w:tcW w:w="240" w:type="dxa"/>
            <w:vAlign w:val="bottom"/>
          </w:tcPr>
          <w:p>
            <w:pPr>
              <w:spacing w:after="0"/>
              <w:rPr>
                <w:sz w:val="2"/>
                <w:szCs w:val="2"/>
                <w:color w:val="auto"/>
              </w:rPr>
            </w:pPr>
          </w:p>
        </w:tc>
        <w:tc>
          <w:tcPr>
            <w:tcW w:w="3280" w:type="dxa"/>
            <w:vAlign w:val="bottom"/>
            <w:gridSpan w:val="2"/>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14"/>
        </w:trPr>
        <w:tc>
          <w:tcPr>
            <w:tcW w:w="3040" w:type="dxa"/>
            <w:vAlign w:val="bottom"/>
            <w:gridSpan w:val="4"/>
            <w:vMerge w:val="continue"/>
          </w:tcPr>
          <w:p>
            <w:pPr>
              <w:spacing w:after="0"/>
              <w:rPr>
                <w:sz w:val="9"/>
                <w:szCs w:val="9"/>
                <w:color w:val="auto"/>
              </w:rPr>
            </w:pPr>
          </w:p>
        </w:tc>
        <w:tc>
          <w:tcPr>
            <w:tcW w:w="240" w:type="dxa"/>
            <w:vAlign w:val="bottom"/>
          </w:tcPr>
          <w:p>
            <w:pPr>
              <w:spacing w:after="0"/>
              <w:rPr>
                <w:sz w:val="9"/>
                <w:szCs w:val="9"/>
                <w:color w:val="auto"/>
              </w:rPr>
            </w:pPr>
          </w:p>
        </w:tc>
        <w:tc>
          <w:tcPr>
            <w:tcW w:w="3280" w:type="dxa"/>
            <w:vAlign w:val="bottom"/>
            <w:gridSpan w:val="2"/>
          </w:tcPr>
          <w:p>
            <w:pPr>
              <w:ind w:left="120"/>
              <w:spacing w:after="0" w:line="114" w:lineRule="exact"/>
              <w:rPr>
                <w:sz w:val="20"/>
                <w:szCs w:val="20"/>
                <w:color w:val="auto"/>
              </w:rPr>
            </w:pPr>
            <w:r>
              <w:rPr>
                <w:rFonts w:ascii="Times New Roman" w:cs="Times New Roman" w:eastAsia="Times New Roman" w:hAnsi="Times New Roman"/>
                <w:sz w:val="11"/>
                <w:szCs w:val="11"/>
                <w:color w:val="auto"/>
              </w:rPr>
              <w:t>including trying to accurately anticipate technological,</w:t>
            </w:r>
          </w:p>
        </w:tc>
        <w:tc>
          <w:tcPr>
            <w:tcW w:w="0" w:type="dxa"/>
            <w:vAlign w:val="bottom"/>
          </w:tcPr>
          <w:p>
            <w:pPr>
              <w:spacing w:after="0"/>
              <w:rPr>
                <w:sz w:val="1"/>
                <w:szCs w:val="1"/>
                <w:color w:val="auto"/>
              </w:rPr>
            </w:pPr>
          </w:p>
        </w:tc>
      </w:tr>
      <w:tr>
        <w:trPr>
          <w:trHeight w:val="129"/>
        </w:trPr>
        <w:tc>
          <w:tcPr>
            <w:tcW w:w="30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Our business performance and results of operations will</w:t>
            </w:r>
          </w:p>
        </w:tc>
        <w:tc>
          <w:tcPr>
            <w:tcW w:w="240" w:type="dxa"/>
            <w:vAlign w:val="bottom"/>
          </w:tcPr>
          <w:p>
            <w:pPr>
              <w:spacing w:after="0"/>
              <w:rPr>
                <w:sz w:val="11"/>
                <w:szCs w:val="11"/>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regulatory and market trends. We may focus our resources</w:t>
            </w:r>
          </w:p>
        </w:tc>
        <w:tc>
          <w:tcPr>
            <w:tcW w:w="0" w:type="dxa"/>
            <w:vAlign w:val="bottom"/>
          </w:tcPr>
          <w:p>
            <w:pPr>
              <w:spacing w:after="0"/>
              <w:rPr>
                <w:sz w:val="1"/>
                <w:szCs w:val="1"/>
                <w:color w:val="auto"/>
              </w:rPr>
            </w:pPr>
          </w:p>
        </w:tc>
      </w:tr>
      <w:tr>
        <w:trPr>
          <w:trHeight w:val="30"/>
        </w:trPr>
        <w:tc>
          <w:tcPr>
            <w:tcW w:w="304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depend to a significant extent on our ability to succeed in the</w:t>
            </w:r>
          </w:p>
        </w:tc>
        <w:tc>
          <w:tcPr>
            <w:tcW w:w="240" w:type="dxa"/>
            <w:vAlign w:val="bottom"/>
          </w:tcPr>
          <w:p>
            <w:pPr>
              <w:spacing w:after="0"/>
              <w:rPr>
                <w:sz w:val="2"/>
                <w:szCs w:val="2"/>
                <w:color w:val="auto"/>
              </w:rPr>
            </w:pPr>
          </w:p>
        </w:tc>
        <w:tc>
          <w:tcPr>
            <w:tcW w:w="3280" w:type="dxa"/>
            <w:vAlign w:val="bottom"/>
            <w:gridSpan w:val="2"/>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14"/>
        </w:trPr>
        <w:tc>
          <w:tcPr>
            <w:tcW w:w="3040" w:type="dxa"/>
            <w:vAlign w:val="bottom"/>
            <w:gridSpan w:val="4"/>
            <w:vMerge w:val="continue"/>
          </w:tcPr>
          <w:p>
            <w:pPr>
              <w:spacing w:after="0"/>
              <w:rPr>
                <w:sz w:val="9"/>
                <w:szCs w:val="9"/>
                <w:color w:val="auto"/>
              </w:rPr>
            </w:pPr>
          </w:p>
        </w:tc>
        <w:tc>
          <w:tcPr>
            <w:tcW w:w="240" w:type="dxa"/>
            <w:vAlign w:val="bottom"/>
          </w:tcPr>
          <w:p>
            <w:pPr>
              <w:spacing w:after="0"/>
              <w:rPr>
                <w:sz w:val="9"/>
                <w:szCs w:val="9"/>
                <w:color w:val="auto"/>
              </w:rPr>
            </w:pPr>
          </w:p>
        </w:tc>
        <w:tc>
          <w:tcPr>
            <w:tcW w:w="3280" w:type="dxa"/>
            <w:vAlign w:val="bottom"/>
            <w:gridSpan w:val="2"/>
          </w:tcPr>
          <w:p>
            <w:pPr>
              <w:ind w:left="120"/>
              <w:spacing w:after="0" w:line="114" w:lineRule="exact"/>
              <w:rPr>
                <w:sz w:val="20"/>
                <w:szCs w:val="20"/>
                <w:color w:val="auto"/>
              </w:rPr>
            </w:pPr>
            <w:r>
              <w:rPr>
                <w:rFonts w:ascii="Times New Roman" w:cs="Times New Roman" w:eastAsia="Times New Roman" w:hAnsi="Times New Roman"/>
                <w:sz w:val="11"/>
                <w:szCs w:val="11"/>
                <w:color w:val="auto"/>
              </w:rPr>
              <w:t>on products and technologies that do not become widely</w:t>
            </w:r>
          </w:p>
        </w:tc>
        <w:tc>
          <w:tcPr>
            <w:tcW w:w="0" w:type="dxa"/>
            <w:vAlign w:val="bottom"/>
          </w:tcPr>
          <w:p>
            <w:pPr>
              <w:spacing w:after="0"/>
              <w:rPr>
                <w:sz w:val="1"/>
                <w:szCs w:val="1"/>
                <w:color w:val="auto"/>
              </w:rPr>
            </w:pPr>
          </w:p>
        </w:tc>
      </w:tr>
      <w:tr>
        <w:trPr>
          <w:trHeight w:val="142"/>
        </w:trPr>
        <w:tc>
          <w:tcPr>
            <w:tcW w:w="920" w:type="dxa"/>
            <w:vAlign w:val="bottom"/>
          </w:tcPr>
          <w:p>
            <w:pPr>
              <w:spacing w:after="0"/>
              <w:rPr>
                <w:sz w:val="20"/>
                <w:szCs w:val="20"/>
                <w:color w:val="auto"/>
              </w:rPr>
            </w:pPr>
            <w:r>
              <w:rPr>
                <w:rFonts w:ascii="Times New Roman" w:cs="Times New Roman" w:eastAsia="Times New Roman" w:hAnsi="Times New Roman"/>
                <w:sz w:val="11"/>
                <w:szCs w:val="11"/>
                <w:color w:val="auto"/>
              </w:rPr>
              <w:t>following areas:</w:t>
            </w:r>
          </w:p>
        </w:tc>
        <w:tc>
          <w:tcPr>
            <w:tcW w:w="112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580" w:type="dxa"/>
            <w:vAlign w:val="bottom"/>
          </w:tcPr>
          <w:p>
            <w:pPr>
              <w:spacing w:after="0"/>
              <w:rPr>
                <w:sz w:val="12"/>
                <w:szCs w:val="12"/>
                <w:color w:val="auto"/>
              </w:rPr>
            </w:pPr>
          </w:p>
        </w:tc>
        <w:tc>
          <w:tcPr>
            <w:tcW w:w="240" w:type="dxa"/>
            <w:vAlign w:val="bottom"/>
          </w:tcPr>
          <w:p>
            <w:pPr>
              <w:spacing w:after="0"/>
              <w:rPr>
                <w:sz w:val="12"/>
                <w:szCs w:val="12"/>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accepted or ultimately prove unviable. Additionally, many of</w:t>
            </w:r>
          </w:p>
        </w:tc>
        <w:tc>
          <w:tcPr>
            <w:tcW w:w="0" w:type="dxa"/>
            <w:vAlign w:val="bottom"/>
          </w:tcPr>
          <w:p>
            <w:pPr>
              <w:spacing w:after="0"/>
              <w:rPr>
                <w:sz w:val="1"/>
                <w:szCs w:val="1"/>
                <w:color w:val="auto"/>
              </w:rPr>
            </w:pPr>
          </w:p>
        </w:tc>
      </w:tr>
      <w:tr>
        <w:trPr>
          <w:trHeight w:val="27"/>
        </w:trPr>
        <w:tc>
          <w:tcPr>
            <w:tcW w:w="920" w:type="dxa"/>
            <w:vAlign w:val="bottom"/>
          </w:tcPr>
          <w:p>
            <w:pPr>
              <w:spacing w:after="0"/>
              <w:rPr>
                <w:sz w:val="2"/>
                <w:szCs w:val="2"/>
                <w:color w:val="auto"/>
              </w:rPr>
            </w:pPr>
          </w:p>
        </w:tc>
        <w:tc>
          <w:tcPr>
            <w:tcW w:w="1120" w:type="dxa"/>
            <w:vAlign w:val="bottom"/>
          </w:tcPr>
          <w:p>
            <w:pPr>
              <w:spacing w:after="0"/>
              <w:rPr>
                <w:sz w:val="2"/>
                <w:szCs w:val="2"/>
                <w:color w:val="auto"/>
              </w:rPr>
            </w:pPr>
          </w:p>
        </w:tc>
        <w:tc>
          <w:tcPr>
            <w:tcW w:w="420" w:type="dxa"/>
            <w:vAlign w:val="bottom"/>
          </w:tcPr>
          <w:p>
            <w:pPr>
              <w:spacing w:after="0"/>
              <w:rPr>
                <w:sz w:val="2"/>
                <w:szCs w:val="2"/>
                <w:color w:val="auto"/>
              </w:rPr>
            </w:pPr>
          </w:p>
        </w:tc>
        <w:tc>
          <w:tcPr>
            <w:tcW w:w="580" w:type="dxa"/>
            <w:vAlign w:val="bottom"/>
          </w:tcPr>
          <w:p>
            <w:pPr>
              <w:spacing w:after="0"/>
              <w:rPr>
                <w:sz w:val="2"/>
                <w:szCs w:val="2"/>
                <w:color w:val="auto"/>
              </w:rPr>
            </w:pPr>
          </w:p>
        </w:tc>
        <w:tc>
          <w:tcPr>
            <w:tcW w:w="240" w:type="dxa"/>
            <w:vAlign w:val="bottom"/>
          </w:tcPr>
          <w:p>
            <w:pPr>
              <w:spacing w:after="0"/>
              <w:rPr>
                <w:sz w:val="2"/>
                <w:szCs w:val="2"/>
                <w:color w:val="auto"/>
              </w:rPr>
            </w:pPr>
          </w:p>
        </w:tc>
        <w:tc>
          <w:tcPr>
            <w:tcW w:w="3280" w:type="dxa"/>
            <w:vAlign w:val="bottom"/>
            <w:gridSpan w:val="2"/>
            <w:vMerge w:val="continue"/>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31"/>
        </w:trPr>
        <w:tc>
          <w:tcPr>
            <w:tcW w:w="3040" w:type="dxa"/>
            <w:vAlign w:val="bottom"/>
            <w:gridSpan w:val="4"/>
            <w:vMerge w:val="restart"/>
          </w:tcPr>
          <w:p>
            <w:pPr>
              <w:ind w:left="2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maintaining and developing a competitive product portfolio</w:t>
            </w:r>
          </w:p>
        </w:tc>
        <w:tc>
          <w:tcPr>
            <w:tcW w:w="240" w:type="dxa"/>
            <w:vAlign w:val="bottom"/>
          </w:tcPr>
          <w:p>
            <w:pPr>
              <w:spacing w:after="0"/>
              <w:rPr>
                <w:sz w:val="11"/>
                <w:szCs w:val="11"/>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our current and planned products are highly complex and may</w:t>
            </w:r>
          </w:p>
        </w:tc>
        <w:tc>
          <w:tcPr>
            <w:tcW w:w="0" w:type="dxa"/>
            <w:vAlign w:val="bottom"/>
          </w:tcPr>
          <w:p>
            <w:pPr>
              <w:spacing w:after="0"/>
              <w:rPr>
                <w:sz w:val="1"/>
                <w:szCs w:val="1"/>
                <w:color w:val="auto"/>
              </w:rPr>
            </w:pPr>
          </w:p>
        </w:tc>
      </w:tr>
      <w:tr>
        <w:trPr>
          <w:trHeight w:val="51"/>
        </w:trPr>
        <w:tc>
          <w:tcPr>
            <w:tcW w:w="3040" w:type="dxa"/>
            <w:vAlign w:val="bottom"/>
            <w:gridSpan w:val="4"/>
            <w:vMerge w:val="continue"/>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contain defects or errors that are, for instance, detected only</w:t>
            </w:r>
          </w:p>
        </w:tc>
        <w:tc>
          <w:tcPr>
            <w:tcW w:w="0" w:type="dxa"/>
            <w:vAlign w:val="bottom"/>
          </w:tcPr>
          <w:p>
            <w:pPr>
              <w:spacing w:after="0"/>
              <w:rPr>
                <w:sz w:val="1"/>
                <w:szCs w:val="1"/>
                <w:color w:val="auto"/>
              </w:rPr>
            </w:pPr>
          </w:p>
        </w:tc>
      </w:tr>
      <w:tr>
        <w:trPr>
          <w:trHeight w:val="91"/>
        </w:trPr>
        <w:tc>
          <w:tcPr>
            <w:tcW w:w="3040" w:type="dxa"/>
            <w:vAlign w:val="bottom"/>
            <w:gridSpan w:val="4"/>
            <w:vMerge w:val="restart"/>
          </w:tcPr>
          <w:p>
            <w:pPr>
              <w:ind w:left="180"/>
              <w:spacing w:after="0"/>
              <w:rPr>
                <w:sz w:val="20"/>
                <w:szCs w:val="20"/>
                <w:color w:val="auto"/>
              </w:rPr>
            </w:pPr>
            <w:r>
              <w:rPr>
                <w:rFonts w:ascii="Times New Roman" w:cs="Times New Roman" w:eastAsia="Times New Roman" w:hAnsi="Times New Roman"/>
                <w:sz w:val="11"/>
                <w:szCs w:val="11"/>
                <w:color w:val="auto"/>
              </w:rPr>
              <w:t>and service capability that is attractive to our customers,</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040" w:type="dxa"/>
            <w:vAlign w:val="bottom"/>
            <w:gridSpan w:val="4"/>
            <w:vMerge w:val="continue"/>
          </w:tcPr>
          <w:p>
            <w:pPr>
              <w:spacing w:after="0"/>
              <w:rPr>
                <w:sz w:val="3"/>
                <w:szCs w:val="3"/>
                <w:color w:val="auto"/>
              </w:rPr>
            </w:pPr>
          </w:p>
        </w:tc>
        <w:tc>
          <w:tcPr>
            <w:tcW w:w="240" w:type="dxa"/>
            <w:vAlign w:val="bottom"/>
          </w:tcPr>
          <w:p>
            <w:pPr>
              <w:spacing w:after="0"/>
              <w:rPr>
                <w:sz w:val="3"/>
                <w:szCs w:val="3"/>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after deployment in telecommunications networks. Even if</w:t>
            </w:r>
          </w:p>
        </w:tc>
        <w:tc>
          <w:tcPr>
            <w:tcW w:w="0" w:type="dxa"/>
            <w:vAlign w:val="bottom"/>
          </w:tcPr>
          <w:p>
            <w:pPr>
              <w:spacing w:after="0"/>
              <w:rPr>
                <w:sz w:val="1"/>
                <w:szCs w:val="1"/>
                <w:color w:val="auto"/>
              </w:rPr>
            </w:pPr>
          </w:p>
        </w:tc>
      </w:tr>
      <w:tr>
        <w:trPr>
          <w:trHeight w:val="91"/>
        </w:trPr>
        <w:tc>
          <w:tcPr>
            <w:tcW w:w="3040" w:type="dxa"/>
            <w:vAlign w:val="bottom"/>
            <w:gridSpan w:val="4"/>
            <w:vMerge w:val="restart"/>
          </w:tcPr>
          <w:p>
            <w:pPr>
              <w:ind w:left="180"/>
              <w:spacing w:after="0"/>
              <w:rPr>
                <w:sz w:val="20"/>
                <w:szCs w:val="20"/>
                <w:color w:val="auto"/>
              </w:rPr>
            </w:pPr>
            <w:r>
              <w:rPr>
                <w:rFonts w:ascii="Times New Roman" w:cs="Times New Roman" w:eastAsia="Times New Roman" w:hAnsi="Times New Roman"/>
                <w:sz w:val="11"/>
                <w:szCs w:val="11"/>
                <w:color w:val="auto"/>
              </w:rPr>
              <w:t>for instance by keeping pace with technological advances</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40" w:type="dxa"/>
            <w:vAlign w:val="bottom"/>
            <w:gridSpan w:val="4"/>
            <w:vMerge w:val="continue"/>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we invest in new competitive products, services, upgrades</w:t>
            </w:r>
          </w:p>
        </w:tc>
        <w:tc>
          <w:tcPr>
            <w:tcW w:w="0" w:type="dxa"/>
            <w:vAlign w:val="bottom"/>
          </w:tcPr>
          <w:p>
            <w:pPr>
              <w:spacing w:after="0"/>
              <w:rPr>
                <w:sz w:val="1"/>
                <w:szCs w:val="1"/>
                <w:color w:val="auto"/>
              </w:rPr>
            </w:pPr>
          </w:p>
        </w:tc>
      </w:tr>
      <w:tr>
        <w:trPr>
          <w:trHeight w:val="91"/>
        </w:trPr>
        <w:tc>
          <w:tcPr>
            <w:tcW w:w="3040" w:type="dxa"/>
            <w:vAlign w:val="bottom"/>
            <w:gridSpan w:val="4"/>
            <w:vMerge w:val="restart"/>
          </w:tcPr>
          <w:p>
            <w:pPr>
              <w:ind w:left="180"/>
              <w:spacing w:after="0"/>
              <w:rPr>
                <w:sz w:val="20"/>
                <w:szCs w:val="20"/>
                <w:color w:val="auto"/>
              </w:rPr>
            </w:pPr>
            <w:r>
              <w:rPr>
                <w:rFonts w:ascii="Times New Roman" w:cs="Times New Roman" w:eastAsia="Times New Roman" w:hAnsi="Times New Roman"/>
                <w:sz w:val="11"/>
                <w:szCs w:val="11"/>
                <w:color w:val="auto"/>
              </w:rPr>
              <w:t>in our industry and pursuing technologies that become</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040" w:type="dxa"/>
            <w:vAlign w:val="bottom"/>
            <w:gridSpan w:val="4"/>
            <w:vMerge w:val="continue"/>
          </w:tcPr>
          <w:p>
            <w:pPr>
              <w:spacing w:after="0"/>
              <w:rPr>
                <w:sz w:val="3"/>
                <w:szCs w:val="3"/>
                <w:color w:val="auto"/>
              </w:rPr>
            </w:pPr>
          </w:p>
        </w:tc>
        <w:tc>
          <w:tcPr>
            <w:tcW w:w="240" w:type="dxa"/>
            <w:vAlign w:val="bottom"/>
          </w:tcPr>
          <w:p>
            <w:pPr>
              <w:spacing w:after="0"/>
              <w:rPr>
                <w:sz w:val="3"/>
                <w:szCs w:val="3"/>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or technologies and proactively manage the costs related to</w:t>
            </w:r>
          </w:p>
        </w:tc>
        <w:tc>
          <w:tcPr>
            <w:tcW w:w="0" w:type="dxa"/>
            <w:vAlign w:val="bottom"/>
          </w:tcPr>
          <w:p>
            <w:pPr>
              <w:spacing w:after="0"/>
              <w:rPr>
                <w:sz w:val="1"/>
                <w:szCs w:val="1"/>
                <w:color w:val="auto"/>
              </w:rPr>
            </w:pPr>
          </w:p>
        </w:tc>
      </w:tr>
      <w:tr>
        <w:trPr>
          <w:trHeight w:val="101"/>
        </w:trPr>
        <w:tc>
          <w:tcPr>
            <w:tcW w:w="2460" w:type="dxa"/>
            <w:vAlign w:val="bottom"/>
            <w:gridSpan w:val="3"/>
            <w:vMerge w:val="restart"/>
          </w:tcPr>
          <w:p>
            <w:pPr>
              <w:ind w:left="180"/>
              <w:spacing w:after="0"/>
              <w:rPr>
                <w:sz w:val="20"/>
                <w:szCs w:val="20"/>
                <w:color w:val="auto"/>
              </w:rPr>
            </w:pPr>
            <w:r>
              <w:rPr>
                <w:rFonts w:ascii="Times New Roman" w:cs="Times New Roman" w:eastAsia="Times New Roman" w:hAnsi="Times New Roman"/>
                <w:sz w:val="11"/>
                <w:szCs w:val="11"/>
                <w:color w:val="auto"/>
              </w:rPr>
              <w:t>commercially accepted and price competitive;</w:t>
            </w:r>
          </w:p>
        </w:tc>
        <w:tc>
          <w:tcPr>
            <w:tcW w:w="580" w:type="dxa"/>
            <w:vAlign w:val="bottom"/>
          </w:tcPr>
          <w:p>
            <w:pPr>
              <w:spacing w:after="0"/>
              <w:rPr>
                <w:sz w:val="8"/>
                <w:szCs w:val="8"/>
                <w:color w:val="auto"/>
              </w:rPr>
            </w:pPr>
          </w:p>
        </w:tc>
        <w:tc>
          <w:tcPr>
            <w:tcW w:w="240" w:type="dxa"/>
            <w:vAlign w:val="bottom"/>
          </w:tcPr>
          <w:p>
            <w:pPr>
              <w:spacing w:after="0"/>
              <w:rPr>
                <w:sz w:val="8"/>
                <w:szCs w:val="8"/>
                <w:color w:val="auto"/>
              </w:rPr>
            </w:pPr>
          </w:p>
        </w:tc>
        <w:tc>
          <w:tcPr>
            <w:tcW w:w="3280" w:type="dxa"/>
            <w:vAlign w:val="bottom"/>
            <w:gridSpan w:val="2"/>
            <w:vMerge w:val="continue"/>
          </w:tcPr>
          <w:p>
            <w:pPr>
              <w:spacing w:after="0"/>
              <w:rPr>
                <w:sz w:val="8"/>
                <w:szCs w:val="8"/>
                <w:color w:val="auto"/>
              </w:rPr>
            </w:pPr>
          </w:p>
        </w:tc>
        <w:tc>
          <w:tcPr>
            <w:tcW w:w="0" w:type="dxa"/>
            <w:vAlign w:val="bottom"/>
          </w:tcPr>
          <w:p>
            <w:pPr>
              <w:spacing w:after="0"/>
              <w:rPr>
                <w:sz w:val="1"/>
                <w:szCs w:val="1"/>
                <w:color w:val="auto"/>
              </w:rPr>
            </w:pPr>
          </w:p>
        </w:tc>
      </w:tr>
      <w:tr>
        <w:trPr>
          <w:trHeight w:val="47"/>
        </w:trPr>
        <w:tc>
          <w:tcPr>
            <w:tcW w:w="2460" w:type="dxa"/>
            <w:vAlign w:val="bottom"/>
            <w:gridSpan w:val="3"/>
            <w:vMerge w:val="continue"/>
          </w:tcPr>
          <w:p>
            <w:pPr>
              <w:spacing w:after="0"/>
              <w:rPr>
                <w:sz w:val="4"/>
                <w:szCs w:val="4"/>
                <w:color w:val="auto"/>
              </w:rPr>
            </w:pPr>
          </w:p>
        </w:tc>
        <w:tc>
          <w:tcPr>
            <w:tcW w:w="580" w:type="dxa"/>
            <w:vAlign w:val="bottom"/>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our p ortfolio of products and services, including component</w:t>
            </w:r>
          </w:p>
        </w:tc>
        <w:tc>
          <w:tcPr>
            <w:tcW w:w="0" w:type="dxa"/>
            <w:vAlign w:val="bottom"/>
          </w:tcPr>
          <w:p>
            <w:pPr>
              <w:spacing w:after="0"/>
              <w:rPr>
                <w:sz w:val="1"/>
                <w:szCs w:val="1"/>
                <w:color w:val="auto"/>
              </w:rPr>
            </w:pPr>
          </w:p>
        </w:tc>
      </w:tr>
      <w:tr>
        <w:trPr>
          <w:trHeight w:val="85"/>
        </w:trPr>
        <w:tc>
          <w:tcPr>
            <w:tcW w:w="3040" w:type="dxa"/>
            <w:vAlign w:val="bottom"/>
            <w:gridSpan w:val="4"/>
            <w:vMerge w:val="restart"/>
          </w:tcPr>
          <w:p>
            <w:pPr>
              <w:ind w:left="2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maintaining compliance with regulatory requirements and</w:t>
            </w:r>
          </w:p>
        </w:tc>
        <w:tc>
          <w:tcPr>
            <w:tcW w:w="240" w:type="dxa"/>
            <w:vAlign w:val="bottom"/>
          </w:tcPr>
          <w:p>
            <w:pPr>
              <w:spacing w:after="0"/>
              <w:rPr>
                <w:sz w:val="7"/>
                <w:szCs w:val="7"/>
                <w:color w:val="auto"/>
              </w:rPr>
            </w:pPr>
          </w:p>
        </w:tc>
        <w:tc>
          <w:tcPr>
            <w:tcW w:w="328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131"/>
        </w:trPr>
        <w:tc>
          <w:tcPr>
            <w:tcW w:w="3040" w:type="dxa"/>
            <w:vAlign w:val="bottom"/>
            <w:gridSpan w:val="4"/>
            <w:vMerge w:val="continue"/>
          </w:tcPr>
          <w:p>
            <w:pPr>
              <w:spacing w:after="0"/>
              <w:rPr>
                <w:sz w:val="11"/>
                <w:szCs w:val="11"/>
                <w:color w:val="auto"/>
              </w:rPr>
            </w:pPr>
          </w:p>
        </w:tc>
        <w:tc>
          <w:tcPr>
            <w:tcW w:w="240" w:type="dxa"/>
            <w:vAlign w:val="bottom"/>
          </w:tcPr>
          <w:p>
            <w:pPr>
              <w:spacing w:after="0"/>
              <w:rPr>
                <w:sz w:val="11"/>
                <w:szCs w:val="11"/>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sourcing, manufacturing, logistics and other operations,</w:t>
            </w:r>
          </w:p>
        </w:tc>
        <w:tc>
          <w:tcPr>
            <w:tcW w:w="0" w:type="dxa"/>
            <w:vAlign w:val="bottom"/>
          </w:tcPr>
          <w:p>
            <w:pPr>
              <w:spacing w:after="0"/>
              <w:rPr>
                <w:sz w:val="1"/>
                <w:szCs w:val="1"/>
                <w:color w:val="auto"/>
              </w:rPr>
            </w:pPr>
          </w:p>
        </w:tc>
      </w:tr>
      <w:tr>
        <w:trPr>
          <w:trHeight w:val="142"/>
        </w:trPr>
        <w:tc>
          <w:tcPr>
            <w:tcW w:w="9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standards;</w:t>
            </w:r>
          </w:p>
        </w:tc>
        <w:tc>
          <w:tcPr>
            <w:tcW w:w="112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580" w:type="dxa"/>
            <w:vAlign w:val="bottom"/>
          </w:tcPr>
          <w:p>
            <w:pPr>
              <w:spacing w:after="0"/>
              <w:rPr>
                <w:sz w:val="12"/>
                <w:szCs w:val="12"/>
                <w:color w:val="auto"/>
              </w:rPr>
            </w:pPr>
          </w:p>
        </w:tc>
        <w:tc>
          <w:tcPr>
            <w:tcW w:w="240" w:type="dxa"/>
            <w:vAlign w:val="bottom"/>
          </w:tcPr>
          <w:p>
            <w:pPr>
              <w:spacing w:after="0"/>
              <w:rPr>
                <w:sz w:val="12"/>
                <w:szCs w:val="12"/>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we may still fail to maintain or improve our market position,</w:t>
            </w:r>
          </w:p>
        </w:tc>
        <w:tc>
          <w:tcPr>
            <w:tcW w:w="0" w:type="dxa"/>
            <w:vAlign w:val="bottom"/>
          </w:tcPr>
          <w:p>
            <w:pPr>
              <w:spacing w:after="0"/>
              <w:rPr>
                <w:sz w:val="1"/>
                <w:szCs w:val="1"/>
                <w:color w:val="auto"/>
              </w:rPr>
            </w:pPr>
          </w:p>
        </w:tc>
      </w:tr>
      <w:tr>
        <w:trPr>
          <w:trHeight w:val="142"/>
        </w:trPr>
        <w:tc>
          <w:tcPr>
            <w:tcW w:w="3040" w:type="dxa"/>
            <w:vAlign w:val="bottom"/>
            <w:gridSpan w:val="4"/>
            <w:vMerge w:val="restart"/>
          </w:tcPr>
          <w:p>
            <w:pPr>
              <w:ind w:left="2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introducing new products, services and upgrades of current</w:t>
            </w:r>
          </w:p>
        </w:tc>
        <w:tc>
          <w:tcPr>
            <w:tcW w:w="240" w:type="dxa"/>
            <w:vAlign w:val="bottom"/>
          </w:tcPr>
          <w:p>
            <w:pPr>
              <w:spacing w:after="0"/>
              <w:rPr>
                <w:sz w:val="12"/>
                <w:szCs w:val="12"/>
                <w:color w:val="auto"/>
              </w:rPr>
            </w:pPr>
          </w:p>
        </w:tc>
        <w:tc>
          <w:tcPr>
            <w:tcW w:w="2540" w:type="dxa"/>
            <w:vAlign w:val="bottom"/>
          </w:tcPr>
          <w:p>
            <w:pPr>
              <w:ind w:left="120"/>
              <w:spacing w:after="0"/>
              <w:rPr>
                <w:sz w:val="20"/>
                <w:szCs w:val="20"/>
                <w:color w:val="auto"/>
              </w:rPr>
            </w:pPr>
            <w:r>
              <w:rPr>
                <w:rFonts w:ascii="Times New Roman" w:cs="Times New Roman" w:eastAsia="Times New Roman" w:hAnsi="Times New Roman"/>
                <w:sz w:val="11"/>
                <w:szCs w:val="11"/>
                <w:color w:val="auto"/>
              </w:rPr>
              <w:t>competitiveness or scale and keep prices and costs at</w:t>
            </w:r>
          </w:p>
        </w:tc>
        <w:tc>
          <w:tcPr>
            <w:tcW w:w="7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71"/>
        </w:trPr>
        <w:tc>
          <w:tcPr>
            <w:tcW w:w="3040" w:type="dxa"/>
            <w:vAlign w:val="bottom"/>
            <w:gridSpan w:val="4"/>
            <w:vMerge w:val="continue"/>
          </w:tcPr>
          <w:p>
            <w:pPr>
              <w:spacing w:after="0"/>
              <w:rPr>
                <w:sz w:val="6"/>
                <w:szCs w:val="6"/>
                <w:color w:val="auto"/>
              </w:rPr>
            </w:pPr>
          </w:p>
        </w:tc>
        <w:tc>
          <w:tcPr>
            <w:tcW w:w="240" w:type="dxa"/>
            <w:vAlign w:val="bottom"/>
          </w:tcPr>
          <w:p>
            <w:pPr>
              <w:spacing w:after="0"/>
              <w:rPr>
                <w:sz w:val="6"/>
                <w:szCs w:val="6"/>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competitive levels or provide high-quality products and services.</w:t>
            </w:r>
          </w:p>
        </w:tc>
        <w:tc>
          <w:tcPr>
            <w:tcW w:w="0" w:type="dxa"/>
            <w:vAlign w:val="bottom"/>
          </w:tcPr>
          <w:p>
            <w:pPr>
              <w:spacing w:after="0"/>
              <w:rPr>
                <w:sz w:val="1"/>
                <w:szCs w:val="1"/>
                <w:color w:val="auto"/>
              </w:rPr>
            </w:pPr>
          </w:p>
        </w:tc>
      </w:tr>
      <w:tr>
        <w:trPr>
          <w:trHeight w:val="77"/>
        </w:trPr>
        <w:tc>
          <w:tcPr>
            <w:tcW w:w="3040" w:type="dxa"/>
            <w:vAlign w:val="bottom"/>
            <w:gridSpan w:val="4"/>
            <w:vMerge w:val="restart"/>
          </w:tcPr>
          <w:p>
            <w:pPr>
              <w:ind w:left="180"/>
              <w:spacing w:after="0"/>
              <w:rPr>
                <w:sz w:val="20"/>
                <w:szCs w:val="20"/>
                <w:color w:val="auto"/>
              </w:rPr>
            </w:pPr>
            <w:r>
              <w:rPr>
                <w:rFonts w:ascii="Times New Roman" w:cs="Times New Roman" w:eastAsia="Times New Roman" w:hAnsi="Times New Roman"/>
                <w:sz w:val="11"/>
                <w:szCs w:val="11"/>
                <w:color w:val="auto"/>
              </w:rPr>
              <w:t>products and doing so on a cost-efficient and timely basis;</w:t>
            </w:r>
          </w:p>
        </w:tc>
        <w:tc>
          <w:tcPr>
            <w:tcW w:w="240" w:type="dxa"/>
            <w:vAlign w:val="bottom"/>
          </w:tcPr>
          <w:p>
            <w:pPr>
              <w:spacing w:after="0"/>
              <w:rPr>
                <w:sz w:val="6"/>
                <w:szCs w:val="6"/>
                <w:color w:val="auto"/>
              </w:rPr>
            </w:pPr>
          </w:p>
        </w:tc>
        <w:tc>
          <w:tcPr>
            <w:tcW w:w="3280" w:type="dxa"/>
            <w:vAlign w:val="bottom"/>
            <w:gridSpan w:val="2"/>
            <w:vMerge w:val="continue"/>
          </w:tcPr>
          <w:p>
            <w:pPr>
              <w:spacing w:after="0"/>
              <w:rPr>
                <w:sz w:val="6"/>
                <w:szCs w:val="6"/>
                <w:color w:val="auto"/>
              </w:rPr>
            </w:pPr>
          </w:p>
        </w:tc>
        <w:tc>
          <w:tcPr>
            <w:tcW w:w="0" w:type="dxa"/>
            <w:vAlign w:val="bottom"/>
          </w:tcPr>
          <w:p>
            <w:pPr>
              <w:spacing w:after="0"/>
              <w:rPr>
                <w:sz w:val="1"/>
                <w:szCs w:val="1"/>
                <w:color w:val="auto"/>
              </w:rPr>
            </w:pPr>
          </w:p>
        </w:tc>
      </w:tr>
      <w:tr>
        <w:trPr>
          <w:trHeight w:val="71"/>
        </w:trPr>
        <w:tc>
          <w:tcPr>
            <w:tcW w:w="3040" w:type="dxa"/>
            <w:vAlign w:val="bottom"/>
            <w:gridSpan w:val="4"/>
            <w:vMerge w:val="continue"/>
          </w:tcPr>
          <w:p>
            <w:pPr>
              <w:spacing w:after="0"/>
              <w:rPr>
                <w:sz w:val="6"/>
                <w:szCs w:val="6"/>
                <w:color w:val="auto"/>
              </w:rPr>
            </w:pPr>
          </w:p>
        </w:tc>
        <w:tc>
          <w:tcPr>
            <w:tcW w:w="240" w:type="dxa"/>
            <w:vAlign w:val="bottom"/>
          </w:tcPr>
          <w:p>
            <w:pPr>
              <w:spacing w:after="0"/>
              <w:rPr>
                <w:sz w:val="6"/>
                <w:szCs w:val="6"/>
                <w:color w:val="auto"/>
              </w:rPr>
            </w:pPr>
          </w:p>
        </w:tc>
        <w:tc>
          <w:tcPr>
            <w:tcW w:w="2540" w:type="dxa"/>
            <w:vAlign w:val="bottom"/>
          </w:tcPr>
          <w:p>
            <w:pPr>
              <w:spacing w:after="0"/>
              <w:rPr>
                <w:sz w:val="6"/>
                <w:szCs w:val="6"/>
                <w:color w:val="auto"/>
              </w:rPr>
            </w:pPr>
          </w:p>
        </w:tc>
        <w:tc>
          <w:tcPr>
            <w:tcW w:w="740" w:type="dxa"/>
            <w:vAlign w:val="bottom"/>
          </w:tcPr>
          <w:p>
            <w:pPr>
              <w:spacing w:after="0"/>
              <w:rPr>
                <w:sz w:val="6"/>
                <w:szCs w:val="6"/>
                <w:color w:val="auto"/>
              </w:rPr>
            </w:pPr>
          </w:p>
        </w:tc>
        <w:tc>
          <w:tcPr>
            <w:tcW w:w="0" w:type="dxa"/>
            <w:vAlign w:val="bottom"/>
          </w:tcPr>
          <w:p>
            <w:pPr>
              <w:spacing w:after="0"/>
              <w:rPr>
                <w:sz w:val="1"/>
                <w:szCs w:val="1"/>
                <w:color w:val="auto"/>
              </w:rPr>
            </w:pPr>
          </w:p>
        </w:tc>
      </w:tr>
      <w:tr>
        <w:trPr>
          <w:trHeight w:val="135"/>
        </w:trPr>
        <w:tc>
          <w:tcPr>
            <w:tcW w:w="3040" w:type="dxa"/>
            <w:vAlign w:val="bottom"/>
            <w:gridSpan w:val="4"/>
            <w:vMerge w:val="restart"/>
          </w:tcPr>
          <w:p>
            <w:pPr>
              <w:ind w:left="2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developing new or enhancing existing processes and tools</w:t>
            </w:r>
          </w:p>
        </w:tc>
        <w:tc>
          <w:tcPr>
            <w:tcW w:w="240" w:type="dxa"/>
            <w:vAlign w:val="bottom"/>
          </w:tcPr>
          <w:p>
            <w:pPr>
              <w:spacing w:after="0"/>
              <w:rPr>
                <w:sz w:val="11"/>
                <w:szCs w:val="11"/>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Certain of our competitors have significant resources to invest</w:t>
            </w:r>
          </w:p>
        </w:tc>
        <w:tc>
          <w:tcPr>
            <w:tcW w:w="0" w:type="dxa"/>
            <w:vAlign w:val="bottom"/>
          </w:tcPr>
          <w:p>
            <w:pPr>
              <w:spacing w:after="0"/>
              <w:rPr>
                <w:sz w:val="1"/>
                <w:szCs w:val="1"/>
                <w:color w:val="auto"/>
              </w:rPr>
            </w:pPr>
          </w:p>
        </w:tc>
      </w:tr>
      <w:tr>
        <w:trPr>
          <w:trHeight w:val="71"/>
        </w:trPr>
        <w:tc>
          <w:tcPr>
            <w:tcW w:w="3040" w:type="dxa"/>
            <w:vAlign w:val="bottom"/>
            <w:gridSpan w:val="4"/>
            <w:vMerge w:val="continue"/>
          </w:tcPr>
          <w:p>
            <w:pPr>
              <w:spacing w:after="0"/>
              <w:rPr>
                <w:sz w:val="6"/>
                <w:szCs w:val="6"/>
                <w:color w:val="auto"/>
              </w:rPr>
            </w:pPr>
          </w:p>
        </w:tc>
        <w:tc>
          <w:tcPr>
            <w:tcW w:w="240" w:type="dxa"/>
            <w:vAlign w:val="bottom"/>
          </w:tcPr>
          <w:p>
            <w:pPr>
              <w:spacing w:after="0"/>
              <w:rPr>
                <w:sz w:val="6"/>
                <w:szCs w:val="6"/>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in market exploration and may seek new monetization models</w:t>
            </w:r>
          </w:p>
        </w:tc>
        <w:tc>
          <w:tcPr>
            <w:tcW w:w="0" w:type="dxa"/>
            <w:vAlign w:val="bottom"/>
          </w:tcPr>
          <w:p>
            <w:pPr>
              <w:spacing w:after="0"/>
              <w:rPr>
                <w:sz w:val="1"/>
                <w:szCs w:val="1"/>
                <w:color w:val="auto"/>
              </w:rPr>
            </w:pPr>
          </w:p>
        </w:tc>
      </w:tr>
      <w:tr>
        <w:trPr>
          <w:trHeight w:val="71"/>
        </w:trPr>
        <w:tc>
          <w:tcPr>
            <w:tcW w:w="2040" w:type="dxa"/>
            <w:vAlign w:val="bottom"/>
            <w:gridSpan w:val="2"/>
            <w:vMerge w:val="restart"/>
          </w:tcPr>
          <w:p>
            <w:pPr>
              <w:ind w:left="180"/>
              <w:spacing w:after="0"/>
              <w:rPr>
                <w:sz w:val="20"/>
                <w:szCs w:val="20"/>
                <w:color w:val="auto"/>
              </w:rPr>
            </w:pPr>
            <w:r>
              <w:rPr>
                <w:rFonts w:ascii="Times New Roman" w:cs="Times New Roman" w:eastAsia="Times New Roman" w:hAnsi="Times New Roman"/>
                <w:sz w:val="11"/>
                <w:szCs w:val="11"/>
                <w:color w:val="auto"/>
              </w:rPr>
              <w:t>for our service offerings;</w:t>
            </w:r>
          </w:p>
        </w:tc>
        <w:tc>
          <w:tcPr>
            <w:tcW w:w="420" w:type="dxa"/>
            <w:vAlign w:val="bottom"/>
          </w:tcPr>
          <w:p>
            <w:pPr>
              <w:spacing w:after="0"/>
              <w:rPr>
                <w:sz w:val="6"/>
                <w:szCs w:val="6"/>
                <w:color w:val="auto"/>
              </w:rPr>
            </w:pPr>
          </w:p>
        </w:tc>
        <w:tc>
          <w:tcPr>
            <w:tcW w:w="580" w:type="dxa"/>
            <w:vAlign w:val="bottom"/>
          </w:tcPr>
          <w:p>
            <w:pPr>
              <w:spacing w:after="0"/>
              <w:rPr>
                <w:sz w:val="6"/>
                <w:szCs w:val="6"/>
                <w:color w:val="auto"/>
              </w:rPr>
            </w:pPr>
          </w:p>
        </w:tc>
        <w:tc>
          <w:tcPr>
            <w:tcW w:w="240" w:type="dxa"/>
            <w:vAlign w:val="bottom"/>
          </w:tcPr>
          <w:p>
            <w:pPr>
              <w:spacing w:after="0"/>
              <w:rPr>
                <w:sz w:val="6"/>
                <w:szCs w:val="6"/>
                <w:color w:val="auto"/>
              </w:rPr>
            </w:pPr>
          </w:p>
        </w:tc>
        <w:tc>
          <w:tcPr>
            <w:tcW w:w="3280" w:type="dxa"/>
            <w:vAlign w:val="bottom"/>
            <w:gridSpan w:val="2"/>
            <w:vMerge w:val="continue"/>
          </w:tcPr>
          <w:p>
            <w:pPr>
              <w:spacing w:after="0"/>
              <w:rPr>
                <w:sz w:val="6"/>
                <w:szCs w:val="6"/>
                <w:color w:val="auto"/>
              </w:rPr>
            </w:pPr>
          </w:p>
        </w:tc>
        <w:tc>
          <w:tcPr>
            <w:tcW w:w="0" w:type="dxa"/>
            <w:vAlign w:val="bottom"/>
          </w:tcPr>
          <w:p>
            <w:pPr>
              <w:spacing w:after="0"/>
              <w:rPr>
                <w:sz w:val="1"/>
                <w:szCs w:val="1"/>
                <w:color w:val="auto"/>
              </w:rPr>
            </w:pPr>
          </w:p>
        </w:tc>
      </w:tr>
      <w:tr>
        <w:trPr>
          <w:trHeight w:val="77"/>
        </w:trPr>
        <w:tc>
          <w:tcPr>
            <w:tcW w:w="2040" w:type="dxa"/>
            <w:vAlign w:val="bottom"/>
            <w:gridSpan w:val="2"/>
            <w:vMerge w:val="continue"/>
          </w:tcPr>
          <w:p>
            <w:pPr>
              <w:spacing w:after="0"/>
              <w:rPr>
                <w:sz w:val="6"/>
                <w:szCs w:val="6"/>
                <w:color w:val="auto"/>
              </w:rPr>
            </w:pPr>
          </w:p>
        </w:tc>
        <w:tc>
          <w:tcPr>
            <w:tcW w:w="420" w:type="dxa"/>
            <w:vAlign w:val="bottom"/>
          </w:tcPr>
          <w:p>
            <w:pPr>
              <w:spacing w:after="0"/>
              <w:rPr>
                <w:sz w:val="6"/>
                <w:szCs w:val="6"/>
                <w:color w:val="auto"/>
              </w:rPr>
            </w:pPr>
          </w:p>
        </w:tc>
        <w:tc>
          <w:tcPr>
            <w:tcW w:w="580" w:type="dxa"/>
            <w:vAlign w:val="bottom"/>
          </w:tcPr>
          <w:p>
            <w:pPr>
              <w:spacing w:after="0"/>
              <w:rPr>
                <w:sz w:val="6"/>
                <w:szCs w:val="6"/>
                <w:color w:val="auto"/>
              </w:rPr>
            </w:pPr>
          </w:p>
        </w:tc>
        <w:tc>
          <w:tcPr>
            <w:tcW w:w="240" w:type="dxa"/>
            <w:vAlign w:val="bottom"/>
          </w:tcPr>
          <w:p>
            <w:pPr>
              <w:spacing w:after="0"/>
              <w:rPr>
                <w:sz w:val="6"/>
                <w:szCs w:val="6"/>
                <w:color w:val="auto"/>
              </w:rPr>
            </w:pPr>
          </w:p>
        </w:tc>
        <w:tc>
          <w:tcPr>
            <w:tcW w:w="328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or drive industry development and capture value in areas</w:t>
            </w:r>
          </w:p>
        </w:tc>
        <w:tc>
          <w:tcPr>
            <w:tcW w:w="0" w:type="dxa"/>
            <w:vAlign w:val="bottom"/>
          </w:tcPr>
          <w:p>
            <w:pPr>
              <w:spacing w:after="0"/>
              <w:rPr>
                <w:sz w:val="1"/>
                <w:szCs w:val="1"/>
                <w:color w:val="auto"/>
              </w:rPr>
            </w:pPr>
          </w:p>
        </w:tc>
      </w:tr>
      <w:tr>
        <w:trPr>
          <w:trHeight w:val="54"/>
        </w:trPr>
        <w:tc>
          <w:tcPr>
            <w:tcW w:w="920" w:type="dxa"/>
            <w:vAlign w:val="bottom"/>
          </w:tcPr>
          <w:p>
            <w:pPr>
              <w:spacing w:after="0"/>
              <w:rPr>
                <w:sz w:val="4"/>
                <w:szCs w:val="4"/>
                <w:color w:val="auto"/>
              </w:rPr>
            </w:pPr>
          </w:p>
        </w:tc>
        <w:tc>
          <w:tcPr>
            <w:tcW w:w="1120" w:type="dxa"/>
            <w:vAlign w:val="bottom"/>
          </w:tcPr>
          <w:p>
            <w:pPr>
              <w:spacing w:after="0"/>
              <w:rPr>
                <w:sz w:val="4"/>
                <w:szCs w:val="4"/>
                <w:color w:val="auto"/>
              </w:rPr>
            </w:pPr>
          </w:p>
        </w:tc>
        <w:tc>
          <w:tcPr>
            <w:tcW w:w="420" w:type="dxa"/>
            <w:vAlign w:val="bottom"/>
          </w:tcPr>
          <w:p>
            <w:pPr>
              <w:spacing w:after="0"/>
              <w:rPr>
                <w:sz w:val="4"/>
                <w:szCs w:val="4"/>
                <w:color w:val="auto"/>
              </w:rPr>
            </w:pPr>
          </w:p>
        </w:tc>
        <w:tc>
          <w:tcPr>
            <w:tcW w:w="580" w:type="dxa"/>
            <w:vAlign w:val="bottom"/>
          </w:tcPr>
          <w:p>
            <w:pPr>
              <w:spacing w:after="0"/>
              <w:rPr>
                <w:sz w:val="4"/>
                <w:szCs w:val="4"/>
                <w:color w:val="auto"/>
              </w:rPr>
            </w:pPr>
          </w:p>
        </w:tc>
        <w:tc>
          <w:tcPr>
            <w:tcW w:w="240" w:type="dxa"/>
            <w:vAlign w:val="bottom"/>
          </w:tcPr>
          <w:p>
            <w:pPr>
              <w:spacing w:after="0"/>
              <w:rPr>
                <w:sz w:val="4"/>
                <w:szCs w:val="4"/>
                <w:color w:val="auto"/>
              </w:rPr>
            </w:pPr>
          </w:p>
        </w:tc>
        <w:tc>
          <w:tcPr>
            <w:tcW w:w="3280" w:type="dxa"/>
            <w:vAlign w:val="bottom"/>
            <w:gridSpan w:val="2"/>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42"/>
        </w:trPr>
        <w:tc>
          <w:tcPr>
            <w:tcW w:w="3040" w:type="dxa"/>
            <w:vAlign w:val="bottom"/>
            <w:gridSpan w:val="4"/>
          </w:tcPr>
          <w:p>
            <w:pPr>
              <w:ind w:left="20"/>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optimizing the amount of customer or market-specific</w:t>
            </w:r>
          </w:p>
        </w:tc>
        <w:tc>
          <w:tcPr>
            <w:tcW w:w="240" w:type="dxa"/>
            <w:vAlign w:val="bottom"/>
          </w:tcPr>
          <w:p>
            <w:pPr>
              <w:spacing w:after="0"/>
              <w:rPr>
                <w:sz w:val="12"/>
                <w:szCs w:val="12"/>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where we may not currently be competitive or do not have</w:t>
            </w:r>
          </w:p>
        </w:tc>
        <w:tc>
          <w:tcPr>
            <w:tcW w:w="0" w:type="dxa"/>
            <w:vAlign w:val="bottom"/>
          </w:tcPr>
          <w:p>
            <w:pPr>
              <w:spacing w:after="0"/>
              <w:rPr>
                <w:sz w:val="1"/>
                <w:szCs w:val="1"/>
                <w:color w:val="auto"/>
              </w:rPr>
            </w:pPr>
          </w:p>
        </w:tc>
      </w:tr>
      <w:tr>
        <w:trPr>
          <w:trHeight w:val="142"/>
        </w:trPr>
        <w:tc>
          <w:tcPr>
            <w:tcW w:w="3040" w:type="dxa"/>
            <w:vAlign w:val="bottom"/>
            <w:gridSpan w:val="4"/>
          </w:tcPr>
          <w:p>
            <w:pPr>
              <w:ind w:left="180"/>
              <w:spacing w:after="0"/>
              <w:rPr>
                <w:sz w:val="20"/>
                <w:szCs w:val="20"/>
                <w:color w:val="auto"/>
              </w:rPr>
            </w:pPr>
            <w:r>
              <w:rPr>
                <w:rFonts w:ascii="Times New Roman" w:cs="Times New Roman" w:eastAsia="Times New Roman" w:hAnsi="Times New Roman"/>
                <w:sz w:val="11"/>
                <w:szCs w:val="11"/>
                <w:color w:val="auto"/>
              </w:rPr>
              <w:t>technology, product and feature variants in our product</w:t>
            </w:r>
          </w:p>
        </w:tc>
        <w:tc>
          <w:tcPr>
            <w:tcW w:w="240" w:type="dxa"/>
            <w:vAlign w:val="bottom"/>
          </w:tcPr>
          <w:p>
            <w:pPr>
              <w:spacing w:after="0"/>
              <w:rPr>
                <w:sz w:val="12"/>
                <w:szCs w:val="12"/>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similar resources available to us. These areas may include</w:t>
            </w:r>
          </w:p>
        </w:tc>
        <w:tc>
          <w:tcPr>
            <w:tcW w:w="0" w:type="dxa"/>
            <w:vAlign w:val="bottom"/>
          </w:tcPr>
          <w:p>
            <w:pPr>
              <w:spacing w:after="0"/>
              <w:rPr>
                <w:sz w:val="1"/>
                <w:szCs w:val="1"/>
                <w:color w:val="auto"/>
              </w:rPr>
            </w:pPr>
          </w:p>
        </w:tc>
      </w:tr>
      <w:tr>
        <w:trPr>
          <w:trHeight w:val="131"/>
        </w:trPr>
        <w:tc>
          <w:tcPr>
            <w:tcW w:w="920" w:type="dxa"/>
            <w:vAlign w:val="bottom"/>
          </w:tcPr>
          <w:p>
            <w:pPr>
              <w:ind w:left="180"/>
              <w:spacing w:after="0"/>
              <w:rPr>
                <w:sz w:val="20"/>
                <w:szCs w:val="20"/>
                <w:color w:val="auto"/>
              </w:rPr>
            </w:pPr>
            <w:r>
              <w:rPr>
                <w:rFonts w:ascii="Times New Roman" w:cs="Times New Roman" w:eastAsia="Times New Roman" w:hAnsi="Times New Roman"/>
                <w:sz w:val="11"/>
                <w:szCs w:val="11"/>
                <w:color w:val="auto"/>
              </w:rPr>
              <w:t>portfolio;</w:t>
            </w:r>
          </w:p>
        </w:tc>
        <w:tc>
          <w:tcPr>
            <w:tcW w:w="112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240" w:type="dxa"/>
            <w:vAlign w:val="bottom"/>
          </w:tcPr>
          <w:p>
            <w:pPr>
              <w:spacing w:after="0"/>
              <w:rPr>
                <w:sz w:val="11"/>
                <w:szCs w:val="11"/>
                <w:color w:val="auto"/>
              </w:rPr>
            </w:pPr>
          </w:p>
        </w:tc>
        <w:tc>
          <w:tcPr>
            <w:tcW w:w="328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monetization models linked to large amounts of consumer</w:t>
            </w:r>
          </w:p>
        </w:tc>
        <w:tc>
          <w:tcPr>
            <w:tcW w:w="0" w:type="dxa"/>
            <w:vAlign w:val="bottom"/>
          </w:tcPr>
          <w:p>
            <w:pPr>
              <w:spacing w:after="0"/>
              <w:rPr>
                <w:sz w:val="1"/>
                <w:szCs w:val="1"/>
                <w:color w:val="auto"/>
              </w:rPr>
            </w:pPr>
          </w:p>
        </w:tc>
      </w:tr>
      <w:tr>
        <w:trPr>
          <w:trHeight w:val="103"/>
        </w:trPr>
        <w:tc>
          <w:tcPr>
            <w:tcW w:w="920" w:type="dxa"/>
            <w:vAlign w:val="bottom"/>
          </w:tcPr>
          <w:p>
            <w:pPr>
              <w:spacing w:after="0"/>
              <w:rPr>
                <w:sz w:val="8"/>
                <w:szCs w:val="8"/>
                <w:color w:val="auto"/>
              </w:rPr>
            </w:pPr>
          </w:p>
        </w:tc>
        <w:tc>
          <w:tcPr>
            <w:tcW w:w="1120" w:type="dxa"/>
            <w:vAlign w:val="bottom"/>
          </w:tcPr>
          <w:p>
            <w:pPr>
              <w:spacing w:after="0"/>
              <w:rPr>
                <w:sz w:val="8"/>
                <w:szCs w:val="8"/>
                <w:color w:val="auto"/>
              </w:rPr>
            </w:pPr>
          </w:p>
        </w:tc>
        <w:tc>
          <w:tcPr>
            <w:tcW w:w="420" w:type="dxa"/>
            <w:vAlign w:val="bottom"/>
          </w:tcPr>
          <w:p>
            <w:pPr>
              <w:spacing w:after="0"/>
              <w:rPr>
                <w:sz w:val="8"/>
                <w:szCs w:val="8"/>
                <w:color w:val="auto"/>
              </w:rPr>
            </w:pPr>
          </w:p>
        </w:tc>
        <w:tc>
          <w:tcPr>
            <w:tcW w:w="580" w:type="dxa"/>
            <w:vAlign w:val="bottom"/>
          </w:tcPr>
          <w:p>
            <w:pPr>
              <w:spacing w:after="0"/>
              <w:rPr>
                <w:sz w:val="8"/>
                <w:szCs w:val="8"/>
                <w:color w:val="auto"/>
              </w:rPr>
            </w:pPr>
          </w:p>
        </w:tc>
        <w:tc>
          <w:tcPr>
            <w:tcW w:w="240" w:type="dxa"/>
            <w:vAlign w:val="bottom"/>
          </w:tcPr>
          <w:p>
            <w:pPr>
              <w:spacing w:after="0"/>
              <w:rPr>
                <w:sz w:val="8"/>
                <w:szCs w:val="8"/>
                <w:color w:val="auto"/>
              </w:rPr>
            </w:pPr>
          </w:p>
        </w:tc>
        <w:tc>
          <w:tcPr>
            <w:tcW w:w="2540" w:type="dxa"/>
            <w:vAlign w:val="bottom"/>
          </w:tcPr>
          <w:p>
            <w:pPr>
              <w:ind w:left="120"/>
              <w:spacing w:after="0" w:line="103" w:lineRule="exact"/>
              <w:rPr>
                <w:sz w:val="20"/>
                <w:szCs w:val="20"/>
                <w:color w:val="auto"/>
              </w:rPr>
            </w:pPr>
            <w:r>
              <w:rPr>
                <w:rFonts w:ascii="Times New Roman" w:cs="Times New Roman" w:eastAsia="Times New Roman" w:hAnsi="Times New Roman"/>
                <w:sz w:val="11"/>
                <w:szCs w:val="11"/>
                <w:color w:val="auto"/>
              </w:rPr>
              <w:t>data, large connected communities, home or other</w:t>
            </w:r>
          </w:p>
        </w:tc>
        <w:tc>
          <w:tcPr>
            <w:tcW w:w="740" w:type="dxa"/>
            <w:vAlign w:val="bottom"/>
          </w:tcPr>
          <w:p>
            <w:pPr>
              <w:spacing w:after="0"/>
              <w:rPr>
                <w:sz w:val="8"/>
                <w:szCs w:val="8"/>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-4311015</wp:posOffset>
            </wp:positionV>
            <wp:extent cx="7216140" cy="511810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30"/>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005AFF"/>
              </w:rPr>
              <w:t xml:space="preserve">■  </w:t>
            </w:r>
            <w:r>
              <w:rPr>
                <w:rFonts w:ascii="Times New Roman" w:cs="Times New Roman" w:eastAsia="Times New Roman" w:hAnsi="Times New Roman"/>
                <w:sz w:val="11"/>
                <w:szCs w:val="11"/>
                <w:color w:val="000000"/>
              </w:rPr>
              <w:t>continuing to meet evolving expectations and enhancing</w:t>
            </w:r>
          </w:p>
        </w:tc>
        <w:tc>
          <w:tcPr>
            <w:tcW w:w="2960" w:type="dxa"/>
            <w:vAlign w:val="bottom"/>
            <w:vMerge w:val="restart"/>
          </w:tcPr>
          <w:p>
            <w:pPr>
              <w:ind w:left="240"/>
              <w:spacing w:after="0"/>
              <w:rPr>
                <w:sz w:val="20"/>
                <w:szCs w:val="20"/>
                <w:color w:val="auto"/>
              </w:rPr>
            </w:pPr>
            <w:r>
              <w:rPr>
                <w:rFonts w:ascii="Times New Roman" w:cs="Times New Roman" w:eastAsia="Times New Roman" w:hAnsi="Times New Roman"/>
                <w:sz w:val="11"/>
                <w:szCs w:val="11"/>
                <w:color w:val="auto"/>
              </w:rPr>
              <w:t>entertainment services, alternative payment mechanisms or</w:t>
            </w:r>
          </w:p>
        </w:tc>
        <w:tc>
          <w:tcPr>
            <w:tcW w:w="0" w:type="dxa"/>
            <w:vAlign w:val="bottom"/>
          </w:tcPr>
          <w:p>
            <w:pPr>
              <w:spacing w:after="0"/>
              <w:rPr>
                <w:sz w:val="1"/>
                <w:szCs w:val="1"/>
                <w:color w:val="auto"/>
              </w:rPr>
            </w:pPr>
          </w:p>
        </w:tc>
      </w:tr>
      <w:tr>
        <w:trPr>
          <w:trHeight w:val="40"/>
        </w:trPr>
        <w:tc>
          <w:tcPr>
            <w:tcW w:w="314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the quality of our products and services, complying with</w:t>
            </w:r>
          </w:p>
        </w:tc>
        <w:tc>
          <w:tcPr>
            <w:tcW w:w="296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01"/>
        </w:trPr>
        <w:tc>
          <w:tcPr>
            <w:tcW w:w="3140" w:type="dxa"/>
            <w:vAlign w:val="bottom"/>
            <w:vMerge w:val="continue"/>
          </w:tcPr>
          <w:p>
            <w:pPr>
              <w:spacing w:after="0"/>
              <w:rPr>
                <w:sz w:val="8"/>
                <w:szCs w:val="8"/>
                <w:color w:val="auto"/>
              </w:rPr>
            </w:pPr>
          </w:p>
        </w:tc>
        <w:tc>
          <w:tcPr>
            <w:tcW w:w="2960" w:type="dxa"/>
            <w:vAlign w:val="bottom"/>
            <w:vMerge w:val="restart"/>
          </w:tcPr>
          <w:p>
            <w:pPr>
              <w:ind w:left="240"/>
              <w:spacing w:after="0"/>
              <w:rPr>
                <w:sz w:val="20"/>
                <w:szCs w:val="20"/>
                <w:color w:val="auto"/>
              </w:rPr>
            </w:pPr>
            <w:r>
              <w:rPr>
                <w:rFonts w:ascii="Times New Roman" w:cs="Times New Roman" w:eastAsia="Times New Roman" w:hAnsi="Times New Roman"/>
                <w:sz w:val="11"/>
                <w:szCs w:val="11"/>
                <w:color w:val="auto"/>
              </w:rPr>
              <w:t>marketing products. We also face competition from various</w:t>
            </w:r>
          </w:p>
        </w:tc>
        <w:tc>
          <w:tcPr>
            <w:tcW w:w="0" w:type="dxa"/>
            <w:vAlign w:val="bottom"/>
          </w:tcPr>
          <w:p>
            <w:pPr>
              <w:spacing w:after="0"/>
              <w:rPr>
                <w:sz w:val="1"/>
                <w:szCs w:val="1"/>
                <w:color w:val="auto"/>
              </w:rPr>
            </w:pPr>
          </w:p>
        </w:tc>
      </w:tr>
      <w:tr>
        <w:trPr>
          <w:trHeight w:val="40"/>
        </w:trPr>
        <w:tc>
          <w:tcPr>
            <w:tcW w:w="314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emerging industry standards as well as introducing products</w:t>
            </w:r>
          </w:p>
        </w:tc>
        <w:tc>
          <w:tcPr>
            <w:tcW w:w="296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91"/>
        </w:trPr>
        <w:tc>
          <w:tcPr>
            <w:tcW w:w="3140" w:type="dxa"/>
            <w:vAlign w:val="bottom"/>
            <w:vMerge w:val="continue"/>
          </w:tcPr>
          <w:p>
            <w:pPr>
              <w:spacing w:after="0"/>
              <w:rPr>
                <w:sz w:val="7"/>
                <w:szCs w:val="7"/>
                <w:color w:val="auto"/>
              </w:rPr>
            </w:pPr>
          </w:p>
        </w:tc>
        <w:tc>
          <w:tcPr>
            <w:tcW w:w="2960" w:type="dxa"/>
            <w:vAlign w:val="bottom"/>
            <w:vMerge w:val="restart"/>
          </w:tcPr>
          <w:p>
            <w:pPr>
              <w:ind w:left="240"/>
              <w:spacing w:after="0"/>
              <w:rPr>
                <w:sz w:val="20"/>
                <w:szCs w:val="20"/>
                <w:color w:val="auto"/>
              </w:rPr>
            </w:pPr>
            <w:r>
              <w:rPr>
                <w:rFonts w:ascii="Times New Roman" w:cs="Times New Roman" w:eastAsia="Times New Roman" w:hAnsi="Times New Roman"/>
                <w:sz w:val="11"/>
                <w:szCs w:val="11"/>
                <w:color w:val="auto"/>
              </w:rPr>
              <w:t>companies that may be able to develop technologies or</w:t>
            </w:r>
          </w:p>
        </w:tc>
        <w:tc>
          <w:tcPr>
            <w:tcW w:w="0" w:type="dxa"/>
            <w:vAlign w:val="bottom"/>
          </w:tcPr>
          <w:p>
            <w:pPr>
              <w:spacing w:after="0"/>
              <w:rPr>
                <w:sz w:val="1"/>
                <w:szCs w:val="1"/>
                <w:color w:val="auto"/>
              </w:rPr>
            </w:pPr>
          </w:p>
        </w:tc>
      </w:tr>
      <w:tr>
        <w:trPr>
          <w:trHeight w:val="51"/>
        </w:trPr>
        <w:tc>
          <w:tcPr>
            <w:tcW w:w="314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and services that have desired features and attributes,</w:t>
            </w:r>
          </w:p>
        </w:tc>
        <w:tc>
          <w:tcPr>
            <w:tcW w:w="29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91"/>
        </w:trPr>
        <w:tc>
          <w:tcPr>
            <w:tcW w:w="3140" w:type="dxa"/>
            <w:vAlign w:val="bottom"/>
            <w:vMerge w:val="continue"/>
          </w:tcPr>
          <w:p>
            <w:pPr>
              <w:spacing w:after="0"/>
              <w:rPr>
                <w:sz w:val="7"/>
                <w:szCs w:val="7"/>
                <w:color w:val="auto"/>
              </w:rPr>
            </w:pPr>
          </w:p>
        </w:tc>
        <w:tc>
          <w:tcPr>
            <w:tcW w:w="2960" w:type="dxa"/>
            <w:vAlign w:val="bottom"/>
            <w:vMerge w:val="restart"/>
          </w:tcPr>
          <w:p>
            <w:pPr>
              <w:ind w:left="240"/>
              <w:spacing w:after="0"/>
              <w:rPr>
                <w:sz w:val="20"/>
                <w:szCs w:val="20"/>
                <w:color w:val="auto"/>
              </w:rPr>
            </w:pPr>
            <w:r>
              <w:rPr>
                <w:rFonts w:ascii="Times New Roman" w:cs="Times New Roman" w:eastAsia="Times New Roman" w:hAnsi="Times New Roman"/>
                <w:sz w:val="11"/>
                <w:szCs w:val="11"/>
                <w:color w:val="auto"/>
              </w:rPr>
              <w:t>products that become preferred over those developed by</w:t>
            </w:r>
          </w:p>
        </w:tc>
        <w:tc>
          <w:tcPr>
            <w:tcW w:w="0" w:type="dxa"/>
            <w:vAlign w:val="bottom"/>
          </w:tcPr>
          <w:p>
            <w:pPr>
              <w:spacing w:after="0"/>
              <w:rPr>
                <w:sz w:val="1"/>
                <w:szCs w:val="1"/>
                <w:color w:val="auto"/>
              </w:rPr>
            </w:pPr>
          </w:p>
        </w:tc>
      </w:tr>
      <w:tr>
        <w:trPr>
          <w:trHeight w:val="40"/>
        </w:trPr>
        <w:tc>
          <w:tcPr>
            <w:tcW w:w="3140" w:type="dxa"/>
            <w:vAlign w:val="bottom"/>
            <w:vMerge w:val="restart"/>
          </w:tcPr>
          <w:p>
            <w:pPr>
              <w:ind w:left="160"/>
              <w:spacing w:after="0"/>
              <w:rPr>
                <w:sz w:val="20"/>
                <w:szCs w:val="20"/>
                <w:color w:val="auto"/>
              </w:rPr>
            </w:pPr>
            <w:r>
              <w:rPr>
                <w:rFonts w:ascii="Times New Roman" w:cs="Times New Roman" w:eastAsia="Times New Roman" w:hAnsi="Times New Roman"/>
                <w:sz w:val="11"/>
                <w:szCs w:val="11"/>
                <w:color w:val="auto"/>
              </w:rPr>
              <w:t>such as energy efficiency;</w:t>
            </w:r>
          </w:p>
        </w:tc>
        <w:tc>
          <w:tcPr>
            <w:tcW w:w="296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08"/>
        </w:trPr>
        <w:tc>
          <w:tcPr>
            <w:tcW w:w="3140" w:type="dxa"/>
            <w:vAlign w:val="bottom"/>
            <w:vMerge w:val="continue"/>
          </w:tcPr>
          <w:p>
            <w:pPr>
              <w:spacing w:after="0"/>
              <w:rPr>
                <w:sz w:val="9"/>
                <w:szCs w:val="9"/>
                <w:color w:val="auto"/>
              </w:rPr>
            </w:pPr>
          </w:p>
        </w:tc>
        <w:tc>
          <w:tcPr>
            <w:tcW w:w="2960" w:type="dxa"/>
            <w:vAlign w:val="bottom"/>
            <w:vMerge w:val="restart"/>
          </w:tcPr>
          <w:p>
            <w:pPr>
              <w:ind w:left="240"/>
              <w:spacing w:after="0"/>
              <w:rPr>
                <w:sz w:val="20"/>
                <w:szCs w:val="20"/>
                <w:color w:val="auto"/>
              </w:rPr>
            </w:pPr>
            <w:r>
              <w:rPr>
                <w:rFonts w:ascii="Times New Roman" w:cs="Times New Roman" w:eastAsia="Times New Roman" w:hAnsi="Times New Roman"/>
                <w:sz w:val="11"/>
                <w:szCs w:val="11"/>
                <w:color w:val="auto"/>
              </w:rPr>
              <w:t>us or result in adverse effects on us through, for instance,</w:t>
            </w:r>
          </w:p>
        </w:tc>
        <w:tc>
          <w:tcPr>
            <w:tcW w:w="0" w:type="dxa"/>
            <w:vAlign w:val="bottom"/>
          </w:tcPr>
          <w:p>
            <w:pPr>
              <w:spacing w:after="0"/>
              <w:rPr>
                <w:sz w:val="1"/>
                <w:szCs w:val="1"/>
                <w:color w:val="auto"/>
              </w:rPr>
            </w:pPr>
          </w:p>
        </w:tc>
      </w:tr>
      <w:tr>
        <w:trPr>
          <w:trHeight w:val="40"/>
        </w:trPr>
        <w:tc>
          <w:tcPr>
            <w:tcW w:w="3140" w:type="dxa"/>
            <w:vAlign w:val="bottom"/>
          </w:tcPr>
          <w:p>
            <w:pPr>
              <w:spacing w:after="0"/>
              <w:rPr>
                <w:sz w:val="3"/>
                <w:szCs w:val="3"/>
                <w:color w:val="auto"/>
              </w:rPr>
            </w:pPr>
          </w:p>
        </w:tc>
        <w:tc>
          <w:tcPr>
            <w:tcW w:w="296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bl>
    <w:p>
      <w:pPr>
        <w:sectPr>
          <w:pgSz w:w="11900" w:h="16838" w:orient="portrait"/>
          <w:cols w:equalWidth="0" w:num="2">
            <w:col w:w="3000" w:space="400"/>
            <w:col w:w="6560"/>
          </w:cols>
          <w:pgMar w:left="960" w:top="409" w:right="979" w:bottom="1440" w:gutter="0" w:footer="0" w:header="0"/>
        </w:sectPr>
      </w:pPr>
    </w:p>
    <w:bookmarkStart w:id="127" w:name="page128"/>
    <w:bookmarkEnd w:id="127"/>
    <w:p>
      <w:pPr>
        <w:spacing w:after="0" w:line="1" w:lineRule="exact"/>
        <w:rPr>
          <w:sz w:val="20"/>
          <w:szCs w:val="20"/>
          <w:color w:val="auto"/>
        </w:rPr>
      </w:pP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right="180"/>
        <w:spacing w:after="0" w:line="275" w:lineRule="auto"/>
        <w:rPr>
          <w:sz w:val="20"/>
          <w:szCs w:val="20"/>
          <w:color w:val="auto"/>
        </w:rPr>
      </w:pPr>
      <w:r>
        <w:rPr>
          <w:rFonts w:ascii="Times New Roman" w:cs="Times New Roman" w:eastAsia="Times New Roman" w:hAnsi="Times New Roman"/>
          <w:sz w:val="11"/>
          <w:szCs w:val="11"/>
          <w:color w:val="auto"/>
        </w:rPr>
        <w:t>developing technological innovations that make our innovations less relevant. In addition, reduced government funding and support for our R&amp;D activities could affect our ability to develop new technology or products.</w:t>
      </w:r>
    </w:p>
    <w:p>
      <w:pPr>
        <w:spacing w:after="0" w:line="55"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b w:val="1"/>
          <w:bCs w:val="1"/>
          <w:color w:val="auto"/>
        </w:rPr>
        <w:t>Inefficiencies, incidents, malfunctions or disruptions of information technology systems and processes could have a material adverse effect on our business and results of operations. As our business operations, including those we have outsourced, rely on complex IT systems, networks and related services, our reliance on the precautions taken by us and external companies to ensure the reliability of our own and third-party IT systems, networks and related services is increasing. Consequently, certain disruptions in IT systems and networks affecting us and our external providers could</w:t>
      </w:r>
    </w:p>
    <w:p>
      <w:pPr>
        <w:spacing w:after="0" w:line="3"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b w:val="1"/>
          <w:bCs w:val="1"/>
          <w:color w:val="auto"/>
        </w:rPr>
        <w:t xml:space="preserve">also have a material adverse effect on our business. </w:t>
      </w:r>
      <w:r>
        <w:rPr>
          <w:rFonts w:ascii="Times New Roman" w:cs="Times New Roman" w:eastAsia="Times New Roman" w:hAnsi="Times New Roman"/>
          <w:sz w:val="11"/>
          <w:szCs w:val="11"/>
          <w:color w:val="auto"/>
        </w:rPr>
        <w:t>All IT systems, networks and processes are potentially vulnerable to damage, incidents, malfunction or interruption from a variety of sources. Our own and customer-facing operations rely on the efficient and uninterrupted operation of complex and centralized IT systems, networks and processes, which are integrated with those of third parties. The ongoing migration to cloud-based architectures and network function virtualization has introduced further complexity and associated risk.</w:t>
      </w:r>
    </w:p>
    <w:p>
      <w:pPr>
        <w:spacing w:after="0" w:line="202"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We are, to a significant extent, relying on third parties for the provision of IT services. While we have outsourced certain functions, we have also increased our dependence on the reliability of external providers as well as on the security of communication with them. We may experience disruptions if our partners do not deliver as expected or if we are unable to successfully manage systems and processes together with our business partners. We will often need to use new service providers and may, due to technical developments or choices regarding technology, increase our reliance on certain new technologies, such as cloud, and certain other services that are used over the internet rather than using a traditional licensing model. Switching to new service providers and introducing new technologies is inherently risky and may expose us to an increased risk of disruptions in our operations, for instance due to network inefficiency or outage, a cybersecurity or a compliance incident, malfunctions, failure in disaster recovery or IT service continuity or other disruptions resulting from IT systems and processes.</w:t>
      </w:r>
    </w:p>
    <w:p>
      <w:pPr>
        <w:spacing w:after="0" w:line="200" w:lineRule="exact"/>
        <w:rPr>
          <w:sz w:val="20"/>
          <w:szCs w:val="20"/>
          <w:color w:val="auto"/>
        </w:rPr>
      </w:pPr>
    </w:p>
    <w:p>
      <w:pPr>
        <w:spacing w:after="0" w:line="2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We are constantly seeking to improve the quality and security of our IT systems. However, despite precautions taken by us, we may fail to successfully secure our IT and any malfunction or disruption of our current or future systems or networks, such</w:t>
      </w:r>
    </w:p>
    <w:p>
      <w:pPr>
        <w:spacing w:after="0" w:line="2" w:lineRule="exact"/>
        <w:rPr>
          <w:sz w:val="20"/>
          <w:szCs w:val="20"/>
          <w:color w:val="auto"/>
        </w:rPr>
      </w:pPr>
    </w:p>
    <w:p>
      <w:pPr>
        <w:ind w:right="140"/>
        <w:spacing w:after="0" w:line="263" w:lineRule="auto"/>
        <w:rPr>
          <w:sz w:val="20"/>
          <w:szCs w:val="20"/>
          <w:color w:val="auto"/>
        </w:rPr>
      </w:pPr>
      <w:r>
        <w:rPr>
          <w:rFonts w:ascii="Times New Roman" w:cs="Times New Roman" w:eastAsia="Times New Roman" w:hAnsi="Times New Roman"/>
          <w:sz w:val="11"/>
          <w:szCs w:val="11"/>
          <w:color w:val="auto"/>
        </w:rPr>
        <w:t>as an outage in a telecommunications network used by any of our IT systems, or a cybersecurity incident, such as an attack, malware, ransomware or other event that leads to an unanticipated interruption or malfunction of our IT systems, processes, networks or data leakages, could have a material adverse effect on our business, results of operations and brand value. A disruption of services relying on our IT, for instance, could cause significant discontent among customers and their end-users resulting in claims, contractual penalties or deterioration of our brand value. Further, while we are increasing our investments in digitalizing our operations and transforming our IT, the legacy IT systems may be gradually more vulnerable to malfunction, disruptions or security incidents than the new IT systems replacing them.</w:t>
      </w:r>
    </w:p>
    <w:p>
      <w:pPr>
        <w:spacing w:after="0" w:line="53"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b w:val="1"/>
          <w:bCs w:val="1"/>
          <w:color w:val="auto"/>
        </w:rPr>
        <w:t>We are exposed to risks related to information security. Our business model relies on solutions for distribution of services and software or data storage, which entail inherent risks relating not only to applicable regulatory regimes, but also to cybersecurity incidents and other unauthorized access to network data or other potential security risks that may adversely affect our business and/or compromise personal data.</w:t>
      </w:r>
    </w:p>
    <w:p>
      <w:pPr>
        <w:spacing w:after="0" w:line="2" w:lineRule="exact"/>
        <w:rPr>
          <w:sz w:val="20"/>
          <w:szCs w:val="20"/>
          <w:color w:val="auto"/>
        </w:rPr>
      </w:pPr>
    </w:p>
    <w:p>
      <w:pPr>
        <w:ind w:right="100" w:firstLine="1"/>
        <w:spacing w:after="0" w:line="264" w:lineRule="auto"/>
        <w:rPr>
          <w:sz w:val="20"/>
          <w:szCs w:val="20"/>
          <w:color w:val="auto"/>
        </w:rPr>
      </w:pPr>
      <w:r>
        <w:rPr>
          <w:rFonts w:ascii="Times New Roman" w:cs="Times New Roman" w:eastAsia="Times New Roman" w:hAnsi="Times New Roman"/>
          <w:sz w:val="11"/>
          <w:szCs w:val="11"/>
          <w:color w:val="auto"/>
        </w:rPr>
        <w:t>Our business and operations rely on confidentiality of proprietary and other sensitive information, for instance related to our employees and our customers, including our government customers. Our business models rely on certain centralized data processing solutions and cloud or remote delivery-based services for distribution of services and software or data storage, accessible by our partners or subcontractors according to the roles and responsibilities defined.</w:t>
      </w:r>
    </w:p>
    <w:p>
      <w:pPr>
        <w:spacing w:after="0" w:line="64" w:lineRule="exact"/>
        <w:rPr>
          <w:sz w:val="20"/>
          <w:szCs w:val="20"/>
          <w:color w:val="auto"/>
        </w:rPr>
      </w:pPr>
    </w:p>
    <w:p>
      <w:pPr>
        <w:ind w:right="200"/>
        <w:spacing w:after="0" w:line="265" w:lineRule="auto"/>
        <w:rPr>
          <w:sz w:val="20"/>
          <w:szCs w:val="20"/>
          <w:color w:val="auto"/>
        </w:rPr>
      </w:pPr>
      <w:r>
        <w:rPr>
          <w:rFonts w:ascii="Times New Roman" w:cs="Times New Roman" w:eastAsia="Times New Roman" w:hAnsi="Times New Roman"/>
          <w:sz w:val="11"/>
          <w:szCs w:val="11"/>
          <w:color w:val="auto"/>
        </w:rPr>
        <w:t>We, our subsidiaries and joint ventures, products and online services, marketing and developer sites and third parties that we contract have been and may in the future be subject to cybersecurity incidents, including hacking, ransomware, viruses, worms and other malicious software, unauthorized modifications, or illegal activities that may cause potential security risks and other harm to us, our customers or consumers and other end-users of our products and services. IT is rapidly evolving, the techniques used to obtain unauthorized access or sabotage systems change frequently and the parties behind cyber-attacks and other industrial</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120</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espionage are sophisticated and have extensive resources,</w:t>
      </w:r>
    </w:p>
    <w:p>
      <w:pPr>
        <w:spacing w:after="0" w:line="22" w:lineRule="exact"/>
        <w:rPr>
          <w:sz w:val="20"/>
          <w:szCs w:val="20"/>
          <w:color w:val="auto"/>
        </w:rPr>
      </w:pPr>
    </w:p>
    <w:p>
      <w:pPr>
        <w:ind w:right="260"/>
        <w:spacing w:after="0" w:line="263" w:lineRule="auto"/>
        <w:rPr>
          <w:sz w:val="20"/>
          <w:szCs w:val="20"/>
          <w:color w:val="auto"/>
        </w:rPr>
      </w:pPr>
      <w:r>
        <w:rPr>
          <w:rFonts w:ascii="Times New Roman" w:cs="Times New Roman" w:eastAsia="Times New Roman" w:hAnsi="Times New Roman"/>
          <w:sz w:val="11"/>
          <w:szCs w:val="11"/>
          <w:color w:val="auto"/>
        </w:rPr>
        <w:t>and it is not commercially or technically feasible to mitigate all known vulnerabilities in a timely manner or to eliminate all risk of cyber-attacks and data breaches. Additionally, we contract with multiple third parties in various jurisdictions who collect and use certain data on our behalf. Although we have processes in place designed to ensure appropriate collection, handling and use of such data, third parties may use the data inappropriately or breach laws and agreements in collecting, handling or using or leaking such data. Our business is also vulnerable to theft, fraud or other forms of deception, sabotage and intentional acts of vandalism by third parties and employees. Further, compared to our fully integrated group companies, our ability to mitigate and oversee risk of cyber-attacks and data breaches may be more limited in our joint venture companies and other group companies having their own governance and system infrastructure, such as our local service companies focusing on network field services.</w:t>
      </w:r>
    </w:p>
    <w:p>
      <w:pPr>
        <w:spacing w:after="0" w:line="193"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The cybersecurity incidents may lead to lengthy and costly incident response, remediation of the attack or breach, legal proceedings and fines imposed on us, as well as adverse effects to our reputation and brand value. Additionally, cyber-attacks can be difficult to prevent, detect or contain. We cannot rule out the possibility that there may have been cyber-attacks that have been successful and/or evaded our detection. We continue to invest in risk mitigating actions; however, there can be no assurance that such investments and actions will prevent or detect future cyber-attacks. Additionally, the cost and operational consequences of implementing further information system protection measures, especially</w:t>
      </w:r>
    </w:p>
    <w:p>
      <w:pPr>
        <w:spacing w:after="0" w:line="3" w:lineRule="exact"/>
        <w:rPr>
          <w:sz w:val="20"/>
          <w:szCs w:val="20"/>
          <w:color w:val="auto"/>
        </w:rPr>
      </w:pPr>
    </w:p>
    <w:p>
      <w:pPr>
        <w:ind w:right="400"/>
        <w:spacing w:after="0" w:line="263" w:lineRule="auto"/>
        <w:rPr>
          <w:sz w:val="20"/>
          <w:szCs w:val="20"/>
          <w:color w:val="auto"/>
        </w:rPr>
      </w:pPr>
      <w:r>
        <w:rPr>
          <w:rFonts w:ascii="Times New Roman" w:cs="Times New Roman" w:eastAsia="Times New Roman" w:hAnsi="Times New Roman"/>
          <w:sz w:val="11"/>
          <w:szCs w:val="11"/>
          <w:color w:val="auto"/>
        </w:rPr>
        <w:t>if prescribed by national authorities, could be significant. We may not be successful in implementing such measures in due time, which could lead to business disruptions and the implementation to be more expensive, time-consuming and resource intensive. The regulatory framework around responding to and disclosing such events is in flux. We may not be able to comply with the regulations that must be implemented or such compliance may negatively impact our ability to deal with the underlying event.</w:t>
      </w:r>
    </w:p>
    <w:p>
      <w:pPr>
        <w:spacing w:after="0" w:line="65"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In connection with providing products and services to our customers, certain personal and consumer data is collected, stored and processed through us, either by us or by our business partners or subcontractors in various jurisdictions. Loss, improper disclosure or processing or leakage of any personal or consumer data collected by us, or which is made</w:t>
      </w:r>
    </w:p>
    <w:p>
      <w:pPr>
        <w:sectPr>
          <w:pgSz w:w="11900" w:h="16838" w:orient="portrait"/>
          <w:cols w:equalWidth="0" w:num="3">
            <w:col w:w="2920" w:space="480"/>
            <w:col w:w="2980" w:space="420"/>
            <w:col w:w="3180"/>
          </w:cols>
          <w:pgMar w:left="960" w:top="409" w:right="959" w:bottom="1440" w:gutter="0" w:footer="0" w:header="0"/>
        </w:sectPr>
      </w:pPr>
    </w:p>
    <w:bookmarkStart w:id="128" w:name="page129"/>
    <w:bookmarkEnd w:id="12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available to us or our partners or subcontractors or stored</w:t>
      </w:r>
    </w:p>
    <w:p>
      <w:pPr>
        <w:spacing w:after="0" w:line="22" w:lineRule="exact"/>
        <w:rPr>
          <w:sz w:val="20"/>
          <w:szCs w:val="20"/>
          <w:color w:val="auto"/>
        </w:rPr>
      </w:pPr>
    </w:p>
    <w:p>
      <w:pPr>
        <w:ind w:right="60"/>
        <w:spacing w:after="0" w:line="267" w:lineRule="auto"/>
        <w:rPr>
          <w:sz w:val="20"/>
          <w:szCs w:val="20"/>
          <w:color w:val="auto"/>
        </w:rPr>
      </w:pPr>
      <w:r>
        <w:rPr>
          <w:rFonts w:ascii="Times New Roman" w:cs="Times New Roman" w:eastAsia="Times New Roman" w:hAnsi="Times New Roman"/>
          <w:sz w:val="11"/>
          <w:szCs w:val="11"/>
          <w:color w:val="auto"/>
        </w:rPr>
        <w:t>in or through our products and services, could have a material adverse effect on us and harm our reputation and brand. Additionally, governmental authorities may misuse our network products to access the personal data of individuals without our involvement; for example, through the so-called lawful intercept capabilities of network infrastructure, impairing our reputation.</w:t>
      </w:r>
    </w:p>
    <w:p>
      <w:pPr>
        <w:spacing w:after="0" w:line="189"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b w:val="1"/>
          <w:bCs w:val="1"/>
          <w:color w:val="auto"/>
        </w:rPr>
        <w:t>We may face problems or disruptions in manufacturing, service creation, delivery, logistics or supply chain. Such challenges include securing availability of resources or components to meet the demand, ability to adapt supply, defects in products or related software or services, and achieving required efficiencies and flexibility. Our suppliers and partners may fail to meet product quality, health, safety or security requirements or comply with other regulations or local laws, such as environmental, social or labor laws. Additionally, adverse events, such as geopolitical disruptions, natural or man-made disasters, civil unrest or health crises, have and may continue to have an impact on our service delivery, production sites or the production sites of our suppliers and partners which are geographically concentrated.</w:t>
      </w:r>
    </w:p>
    <w:p>
      <w:pPr>
        <w:spacing w:after="0" w:line="7" w:lineRule="exact"/>
        <w:rPr>
          <w:sz w:val="20"/>
          <w:szCs w:val="20"/>
          <w:color w:val="auto"/>
        </w:rPr>
      </w:pPr>
    </w:p>
    <w:p>
      <w:pPr>
        <w:ind w:right="120"/>
        <w:spacing w:after="0" w:line="260" w:lineRule="auto"/>
        <w:rPr>
          <w:sz w:val="20"/>
          <w:szCs w:val="20"/>
          <w:color w:val="auto"/>
        </w:rPr>
      </w:pPr>
      <w:r>
        <w:rPr>
          <w:rFonts w:ascii="Times New Roman" w:cs="Times New Roman" w:eastAsia="Times New Roman" w:hAnsi="Times New Roman"/>
          <w:sz w:val="11"/>
          <w:szCs w:val="11"/>
          <w:color w:val="auto"/>
        </w:rPr>
        <w:t>We have an extensive supply network, including a geographically dispersed manufacturing network consisting of both our own manufacturing and contract manufacturing partners. We, or third parties that we have outsourced manufacturing and services delivery to, may experience difficulties in adapting supply to meet the changing customer demand, ramping up and down production, adjusting network implementation capabilities as needed on a timely basis, maintaining an optimal inventory level, adopting new manufacturing processes, finding the most timely way to develop the best technical manufacturing solutions for new products, managing the increasingly complex manufacturing process, service creation and delivery process or achieving required efficiencies and flexibility. In addition, these operations are exposed to various risks and potential liabilities, including those related to geopolitics,transition to low carbon</w:t>
      </w:r>
    </w:p>
    <w:p>
      <w:pPr>
        <w:spacing w:after="0" w:line="8" w:lineRule="exact"/>
        <w:rPr>
          <w:sz w:val="20"/>
          <w:szCs w:val="20"/>
          <w:color w:val="auto"/>
        </w:rPr>
      </w:pPr>
    </w:p>
    <w:p>
      <w:pPr>
        <w:spacing w:after="0"/>
        <w:tabs>
          <w:tab w:leader="none" w:pos="1820" w:val="left"/>
        </w:tabs>
        <w:rPr>
          <w:sz w:val="20"/>
          <w:szCs w:val="20"/>
          <w:color w:val="auto"/>
        </w:rPr>
      </w:pPr>
      <w:r>
        <w:rPr>
          <w:rFonts w:ascii="Times New Roman" w:cs="Times New Roman" w:eastAsia="Times New Roman" w:hAnsi="Times New Roman"/>
          <w:sz w:val="11"/>
          <w:szCs w:val="11"/>
          <w:color w:val="auto"/>
        </w:rPr>
        <w:t>economy, compliance with laws and</w:t>
      </w:r>
      <w:r>
        <w:rPr>
          <w:sz w:val="20"/>
          <w:szCs w:val="20"/>
          <w:color w:val="auto"/>
        </w:rPr>
        <w:tab/>
      </w:r>
      <w:r>
        <w:rPr>
          <w:rFonts w:ascii="Times New Roman" w:cs="Times New Roman" w:eastAsia="Times New Roman" w:hAnsi="Times New Roman"/>
          <w:sz w:val="11"/>
          <w:szCs w:val="11"/>
          <w:color w:val="auto"/>
        </w:rPr>
        <w:t>regulations, exposure</w:t>
      </w:r>
    </w:p>
    <w:p>
      <w:pPr>
        <w:spacing w:after="0" w:line="10" w:lineRule="exact"/>
        <w:rPr>
          <w:sz w:val="20"/>
          <w:szCs w:val="20"/>
          <w:color w:val="auto"/>
        </w:rPr>
      </w:pPr>
    </w:p>
    <w:p>
      <w:pPr>
        <w:spacing w:after="0"/>
        <w:tabs>
          <w:tab w:leader="none" w:pos="2080" w:val="left"/>
        </w:tabs>
        <w:rPr>
          <w:sz w:val="20"/>
          <w:szCs w:val="20"/>
          <w:color w:val="auto"/>
        </w:rPr>
      </w:pPr>
      <w:r>
        <w:rPr>
          <w:rFonts w:ascii="Times New Roman" w:cs="Times New Roman" w:eastAsia="Times New Roman" w:hAnsi="Times New Roman"/>
          <w:sz w:val="11"/>
          <w:szCs w:val="11"/>
          <w:color w:val="auto"/>
        </w:rPr>
        <w:t>to environmental liabilities or other claims</w:t>
      </w:r>
      <w:r>
        <w:rPr>
          <w:sz w:val="20"/>
          <w:szCs w:val="20"/>
          <w:color w:val="auto"/>
        </w:rPr>
        <w:tab/>
      </w:r>
      <w:r>
        <w:rPr>
          <w:rFonts w:ascii="Times New Roman" w:cs="Times New Roman" w:eastAsia="Times New Roman" w:hAnsi="Times New Roman"/>
          <w:sz w:val="11"/>
          <w:szCs w:val="11"/>
          <w:color w:val="auto"/>
        </w:rPr>
        <w:t>. In addition to</w:t>
      </w:r>
    </w:p>
    <w:p>
      <w:pPr>
        <w:spacing w:after="0" w:line="10" w:lineRule="exact"/>
        <w:rPr>
          <w:sz w:val="20"/>
          <w:szCs w:val="20"/>
          <w:color w:val="auto"/>
        </w:rPr>
      </w:pPr>
    </w:p>
    <w:p>
      <w:pPr>
        <w:ind w:right="240"/>
        <w:spacing w:after="0" w:line="286" w:lineRule="auto"/>
        <w:rPr>
          <w:sz w:val="20"/>
          <w:szCs w:val="20"/>
          <w:color w:val="auto"/>
        </w:rPr>
      </w:pPr>
      <w:r>
        <w:rPr>
          <w:rFonts w:ascii="Times New Roman" w:cs="Times New Roman" w:eastAsia="Times New Roman" w:hAnsi="Times New Roman"/>
          <w:sz w:val="11"/>
          <w:szCs w:val="11"/>
          <w:color w:val="auto"/>
        </w:rPr>
        <w:t>operational complexity, these may increase our costs related to our supply chain.</w:t>
      </w:r>
    </w:p>
    <w:p>
      <w:pPr>
        <w:spacing w:after="0" w:line="51" w:lineRule="exact"/>
        <w:rPr>
          <w:sz w:val="20"/>
          <w:szCs w:val="20"/>
          <w:color w:val="auto"/>
        </w:rPr>
      </w:pPr>
    </w:p>
    <w:p>
      <w:pPr>
        <w:ind w:right="200"/>
        <w:spacing w:after="0" w:line="279" w:lineRule="auto"/>
        <w:rPr>
          <w:sz w:val="20"/>
          <w:szCs w:val="20"/>
          <w:color w:val="auto"/>
        </w:rPr>
      </w:pPr>
      <w:r>
        <w:rPr>
          <w:rFonts w:ascii="Times New Roman" w:cs="Times New Roman" w:eastAsia="Times New Roman" w:hAnsi="Times New Roman"/>
          <w:sz w:val="11"/>
          <w:szCs w:val="11"/>
          <w:color w:val="auto"/>
        </w:rPr>
        <w:t>Our manufacturing operations depend on obtaining sufficient quantities of fully functional products, components, sub-assemblies, software, services, energy and other resources</w:t>
      </w:r>
    </w:p>
    <w:p>
      <w:pPr>
        <w:spacing w:after="0" w:line="1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on a timely basis. In certain cases, a particular component or service may be available only from a limited number of suppliers or from a single supplier in the supply chain. Suppliers have and may, from time to time, extend lead times, limit supplies, change their partner preferences, increase prices, provide poor quality supplies or be unable to adapt to changes in demand due to capacity constraints or other factors, which could adversely affect our ability to deliver our products and services on a timely basis or increase our costs. For example, the global semiconductor components shortage constrained our deliveries and the continuing uncertainty around components, raw material availability and potential energy shortages in the market limit our visibility and may continue to have an impact on our ability to supply to our customers and increase our costs. We are working closely not only with our suppliers to ensure component availability but also with our customers to ensure we can meet their needs. We are also building up critical material buffers to be prepared to balance short-term disruptions. Many of our competitors and also companies from other industries utilize the same contract manufacturers, component suppliers and service vendors.</w:t>
      </w:r>
    </w:p>
    <w:p>
      <w:pPr>
        <w:spacing w:after="0" w:line="127" w:lineRule="exact"/>
        <w:rPr>
          <w:sz w:val="20"/>
          <w:szCs w:val="20"/>
          <w:color w:val="auto"/>
        </w:rPr>
      </w:pPr>
    </w:p>
    <w:p>
      <w:pPr>
        <w:ind w:right="160"/>
        <w:spacing w:after="0" w:line="266" w:lineRule="auto"/>
        <w:rPr>
          <w:sz w:val="20"/>
          <w:szCs w:val="20"/>
          <w:color w:val="auto"/>
        </w:rPr>
      </w:pPr>
      <w:r>
        <w:rPr>
          <w:rFonts w:ascii="Times New Roman" w:cs="Times New Roman" w:eastAsia="Times New Roman" w:hAnsi="Times New Roman"/>
          <w:sz w:val="11"/>
          <w:szCs w:val="11"/>
          <w:color w:val="auto"/>
        </w:rPr>
        <w:t>If they have purchased capacity or components ahead of us, or if there is significant consolidation in the relevant supplier base, this could prevent us from acquiring the required components or services, which could limit our ability to supply our customers and increase our costs.</w:t>
      </w:r>
    </w:p>
    <w:p>
      <w:pPr>
        <w:spacing w:after="0" w:line="61"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Our products are highly complex and defects in their design, manufacture and associated hardware, software, content and installation have occurred in the past and may continue to occur in the future. Quality issues may cause, for instance, delays in deliveries, loss of intellectual property, liabilities for network outages, court fees and fines due to breaches of significantly increasing regulatory privacy requirements and related negative publicity, and additional repair, product replacement or warranty costs to us, and harm our reputation and our ability to sustain or obtain business with our current and potential customers. With respect to our services, quality issues may relate to the challenges of having the services fully operational at the time they are made available to our customers and maintaining them on an ongoing basis. We may also be subject to damages due to product liability claims arising from defective products and components. We make provisions to cover our estimated warranty costs for our products and pending liability claims. We believe our provisions are appropriate, although the ultimate outcome may materially</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121</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420"/>
        <w:spacing w:after="0" w:line="309" w:lineRule="auto"/>
        <w:rPr>
          <w:sz w:val="20"/>
          <w:szCs w:val="20"/>
          <w:color w:val="auto"/>
        </w:rPr>
      </w:pPr>
      <w:r>
        <w:rPr>
          <w:rFonts w:ascii="Times New Roman" w:cs="Times New Roman" w:eastAsia="Times New Roman" w:hAnsi="Times New Roman"/>
          <w:sz w:val="11"/>
          <w:szCs w:val="11"/>
          <w:color w:val="auto"/>
        </w:rPr>
        <w:t>differ from the provisions that are provided for, which could have a material adverse effect on us.</w:t>
      </w:r>
    </w:p>
    <w:p>
      <w:pPr>
        <w:spacing w:after="0" w:line="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 large proportion of our manufacturing, service creation and</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delivery is carried out by third-party suppliers. These vary in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size and often engage a number of tiers of suppliers, which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limits our direct control. Suppliers may fail to meet our supplier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requirements, such as product quality, safety, security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other standards of us and our customers. Certain suppliers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may not comply with local laws, including, among others, local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labor law, health and safety or environmental requirements.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activities we manage or that are managed by third parties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 us may also be subject to negative publicity and purchasing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boycotts, strikes or other forms of social, political, economic</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environmental activism. These all can lead to exposure</w:t>
      </w:r>
    </w:p>
    <w:p>
      <w:pPr>
        <w:spacing w:after="0" w:line="10" w:lineRule="exact"/>
        <w:rPr>
          <w:sz w:val="20"/>
          <w:szCs w:val="20"/>
          <w:color w:val="auto"/>
        </w:rPr>
      </w:pPr>
    </w:p>
    <w:p>
      <w:pPr>
        <w:ind w:right="560"/>
        <w:spacing w:after="0" w:line="278" w:lineRule="auto"/>
        <w:rPr>
          <w:sz w:val="20"/>
          <w:szCs w:val="20"/>
          <w:color w:val="auto"/>
        </w:rPr>
      </w:pPr>
      <w:r>
        <w:rPr>
          <w:rFonts w:ascii="Times New Roman" w:cs="Times New Roman" w:eastAsia="Times New Roman" w:hAnsi="Times New Roman"/>
          <w:sz w:val="11"/>
          <w:szCs w:val="11"/>
          <w:color w:val="auto"/>
        </w:rPr>
        <w:t>in the form of litigation, product recalls or brand damage through association.</w:t>
      </w:r>
    </w:p>
    <w:p>
      <w:pPr>
        <w:spacing w:after="0" w:line="54" w:lineRule="exact"/>
        <w:rPr>
          <w:sz w:val="20"/>
          <w:szCs w:val="20"/>
          <w:color w:val="auto"/>
        </w:rPr>
      </w:pPr>
    </w:p>
    <w:p>
      <w:pPr>
        <w:ind w:right="200"/>
        <w:spacing w:after="0" w:line="262" w:lineRule="auto"/>
        <w:rPr>
          <w:sz w:val="20"/>
          <w:szCs w:val="20"/>
          <w:color w:val="auto"/>
        </w:rPr>
      </w:pPr>
      <w:r>
        <w:rPr>
          <w:rFonts w:ascii="Times New Roman" w:cs="Times New Roman" w:eastAsia="Times New Roman" w:hAnsi="Times New Roman"/>
          <w:sz w:val="11"/>
          <w:szCs w:val="11"/>
          <w:color w:val="auto"/>
        </w:rPr>
        <w:t>Many of our production sites or the production sites of our suppliers and partners are geographically concentrated, with a majority of such suppliers and partners based in Asia. We rely on efficient logistics chain elements, such as regional distribution hubs and transport chain elements (main ports, streets and airways). We are working on gradually increasing the regionalization of our supply network to increase resilience. However, in the event that any of these geographic areas are affected by any adverse conditions that disrupt production</w:t>
      </w:r>
    </w:p>
    <w:p>
      <w:pPr>
        <w:spacing w:after="0" w:line="3" w:lineRule="exact"/>
        <w:rPr>
          <w:sz w:val="20"/>
          <w:szCs w:val="20"/>
          <w:color w:val="auto"/>
        </w:rPr>
      </w:pPr>
    </w:p>
    <w:p>
      <w:pPr>
        <w:ind w:right="160"/>
        <w:spacing w:after="0" w:line="262" w:lineRule="auto"/>
        <w:rPr>
          <w:sz w:val="20"/>
          <w:szCs w:val="20"/>
          <w:color w:val="auto"/>
        </w:rPr>
      </w:pPr>
      <w:r>
        <w:rPr>
          <w:rFonts w:ascii="Times New Roman" w:cs="Times New Roman" w:eastAsia="Times New Roman" w:hAnsi="Times New Roman"/>
          <w:sz w:val="11"/>
          <w:szCs w:val="11"/>
          <w:color w:val="auto"/>
        </w:rPr>
        <w:t>or deliveries from our suppliers and partners, such as trade restrictions, severe impacts of environmental events, geopolitical events, man-made or natural disasters (for instance, flooding, heavy rain or extreme heat that climate change is expected to further intensify or current unrest by the Red Sea), war, civil unrest or health crises such as the COVID-19 pandemic, our ability to deliver our products on a timely basis could be adversely affected. In a similar manner, these adverse conditions may also cause disruption to our service creation and delivery, which, in either case, may lead to a material adverse effect on our business and results of operations.</w:t>
      </w:r>
    </w:p>
    <w:p>
      <w:pPr>
        <w:spacing w:after="0" w:line="65" w:lineRule="exact"/>
        <w:rPr>
          <w:sz w:val="20"/>
          <w:szCs w:val="20"/>
          <w:color w:val="auto"/>
        </w:rPr>
      </w:pPr>
    </w:p>
    <w:p>
      <w:pPr>
        <w:ind w:right="200"/>
        <w:spacing w:after="0" w:line="264" w:lineRule="auto"/>
        <w:rPr>
          <w:sz w:val="20"/>
          <w:szCs w:val="20"/>
          <w:color w:val="auto"/>
        </w:rPr>
      </w:pPr>
      <w:r>
        <w:rPr>
          <w:rFonts w:ascii="Times New Roman" w:cs="Times New Roman" w:eastAsia="Times New Roman" w:hAnsi="Times New Roman"/>
          <w:sz w:val="11"/>
          <w:szCs w:val="11"/>
          <w:b w:val="1"/>
          <w:bCs w:val="1"/>
          <w:color w:val="auto"/>
        </w:rPr>
        <w:t>Competition for employees and leaders is increasing globally. We may be unable to retain, motivate, develop, reskill and recruit appropriately skilled employees or we may fail in workforce balancing. Employees may face change fatigue or reduction in motivation and energy as our efforts to evolve our business and improve efficiency continue.</w:t>
      </w:r>
    </w:p>
    <w:p>
      <w:pPr>
        <w:spacing w:after="0" w:line="3" w:lineRule="exact"/>
        <w:rPr>
          <w:sz w:val="20"/>
          <w:szCs w:val="20"/>
          <w:color w:val="auto"/>
        </w:rPr>
      </w:pPr>
    </w:p>
    <w:p>
      <w:pPr>
        <w:ind w:right="320"/>
        <w:spacing w:after="0" w:line="278" w:lineRule="auto"/>
        <w:rPr>
          <w:sz w:val="20"/>
          <w:szCs w:val="20"/>
          <w:color w:val="auto"/>
        </w:rPr>
      </w:pPr>
      <w:r>
        <w:rPr>
          <w:rFonts w:ascii="Times New Roman" w:cs="Times New Roman" w:eastAsia="Times New Roman" w:hAnsi="Times New Roman"/>
          <w:sz w:val="11"/>
          <w:szCs w:val="11"/>
          <w:color w:val="auto"/>
        </w:rPr>
        <w:t>Our success in executing our strategy, to address opportunities in new technologies and business models and customer</w:t>
      </w:r>
    </w:p>
    <w:p>
      <w:pPr>
        <w:sectPr>
          <w:pgSz w:w="11900" w:h="16838" w:orient="portrait"/>
          <w:cols w:equalWidth="0" w:num="3">
            <w:col w:w="3000" w:space="400"/>
            <w:col w:w="2960" w:space="440"/>
            <w:col w:w="3180"/>
          </w:cols>
          <w:pgMar w:left="960" w:top="409" w:right="959" w:bottom="1440" w:gutter="0" w:footer="0" w:header="0"/>
        </w:sectPr>
      </w:pPr>
    </w:p>
    <w:bookmarkStart w:id="129" w:name="page130"/>
    <w:bookmarkEnd w:id="12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segments in particular, requires and is dependent on our ability to retain, motivate, develop, reskill and recruit appropriately skilled employees and in particular those with relevant technical expertise. Our workforce has fluctuated over recent years as we have introduced changes in our strategy to respond to</w:t>
      </w:r>
    </w:p>
    <w:p>
      <w:pPr>
        <w:spacing w:after="0" w:line="1" w:lineRule="exact"/>
        <w:rPr>
          <w:sz w:val="20"/>
          <w:szCs w:val="20"/>
          <w:color w:val="auto"/>
        </w:rPr>
      </w:pPr>
    </w:p>
    <w:p>
      <w:pPr>
        <w:ind w:right="80"/>
        <w:spacing w:after="0" w:line="262" w:lineRule="auto"/>
        <w:rPr>
          <w:sz w:val="20"/>
          <w:szCs w:val="20"/>
          <w:color w:val="auto"/>
        </w:rPr>
      </w:pPr>
      <w:r>
        <w:rPr>
          <w:rFonts w:ascii="Times New Roman" w:cs="Times New Roman" w:eastAsia="Times New Roman" w:hAnsi="Times New Roman"/>
          <w:sz w:val="11"/>
          <w:szCs w:val="11"/>
          <w:color w:val="auto"/>
        </w:rPr>
        <w:t>our business targets and endeavors. In October 2023, we announced strategic and operational changes to our business and a program to reset our cost base. The program is expected to lead to a 72 000 to 77 000-employee organization compared to the 86 000 employees Nokia has today. Such changes and uncertainty may cause disruption, fatigue and dissatisfaction among employees as our efforts to evolve our business and maximize operational efficiency continue. Employee motivation, energy, focus, morale and productivity may be reduced, causing inefficiencies and other problems across the organization resulting in the loss of key employees and increased costs in resolving and addressing such matters. The loss of key employees could result in resource gaps, some of which may only be noticed after a certain period of time or which negatively impact our relationship with customers, vendors or other business partners.</w:t>
      </w:r>
    </w:p>
    <w:p>
      <w:pPr>
        <w:spacing w:after="0" w:line="64"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Our efforts to rebalance our workforce as planned may fail, for instance due to legal restrictions or collective bargaining agreements, which may result in a non-optimal workforce, larger than expected costs and not meeting our financial targets for such plans. Our inability to negotiate successfully with employee representatives or failures in our relationships with such representatives could result in strikes and other industrial actions by the employees which may in turn result in significant disruption in our day-to-day operations and higher ongoing labor costs. The market for skilled employees is increasingly competitive, particularly given the similar technology trends affecting various industries simultaneously and increased remote working expanding the job market for individual employees. We have encountered, and may in the future encounter, shortages of appropriately skilled employees or lose key employees or senior management. There can be no assurances that we will be able to implement measures successfully to retain or hire the employees we need. This may require significant time, attention and resources from our senior management and other key employees within our organization and may result in increased costs or otherwise have a material adverse effect on us.</w:t>
      </w:r>
    </w:p>
    <w:p>
      <w:pPr>
        <w:spacing w:after="0" w:line="194" w:lineRule="exact"/>
        <w:rPr>
          <w:sz w:val="20"/>
          <w:szCs w:val="20"/>
          <w:color w:val="auto"/>
        </w:rPr>
      </w:pPr>
    </w:p>
    <w:p>
      <w:pPr>
        <w:ind w:right="80"/>
        <w:spacing w:after="0" w:line="309" w:lineRule="auto"/>
        <w:rPr>
          <w:sz w:val="20"/>
          <w:szCs w:val="20"/>
          <w:color w:val="auto"/>
        </w:rPr>
      </w:pPr>
      <w:r>
        <w:rPr>
          <w:rFonts w:ascii="Times New Roman" w:cs="Times New Roman" w:eastAsia="Times New Roman" w:hAnsi="Times New Roman"/>
          <w:sz w:val="11"/>
          <w:szCs w:val="11"/>
          <w:color w:val="auto"/>
        </w:rPr>
        <w:t>In response to our experience during the COVID-19 pandemic and our employees’ feedback, we provide flexibility for</w:t>
      </w:r>
    </w:p>
    <w:p>
      <w:pPr>
        <w:spacing w:after="0" w:line="1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1"/>
          <w:szCs w:val="11"/>
          <w:color w:val="auto"/>
        </w:rPr>
        <w:t>employees to work up to three days a week remotely and increased support for flexible working hours and fully virtual working. With the permanently increasing share of remote working, there is a risk that we may be exposed to a larger extent than before to impacts related to remote work and arranging the home office, such as increased attrition, decreased creativity or productivity of employees, supervising working hours, challenges in identifying, assessing and supporting employees in stress or poor mental health, inability to help employees to work safely in their home office environment or developing and supervising the execution of related internal policies leading to potential health issues and litigation.</w:t>
      </w:r>
    </w:p>
    <w:p>
      <w:pPr>
        <w:spacing w:after="0" w:line="64" w:lineRule="exact"/>
        <w:rPr>
          <w:sz w:val="20"/>
          <w:szCs w:val="20"/>
          <w:color w:val="auto"/>
        </w:rPr>
      </w:pPr>
    </w:p>
    <w:p>
      <w:pPr>
        <w:ind w:right="280"/>
        <w:spacing w:after="0" w:line="274" w:lineRule="auto"/>
        <w:rPr>
          <w:sz w:val="20"/>
          <w:szCs w:val="20"/>
          <w:color w:val="auto"/>
        </w:rPr>
      </w:pPr>
      <w:r>
        <w:rPr>
          <w:rFonts w:ascii="Times New Roman" w:cs="Times New Roman" w:eastAsia="Times New Roman" w:hAnsi="Times New Roman"/>
          <w:sz w:val="13"/>
          <w:szCs w:val="13"/>
          <w:color w:val="auto"/>
        </w:rPr>
        <w:t>Risks associated with intellectual property rights, technology and brand licensing</w:t>
      </w:r>
    </w:p>
    <w:p>
      <w:pPr>
        <w:spacing w:after="0" w:line="264" w:lineRule="auto"/>
        <w:rPr>
          <w:sz w:val="20"/>
          <w:szCs w:val="20"/>
          <w:color w:val="auto"/>
        </w:rPr>
      </w:pPr>
      <w:r>
        <w:rPr>
          <w:rFonts w:ascii="Times New Roman" w:cs="Times New Roman" w:eastAsia="Times New Roman" w:hAnsi="Times New Roman"/>
          <w:sz w:val="11"/>
          <w:szCs w:val="11"/>
          <w:b w:val="1"/>
          <w:bCs w:val="1"/>
          <w:color w:val="auto"/>
        </w:rPr>
        <w:t>Our patent licensing income and other intellectual property-related revenues are subject to risks and uncertainties such as our ability to maintain our existing sources of intellectual property-related revenue, establish new sources of revenue and protect our intellectual property from infringement.</w:t>
      </w:r>
    </w:p>
    <w:p>
      <w:pPr>
        <w:spacing w:after="0" w:line="1" w:lineRule="exact"/>
        <w:rPr>
          <w:sz w:val="20"/>
          <w:szCs w:val="20"/>
          <w:color w:val="auto"/>
        </w:rPr>
      </w:pPr>
    </w:p>
    <w:p>
      <w:pPr>
        <w:ind w:right="40"/>
        <w:spacing w:after="0" w:line="259" w:lineRule="auto"/>
        <w:rPr>
          <w:sz w:val="20"/>
          <w:szCs w:val="20"/>
          <w:color w:val="auto"/>
        </w:rPr>
      </w:pPr>
      <w:r>
        <w:rPr>
          <w:rFonts w:ascii="Times New Roman" w:cs="Times New Roman" w:eastAsia="Times New Roman" w:hAnsi="Times New Roman"/>
          <w:sz w:val="11"/>
          <w:szCs w:val="11"/>
          <w:b w:val="1"/>
          <w:bCs w:val="1"/>
          <w:color w:val="auto"/>
        </w:rPr>
        <w:t>A proportionally significant share of the current patent licensing income is generated from the smartphone market, which is rapidly changing and features a limited number of large vendors.</w:t>
      </w:r>
    </w:p>
    <w:p>
      <w:pPr>
        <w:ind w:right="120"/>
        <w:spacing w:after="0" w:line="262" w:lineRule="auto"/>
        <w:rPr>
          <w:sz w:val="20"/>
          <w:szCs w:val="20"/>
          <w:color w:val="auto"/>
        </w:rPr>
      </w:pPr>
      <w:r>
        <w:rPr>
          <w:rFonts w:ascii="Times New Roman" w:cs="Times New Roman" w:eastAsia="Times New Roman" w:hAnsi="Times New Roman"/>
          <w:sz w:val="11"/>
          <w:szCs w:val="11"/>
          <w:color w:val="auto"/>
        </w:rPr>
        <w:t>The continued strength of our intellectual property portfolios depends on our ability to create new relevant technologies, products and services through our R&amp;D activities and to protect our intellectual property rights (IPR). If those technologies, products and services do not become relevant, and therefore attractive to potential licensees, the strength of our intellectual property portfolios could be reduced. Despite the steps that we have taken to protect our technology investments with IPR, we cannot be certain that any rights or pending applications will be granted or that the rights granted in connection with any future patents or other IPR will be valid and sufficiently broad to protect our innovations and maintain the relative strength of our portfolio. Third parties may infringe our intellectual property relating to our proprietary technologies or disregard their obligation to seek necessary licenses under our patents or seek to pay less than reasonable licensing fees. As a result, we may be unable to continue to develop or protect our intellectual property-related revenue or establish new sources of revenue.</w:t>
      </w:r>
    </w:p>
    <w:p>
      <w:pPr>
        <w:spacing w:after="0" w:line="198" w:lineRule="exact"/>
        <w:rPr>
          <w:sz w:val="20"/>
          <w:szCs w:val="20"/>
          <w:color w:val="auto"/>
        </w:rPr>
      </w:pPr>
    </w:p>
    <w:p>
      <w:pPr>
        <w:ind w:right="240"/>
        <w:spacing w:after="0" w:line="309" w:lineRule="auto"/>
        <w:rPr>
          <w:sz w:val="20"/>
          <w:szCs w:val="20"/>
          <w:color w:val="auto"/>
        </w:rPr>
      </w:pPr>
      <w:r>
        <w:rPr>
          <w:rFonts w:ascii="Times New Roman" w:cs="Times New Roman" w:eastAsia="Times New Roman" w:hAnsi="Times New Roman"/>
          <w:sz w:val="11"/>
          <w:szCs w:val="11"/>
          <w:color w:val="auto"/>
        </w:rPr>
        <w:t>Regulatory and other developments regarding protection awarded to technology innovations or compensation trends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122</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300"/>
        <w:spacing w:after="0" w:line="263" w:lineRule="auto"/>
        <w:rPr>
          <w:sz w:val="20"/>
          <w:szCs w:val="20"/>
          <w:color w:val="auto"/>
        </w:rPr>
      </w:pPr>
      <w:r>
        <w:rPr>
          <w:rFonts w:ascii="Times New Roman" w:cs="Times New Roman" w:eastAsia="Times New Roman" w:hAnsi="Times New Roman"/>
          <w:sz w:val="11"/>
          <w:szCs w:val="11"/>
          <w:color w:val="auto"/>
        </w:rPr>
        <w:t>with respect to licensing may impact our ability to protect, monetize or divest our intellectual property. Any patents or other IPR may be challenged, invalidated or circumvented, and any right granted under our patents may not provide competitive advantages for us. In the technology sector generally, certain licensees are actively avoiding concluding license agreements on fair and reasonable commercial terms, or are withholding making license payments, while some suggest that licensors may be able to collect unreasonably high license payments, with both behaviors attracting regulatory attention. Authorities in various countries have increasingly monitored patent monetization and may aim to influence</w:t>
      </w:r>
    </w:p>
    <w:p>
      <w:pPr>
        <w:spacing w:after="0" w:line="2"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the terms on which patent licensing arrangements or patent divestments may be executed, which could compromise control over or protection of our technology and proprietary information. Such terms may be limited to a certain country or region; however, authorities could potentially seek to widen the scope and even impose global terms, potentially resulting in an adverse effect on us or limiting our ability to monetize our patent portfolios.</w:t>
      </w:r>
    </w:p>
    <w:p>
      <w:pPr>
        <w:spacing w:after="0" w:line="53" w:lineRule="exact"/>
        <w:rPr>
          <w:sz w:val="20"/>
          <w:szCs w:val="20"/>
          <w:color w:val="auto"/>
        </w:rPr>
      </w:pPr>
    </w:p>
    <w:p>
      <w:pPr>
        <w:ind w:right="340"/>
        <w:spacing w:after="0" w:line="264" w:lineRule="auto"/>
        <w:rPr>
          <w:sz w:val="20"/>
          <w:szCs w:val="20"/>
          <w:color w:val="auto"/>
        </w:rPr>
      </w:pPr>
      <w:r>
        <w:rPr>
          <w:rFonts w:ascii="Times New Roman" w:cs="Times New Roman" w:eastAsia="Times New Roman" w:hAnsi="Times New Roman"/>
          <w:sz w:val="11"/>
          <w:szCs w:val="11"/>
          <w:color w:val="auto"/>
        </w:rPr>
        <w:t>There is no assurance that past levels are indicative of future levels of intellectual property-related revenue. Poor performance by any of Nokia’s patent, technology or brand licensees may impact Nokia financially, for example, if a licensee’s ability to pay is reduced, the licensee decides to divest or scale back a particular part of its business or it becomes insolvent or bankrupt. Additionally, poor performance of potential or current licensees may limit a licensee’s motivation to seek new or renew existing licensing arrangements with us. Furthermore, patent license agreements can cover both past and future sales of licensees, and the portion of the income that relates to licensees’ past sales is not expected to have a recurring benefit. Ongoing patent income from licensing is generally subject to various factors (for instance, sales by the licensees) that we have little or no control over, and it can vary considerably from time to time based on factors such as the terms of agreements we enter into with licensees.</w:t>
      </w:r>
    </w:p>
    <w:p>
      <w:pPr>
        <w:spacing w:after="0" w:line="193" w:lineRule="exact"/>
        <w:rPr>
          <w:sz w:val="20"/>
          <w:szCs w:val="20"/>
          <w:color w:val="auto"/>
        </w:rPr>
      </w:pPr>
    </w:p>
    <w:p>
      <w:pPr>
        <w:ind w:right="400"/>
        <w:spacing w:after="0" w:line="269" w:lineRule="auto"/>
        <w:rPr>
          <w:sz w:val="20"/>
          <w:szCs w:val="20"/>
          <w:color w:val="auto"/>
        </w:rPr>
      </w:pPr>
      <w:r>
        <w:rPr>
          <w:rFonts w:ascii="Times New Roman" w:cs="Times New Roman" w:eastAsia="Times New Roman" w:hAnsi="Times New Roman"/>
          <w:sz w:val="11"/>
          <w:szCs w:val="11"/>
          <w:color w:val="auto"/>
        </w:rPr>
        <w:t>We seek to expand the scope of our licensing activities to other industries, in particular those that implement mobile communications and multimedia technologies, such as the automotive, consumer electronics and IoT industries. The actors in some of these industries may not have traditionally paid intellectual property-related royalties and the expansion of our licensing activities into such industries may involve</w:t>
      </w:r>
    </w:p>
    <w:p>
      <w:pPr>
        <w:sectPr>
          <w:pgSz w:w="11900" w:h="16838" w:orient="portrait"/>
          <w:cols w:equalWidth="0" w:num="3">
            <w:col w:w="2940" w:space="460"/>
            <w:col w:w="2940" w:space="460"/>
            <w:col w:w="3180"/>
          </w:cols>
          <w:pgMar w:left="960" w:top="409" w:right="959" w:bottom="1440" w:gutter="0" w:footer="0" w:header="0"/>
        </w:sectPr>
      </w:pPr>
    </w:p>
    <w:bookmarkStart w:id="130" w:name="page131"/>
    <w:bookmarkEnd w:id="13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right="160"/>
        <w:spacing w:after="0" w:line="289" w:lineRule="auto"/>
        <w:rPr>
          <w:sz w:val="20"/>
          <w:szCs w:val="20"/>
          <w:color w:val="auto"/>
        </w:rPr>
      </w:pPr>
      <w:r>
        <w:rPr>
          <w:rFonts w:ascii="Times New Roman" w:cs="Times New Roman" w:eastAsia="Times New Roman" w:hAnsi="Times New Roman"/>
          <w:sz w:val="11"/>
          <w:szCs w:val="11"/>
          <w:color w:val="auto"/>
        </w:rPr>
        <w:t>litigation. In addition, entering highly fragmented markets or markets with a high volume of licensees may affect our effectiveness and/or profitability.</w:t>
      </w:r>
    </w:p>
    <w:p>
      <w:pPr>
        <w:spacing w:after="0" w:line="39" w:lineRule="exact"/>
        <w:rPr>
          <w:sz w:val="20"/>
          <w:szCs w:val="20"/>
          <w:color w:val="auto"/>
        </w:rPr>
      </w:pPr>
    </w:p>
    <w:p>
      <w:pPr>
        <w:ind w:right="60"/>
        <w:spacing w:after="0" w:line="264" w:lineRule="auto"/>
        <w:rPr>
          <w:sz w:val="20"/>
          <w:szCs w:val="20"/>
          <w:color w:val="auto"/>
        </w:rPr>
      </w:pPr>
      <w:r>
        <w:rPr>
          <w:rFonts w:ascii="Times New Roman" w:cs="Times New Roman" w:eastAsia="Times New Roman" w:hAnsi="Times New Roman"/>
          <w:sz w:val="11"/>
          <w:szCs w:val="11"/>
          <w:color w:val="auto"/>
        </w:rPr>
        <w:t>We retained our patent portfolio after the sale of the Devices &amp; Services business in 2014. Following the sale of the Devices &amp; Services business, Nokia is no longer required to agree upon cross-licenses to cover Nokia’s handset business, which has contributed to growing our licensing revenue. While this has been our practice, there can be no guarantee that this can</w:t>
      </w:r>
    </w:p>
    <w:p>
      <w:pPr>
        <w:spacing w:after="0" w:line="1"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be continued in the future. Also, in the past, parts of our intellectual property development were driven by innovation from the Devices &amp; Services business. As we no longer own this business, our future intellectual property relating to the mobile phone sector may lessen and our ability to influence industry trends and technology selections may reduce.</w:t>
      </w:r>
    </w:p>
    <w:p>
      <w:pPr>
        <w:spacing w:after="0" w:line="52"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We also enter into business agreements on behalf of our business groups, which may grant certain licenses to our patents. Some of these agreements may inadvertently grant licenses to our patents with a broader scope than intended, or they may otherwise make the enforcement of our patents more difficult.</w:t>
      </w:r>
    </w:p>
    <w:p>
      <w:pPr>
        <w:spacing w:after="0" w:line="58"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b w:val="1"/>
          <w:bCs w:val="1"/>
          <w:color w:val="auto"/>
        </w:rPr>
        <w:t>To renew existing license agreements and conclude new license agreements with potential licensees, we may and have engaged in legal actions to enforce our intellectual property rights against unlawful infringement, the outcomes of which are uncertain.</w:t>
      </w:r>
    </w:p>
    <w:p>
      <w:pPr>
        <w:spacing w:after="0" w:line="1" w:lineRule="exact"/>
        <w:rPr>
          <w:sz w:val="20"/>
          <w:szCs w:val="20"/>
          <w:color w:val="auto"/>
        </w:rPr>
      </w:pPr>
    </w:p>
    <w:p>
      <w:pPr>
        <w:ind w:right="220"/>
        <w:spacing w:after="0" w:line="262" w:lineRule="auto"/>
        <w:rPr>
          <w:sz w:val="20"/>
          <w:szCs w:val="20"/>
          <w:color w:val="auto"/>
        </w:rPr>
      </w:pPr>
      <w:r>
        <w:rPr>
          <w:rFonts w:ascii="Times New Roman" w:cs="Times New Roman" w:eastAsia="Times New Roman" w:hAnsi="Times New Roman"/>
          <w:sz w:val="11"/>
          <w:szCs w:val="11"/>
          <w:color w:val="auto"/>
        </w:rPr>
        <w:t>Intellectual property-related disputes are common in the technology industry. While we strive to reach negotiated settlements of any disputes in relation to license agreements with companies using our intellectual property, sometimes it is necessary to engage in litigation or arbitration in order to renew existing license agreements which have expired or conclude new license agreements with unlicensed parties. In certain cases, we have engaged in litigation or arbitration proceedings to enforce our rights, for instance to enforce our patents or to establish the terms of a patent license agreement. Due to the nature of litigation and arbitration proceedings, there can be no assurances as to the final outcome, timing or costs involved in such litigation or arbitration proceedings or as to our ability to renew existing license agreements or conclude new license agreements with potential licensees on acceptable commercial terms.</w:t>
      </w:r>
    </w:p>
    <w:p>
      <w:pPr>
        <w:spacing w:after="0" w:line="70" w:lineRule="exact"/>
        <w:rPr>
          <w:sz w:val="20"/>
          <w:szCs w:val="20"/>
          <w:color w:val="auto"/>
        </w:rPr>
      </w:pPr>
    </w:p>
    <w:p>
      <w:pPr>
        <w:ind w:right="160"/>
        <w:spacing w:after="0" w:line="290" w:lineRule="auto"/>
        <w:rPr>
          <w:sz w:val="20"/>
          <w:szCs w:val="20"/>
          <w:color w:val="auto"/>
        </w:rPr>
      </w:pPr>
      <w:r>
        <w:rPr>
          <w:rFonts w:ascii="Times New Roman" w:cs="Times New Roman" w:eastAsia="Times New Roman" w:hAnsi="Times New Roman"/>
          <w:sz w:val="11"/>
          <w:szCs w:val="11"/>
          <w:color w:val="auto"/>
        </w:rPr>
        <w:t>In other cases, other companies have commenced and may continue to commence actions against us seeking to establish</w:t>
      </w:r>
    </w:p>
    <w:p>
      <w:pPr>
        <w:spacing w:after="0" w:line="13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the invalidity of our intellectual property, including our patents, or to contest our licensing practices or file competition law complaints with courts or competition authorities. In the event that one or more of our patents is challenged, a court may invalidate the patent or determine that the patent is not enforceable. The outcome of court proceedings is difficult</w:t>
      </w:r>
    </w:p>
    <w:p>
      <w:pPr>
        <w:spacing w:after="0" w:line="1"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to predict and, consequently, our ability to use intellectual property for revenue generation may from time to time depend on favorable court rulings. Additionally, if any of our patents is invalidated, or if the scope of the claims in any patents is limited by a court decision, we could be prevented from using such patents as a basis for product differentiation or from licensing the invalidated or limited portion of our IPR. Even if such a patent challenge is not successful, the related proceedings could be expensive and time-consuming, divert the attention of our management and technical experts from our business and have an adverse effect on our reputation. Any diminution in the protection of our IPR could cause us to lose certain benefits of our R&amp;D investments.</w:t>
      </w:r>
    </w:p>
    <w:p>
      <w:pPr>
        <w:spacing w:after="0" w:line="60" w:lineRule="exact"/>
        <w:rPr>
          <w:sz w:val="20"/>
          <w:szCs w:val="20"/>
          <w:color w:val="auto"/>
        </w:rPr>
      </w:pPr>
    </w:p>
    <w:p>
      <w:pPr>
        <w:ind w:right="40"/>
        <w:spacing w:after="0" w:line="267" w:lineRule="auto"/>
        <w:rPr>
          <w:sz w:val="20"/>
          <w:szCs w:val="20"/>
          <w:color w:val="auto"/>
        </w:rPr>
      </w:pPr>
      <w:r>
        <w:rPr>
          <w:rFonts w:ascii="Times New Roman" w:cs="Times New Roman" w:eastAsia="Times New Roman" w:hAnsi="Times New Roman"/>
          <w:sz w:val="11"/>
          <w:szCs w:val="11"/>
          <w:b w:val="1"/>
          <w:bCs w:val="1"/>
          <w:color w:val="auto"/>
        </w:rPr>
        <w:t>While the primary source of Nokia Technologies business group net sales and profits is licensing of the Nokia patents, we are also engaged with licensing of technologies and</w:t>
      </w:r>
    </w:p>
    <w:p>
      <w:pPr>
        <w:spacing w:after="0" w:line="1" w:lineRule="exact"/>
        <w:rPr>
          <w:sz w:val="20"/>
          <w:szCs w:val="20"/>
          <w:color w:val="auto"/>
        </w:rPr>
      </w:pPr>
    </w:p>
    <w:p>
      <w:pPr>
        <w:ind w:right="60"/>
        <w:spacing w:after="0" w:line="259" w:lineRule="auto"/>
        <w:rPr>
          <w:sz w:val="20"/>
          <w:szCs w:val="20"/>
          <w:color w:val="auto"/>
        </w:rPr>
      </w:pPr>
      <w:r>
        <w:rPr>
          <w:rFonts w:ascii="Times New Roman" w:cs="Times New Roman" w:eastAsia="Times New Roman" w:hAnsi="Times New Roman"/>
          <w:sz w:val="11"/>
          <w:szCs w:val="11"/>
          <w:b w:val="1"/>
          <w:bCs w:val="1"/>
          <w:color w:val="auto"/>
        </w:rPr>
        <w:t>of the Nokia brand, as well as with other business ventures, including technology innovation and incubation. Expected net sales and profitability for these businesses may not materialize as planned or, for some of these businesses,</w:t>
      </w:r>
    </w:p>
    <w:p>
      <w:pPr>
        <w:spacing w:after="0"/>
        <w:rPr>
          <w:sz w:val="20"/>
          <w:szCs w:val="20"/>
          <w:color w:val="auto"/>
        </w:rPr>
      </w:pPr>
      <w:r>
        <w:rPr>
          <w:rFonts w:ascii="Times New Roman" w:cs="Times New Roman" w:eastAsia="Times New Roman" w:hAnsi="Times New Roman"/>
          <w:sz w:val="11"/>
          <w:szCs w:val="11"/>
          <w:b w:val="1"/>
          <w:bCs w:val="1"/>
          <w:color w:val="auto"/>
        </w:rPr>
        <w:t>at all.</w:t>
      </w:r>
    </w:p>
    <w:p>
      <w:pPr>
        <w:spacing w:after="0" w:line="15"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There can be no assurances that our Nokia Technologies business group, or any other part of Nokia, will be successful in innovation and incubation or in generating net sales and profits through its business plans, for instance in patent, technology and brand licensing. The industries in which we operate, or may operate in the future, are generally fast paced, rapidly evolving, innovative and at different levels of maturity. Additionally, we are entering into new business areas based on our technology assets and may explore new business ventures. Such business areas or plans may be adversely affected by adverse industry and market developments in the numerous diverse markets in which we operate, and the investments we make may not achieve the targeted scale, intended benefits or yield expected rates of return.</w:t>
      </w:r>
    </w:p>
    <w:p>
      <w:pPr>
        <w:spacing w:after="0" w:line="199" w:lineRule="exact"/>
        <w:rPr>
          <w:sz w:val="20"/>
          <w:szCs w:val="20"/>
          <w:color w:val="auto"/>
        </w:rPr>
      </w:pPr>
    </w:p>
    <w:p>
      <w:pPr>
        <w:ind w:right="60"/>
        <w:spacing w:after="0" w:line="277" w:lineRule="auto"/>
        <w:rPr>
          <w:sz w:val="20"/>
          <w:szCs w:val="20"/>
          <w:color w:val="auto"/>
        </w:rPr>
      </w:pPr>
      <w:r>
        <w:rPr>
          <w:rFonts w:ascii="Times New Roman" w:cs="Times New Roman" w:eastAsia="Times New Roman" w:hAnsi="Times New Roman"/>
          <w:sz w:val="11"/>
          <w:szCs w:val="11"/>
          <w:b w:val="1"/>
          <w:bCs w:val="1"/>
          <w:color w:val="auto"/>
        </w:rPr>
        <w:t>Our products, services and business models depend on technologies that we have developed as well as technologies that are licensed to us by certain third parties. As a result, evaluating the rights related to the technologies we use or</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123</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ind w:right="200"/>
        <w:spacing w:after="0" w:line="264" w:lineRule="auto"/>
        <w:rPr>
          <w:sz w:val="20"/>
          <w:szCs w:val="20"/>
          <w:color w:val="auto"/>
        </w:rPr>
      </w:pPr>
      <w:r>
        <w:rPr>
          <w:rFonts w:ascii="Times New Roman" w:cs="Times New Roman" w:eastAsia="Times New Roman" w:hAnsi="Times New Roman"/>
          <w:sz w:val="11"/>
          <w:szCs w:val="11"/>
          <w:b w:val="1"/>
          <w:bCs w:val="1"/>
          <w:color w:val="auto"/>
        </w:rPr>
        <w:t>intend to use is increasingly challenging, and we expect to continue to face claims that we have allegedly infringed third parties’ IPR. The use of these technologies may also result in increased licensing costs for us, restrictions on our ability to use certain technologies in our products and/or costly and time-consuming litigation.</w:t>
      </w:r>
    </w:p>
    <w:p>
      <w:pPr>
        <w:spacing w:after="0" w:line="3" w:lineRule="exact"/>
        <w:rPr>
          <w:sz w:val="20"/>
          <w:szCs w:val="20"/>
          <w:color w:val="auto"/>
        </w:rPr>
      </w:pPr>
    </w:p>
    <w:p>
      <w:pPr>
        <w:ind w:right="240"/>
        <w:spacing w:after="0" w:line="262" w:lineRule="auto"/>
        <w:rPr>
          <w:sz w:val="20"/>
          <w:szCs w:val="20"/>
          <w:color w:val="auto"/>
        </w:rPr>
      </w:pPr>
      <w:r>
        <w:rPr>
          <w:rFonts w:ascii="Times New Roman" w:cs="Times New Roman" w:eastAsia="Times New Roman" w:hAnsi="Times New Roman"/>
          <w:sz w:val="11"/>
          <w:szCs w:val="11"/>
          <w:color w:val="auto"/>
        </w:rPr>
        <w:t>Our products and services include increasingly complex technologies that we have developed or that have been licensed to us by certain third parties. The amount of such proprietary technologies and the number of parties claiming to own relevant IPR continue to increase. The holders of patents and other IPR potentially relevant to these complex technologies may be unknown to us, may have different business models, may refuse to grant licenses to their proprietary rights or may otherwise make it difficult for us to acquire a license on commercially acceptable terms. If licensing agreements are not available on commercially acceptable terms, we could be precluded from making and selling the affected products or could face increased licensing costs. As new features are added to our products, we may need to acquire further licenses, including from new and sometimes unidentified owners of intellectual property. The lack of availability of licenses for copyrighted content, delayed negotiations or restrictive IPR license terms may have a material adverse effect on the cost or timing of content-related services and products offered by us, mobile network operators or third-party service providers. The cumulative costs of obtaining any necessary licenses are difficult to predict and may be significant.</w:t>
      </w:r>
    </w:p>
    <w:p>
      <w:pPr>
        <w:spacing w:after="0" w:line="340" w:lineRule="exact"/>
        <w:rPr>
          <w:sz w:val="20"/>
          <w:szCs w:val="20"/>
          <w:color w:val="auto"/>
        </w:rPr>
      </w:pPr>
    </w:p>
    <w:p>
      <w:pPr>
        <w:ind w:right="260"/>
        <w:spacing w:after="0" w:line="262" w:lineRule="auto"/>
        <w:rPr>
          <w:sz w:val="20"/>
          <w:szCs w:val="20"/>
          <w:color w:val="auto"/>
        </w:rPr>
      </w:pPr>
      <w:r>
        <w:rPr>
          <w:rFonts w:ascii="Times New Roman" w:cs="Times New Roman" w:eastAsia="Times New Roman" w:hAnsi="Times New Roman"/>
          <w:sz w:val="11"/>
          <w:szCs w:val="11"/>
          <w:color w:val="auto"/>
        </w:rPr>
        <w:t>Additionally, although we endeavor to ensure that we and the companies collaborating with us possess appropriate IPR or licenses, we cannot fully avoid the risks of IPR infringement by suppliers of components, processes and other various layers in our products, or by companies with which we collaborate. Similarly, we and our customers may face claims of infringement in connection with the use of our products.</w:t>
      </w:r>
    </w:p>
    <w:p>
      <w:pPr>
        <w:spacing w:after="0" w:line="1" w:lineRule="exact"/>
        <w:rPr>
          <w:sz w:val="20"/>
          <w:szCs w:val="20"/>
          <w:color w:val="auto"/>
        </w:rPr>
      </w:pPr>
    </w:p>
    <w:p>
      <w:pPr>
        <w:ind w:right="360"/>
        <w:spacing w:after="0" w:line="264" w:lineRule="auto"/>
        <w:rPr>
          <w:sz w:val="20"/>
          <w:szCs w:val="20"/>
          <w:color w:val="auto"/>
        </w:rPr>
      </w:pPr>
      <w:r>
        <w:rPr>
          <w:rFonts w:ascii="Times New Roman" w:cs="Times New Roman" w:eastAsia="Times New Roman" w:hAnsi="Times New Roman"/>
          <w:sz w:val="11"/>
          <w:szCs w:val="11"/>
          <w:color w:val="auto"/>
        </w:rPr>
        <w:t>Any restrictions on our ability to sell our products due to expected or alleged infringements of third-party IPR and any IPR claims, regardless of merit, could result in a material loss of profits, costly litigation, the obligation to pay damages and other compensation, the diversion of the attention of our key employees, product shipment delays or the need for us to develop non-infringing technology or to enter into a licensing agreement on unfavorable commercial terms.</w:t>
      </w:r>
    </w:p>
    <w:p>
      <w:pPr>
        <w:sectPr>
          <w:pgSz w:w="11900" w:h="16838" w:orient="portrait"/>
          <w:cols w:equalWidth="0" w:num="3">
            <w:col w:w="2960" w:space="440"/>
            <w:col w:w="2940" w:space="460"/>
            <w:col w:w="3180"/>
          </w:cols>
          <w:pgMar w:left="960" w:top="409" w:right="959" w:bottom="1440" w:gutter="0" w:footer="0" w:header="0"/>
        </w:sectPr>
      </w:pPr>
    </w:p>
    <w:bookmarkStart w:id="131" w:name="page132"/>
    <w:bookmarkEnd w:id="13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1"/>
          <w:szCs w:val="11"/>
          <w:color w:val="auto"/>
        </w:rPr>
        <w:t>In line with standard practice in our industry, we generally indemnify our customers for certain intellectual property-related infringement claims initiated by third parties relating to products or services purchased from us. These may include claims from non-practicing entities having no product or service business. If such claims are made directly against our customers, we may have limited opportunities to participate in the processes including in negotiations and in defenses, or to evaluate the outcomes and resolutions in advance. All IPR indemnifications can result in significant payment obligations for us that are difficult to estimate in advance. Moreover, our indemnification responsibilities typically arise whether or not the IPR assertions against our customers have merit.</w:t>
      </w:r>
    </w:p>
    <w:p>
      <w:pPr>
        <w:spacing w:after="0" w:line="55"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Since all technology standards that we use and rely on, including mobile communication technologies such as the Universal Mobile Telecommunications System (UMTS), Long-Term Evolution (LTE) and 5G, or fixed line communication technologies, include certain IPR, we cannot avoid risks of facing claims for infringement of such rights due to our reliance on such standards. We believe the number of third parties declaring their patents to be potentially relevant to these standards is increasing, which may increase the likelihood that we will be subject to such claims in the future. As the number of market entrants and the complexity of technologies increase, it remains likely that we will need to obtain licenses with respect to existing and new standards from other licensors. While we believe most of such IPR actually found to be essential to a particular standard carries an obligation to</w:t>
      </w:r>
    </w:p>
    <w:p>
      <w:pPr>
        <w:spacing w:after="0" w:line="127" w:lineRule="exact"/>
        <w:rPr>
          <w:sz w:val="20"/>
          <w:szCs w:val="20"/>
          <w:color w:val="auto"/>
        </w:rPr>
      </w:pPr>
    </w:p>
    <w:p>
      <w:pPr>
        <w:ind w:right="100"/>
        <w:spacing w:after="0" w:line="265" w:lineRule="auto"/>
        <w:rPr>
          <w:sz w:val="20"/>
          <w:szCs w:val="20"/>
          <w:color w:val="auto"/>
        </w:rPr>
      </w:pPr>
      <w:r>
        <w:rPr>
          <w:rFonts w:ascii="Times New Roman" w:cs="Times New Roman" w:eastAsia="Times New Roman" w:hAnsi="Times New Roman"/>
          <w:sz w:val="11"/>
          <w:szCs w:val="11"/>
          <w:color w:val="auto"/>
        </w:rPr>
        <w:t>be licensed on fair, reasonable and non-discriminatory terms, not all intellectual property owners agree to apply such terms, nor do all owners agree on what is fair, reasonable and non-discriminatory. As a result, we have experienced costly and time-consuming litigation proceedings against us and our customers or suppliers over such issues and we may continue to experience such litigation in the future.</w:t>
      </w:r>
    </w:p>
    <w:p>
      <w:pPr>
        <w:spacing w:after="0" w:line="52" w:lineRule="exact"/>
        <w:rPr>
          <w:sz w:val="20"/>
          <w:szCs w:val="20"/>
          <w:color w:val="auto"/>
        </w:rPr>
      </w:pPr>
    </w:p>
    <w:p>
      <w:pPr>
        <w:ind w:right="80"/>
        <w:spacing w:after="0" w:line="264" w:lineRule="auto"/>
        <w:rPr>
          <w:sz w:val="20"/>
          <w:szCs w:val="20"/>
          <w:color w:val="auto"/>
        </w:rPr>
      </w:pPr>
      <w:r>
        <w:rPr>
          <w:rFonts w:ascii="Times New Roman" w:cs="Times New Roman" w:eastAsia="Times New Roman" w:hAnsi="Times New Roman"/>
          <w:sz w:val="11"/>
          <w:szCs w:val="11"/>
          <w:color w:val="auto"/>
        </w:rPr>
        <w:t>From time to time, certain existing patent licenses may expire or otherwise become subject to renegotiation. The inability to renew or finalize such arrangements or renew licenses with acceptable commercial terms may result in litigation, which may be expensive and time-consuming and divert the efforts of our management and technical experts from our business and, if decided against us, could result in unfavorable judgments or restrictions on our ability to sell certain of our products</w:t>
      </w:r>
    </w:p>
    <w:p>
      <w:pPr>
        <w:spacing w:after="0" w:line="1" w:lineRule="exact"/>
        <w:rPr>
          <w:sz w:val="20"/>
          <w:szCs w:val="20"/>
          <w:color w:val="auto"/>
        </w:rPr>
      </w:pPr>
    </w:p>
    <w:p>
      <w:pPr>
        <w:ind w:right="160"/>
        <w:spacing w:after="0" w:line="286" w:lineRule="auto"/>
        <w:rPr>
          <w:sz w:val="20"/>
          <w:szCs w:val="20"/>
          <w:color w:val="auto"/>
        </w:rPr>
      </w:pPr>
      <w:r>
        <w:rPr>
          <w:rFonts w:ascii="Times New Roman" w:cs="Times New Roman" w:eastAsia="Times New Roman" w:hAnsi="Times New Roman"/>
          <w:sz w:val="11"/>
          <w:szCs w:val="11"/>
          <w:color w:val="auto"/>
        </w:rPr>
        <w:t>or require us to pay increased licensing fees, fines or other penalties and expenses, and/or to enter into costly settlements.</w:t>
      </w:r>
    </w:p>
    <w:p>
      <w:pPr>
        <w:spacing w:after="0" w:line="1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160"/>
        <w:spacing w:after="0" w:line="265" w:lineRule="auto"/>
        <w:rPr>
          <w:sz w:val="20"/>
          <w:szCs w:val="20"/>
          <w:color w:val="auto"/>
        </w:rPr>
      </w:pPr>
      <w:r>
        <w:rPr>
          <w:rFonts w:ascii="Times New Roman" w:cs="Times New Roman" w:eastAsia="Times New Roman" w:hAnsi="Times New Roman"/>
          <w:sz w:val="11"/>
          <w:szCs w:val="11"/>
          <w:color w:val="auto"/>
        </w:rPr>
        <w:t>Our patent license agreements may not cover all the future businesses that we may enter, our existing business may not necessarily be covered by our patent license agreements if there are changes in our corporate structure or our subsidiaries, or our newly acquired businesses may already have patent license agreements with terms that differ from similar terms in our patent license agreements. This may result in increased costs, restrictions in the use of certain technologies or time-consuming and costly disputes whenever there are changes in our corporate structure or our subsidiaries, or whenever we enter into new business areas or acquire new businesses.</w:t>
      </w:r>
    </w:p>
    <w:p>
      <w:pPr>
        <w:spacing w:after="0" w:line="203" w:lineRule="exact"/>
        <w:rPr>
          <w:sz w:val="20"/>
          <w:szCs w:val="20"/>
          <w:color w:val="auto"/>
        </w:rPr>
      </w:pPr>
    </w:p>
    <w:p>
      <w:pPr>
        <w:ind w:right="100"/>
        <w:spacing w:after="0" w:line="266" w:lineRule="auto"/>
        <w:rPr>
          <w:sz w:val="20"/>
          <w:szCs w:val="20"/>
          <w:color w:val="auto"/>
        </w:rPr>
      </w:pPr>
      <w:r>
        <w:rPr>
          <w:rFonts w:ascii="Times New Roman" w:cs="Times New Roman" w:eastAsia="Times New Roman" w:hAnsi="Times New Roman"/>
          <w:sz w:val="11"/>
          <w:szCs w:val="11"/>
          <w:color w:val="auto"/>
        </w:rPr>
        <w:t>We make accruals and provisions to cover our estimated total direct IPR costs for our allegedly infringing products. Our estimated total direct IPR costs take into account items such as payments to licensors, accrued expenses under existing agreements and provisions for potential liabilities. We believe our accruals and provisions are at an appropriate level. The ultimate outcome, however, may differ from the provided level, which could have an adverse impact on us.</w:t>
      </w:r>
    </w:p>
    <w:p>
      <w:pPr>
        <w:spacing w:after="0" w:line="52" w:lineRule="exact"/>
        <w:rPr>
          <w:sz w:val="20"/>
          <w:szCs w:val="20"/>
          <w:color w:val="auto"/>
        </w:rPr>
      </w:pPr>
    </w:p>
    <w:p>
      <w:pPr>
        <w:ind w:right="240"/>
        <w:spacing w:after="0" w:line="275" w:lineRule="auto"/>
        <w:rPr>
          <w:sz w:val="20"/>
          <w:szCs w:val="20"/>
          <w:color w:val="auto"/>
        </w:rPr>
      </w:pPr>
      <w:r>
        <w:rPr>
          <w:rFonts w:ascii="Times New Roman" w:cs="Times New Roman" w:eastAsia="Times New Roman" w:hAnsi="Times New Roman"/>
          <w:sz w:val="13"/>
          <w:szCs w:val="13"/>
          <w:color w:val="auto"/>
        </w:rPr>
        <w:t>Risks stemming from geopolitical, legal, regulatory and compliance environment</w:t>
      </w:r>
    </w:p>
    <w:p>
      <w:pPr>
        <w:spacing w:after="0" w:line="1"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color w:val="auto"/>
        </w:rPr>
        <w:t>Current international trends show increased enforcement activity in areas such as national security, competition law, export control and sanctions, privacy, cybersecurity, climate change, human rights and anti-corruption. Furthermore, we have observed an increase in the adoption of surveillance, data localization, national sourcing and national hiring requirements, regulations and policies, as well as regulators’ increased interest in regulatory reform and reorganization and their growing appetite for tackling topics such as non-personal data, artificial intelligence, open access and net neutrality.</w:t>
      </w:r>
    </w:p>
    <w:p>
      <w:pPr>
        <w:spacing w:after="0" w:line="52"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b w:val="1"/>
          <w:bCs w:val="1"/>
          <w:color w:val="auto"/>
        </w:rPr>
        <w:t>We conduct our business globally, being subject to direct and indirect regulation and exposed to geopolitical and regulatory risks, such as complex regulatory frameworks, unfavorable or unpredictable treatment in relation to trade sanctions, tariffs, tax matters and export controls, exchange controls and other restrictions, geopolitical conflicts and military actions, labor unrest, civil unrest, and public security and safety threats, which could have a material adverse effect on us and our supply chain and our ability to sell</w:t>
      </w:r>
    </w:p>
    <w:p>
      <w:pPr>
        <w:ind w:right="220"/>
        <w:spacing w:after="0" w:line="273" w:lineRule="auto"/>
        <w:rPr>
          <w:sz w:val="20"/>
          <w:szCs w:val="20"/>
          <w:color w:val="auto"/>
        </w:rPr>
      </w:pPr>
      <w:r>
        <w:rPr>
          <w:rFonts w:ascii="Times New Roman" w:cs="Times New Roman" w:eastAsia="Times New Roman" w:hAnsi="Times New Roman"/>
          <w:sz w:val="11"/>
          <w:szCs w:val="11"/>
          <w:b w:val="1"/>
          <w:bCs w:val="1"/>
          <w:color w:val="auto"/>
        </w:rPr>
        <w:t xml:space="preserve">or supply products and services, including network infrastructure equipment and components manufactured in such countries </w:t>
      </w:r>
      <w:r>
        <w:rPr>
          <w:rFonts w:ascii="Times New Roman" w:cs="Times New Roman" w:eastAsia="Times New Roman" w:hAnsi="Times New Roman"/>
          <w:sz w:val="11"/>
          <w:szCs w:val="11"/>
          <w:color w:val="auto"/>
        </w:rPr>
        <w:t>.</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124</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40"/>
        <w:spacing w:after="0" w:line="262" w:lineRule="auto"/>
        <w:rPr>
          <w:sz w:val="20"/>
          <w:szCs w:val="20"/>
          <w:color w:val="auto"/>
        </w:rPr>
      </w:pPr>
      <w:r>
        <w:rPr>
          <w:rFonts w:ascii="Times New Roman" w:cs="Times New Roman" w:eastAsia="Times New Roman" w:hAnsi="Times New Roman"/>
          <w:sz w:val="11"/>
          <w:szCs w:val="11"/>
          <w:color w:val="auto"/>
        </w:rPr>
        <w:t>We have witnessed political unrest and open conflicts in the past in various markets in which we conduct business or in which we have operations, which have adversely affected our sales, profitability or operations in these markets, including the safety and security of our employees, and also in certain cases affected us outside these countries or regions. Any reoccurrence or escalation of such unrest could have a further material adverse effect on our people, sales or results of operations. For instance, a potential expansion of the current conflict in Gaza or the unrest on the coast of the Red Sea could impact our business on multiple levels from market access over supply chain, general economic developments, security and safety of our operations in concerned countries, potential sanctions or boycotts, and reputational risks. Escalating tensions over Taiwan and territorial disputes in the South China Sea could lead to various risks, including short- or long-term supply chain disruptions from Taiwan and further risks subject to the nature and severity of the tensions. Should we decide to exit or otherwise alter our presence in a particular market, this may have an adverse effect on us through, for example, disruption to our operations in the event we need to relocate significant parts of our operations, triggered investigations, tax audits by authorities, claims by contracting parties or reputational damage. At Nokia, we make our sales in a transparent, regulated and compliant manner and in accordance with applicable laws and regulations. Notwithstanding our compliance measures, there exists a risk that the equipment we sell may subsequently be misused, relocated or resold without our knowledge or consent. The results and costs of investigations or claims against our international operations may be difficult to predict and could lead to lengthy disputes, fines or fees, indemnities or costly settlements.</w:t>
      </w:r>
    </w:p>
    <w:p>
      <w:pPr>
        <w:spacing w:after="0" w:line="341"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color w:val="auto"/>
        </w:rPr>
        <w:t>The regulatory, trade controls and sanctions legal environment can be difficult to navigate for companies with global operations, impacting ability to grow or maintain business in specific markets or enter new markets. As a global operator, Nokia conducts business subject to export controls regulations and in countries subject to various sanctions and our business may be impacted by new, existing or tightened export control regulations, sanctions, embargoes or other forms of economic and trade restrictions imposed on certain countries, regions and entities. Although we strive to conduct all operations of Nokia, and in particular any operations undertaken in countries targeted by sanctions, in accordance with our compliance program, we cannot ensure that breaches will not occur.</w:t>
      </w:r>
    </w:p>
    <w:p>
      <w:pPr>
        <w:sectPr>
          <w:pgSz w:w="11900" w:h="16838" w:orient="portrait"/>
          <w:cols w:equalWidth="0" w:num="3">
            <w:col w:w="2940" w:space="460"/>
            <w:col w:w="3020" w:space="380"/>
            <w:col w:w="3180"/>
          </w:cols>
          <w:pgMar w:left="960" w:top="409" w:right="959" w:bottom="1440" w:gutter="0" w:footer="0" w:header="0"/>
        </w:sectPr>
      </w:pPr>
    </w:p>
    <w:bookmarkStart w:id="132" w:name="page133"/>
    <w:bookmarkEnd w:id="13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326" w:lineRule="exact"/>
        <w:rPr>
          <w:sz w:val="20"/>
          <w:szCs w:val="20"/>
          <w:color w:val="auto"/>
        </w:rPr>
      </w:pPr>
    </w:p>
    <w:p>
      <w:pPr>
        <w:ind w:right="320"/>
        <w:spacing w:after="0" w:line="260" w:lineRule="auto"/>
        <w:rPr>
          <w:sz w:val="20"/>
          <w:szCs w:val="20"/>
          <w:color w:val="auto"/>
        </w:rPr>
      </w:pPr>
      <w:r>
        <w:rPr>
          <w:rFonts w:ascii="Times New Roman" w:cs="Times New Roman" w:eastAsia="Times New Roman" w:hAnsi="Times New Roman"/>
          <w:sz w:val="11"/>
          <w:szCs w:val="11"/>
          <w:color w:val="auto"/>
        </w:rPr>
        <w:t>Export controls, tariffs or other fees or levies imposed on our products and environmental, health, product safety,</w:t>
      </w:r>
    </w:p>
    <w:p>
      <w:pPr>
        <w:spacing w:after="0" w:line="1" w:lineRule="exact"/>
        <w:rPr>
          <w:sz w:val="20"/>
          <w:szCs w:val="20"/>
          <w:color w:val="auto"/>
        </w:rPr>
      </w:pPr>
    </w:p>
    <w:p>
      <w:pPr>
        <w:ind w:right="320"/>
        <w:spacing w:after="0" w:line="239" w:lineRule="auto"/>
        <w:rPr>
          <w:sz w:val="20"/>
          <w:szCs w:val="20"/>
          <w:color w:val="auto"/>
        </w:rPr>
      </w:pPr>
      <w:r>
        <w:rPr>
          <w:rFonts w:ascii="Times New Roman" w:cs="Times New Roman" w:eastAsia="Times New Roman" w:hAnsi="Times New Roman"/>
          <w:sz w:val="11"/>
          <w:szCs w:val="11"/>
          <w:color w:val="auto"/>
        </w:rPr>
        <w:t>data protection and security, consumer protection, money laundering and other regulations that adversely affect the</w:t>
      </w:r>
    </w:p>
    <w:p>
      <w:pPr>
        <w:spacing w:after="0" w:line="1" w:lineRule="exact"/>
        <w:rPr>
          <w:sz w:val="20"/>
          <w:szCs w:val="20"/>
          <w:color w:val="auto"/>
        </w:rPr>
      </w:pPr>
    </w:p>
    <w:p>
      <w:pPr>
        <w:ind w:right="340"/>
        <w:spacing w:after="0" w:line="249" w:lineRule="auto"/>
        <w:rPr>
          <w:sz w:val="20"/>
          <w:szCs w:val="20"/>
          <w:color w:val="auto"/>
        </w:rPr>
      </w:pPr>
      <w:r>
        <w:rPr>
          <w:rFonts w:ascii="Times New Roman" w:cs="Times New Roman" w:eastAsia="Times New Roman" w:hAnsi="Times New Roman"/>
          <w:sz w:val="11"/>
          <w:szCs w:val="11"/>
          <w:color w:val="auto"/>
        </w:rPr>
        <w:t>export, import, technical design, pricing or costs of our products could also adversely affect our sales and results</w:t>
      </w:r>
    </w:p>
    <w:p>
      <w:pPr>
        <w:ind w:right="200"/>
        <w:spacing w:after="0" w:line="239" w:lineRule="auto"/>
        <w:rPr>
          <w:sz w:val="20"/>
          <w:szCs w:val="20"/>
          <w:color w:val="auto"/>
        </w:rPr>
      </w:pPr>
      <w:r>
        <w:rPr>
          <w:rFonts w:ascii="Times New Roman" w:cs="Times New Roman" w:eastAsia="Times New Roman" w:hAnsi="Times New Roman"/>
          <w:sz w:val="11"/>
          <w:szCs w:val="11"/>
          <w:color w:val="auto"/>
        </w:rPr>
        <w:t>of operations. Further, we rely on multilateral trade regimes to help ensure a balanced playing field. Conflicts between</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countries and geopolitical tensions may lead to implementation</w:t>
      </w:r>
    </w:p>
    <w:p>
      <w:pPr>
        <w:spacing w:after="0" w:line="5" w:lineRule="exact"/>
        <w:rPr>
          <w:sz w:val="20"/>
          <w:szCs w:val="20"/>
          <w:color w:val="auto"/>
        </w:rPr>
      </w:pPr>
    </w:p>
    <w:p>
      <w:pPr>
        <w:ind w:right="200"/>
        <w:spacing w:after="0" w:line="239" w:lineRule="auto"/>
        <w:rPr>
          <w:sz w:val="20"/>
          <w:szCs w:val="20"/>
          <w:color w:val="auto"/>
        </w:rPr>
      </w:pPr>
      <w:r>
        <w:rPr>
          <w:rFonts w:ascii="Times New Roman" w:cs="Times New Roman" w:eastAsia="Times New Roman" w:hAnsi="Times New Roman"/>
          <w:sz w:val="11"/>
          <w:szCs w:val="11"/>
          <w:color w:val="auto"/>
        </w:rPr>
        <w:t>of multiple and possibly conflicting unilateral measures or uncertainties impacting trade of products and services and</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which may also affect our customers’ ability or willingness</w:t>
      </w:r>
    </w:p>
    <w:p>
      <w:pPr>
        <w:spacing w:after="0" w:line="5" w:lineRule="exact"/>
        <w:rPr>
          <w:sz w:val="20"/>
          <w:szCs w:val="20"/>
          <w:color w:val="auto"/>
        </w:rPr>
      </w:pPr>
    </w:p>
    <w:p>
      <w:pPr>
        <w:jc w:val="both"/>
        <w:ind w:right="300"/>
        <w:spacing w:after="0" w:line="239" w:lineRule="auto"/>
        <w:rPr>
          <w:sz w:val="20"/>
          <w:szCs w:val="20"/>
          <w:color w:val="auto"/>
        </w:rPr>
      </w:pPr>
      <w:r>
        <w:rPr>
          <w:rFonts w:ascii="Times New Roman" w:cs="Times New Roman" w:eastAsia="Times New Roman" w:hAnsi="Times New Roman"/>
          <w:sz w:val="11"/>
          <w:szCs w:val="11"/>
          <w:color w:val="auto"/>
        </w:rPr>
        <w:t>to invest in capital expenditures and increase our costs or have adverse impacts on our operations and supply chain.</w:t>
      </w:r>
    </w:p>
    <w:p>
      <w:pPr>
        <w:spacing w:after="0" w:line="1" w:lineRule="exact"/>
        <w:rPr>
          <w:sz w:val="20"/>
          <w:szCs w:val="20"/>
          <w:color w:val="auto"/>
        </w:rPr>
      </w:pPr>
    </w:p>
    <w:p>
      <w:pPr>
        <w:ind w:right="80"/>
        <w:spacing w:after="0" w:line="262" w:lineRule="auto"/>
        <w:rPr>
          <w:sz w:val="20"/>
          <w:szCs w:val="20"/>
          <w:color w:val="auto"/>
        </w:rPr>
      </w:pPr>
      <w:r>
        <w:rPr>
          <w:rFonts w:ascii="Times New Roman" w:cs="Times New Roman" w:eastAsia="Times New Roman" w:hAnsi="Times New Roman"/>
          <w:sz w:val="11"/>
          <w:szCs w:val="11"/>
          <w:color w:val="auto"/>
        </w:rPr>
        <w:t>We have a significant presence in emerging markets in which the political, economic, legal and regulatory systems are less predictable than in countries with more developed institutions. These markets represent a significant portion of our total sales, and a significant portion of expected future industry growth. Most of our suppliers are located in, and our products are manufactured and assembled in, emerging markets, particularly in Asia. Our business and investments in these markets may be subject to risks and uncertainties, including unfavorable or unpredictable treatment in relation to tax matters, exchange controls, restrictions affecting our ability to make cross-border transfers of funds, regulatory proceedings, unsound or unethical business practices, challenges in protecting our IPR, information security, nationalization, inflation, currency fluctuations or the absence of or unexpected changes in regulation, as well as other unforeseeable operational risks.</w:t>
      </w:r>
    </w:p>
    <w:p>
      <w:pPr>
        <w:spacing w:after="0" w:line="196"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Our business and results of operations may be adversely affected by regulation favoring the local industry participants, as well as other measures with potentially protectionist objectives or outcomes that host governments in various countries may take, including the introduction of local technical standards that divert from the globally adopted standards. Governments and regulators, particularly after changes in political regimes, may make legal and regulatory changes, slow down or reverse the adoption of favorable policy measures,</w:t>
      </w:r>
    </w:p>
    <w:p>
      <w:pPr>
        <w:spacing w:after="0" w:line="3"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or interpret and apply existing laws in ways that make our products and services less appealing to customers or require us to incur substantial costs, change our business practices or prevent us from offering our products and services. In particular, there is a growing trend in many countries to require minimum local content in products and/or services, and we</w:t>
      </w:r>
    </w:p>
    <w:p>
      <w:pPr>
        <w:spacing w:after="0" w:line="24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160"/>
        <w:spacing w:after="0" w:line="264" w:lineRule="auto"/>
        <w:rPr>
          <w:sz w:val="20"/>
          <w:szCs w:val="20"/>
          <w:color w:val="auto"/>
        </w:rPr>
      </w:pPr>
      <w:r>
        <w:rPr>
          <w:rFonts w:ascii="Times New Roman" w:cs="Times New Roman" w:eastAsia="Times New Roman" w:hAnsi="Times New Roman"/>
          <w:sz w:val="11"/>
          <w:szCs w:val="11"/>
          <w:color w:val="auto"/>
        </w:rPr>
        <w:t>may be required to invest in certain movement of operations or joint ventures to retain market share. Restrictive government policies or actions, such as the ones we saw in relation to the COVID-19 pandemic, or limitations on visas or work permits for certain foreign workers, may make it difficult for us to move our employees into and out of these jurisdictions. Our operations and employee recruitment and retention depend on our ability to obtain the necessary visas and work permits for our employees to travel and work in the jurisdictions in which we operate. The impact of changes in or uncertainties related to general regulation and trade policies could adversely affect our business and results of operations even in cases where the regulations do not directly apply to us or our products and services.</w:t>
      </w:r>
    </w:p>
    <w:p>
      <w:pPr>
        <w:spacing w:after="0" w:line="202"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b w:val="1"/>
          <w:bCs w:val="1"/>
          <w:color w:val="auto"/>
        </w:rPr>
        <w:t>Changes in various existing regulations or in their application to current or new technologies, products or telecommunications and technology sectors in general, or emerging new regulation in areas such as security, privacy, digital economy or sustainable finance, may adversely affect our operations and business results.</w:t>
      </w:r>
    </w:p>
    <w:p>
      <w:pPr>
        <w:spacing w:after="0" w:line="1" w:lineRule="exact"/>
        <w:rPr>
          <w:sz w:val="20"/>
          <w:szCs w:val="20"/>
          <w:color w:val="auto"/>
        </w:rPr>
      </w:pPr>
    </w:p>
    <w:p>
      <w:pPr>
        <w:ind w:right="160"/>
        <w:spacing w:after="0" w:line="263" w:lineRule="auto"/>
        <w:rPr>
          <w:sz w:val="20"/>
          <w:szCs w:val="20"/>
          <w:color w:val="auto"/>
        </w:rPr>
      </w:pPr>
      <w:r>
        <w:rPr>
          <w:rFonts w:ascii="Times New Roman" w:cs="Times New Roman" w:eastAsia="Times New Roman" w:hAnsi="Times New Roman"/>
          <w:sz w:val="11"/>
          <w:szCs w:val="11"/>
          <w:color w:val="auto"/>
        </w:rPr>
        <w:t>We develop our products based on existing regulations and technical standards. In the case of new technology, we must often rely on our predictions for and interpretation of unfinished technical standards and upcoming or draft regulations or, in certain cases, have products developed in the absence of applicable regulations and standards. Fragmentation of rules, lengthy legislative processes and unpredictability of regulatory changes present a particular challenge. Due in part to this fragmentation, we face a risk in the inability to meet regulatory or market expectations on security and privacy in our products and services, and perceived or actual breaches of our information systems or customer information systems if fault is attributable to Nokia.</w:t>
      </w:r>
    </w:p>
    <w:p>
      <w:pPr>
        <w:spacing w:after="0" w:line="57"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An increase in regulation of the digital economy and telecommunications following the European Commission’s ambitious Green Deal and Path to Digital Decade could fail to find the right balance between political ambitions and practical considerations, which might negatively affect Nokia and have a stifling effect on innovation due to strict product liability requirements, limits on the use of data, and extensive due diligence and reporting requirements. From a spectrum policy perspective, unrealistic spectrum pricing, failure to enable access to additional spectrum in various bands and/or failure to achieve frequency band harmonization could also adversely impact Nokia’s customers and Nokia itself.</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125</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20"/>
        <w:spacing w:after="0" w:line="264" w:lineRule="auto"/>
        <w:rPr>
          <w:sz w:val="20"/>
          <w:szCs w:val="20"/>
          <w:color w:val="auto"/>
        </w:rPr>
      </w:pPr>
      <w:r>
        <w:rPr>
          <w:rFonts w:ascii="Times New Roman" w:cs="Times New Roman" w:eastAsia="Times New Roman" w:hAnsi="Times New Roman"/>
          <w:sz w:val="11"/>
          <w:szCs w:val="11"/>
          <w:color w:val="auto"/>
        </w:rPr>
        <w:t>Changes in applicable data and privacy-related regulatory frameworks, such as the EU General Data Protection Regulation (GDPR), EU AI Act, the Data Act and the recent adoption of EU eEvidence Regulations and the upcoming ePrivacy Regulations, including similar regulations in other countries and their application may adversely affect our business, including possible changes that increase costs, limit or restrict possibilities to offer products or services, or reduce or could be seen to reduce the privacy aspects of our offerings. For instance, countries could require governmental interception capabilities or issue regulations aimed at allowing direct governmental access to data for the products and services we offer. Such requirements or regulations could adversely affect us, if, among other things, we decide to</w:t>
      </w:r>
    </w:p>
    <w:p>
      <w:pPr>
        <w:spacing w:after="0" w:line="129" w:lineRule="exact"/>
        <w:rPr>
          <w:sz w:val="20"/>
          <w:szCs w:val="20"/>
          <w:color w:val="auto"/>
        </w:rPr>
      </w:pPr>
    </w:p>
    <w:p>
      <w:pPr>
        <w:ind w:right="360"/>
        <w:spacing w:after="0" w:line="271" w:lineRule="auto"/>
        <w:rPr>
          <w:sz w:val="20"/>
          <w:szCs w:val="20"/>
          <w:color w:val="auto"/>
        </w:rPr>
      </w:pPr>
      <w:r>
        <w:rPr>
          <w:rFonts w:ascii="Times New Roman" w:cs="Times New Roman" w:eastAsia="Times New Roman" w:hAnsi="Times New Roman"/>
          <w:sz w:val="11"/>
          <w:szCs w:val="11"/>
          <w:color w:val="auto"/>
        </w:rPr>
        <w:t>reduce our sales to such markets or if such requirements or regulations would be limiting our ability to use components, products or software that we have developed or sourced from other companies.</w:t>
      </w:r>
    </w:p>
    <w:p>
      <w:pPr>
        <w:spacing w:after="0" w:line="49" w:lineRule="exact"/>
        <w:rPr>
          <w:sz w:val="20"/>
          <w:szCs w:val="20"/>
          <w:color w:val="auto"/>
        </w:rPr>
      </w:pPr>
    </w:p>
    <w:p>
      <w:pPr>
        <w:ind w:right="320"/>
        <w:spacing w:after="0" w:line="263" w:lineRule="auto"/>
        <w:rPr>
          <w:sz w:val="20"/>
          <w:szCs w:val="20"/>
          <w:color w:val="auto"/>
        </w:rPr>
      </w:pPr>
      <w:r>
        <w:rPr>
          <w:rFonts w:ascii="Times New Roman" w:cs="Times New Roman" w:eastAsia="Times New Roman" w:hAnsi="Times New Roman"/>
          <w:sz w:val="11"/>
          <w:szCs w:val="11"/>
          <w:color w:val="auto"/>
        </w:rPr>
        <w:t>Our current business models and operations rely on certain centralized data processing solutions and cloud or remote delivery-based services for distribution of services and software or data storage, which have certain inherent risks, including those stemming from applicable regulatory regimes, including data protection or data localization, that may cause limitations in implementing such business models or conducting business. An increase in the protectionist stances of governments around the world, which impact the free flow of data across borders, has already affected and may further affect our global service delivery model. Furthermore, we observe that enforcement actions and investigations by regulatory authorities related to data security incidents and privacy violations continue to increase. Unauthorized disclosure, transfer or loss of sensitive or confidential data, whether through systems failure, employee negligence, fraud or misappropriation, by us, our vendors or other parties with whom we do business (if they fail to meet the standards we impose) could subject us to significant litigation, monetary damages, regulatory enforcement actions, fines and criminal prosecution in one or more jurisdictions.</w:t>
      </w:r>
    </w:p>
    <w:p>
      <w:pPr>
        <w:spacing w:after="0" w:line="201"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Artificial intelligence can provide useful tools to augment our capabilities and help us work more efficiently. Those could help us use large volumes of data more efficiently and reliably and assist us in performing tasks which are too difficult to perform only manually. Their use has many advantages, but also risks</w:t>
      </w:r>
    </w:p>
    <w:p>
      <w:pPr>
        <w:sectPr>
          <w:pgSz w:w="11900" w:h="16838" w:orient="portrait"/>
          <w:cols w:equalWidth="0" w:num="3">
            <w:col w:w="2940" w:space="460"/>
            <w:col w:w="3020" w:space="380"/>
            <w:col w:w="3180"/>
          </w:cols>
          <w:pgMar w:left="960" w:top="409" w:right="959" w:bottom="1440" w:gutter="0" w:footer="0" w:header="0"/>
        </w:sectPr>
      </w:pPr>
    </w:p>
    <w:bookmarkStart w:id="133" w:name="page134"/>
    <w:bookmarkEnd w:id="133"/>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126</w:t>
      </w:r>
    </w:p>
    <w:p>
      <w:pPr>
        <w:spacing w:after="0" w:line="614" w:lineRule="exact"/>
        <w:rPr>
          <w:sz w:val="20"/>
          <w:szCs w:val="20"/>
          <w:color w:val="auto"/>
        </w:rPr>
      </w:pPr>
    </w:p>
    <w:p>
      <w:pPr>
        <w:sectPr>
          <w:pgSz w:w="11900" w:h="16838" w:orient="portrait"/>
          <w:cols w:equalWidth="0" w:num="2">
            <w:col w:w="9080" w:space="720"/>
            <w:col w:w="180"/>
          </w:cols>
          <w:pgMar w:left="960" w:top="409" w:right="959" w:bottom="1440" w:gutter="0" w:footer="0" w:header="0"/>
        </w:sectPr>
      </w:pPr>
    </w:p>
    <w:p>
      <w:pPr>
        <w:spacing w:after="0" w:line="126" w:lineRule="exact"/>
        <w:rPr>
          <w:sz w:val="20"/>
          <w:szCs w:val="20"/>
          <w:color w:val="auto"/>
        </w:rPr>
      </w:pPr>
    </w:p>
    <w:p>
      <w:pPr>
        <w:ind w:right="320"/>
        <w:spacing w:after="0" w:line="309" w:lineRule="auto"/>
        <w:rPr>
          <w:sz w:val="20"/>
          <w:szCs w:val="20"/>
          <w:color w:val="auto"/>
        </w:rPr>
      </w:pPr>
      <w:r>
        <w:rPr>
          <w:rFonts w:ascii="Times New Roman" w:cs="Times New Roman" w:eastAsia="Times New Roman" w:hAnsi="Times New Roman"/>
          <w:sz w:val="11"/>
          <w:szCs w:val="11"/>
          <w:color w:val="auto"/>
        </w:rPr>
        <w:t>and challenges related to such topics as intellectual property rights, security, confidentiality, and privacy.</w:t>
      </w:r>
    </w:p>
    <w:p>
      <w:pPr>
        <w:spacing w:after="0" w:line="38"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We are seeing an increase in climate and other sustainability-related regulations and customer requirements globally. In the longer term, such regulations or requirements could impact, for instance, our energy, component and logistic costs or competitiveness of our product offering, as well as affect availability of financing from ESG-focused investors or financial institutions. Changes to existing regulation related to Sustainable Finance, such as the EU Taxonomy Regulation and its delegated acts, the new EU Corporate Sustainability Reporting Directive and the related delegated acts, as well as announced and upcoming regulations such as the EU Carbon Border Adjustment Mechanism Regulation, the EU Corporate Due Diligence Directive, the US SEC Climate Disclosure Rule, the California Corporate Data Accountability Act and the Climate Related Financial Risk Law will lead to more detailed reporting obligations, controls and documentation requirements and</w:t>
      </w:r>
    </w:p>
    <w:p>
      <w:pPr>
        <w:spacing w:after="0" w:line="127" w:lineRule="exact"/>
        <w:rPr>
          <w:sz w:val="20"/>
          <w:szCs w:val="20"/>
          <w:color w:val="auto"/>
        </w:rPr>
      </w:pPr>
    </w:p>
    <w:p>
      <w:pPr>
        <w:ind w:right="180"/>
        <w:spacing w:after="0" w:line="263" w:lineRule="auto"/>
        <w:rPr>
          <w:sz w:val="20"/>
          <w:szCs w:val="20"/>
          <w:color w:val="auto"/>
        </w:rPr>
      </w:pPr>
      <w:r>
        <w:rPr>
          <w:rFonts w:ascii="Times New Roman" w:cs="Times New Roman" w:eastAsia="Times New Roman" w:hAnsi="Times New Roman"/>
          <w:sz w:val="11"/>
          <w:szCs w:val="11"/>
          <w:color w:val="auto"/>
        </w:rPr>
        <w:t>could also affect our ability to work with certain suppliers, as well as have an impact on how our products and sustainability footprint are perceived by the markets. For example, the EU Taxonomy Regulation aims to define rules for which economic activities contribute to sustainability objectives and mandates companies to report the share of their turnover, capital expenses and operating expenses aligned with specified technical criteria. If our business activities do not meet all the technical criteria as defined in the EU Taxonomy Regulation, or if our offering is not recognized by other similar standards developed around the world, it could potentially have some impact on our financing costs, share price or brand value in the longer term, depending on how such standards are interpreted and used by the markets, financial institutions and investors in the future.</w:t>
      </w:r>
    </w:p>
    <w:p>
      <w:pPr>
        <w:spacing w:after="0" w:line="189" w:lineRule="exact"/>
        <w:rPr>
          <w:sz w:val="20"/>
          <w:szCs w:val="20"/>
          <w:color w:val="auto"/>
        </w:rPr>
      </w:pPr>
    </w:p>
    <w:p>
      <w:pPr>
        <w:ind w:right="200"/>
        <w:spacing w:after="0" w:line="263" w:lineRule="auto"/>
        <w:rPr>
          <w:sz w:val="20"/>
          <w:szCs w:val="20"/>
          <w:color w:val="auto"/>
        </w:rPr>
      </w:pPr>
      <w:r>
        <w:rPr>
          <w:rFonts w:ascii="Times New Roman" w:cs="Times New Roman" w:eastAsia="Times New Roman" w:hAnsi="Times New Roman"/>
          <w:sz w:val="11"/>
          <w:szCs w:val="11"/>
          <w:b w:val="1"/>
          <w:bCs w:val="1"/>
          <w:color w:val="auto"/>
        </w:rPr>
        <w:t>We operate in many jurisdictions around the world, and we are subject to various legal frameworks addressing corruption, fraud, competition, privacy, security, trade policies, environment, human rights, supply chains and other risk areas. At any given time, we may be subject to inspections, investigations, claims, and government proceedings, and the extent and outcome of such proceedings may be difficult to estimate with any certainty. We may be subject to material fines, penalties and other sanctions as a result of such investigations.</w:t>
      </w:r>
    </w:p>
    <w:p>
      <w:pPr>
        <w:spacing w:after="0" w:line="3" w:lineRule="exact"/>
        <w:rPr>
          <w:sz w:val="20"/>
          <w:szCs w:val="20"/>
          <w:color w:val="auto"/>
        </w:rPr>
      </w:pPr>
    </w:p>
    <w:p>
      <w:pPr>
        <w:ind w:right="320"/>
        <w:spacing w:after="0" w:line="286" w:lineRule="auto"/>
        <w:rPr>
          <w:sz w:val="20"/>
          <w:szCs w:val="20"/>
          <w:color w:val="auto"/>
        </w:rPr>
      </w:pPr>
      <w:r>
        <w:rPr>
          <w:rFonts w:ascii="Times New Roman" w:cs="Times New Roman" w:eastAsia="Times New Roman" w:hAnsi="Times New Roman"/>
          <w:sz w:val="11"/>
          <w:szCs w:val="11"/>
          <w:color w:val="auto"/>
        </w:rPr>
        <w:t>Bribery and anti-corruption laws in effect in many countries prohibit companies and their intermediaries from making</w:t>
      </w:r>
    </w:p>
    <w:p>
      <w:pPr>
        <w:spacing w:after="0" w:line="1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40"/>
        <w:spacing w:after="0" w:line="264" w:lineRule="auto"/>
        <w:rPr>
          <w:sz w:val="20"/>
          <w:szCs w:val="20"/>
          <w:color w:val="auto"/>
        </w:rPr>
      </w:pPr>
      <w:r>
        <w:rPr>
          <w:rFonts w:ascii="Times New Roman" w:cs="Times New Roman" w:eastAsia="Times New Roman" w:hAnsi="Times New Roman"/>
          <w:sz w:val="11"/>
          <w:szCs w:val="11"/>
          <w:color w:val="auto"/>
        </w:rPr>
        <w:t>improper payments to public officials or private individuals for the purpose of obtaining new business, maintaining existing business relationships or gaining any business advantage. Certain anti-corruption laws such as the United States Foreign Corrupt Practices Act (FCPA) also require the maintenance of proper books and records, and the implementation of controls and procedures in order to ensure that a company’s operations do not involve corrupt payments. Since we operate throughout the world and given that some of our customers are government-owned entities and that our projects and agreements often require approvals from public officials, there is a risk that our employees, suppliers or commercial third-party representatives may take actions that are in violation of our compliance policies and of applicable anti-corruption laws.</w:t>
      </w:r>
    </w:p>
    <w:p>
      <w:pPr>
        <w:spacing w:after="0" w:line="65" w:lineRule="exact"/>
        <w:rPr>
          <w:sz w:val="20"/>
          <w:szCs w:val="20"/>
          <w:color w:val="auto"/>
        </w:rPr>
      </w:pPr>
    </w:p>
    <w:p>
      <w:pPr>
        <w:ind w:right="40"/>
        <w:spacing w:after="0" w:line="262" w:lineRule="auto"/>
        <w:rPr>
          <w:sz w:val="20"/>
          <w:szCs w:val="20"/>
          <w:color w:val="auto"/>
        </w:rPr>
      </w:pPr>
      <w:r>
        <w:rPr>
          <w:rFonts w:ascii="Times New Roman" w:cs="Times New Roman" w:eastAsia="Times New Roman" w:hAnsi="Times New Roman"/>
          <w:sz w:val="11"/>
          <w:szCs w:val="11"/>
          <w:color w:val="auto"/>
        </w:rPr>
        <w:t>In many parts of the world where we operate, local practices and customs may be inconsistent with our policies, including the Nokia Code of Conduct, and could violate anti-corruption laws, including the FCPA and the UK Bribery Act 2010, and applicable European Union regulations, as well as applicable economic sanctions, embargoes and applicable competition and privacy laws. Our employees, or other parties acting on our behalf, could violate policies and procedures intended to promote compliance with anti-corruption laws, economic sanctions, competition or privacy laws or other applicable regulations. Violations of these laws by our employees or other parties acting on our behalf, regardless of whether we had participated in such acts or had knowledge of such acts, could result in us or our employees becoming subject to criminal</w:t>
      </w:r>
    </w:p>
    <w:p>
      <w:pPr>
        <w:spacing w:after="0" w:line="261" w:lineRule="auto"/>
        <w:rPr>
          <w:sz w:val="20"/>
          <w:szCs w:val="20"/>
          <w:color w:val="auto"/>
        </w:rPr>
      </w:pPr>
      <w:r>
        <w:rPr>
          <w:rFonts w:ascii="Times New Roman" w:cs="Times New Roman" w:eastAsia="Times New Roman" w:hAnsi="Times New Roman"/>
          <w:sz w:val="11"/>
          <w:szCs w:val="11"/>
          <w:color w:val="auto"/>
        </w:rPr>
        <w:t>or civil enforcement actions, including fines or penalties, disgorgement of profits and suspension or disqualification of sales. Additionally, violations of law or allegations of violations may result in reputational harm and loss of business and adversely affect our brand and reputation. Detecting, investigating and resolving such situations may also result in significant costs, including the need to engage external advisers, and consume significant time, attention and resources from our management and other key employees.</w:t>
      </w:r>
    </w:p>
    <w:p>
      <w:pPr>
        <w:ind w:right="140"/>
        <w:spacing w:after="0" w:line="264" w:lineRule="auto"/>
        <w:rPr>
          <w:sz w:val="20"/>
          <w:szCs w:val="20"/>
          <w:color w:val="auto"/>
        </w:rPr>
      </w:pPr>
      <w:r>
        <w:rPr>
          <w:rFonts w:ascii="Times New Roman" w:cs="Times New Roman" w:eastAsia="Times New Roman" w:hAnsi="Times New Roman"/>
          <w:sz w:val="11"/>
          <w:szCs w:val="11"/>
          <w:color w:val="auto"/>
        </w:rPr>
        <w:t>The results and costs of such investigations or claims may be difficult to predict and could lead to, for instance, lengthy disputes, fines, fees or indemnities, costly settlement or the deterioration of the Nokia brand. Furthermore, even without allegations of misconduct against us, our employees or other parties acting on our behalf, we may face loss of business as a result of improper conduct or alleged improper conduct by our competitors.</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As part of mergers and acquisitions, w e may be subject to claims, fines, investigations or assessments for conduct that we failed to or were unable to discover or identify in the course of performing our due diligence, including unknown or unasserted liabilities and issues relating to fraud, trade compliance, non-compliance with applicable laws and regulations, improper accounting policies or other improper activities.</w:t>
      </w:r>
    </w:p>
    <w:p>
      <w:pPr>
        <w:spacing w:after="0" w:line="57" w:lineRule="exact"/>
        <w:rPr>
          <w:sz w:val="20"/>
          <w:szCs w:val="20"/>
          <w:color w:val="auto"/>
        </w:rPr>
      </w:pPr>
    </w:p>
    <w:p>
      <w:pPr>
        <w:ind w:right="240"/>
        <w:spacing w:after="0" w:line="263" w:lineRule="auto"/>
        <w:rPr>
          <w:sz w:val="20"/>
          <w:szCs w:val="20"/>
          <w:color w:val="auto"/>
        </w:rPr>
      </w:pPr>
      <w:r>
        <w:rPr>
          <w:rFonts w:ascii="Times New Roman" w:cs="Times New Roman" w:eastAsia="Times New Roman" w:hAnsi="Times New Roman"/>
          <w:sz w:val="11"/>
          <w:szCs w:val="11"/>
          <w:b w:val="1"/>
          <w:bCs w:val="1"/>
          <w:color w:val="auto"/>
        </w:rPr>
        <w:t>Our governance, internal controls and compliance processes could fail to detect errors or wrongdoings and to prevent regulatory penalties at corporate level, in operating subsidiaries and joint ventures.</w:t>
      </w:r>
    </w:p>
    <w:p>
      <w:pPr>
        <w:ind w:right="260"/>
        <w:spacing w:after="0" w:line="256" w:lineRule="auto"/>
        <w:rPr>
          <w:sz w:val="20"/>
          <w:szCs w:val="20"/>
          <w:color w:val="auto"/>
        </w:rPr>
      </w:pPr>
      <w:r>
        <w:rPr>
          <w:rFonts w:ascii="Times New Roman" w:cs="Times New Roman" w:eastAsia="Times New Roman" w:hAnsi="Times New Roman"/>
          <w:sz w:val="11"/>
          <w:szCs w:val="11"/>
          <w:color w:val="auto"/>
        </w:rPr>
        <w:t>Nokia is a publicly listed company and, as such, subject to various securities and accounting rules and regulations. For instance, we must monitor and assess our internal control over financial reporting and its compliance with the applicable rules and regulations. A failure of our corporate functions, our business groups, our operating subsidiaries or our joint ventures to maintain effective internal controls over financial reporting, or to comply with the applicable securities and accounting rules and regulations, could adversely affect the accuracy and timeliness of our financial reporting, which could result, for instance, in loss of confidence in us or in the accuracy and completeness of our financial reports, or otherwise in the imposition of fines or other regulatory measures, which could have a material adverse effect on us.</w:t>
      </w:r>
    </w:p>
    <w:p>
      <w:pPr>
        <w:spacing w:after="0" w:line="67" w:lineRule="exact"/>
        <w:rPr>
          <w:sz w:val="20"/>
          <w:szCs w:val="20"/>
          <w:color w:val="auto"/>
        </w:rPr>
      </w:pPr>
    </w:p>
    <w:p>
      <w:pPr>
        <w:ind w:right="320"/>
        <w:spacing w:after="0" w:line="259" w:lineRule="auto"/>
        <w:rPr>
          <w:sz w:val="20"/>
          <w:szCs w:val="20"/>
          <w:color w:val="auto"/>
        </w:rPr>
      </w:pPr>
      <w:r>
        <w:rPr>
          <w:rFonts w:ascii="Times New Roman" w:cs="Times New Roman" w:eastAsia="Times New Roman" w:hAnsi="Times New Roman"/>
          <w:sz w:val="11"/>
          <w:szCs w:val="11"/>
          <w:color w:val="auto"/>
        </w:rPr>
        <w:t>Integrity and high ethical standards are an essential part of our culture. However, despite our Group-wide compliance measures, including ethical business trainings and other actions (including towards our suppliers), we may not be able to prevent breaches of law or governance standards within our business, subsidiaries, joint ventures or in our supply chain. If we fail to or are unable to comply with applicable law and regulations, we could experience penalties and adverse rulings in enforcement and other proceedings.</w:t>
      </w:r>
    </w:p>
    <w:p>
      <w:pPr>
        <w:spacing w:after="0" w:line="54" w:lineRule="exact"/>
        <w:rPr>
          <w:sz w:val="20"/>
          <w:szCs w:val="20"/>
          <w:color w:val="auto"/>
        </w:rPr>
      </w:pPr>
    </w:p>
    <w:p>
      <w:pPr>
        <w:ind w:right="480"/>
        <w:spacing w:after="0" w:line="264" w:lineRule="auto"/>
        <w:rPr>
          <w:sz w:val="20"/>
          <w:szCs w:val="20"/>
          <w:color w:val="auto"/>
        </w:rPr>
      </w:pPr>
      <w:r>
        <w:rPr>
          <w:rFonts w:ascii="Times New Roman" w:cs="Times New Roman" w:eastAsia="Times New Roman" w:hAnsi="Times New Roman"/>
          <w:sz w:val="11"/>
          <w:szCs w:val="11"/>
          <w:b w:val="1"/>
          <w:bCs w:val="1"/>
          <w:color w:val="auto"/>
        </w:rPr>
        <w:t>We are subject to litigation proceedings, which may be disruptive and expensive. In addition, an unfavorable outcome of litigation, arbitration, agreement-related disputes or product liability-related allegations against our business could have a material adverse effect on us.</w:t>
      </w:r>
    </w:p>
    <w:p>
      <w:pPr>
        <w:spacing w:after="0" w:line="1" w:lineRule="exact"/>
        <w:rPr>
          <w:sz w:val="20"/>
          <w:szCs w:val="20"/>
          <w:color w:val="auto"/>
        </w:rPr>
      </w:pPr>
    </w:p>
    <w:p>
      <w:pPr>
        <w:ind w:right="340" w:firstLine="1"/>
        <w:spacing w:after="0" w:line="266" w:lineRule="auto"/>
        <w:rPr>
          <w:sz w:val="20"/>
          <w:szCs w:val="20"/>
          <w:color w:val="auto"/>
        </w:rPr>
      </w:pPr>
      <w:r>
        <w:rPr>
          <w:rFonts w:ascii="Times New Roman" w:cs="Times New Roman" w:eastAsia="Times New Roman" w:hAnsi="Times New Roman"/>
          <w:sz w:val="11"/>
          <w:szCs w:val="11"/>
          <w:color w:val="auto"/>
        </w:rPr>
        <w:t>We are a party to lawsuits, arbitration proceedings, agreement-related disputes and product liability-related allegations in the normal course of our business. Litigation, arbitration or agreement-related disputes can be expensive, lengthy and disruptive to normal business operations and divert the efforts of our management. Moreover, the outcomes of complex legal</w:t>
      </w:r>
    </w:p>
    <w:p>
      <w:pPr>
        <w:sectPr>
          <w:pgSz w:w="11900" w:h="16838" w:orient="portrait"/>
          <w:cols w:equalWidth="0" w:num="3">
            <w:col w:w="3080" w:space="320"/>
            <w:col w:w="2940" w:space="460"/>
            <w:col w:w="3180"/>
          </w:cols>
          <w:pgMar w:left="960" w:top="409" w:right="959" w:bottom="1440" w:gutter="0" w:footer="0" w:header="0"/>
          <w:type w:val="continuous"/>
        </w:sectPr>
      </w:pPr>
    </w:p>
    <w:bookmarkStart w:id="134" w:name="page135"/>
    <w:bookmarkEnd w:id="134"/>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1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260" w:type="dxa"/>
            <w:vAlign w:val="bottom"/>
          </w:tcPr>
          <w:p>
            <w:pPr>
              <w:spacing w:after="0"/>
              <w:rPr>
                <w:sz w:val="9"/>
                <w:szCs w:val="9"/>
                <w:color w:val="auto"/>
              </w:rPr>
            </w:pPr>
          </w:p>
        </w:tc>
        <w:tc>
          <w:tcPr>
            <w:tcW w:w="1100" w:type="dxa"/>
            <w:vAlign w:val="bottom"/>
          </w:tcPr>
          <w:p>
            <w:pPr>
              <w:ind w:left="80"/>
              <w:spacing w:after="0"/>
              <w:rPr>
                <w:sz w:val="20"/>
                <w:szCs w:val="20"/>
                <w:color w:val="auto"/>
              </w:rPr>
            </w:pPr>
            <w:r>
              <w:rPr>
                <w:rFonts w:ascii="Times New Roman" w:cs="Times New Roman" w:eastAsia="Times New Roman" w:hAnsi="Times New Roman"/>
                <w:sz w:val="9"/>
                <w:szCs w:val="9"/>
                <w:color w:val="auto"/>
              </w:rPr>
              <w:t>General facts</w:t>
            </w:r>
          </w:p>
        </w:tc>
        <w:tc>
          <w:tcPr>
            <w:tcW w:w="900" w:type="dxa"/>
            <w:vAlign w:val="bottom"/>
          </w:tcPr>
          <w:p>
            <w:pPr>
              <w:ind w:left="60"/>
              <w:spacing w:after="0"/>
              <w:rPr>
                <w:sz w:val="20"/>
                <w:szCs w:val="20"/>
                <w:color w:val="auto"/>
              </w:rPr>
            </w:pPr>
            <w:r>
              <w:rPr>
                <w:rFonts w:ascii="Times New Roman" w:cs="Times New Roman" w:eastAsia="Times New Roman" w:hAnsi="Times New Roman"/>
                <w:sz w:val="9"/>
                <w:szCs w:val="9"/>
                <w:color w:val="auto"/>
              </w:rPr>
              <w:t>Financial</w:t>
            </w:r>
          </w:p>
        </w:tc>
        <w:tc>
          <w:tcPr>
            <w:tcW w:w="1100" w:type="dxa"/>
            <w:vAlign w:val="bottom"/>
          </w:tcPr>
          <w:p>
            <w:pPr>
              <w:ind w:left="180"/>
              <w:spacing w:after="0"/>
              <w:rPr>
                <w:sz w:val="20"/>
                <w:szCs w:val="20"/>
                <w:color w:val="auto"/>
              </w:rPr>
            </w:pPr>
            <w:r>
              <w:rPr>
                <w:rFonts w:ascii="Times New Roman" w:cs="Times New Roman" w:eastAsia="Times New Roman" w:hAnsi="Times New Roman"/>
                <w:sz w:val="9"/>
                <w:szCs w:val="9"/>
                <w:color w:val="auto"/>
              </w:rPr>
              <w:t>Other</w:t>
            </w:r>
          </w:p>
        </w:tc>
        <w:tc>
          <w:tcPr>
            <w:tcW w:w="0" w:type="dxa"/>
            <w:vAlign w:val="bottom"/>
          </w:tcPr>
          <w:p>
            <w:pPr>
              <w:spacing w:after="0"/>
              <w:rPr>
                <w:sz w:val="1"/>
                <w:szCs w:val="1"/>
                <w:color w:val="auto"/>
              </w:rPr>
            </w:pPr>
          </w:p>
        </w:tc>
      </w:tr>
      <w:tr>
        <w:trPr>
          <w:trHeight w:val="122"/>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14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260" w:type="dxa"/>
            <w:vAlign w:val="bottom"/>
          </w:tcPr>
          <w:p>
            <w:pPr>
              <w:spacing w:after="0"/>
              <w:rPr>
                <w:sz w:val="10"/>
                <w:szCs w:val="10"/>
                <w:color w:val="auto"/>
              </w:rPr>
            </w:pPr>
          </w:p>
        </w:tc>
        <w:tc>
          <w:tcPr>
            <w:tcW w:w="1100" w:type="dxa"/>
            <w:vAlign w:val="bottom"/>
          </w:tcPr>
          <w:p>
            <w:pPr>
              <w:ind w:left="80"/>
              <w:spacing w:after="0"/>
              <w:rPr>
                <w:sz w:val="20"/>
                <w:szCs w:val="20"/>
                <w:color w:val="auto"/>
              </w:rPr>
            </w:pPr>
            <w:r>
              <w:rPr>
                <w:rFonts w:ascii="Times New Roman" w:cs="Times New Roman" w:eastAsia="Times New Roman" w:hAnsi="Times New Roman"/>
                <w:sz w:val="9"/>
                <w:szCs w:val="9"/>
                <w:color w:val="auto"/>
              </w:rPr>
              <w:t>on Nokia</w:t>
            </w:r>
          </w:p>
        </w:tc>
        <w:tc>
          <w:tcPr>
            <w:tcW w:w="900" w:type="dxa"/>
            <w:vAlign w:val="bottom"/>
          </w:tcPr>
          <w:p>
            <w:pPr>
              <w:ind w:left="60"/>
              <w:spacing w:after="0"/>
              <w:rPr>
                <w:sz w:val="20"/>
                <w:szCs w:val="20"/>
                <w:color w:val="auto"/>
              </w:rPr>
            </w:pPr>
            <w:r>
              <w:rPr>
                <w:rFonts w:ascii="Times New Roman" w:cs="Times New Roman" w:eastAsia="Times New Roman" w:hAnsi="Times New Roman"/>
                <w:sz w:val="9"/>
                <w:szCs w:val="9"/>
                <w:color w:val="auto"/>
              </w:rPr>
              <w:t>statements</w:t>
            </w:r>
          </w:p>
        </w:tc>
        <w:tc>
          <w:tcPr>
            <w:tcW w:w="1100" w:type="dxa"/>
            <w:vAlign w:val="bottom"/>
          </w:tcPr>
          <w:p>
            <w:pPr>
              <w:ind w:left="180"/>
              <w:spacing w:after="0"/>
              <w:rPr>
                <w:sz w:val="20"/>
                <w:szCs w:val="20"/>
                <w:color w:val="auto"/>
              </w:rPr>
            </w:pPr>
            <w:r>
              <w:rPr>
                <w:rFonts w:ascii="Times New Roman" w:cs="Times New Roman" w:eastAsia="Times New Roman" w:hAnsi="Times New Roman"/>
                <w:sz w:val="9"/>
                <w:szCs w:val="9"/>
                <w:color w:val="auto"/>
              </w:rPr>
              <w:t>information</w:t>
            </w:r>
          </w:p>
        </w:tc>
        <w:tc>
          <w:tcPr>
            <w:tcW w:w="0" w:type="dxa"/>
            <w:vAlign w:val="bottom"/>
          </w:tcPr>
          <w:p>
            <w:pPr>
              <w:spacing w:after="0"/>
              <w:rPr>
                <w:sz w:val="1"/>
                <w:szCs w:val="1"/>
                <w:color w:val="auto"/>
              </w:rPr>
            </w:pPr>
          </w:p>
        </w:tc>
      </w:tr>
      <w:tr>
        <w:trPr>
          <w:trHeight w:val="53"/>
        </w:trPr>
        <w:tc>
          <w:tcPr>
            <w:tcW w:w="1920" w:type="dxa"/>
            <w:vAlign w:val="bottom"/>
            <w:gridSpan w:val="2"/>
            <w:vMerge w:val="restart"/>
          </w:tcPr>
          <w:p>
            <w:pPr>
              <w:spacing w:after="0"/>
              <w:rPr>
                <w:sz w:val="20"/>
                <w:szCs w:val="20"/>
                <w:color w:val="auto"/>
              </w:rPr>
            </w:pPr>
            <w:r>
              <w:rPr>
                <w:rFonts w:ascii="Times New Roman" w:cs="Times New Roman" w:eastAsia="Times New Roman" w:hAnsi="Times New Roman"/>
                <w:sz w:val="13"/>
                <w:szCs w:val="13"/>
                <w:color w:val="005AFF"/>
              </w:rPr>
              <w:t>Risk factors continued</w:t>
            </w:r>
          </w:p>
        </w:tc>
        <w:tc>
          <w:tcPr>
            <w:tcW w:w="1000" w:type="dxa"/>
            <w:vAlign w:val="bottom"/>
            <w:tcBorders>
              <w:bottom w:val="single" w:sz="8" w:color="005AFF"/>
            </w:tcBorders>
          </w:tcPr>
          <w:p>
            <w:pPr>
              <w:spacing w:after="0"/>
              <w:rPr>
                <w:sz w:val="4"/>
                <w:szCs w:val="4"/>
                <w:color w:val="auto"/>
              </w:rPr>
            </w:pPr>
          </w:p>
        </w:tc>
        <w:tc>
          <w:tcPr>
            <w:tcW w:w="140" w:type="dxa"/>
            <w:vAlign w:val="bottom"/>
          </w:tcPr>
          <w:p>
            <w:pPr>
              <w:spacing w:after="0"/>
              <w:rPr>
                <w:sz w:val="4"/>
                <w:szCs w:val="4"/>
                <w:color w:val="auto"/>
              </w:rPr>
            </w:pPr>
          </w:p>
        </w:tc>
        <w:tc>
          <w:tcPr>
            <w:tcW w:w="260" w:type="dxa"/>
            <w:vAlign w:val="bottom"/>
          </w:tcPr>
          <w:p>
            <w:pPr>
              <w:spacing w:after="0"/>
              <w:rPr>
                <w:sz w:val="4"/>
                <w:szCs w:val="4"/>
                <w:color w:val="auto"/>
              </w:rPr>
            </w:pPr>
          </w:p>
        </w:tc>
        <w:tc>
          <w:tcPr>
            <w:tcW w:w="1100" w:type="dxa"/>
            <w:vAlign w:val="bottom"/>
          </w:tcPr>
          <w:p>
            <w:pPr>
              <w:spacing w:after="0"/>
              <w:rPr>
                <w:sz w:val="4"/>
                <w:szCs w:val="4"/>
                <w:color w:val="auto"/>
              </w:rPr>
            </w:pPr>
          </w:p>
        </w:tc>
        <w:tc>
          <w:tcPr>
            <w:tcW w:w="900" w:type="dxa"/>
            <w:vAlign w:val="bottom"/>
          </w:tcPr>
          <w:p>
            <w:pPr>
              <w:spacing w:after="0"/>
              <w:rPr>
                <w:sz w:val="4"/>
                <w:szCs w:val="4"/>
                <w:color w:val="auto"/>
              </w:rPr>
            </w:pPr>
          </w:p>
        </w:tc>
        <w:tc>
          <w:tcPr>
            <w:tcW w:w="110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354"/>
        </w:trPr>
        <w:tc>
          <w:tcPr>
            <w:tcW w:w="1920" w:type="dxa"/>
            <w:vAlign w:val="bottom"/>
            <w:gridSpan w:val="2"/>
            <w:vMerge w:val="continue"/>
          </w:tcPr>
          <w:p>
            <w:pPr>
              <w:spacing w:after="0"/>
              <w:rPr>
                <w:sz w:val="24"/>
                <w:szCs w:val="24"/>
                <w:color w:val="auto"/>
              </w:rPr>
            </w:pPr>
          </w:p>
        </w:tc>
        <w:tc>
          <w:tcPr>
            <w:tcW w:w="100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260" w:type="dxa"/>
            <w:vAlign w:val="bottom"/>
          </w:tcPr>
          <w:p>
            <w:pPr>
              <w:spacing w:after="0"/>
              <w:rPr>
                <w:sz w:val="24"/>
                <w:szCs w:val="24"/>
                <w:color w:val="auto"/>
              </w:rPr>
            </w:pPr>
          </w:p>
        </w:tc>
        <w:tc>
          <w:tcPr>
            <w:tcW w:w="1100" w:type="dxa"/>
            <w:vAlign w:val="bottom"/>
          </w:tcPr>
          <w:p>
            <w:pPr>
              <w:spacing w:after="0"/>
              <w:rPr>
                <w:sz w:val="24"/>
                <w:szCs w:val="24"/>
                <w:color w:val="auto"/>
              </w:rPr>
            </w:pPr>
          </w:p>
        </w:tc>
        <w:tc>
          <w:tcPr>
            <w:tcW w:w="900" w:type="dxa"/>
            <w:vAlign w:val="bottom"/>
          </w:tcPr>
          <w:p>
            <w:pPr>
              <w:spacing w:after="0"/>
              <w:rPr>
                <w:sz w:val="24"/>
                <w:szCs w:val="24"/>
                <w:color w:val="auto"/>
              </w:rPr>
            </w:pPr>
          </w:p>
        </w:tc>
        <w:tc>
          <w:tcPr>
            <w:tcW w:w="110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3"/>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proceedings or agreement-related disputes are difficult to</w:t>
            </w:r>
          </w:p>
        </w:tc>
        <w:tc>
          <w:tcPr>
            <w:tcW w:w="260" w:type="dxa"/>
            <w:vAlign w:val="bottom"/>
          </w:tcPr>
          <w:p>
            <w:pPr>
              <w:spacing w:after="0"/>
              <w:rPr>
                <w:sz w:val="24"/>
                <w:szCs w:val="24"/>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impairing our ability to implement our key policies and</w:t>
            </w:r>
          </w:p>
        </w:tc>
        <w:tc>
          <w:tcPr>
            <w:tcW w:w="0" w:type="dxa"/>
            <w:vAlign w:val="bottom"/>
          </w:tcPr>
          <w:p>
            <w:pPr>
              <w:spacing w:after="0"/>
              <w:rPr>
                <w:sz w:val="1"/>
                <w:szCs w:val="1"/>
                <w:color w:val="auto"/>
              </w:rPr>
            </w:pPr>
          </w:p>
        </w:tc>
      </w:tr>
      <w:tr>
        <w:trPr>
          <w:trHeight w:val="142"/>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predict. An unfavorable resolution of a particular lawsuit,</w:t>
            </w:r>
          </w:p>
        </w:tc>
        <w:tc>
          <w:tcPr>
            <w:tcW w:w="260" w:type="dxa"/>
            <w:vAlign w:val="bottom"/>
          </w:tcPr>
          <w:p>
            <w:pPr>
              <w:spacing w:after="0"/>
              <w:rPr>
                <w:sz w:val="12"/>
                <w:szCs w:val="12"/>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practices, such as our compliance processes and culture, in a</w:t>
            </w:r>
          </w:p>
        </w:tc>
        <w:tc>
          <w:tcPr>
            <w:tcW w:w="0" w:type="dxa"/>
            <w:vAlign w:val="bottom"/>
          </w:tcPr>
          <w:p>
            <w:pPr>
              <w:spacing w:after="0"/>
              <w:rPr>
                <w:sz w:val="1"/>
                <w:szCs w:val="1"/>
                <w:color w:val="auto"/>
              </w:rPr>
            </w:pPr>
          </w:p>
        </w:tc>
      </w:tr>
      <w:tr>
        <w:trPr>
          <w:trHeight w:val="131"/>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arbitration proceeding or agreement-related dispute could have</w:t>
            </w:r>
          </w:p>
        </w:tc>
        <w:tc>
          <w:tcPr>
            <w:tcW w:w="260" w:type="dxa"/>
            <w:vAlign w:val="bottom"/>
          </w:tcPr>
          <w:p>
            <w:pPr>
              <w:spacing w:after="0"/>
              <w:rPr>
                <w:sz w:val="11"/>
                <w:szCs w:val="11"/>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comprehensive or timely manner. In addition, joint venture</w:t>
            </w:r>
          </w:p>
        </w:tc>
        <w:tc>
          <w:tcPr>
            <w:tcW w:w="0" w:type="dxa"/>
            <w:vAlign w:val="bottom"/>
          </w:tcPr>
          <w:p>
            <w:pPr>
              <w:spacing w:after="0"/>
              <w:rPr>
                <w:sz w:val="1"/>
                <w:szCs w:val="1"/>
                <w:color w:val="auto"/>
              </w:rPr>
            </w:pPr>
          </w:p>
        </w:tc>
      </w:tr>
      <w:tr>
        <w:trPr>
          <w:trHeight w:val="142"/>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 material adverse effect on us. The investment or acquisition</w:t>
            </w:r>
          </w:p>
        </w:tc>
        <w:tc>
          <w:tcPr>
            <w:tcW w:w="260" w:type="dxa"/>
            <w:vAlign w:val="bottom"/>
          </w:tcPr>
          <w:p>
            <w:pPr>
              <w:spacing w:after="0"/>
              <w:rPr>
                <w:sz w:val="12"/>
                <w:szCs w:val="12"/>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companies and other affiliated companies having their own</w:t>
            </w:r>
          </w:p>
        </w:tc>
        <w:tc>
          <w:tcPr>
            <w:tcW w:w="0" w:type="dxa"/>
            <w:vAlign w:val="bottom"/>
          </w:tcPr>
          <w:p>
            <w:pPr>
              <w:spacing w:after="0"/>
              <w:rPr>
                <w:sz w:val="1"/>
                <w:szCs w:val="1"/>
                <w:color w:val="auto"/>
              </w:rPr>
            </w:pPr>
          </w:p>
        </w:tc>
      </w:tr>
      <w:tr>
        <w:trPr>
          <w:trHeight w:val="131"/>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decisions we make may subject us to litigation arising from</w:t>
            </w:r>
          </w:p>
        </w:tc>
        <w:tc>
          <w:tcPr>
            <w:tcW w:w="260" w:type="dxa"/>
            <w:vAlign w:val="bottom"/>
          </w:tcPr>
          <w:p>
            <w:pPr>
              <w:spacing w:after="0"/>
              <w:rPr>
                <w:sz w:val="11"/>
                <w:szCs w:val="11"/>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governance and system infrastructure, such as our local service</w:t>
            </w:r>
          </w:p>
        </w:tc>
        <w:tc>
          <w:tcPr>
            <w:tcW w:w="0" w:type="dxa"/>
            <w:vAlign w:val="bottom"/>
          </w:tcPr>
          <w:p>
            <w:pPr>
              <w:spacing w:after="0"/>
              <w:rPr>
                <w:sz w:val="1"/>
                <w:szCs w:val="1"/>
                <w:color w:val="auto"/>
              </w:rPr>
            </w:pPr>
          </w:p>
        </w:tc>
      </w:tr>
      <w:tr>
        <w:trPr>
          <w:trHeight w:val="142"/>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minority shareholders’ actions and investor dissatisfaction with</w:t>
            </w:r>
          </w:p>
        </w:tc>
        <w:tc>
          <w:tcPr>
            <w:tcW w:w="260" w:type="dxa"/>
            <w:vAlign w:val="bottom"/>
          </w:tcPr>
          <w:p>
            <w:pPr>
              <w:spacing w:after="0"/>
              <w:rPr>
                <w:sz w:val="12"/>
                <w:szCs w:val="12"/>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companies focusing on networks field services, involve inherent</w:t>
            </w:r>
          </w:p>
        </w:tc>
        <w:tc>
          <w:tcPr>
            <w:tcW w:w="0" w:type="dxa"/>
            <w:vAlign w:val="bottom"/>
          </w:tcPr>
          <w:p>
            <w:pPr>
              <w:spacing w:after="0"/>
              <w:rPr>
                <w:sz w:val="1"/>
                <w:szCs w:val="1"/>
                <w:color w:val="auto"/>
              </w:rPr>
            </w:pPr>
          </w:p>
        </w:tc>
      </w:tr>
      <w:tr>
        <w:trPr>
          <w:trHeight w:val="142"/>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the activities of our business. Shareholder disputes, if resolved</w:t>
            </w:r>
          </w:p>
        </w:tc>
        <w:tc>
          <w:tcPr>
            <w:tcW w:w="260" w:type="dxa"/>
            <w:vAlign w:val="bottom"/>
          </w:tcPr>
          <w:p>
            <w:pPr>
              <w:spacing w:after="0"/>
              <w:rPr>
                <w:sz w:val="12"/>
                <w:szCs w:val="12"/>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risks such as those associated with a complex corporate</w:t>
            </w:r>
          </w:p>
        </w:tc>
        <w:tc>
          <w:tcPr>
            <w:tcW w:w="0" w:type="dxa"/>
            <w:vAlign w:val="bottom"/>
          </w:tcPr>
          <w:p>
            <w:pPr>
              <w:spacing w:after="0"/>
              <w:rPr>
                <w:sz w:val="1"/>
                <w:szCs w:val="1"/>
                <w:color w:val="auto"/>
              </w:rPr>
            </w:pPr>
          </w:p>
        </w:tc>
      </w:tr>
      <w:tr>
        <w:trPr>
          <w:trHeight w:val="131"/>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against us, could have a material adverse effect on us.</w:t>
            </w:r>
          </w:p>
        </w:tc>
        <w:tc>
          <w:tcPr>
            <w:tcW w:w="260" w:type="dxa"/>
            <w:vAlign w:val="bottom"/>
          </w:tcPr>
          <w:p>
            <w:pPr>
              <w:spacing w:after="0"/>
              <w:rPr>
                <w:sz w:val="11"/>
                <w:szCs w:val="11"/>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governance structure, lack of transparency or uniform controls</w:t>
            </w:r>
          </w:p>
        </w:tc>
        <w:tc>
          <w:tcPr>
            <w:tcW w:w="0" w:type="dxa"/>
            <w:vAlign w:val="bottom"/>
          </w:tcPr>
          <w:p>
            <w:pPr>
              <w:spacing w:after="0"/>
              <w:rPr>
                <w:sz w:val="1"/>
                <w:szCs w:val="1"/>
                <w:color w:val="auto"/>
              </w:rPr>
            </w:pPr>
          </w:p>
        </w:tc>
      </w:tr>
      <w:tr>
        <w:trPr>
          <w:trHeight w:val="142"/>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We record provisions for pending claims when we determine</w:t>
            </w:r>
          </w:p>
        </w:tc>
        <w:tc>
          <w:tcPr>
            <w:tcW w:w="260" w:type="dxa"/>
            <w:vAlign w:val="bottom"/>
          </w:tcPr>
          <w:p>
            <w:pPr>
              <w:spacing w:after="0"/>
              <w:rPr>
                <w:sz w:val="12"/>
                <w:szCs w:val="12"/>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and procedures and consequent risks of compliance breaches</w:t>
            </w: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or other similar issues, or issues in dissolving such entities or</w:t>
            </w:r>
          </w:p>
        </w:tc>
        <w:tc>
          <w:tcPr>
            <w:tcW w:w="0" w:type="dxa"/>
            <w:vAlign w:val="bottom"/>
          </w:tcPr>
          <w:p>
            <w:pPr>
              <w:spacing w:after="0"/>
              <w:rPr>
                <w:sz w:val="1"/>
                <w:szCs w:val="1"/>
                <w:color w:val="auto"/>
              </w:rPr>
            </w:pPr>
          </w:p>
        </w:tc>
      </w:tr>
      <w:tr>
        <w:trPr>
          <w:trHeight w:val="5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that an unfavorable outcome is likely and the loss can</w:t>
            </w:r>
          </w:p>
        </w:tc>
        <w:tc>
          <w:tcPr>
            <w:tcW w:w="260" w:type="dxa"/>
            <w:vAlign w:val="bottom"/>
          </w:tcPr>
          <w:p>
            <w:pPr>
              <w:spacing w:after="0"/>
              <w:rPr>
                <w:sz w:val="4"/>
                <w:szCs w:val="4"/>
                <w:color w:val="auto"/>
              </w:rPr>
            </w:pPr>
          </w:p>
        </w:tc>
        <w:tc>
          <w:tcPr>
            <w:tcW w:w="310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divesting their shareholdings, assets and liabilities, and may</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reasonably be estimated. Although we believe our provisions</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also involve negative public perceptions caused by the joint</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for pending claims are appropriate, due to the inherent</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2000" w:type="dxa"/>
            <w:vAlign w:val="bottom"/>
            <w:gridSpan w:val="2"/>
            <w:vMerge w:val="restart"/>
          </w:tcPr>
          <w:p>
            <w:pPr>
              <w:ind w:left="80"/>
              <w:spacing w:after="0"/>
              <w:rPr>
                <w:sz w:val="20"/>
                <w:szCs w:val="20"/>
                <w:color w:val="auto"/>
              </w:rPr>
            </w:pPr>
            <w:r>
              <w:rPr>
                <w:rFonts w:ascii="Times New Roman" w:cs="Times New Roman" w:eastAsia="Times New Roman" w:hAnsi="Times New Roman"/>
                <w:sz w:val="11"/>
                <w:szCs w:val="11"/>
                <w:color w:val="auto"/>
              </w:rPr>
              <w:t>venture partner that are adverse to us.</w:t>
            </w:r>
          </w:p>
        </w:tc>
        <w:tc>
          <w:tcPr>
            <w:tcW w:w="11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uncertain nature of legal proceedings, the ultimate outcome or</w:t>
            </w:r>
          </w:p>
        </w:tc>
        <w:tc>
          <w:tcPr>
            <w:tcW w:w="260" w:type="dxa"/>
            <w:vAlign w:val="bottom"/>
          </w:tcPr>
          <w:p>
            <w:pPr>
              <w:spacing w:after="0"/>
              <w:rPr>
                <w:sz w:val="5"/>
                <w:szCs w:val="5"/>
                <w:color w:val="auto"/>
              </w:rPr>
            </w:pPr>
          </w:p>
        </w:tc>
        <w:tc>
          <w:tcPr>
            <w:tcW w:w="2000" w:type="dxa"/>
            <w:vAlign w:val="bottom"/>
            <w:gridSpan w:val="2"/>
            <w:vMerge w:val="continue"/>
          </w:tcPr>
          <w:p>
            <w:pPr>
              <w:spacing w:after="0"/>
              <w:rPr>
                <w:sz w:val="5"/>
                <w:szCs w:val="5"/>
                <w:color w:val="auto"/>
              </w:rPr>
            </w:pPr>
          </w:p>
        </w:tc>
        <w:tc>
          <w:tcPr>
            <w:tcW w:w="1100" w:type="dxa"/>
            <w:vAlign w:val="bottom"/>
          </w:tcPr>
          <w:p>
            <w:pPr>
              <w:spacing w:after="0"/>
              <w:rPr>
                <w:sz w:val="5"/>
                <w:szCs w:val="5"/>
                <w:color w:val="auto"/>
              </w:rPr>
            </w:pPr>
          </w:p>
        </w:tc>
        <w:tc>
          <w:tcPr>
            <w:tcW w:w="0" w:type="dxa"/>
            <w:vAlign w:val="bottom"/>
          </w:tcPr>
          <w:p>
            <w:pPr>
              <w:spacing w:after="0"/>
              <w:rPr>
                <w:sz w:val="1"/>
                <w:szCs w:val="1"/>
                <w:color w:val="auto"/>
              </w:rPr>
            </w:pPr>
          </w:p>
        </w:tc>
      </w:tr>
      <w:tr>
        <w:trPr>
          <w:trHeight w:val="64"/>
        </w:trPr>
        <w:tc>
          <w:tcPr>
            <w:tcW w:w="3060" w:type="dxa"/>
            <w:vAlign w:val="bottom"/>
            <w:gridSpan w:val="4"/>
            <w:vMerge w:val="continue"/>
          </w:tcPr>
          <w:p>
            <w:pPr>
              <w:spacing w:after="0"/>
              <w:rPr>
                <w:sz w:val="5"/>
                <w:szCs w:val="5"/>
                <w:color w:val="auto"/>
              </w:rPr>
            </w:pPr>
          </w:p>
        </w:tc>
        <w:tc>
          <w:tcPr>
            <w:tcW w:w="260" w:type="dxa"/>
            <w:vAlign w:val="bottom"/>
          </w:tcPr>
          <w:p>
            <w:pPr>
              <w:spacing w:after="0"/>
              <w:rPr>
                <w:sz w:val="5"/>
                <w:szCs w:val="5"/>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b w:val="1"/>
                <w:bCs w:val="1"/>
                <w:color w:val="auto"/>
              </w:rPr>
              <w:t>We engage in the installation and maintenance of undersea</w:t>
            </w:r>
          </w:p>
        </w:tc>
        <w:tc>
          <w:tcPr>
            <w:tcW w:w="0" w:type="dxa"/>
            <w:vAlign w:val="bottom"/>
          </w:tcPr>
          <w:p>
            <w:pPr>
              <w:spacing w:after="0"/>
              <w:rPr>
                <w:sz w:val="1"/>
                <w:szCs w:val="1"/>
                <w:color w:val="auto"/>
              </w:rPr>
            </w:pPr>
          </w:p>
        </w:tc>
      </w:tr>
      <w:tr>
        <w:trPr>
          <w:trHeight w:val="140"/>
        </w:trPr>
        <w:tc>
          <w:tcPr>
            <w:tcW w:w="30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actual cost of settlement may materially differ from estimates.</w:t>
            </w:r>
          </w:p>
        </w:tc>
        <w:tc>
          <w:tcPr>
            <w:tcW w:w="260" w:type="dxa"/>
            <w:vAlign w:val="bottom"/>
          </w:tcPr>
          <w:p>
            <w:pPr>
              <w:spacing w:after="0"/>
              <w:rPr>
                <w:sz w:val="12"/>
                <w:szCs w:val="12"/>
                <w:color w:val="auto"/>
              </w:rPr>
            </w:pPr>
          </w:p>
        </w:tc>
        <w:tc>
          <w:tcPr>
            <w:tcW w:w="3100" w:type="dxa"/>
            <w:vAlign w:val="bottom"/>
            <w:gridSpan w:val="3"/>
            <w:vMerge w:val="continue"/>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Although our products are designed to meet all relevant</w:t>
            </w:r>
          </w:p>
        </w:tc>
        <w:tc>
          <w:tcPr>
            <w:tcW w:w="260" w:type="dxa"/>
            <w:vAlign w:val="bottom"/>
          </w:tcPr>
          <w:p>
            <w:pPr>
              <w:spacing w:after="0"/>
              <w:rPr>
                <w:sz w:val="11"/>
                <w:szCs w:val="11"/>
                <w:color w:val="auto"/>
              </w:rPr>
            </w:pPr>
          </w:p>
        </w:tc>
        <w:tc>
          <w:tcPr>
            <w:tcW w:w="3100" w:type="dxa"/>
            <w:vAlign w:val="bottom"/>
            <w:gridSpan w:val="3"/>
          </w:tcPr>
          <w:p>
            <w:pPr>
              <w:ind w:left="80"/>
              <w:spacing w:after="0"/>
              <w:rPr>
                <w:sz w:val="20"/>
                <w:szCs w:val="20"/>
                <w:color w:val="auto"/>
              </w:rPr>
            </w:pPr>
            <w:r>
              <w:rPr>
                <w:rFonts w:ascii="Times New Roman" w:cs="Times New Roman" w:eastAsia="Times New Roman" w:hAnsi="Times New Roman"/>
                <w:sz w:val="11"/>
                <w:szCs w:val="11"/>
                <w:b w:val="1"/>
                <w:bCs w:val="1"/>
                <w:color w:val="auto"/>
              </w:rPr>
              <w:t>telecommunications cable networks and related telecom</w:t>
            </w:r>
          </w:p>
        </w:tc>
        <w:tc>
          <w:tcPr>
            <w:tcW w:w="0" w:type="dxa"/>
            <w:vAlign w:val="bottom"/>
          </w:tcPr>
          <w:p>
            <w:pPr>
              <w:spacing w:after="0"/>
              <w:rPr>
                <w:sz w:val="1"/>
                <w:szCs w:val="1"/>
                <w:color w:val="auto"/>
              </w:rPr>
            </w:pPr>
          </w:p>
        </w:tc>
      </w:tr>
      <w:tr>
        <w:trPr>
          <w:trHeight w:val="83"/>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b w:val="1"/>
                <w:bCs w:val="1"/>
                <w:color w:val="auto"/>
              </w:rPr>
              <w:t>solutions. During this activity, we may cause damage to</w:t>
            </w:r>
          </w:p>
        </w:tc>
        <w:tc>
          <w:tcPr>
            <w:tcW w:w="0" w:type="dxa"/>
            <w:vAlign w:val="bottom"/>
          </w:tcPr>
          <w:p>
            <w:pPr>
              <w:spacing w:after="0"/>
              <w:rPr>
                <w:sz w:val="1"/>
                <w:szCs w:val="1"/>
                <w:color w:val="auto"/>
              </w:rPr>
            </w:pPr>
          </w:p>
        </w:tc>
      </w:tr>
      <w:tr>
        <w:trPr>
          <w:trHeight w:val="59"/>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safety standards and other recommendations and regulatory</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3"/>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b w:val="1"/>
                <w:bCs w:val="1"/>
                <w:color w:val="auto"/>
              </w:rPr>
              <w:t>existing undersea infrastructure, for which we may ultimately</w:t>
            </w:r>
          </w:p>
        </w:tc>
        <w:tc>
          <w:tcPr>
            <w:tcW w:w="0" w:type="dxa"/>
            <w:vAlign w:val="bottom"/>
          </w:tcPr>
          <w:p>
            <w:pPr>
              <w:spacing w:after="0"/>
              <w:rPr>
                <w:sz w:val="1"/>
                <w:szCs w:val="1"/>
                <w:color w:val="auto"/>
              </w:rPr>
            </w:pPr>
          </w:p>
        </w:tc>
      </w:tr>
      <w:tr>
        <w:trPr>
          <w:trHeight w:val="59"/>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requirements globally, we cannot guarantee we will not become</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3"/>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1100" w:type="dxa"/>
            <w:vAlign w:val="bottom"/>
            <w:vMerge w:val="restart"/>
          </w:tcPr>
          <w:p>
            <w:pPr>
              <w:ind w:left="80"/>
              <w:spacing w:after="0"/>
              <w:rPr>
                <w:sz w:val="20"/>
                <w:szCs w:val="20"/>
                <w:color w:val="auto"/>
              </w:rPr>
            </w:pPr>
            <w:r>
              <w:rPr>
                <w:rFonts w:ascii="Times New Roman" w:cs="Times New Roman" w:eastAsia="Times New Roman" w:hAnsi="Times New Roman"/>
                <w:sz w:val="11"/>
                <w:szCs w:val="11"/>
                <w:b w:val="1"/>
                <w:bCs w:val="1"/>
                <w:color w:val="auto"/>
              </w:rPr>
              <w:t>be held responsible.</w:t>
            </w:r>
          </w:p>
        </w:tc>
        <w:tc>
          <w:tcPr>
            <w:tcW w:w="900" w:type="dxa"/>
            <w:vAlign w:val="bottom"/>
          </w:tcPr>
          <w:p>
            <w:pPr>
              <w:spacing w:after="0"/>
              <w:rPr>
                <w:sz w:val="7"/>
                <w:szCs w:val="7"/>
                <w:color w:val="auto"/>
              </w:rPr>
            </w:pPr>
          </w:p>
        </w:tc>
        <w:tc>
          <w:tcPr>
            <w:tcW w:w="11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subject to product liability claims or be held liable for such</w:t>
            </w:r>
          </w:p>
        </w:tc>
        <w:tc>
          <w:tcPr>
            <w:tcW w:w="260" w:type="dxa"/>
            <w:vAlign w:val="bottom"/>
          </w:tcPr>
          <w:p>
            <w:pPr>
              <w:spacing w:after="0"/>
              <w:rPr>
                <w:sz w:val="4"/>
                <w:szCs w:val="4"/>
                <w:color w:val="auto"/>
              </w:rPr>
            </w:pPr>
          </w:p>
        </w:tc>
        <w:tc>
          <w:tcPr>
            <w:tcW w:w="1100" w:type="dxa"/>
            <w:vAlign w:val="bottom"/>
            <w:vMerge w:val="continue"/>
          </w:tcPr>
          <w:p>
            <w:pPr>
              <w:spacing w:after="0"/>
              <w:rPr>
                <w:sz w:val="4"/>
                <w:szCs w:val="4"/>
                <w:color w:val="auto"/>
              </w:rPr>
            </w:pPr>
          </w:p>
        </w:tc>
        <w:tc>
          <w:tcPr>
            <w:tcW w:w="900" w:type="dxa"/>
            <w:vAlign w:val="bottom"/>
          </w:tcPr>
          <w:p>
            <w:pPr>
              <w:spacing w:after="0"/>
              <w:rPr>
                <w:sz w:val="4"/>
                <w:szCs w:val="4"/>
                <w:color w:val="auto"/>
              </w:rPr>
            </w:pPr>
          </w:p>
        </w:tc>
        <w:tc>
          <w:tcPr>
            <w:tcW w:w="110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We supply, install and maintain submarine optical fiber cable</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claims, which could have a material adverse effect on us. We</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networks linking mainland to islands, island to island or several</w:t>
            </w:r>
          </w:p>
        </w:tc>
        <w:tc>
          <w:tcPr>
            <w:tcW w:w="0" w:type="dxa"/>
            <w:vAlign w:val="bottom"/>
          </w:tcPr>
          <w:p>
            <w:pPr>
              <w:spacing w:after="0"/>
              <w:rPr>
                <w:sz w:val="1"/>
                <w:szCs w:val="1"/>
                <w:color w:val="auto"/>
              </w:rPr>
            </w:pPr>
          </w:p>
        </w:tc>
      </w:tr>
      <w:tr>
        <w:trPr>
          <w:trHeight w:val="5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have been involved in several lawsuits alleging adverse health</w:t>
            </w:r>
          </w:p>
        </w:tc>
        <w:tc>
          <w:tcPr>
            <w:tcW w:w="260" w:type="dxa"/>
            <w:vAlign w:val="bottom"/>
          </w:tcPr>
          <w:p>
            <w:pPr>
              <w:spacing w:after="0"/>
              <w:rPr>
                <w:sz w:val="4"/>
                <w:szCs w:val="4"/>
                <w:color w:val="auto"/>
              </w:rPr>
            </w:pPr>
          </w:p>
        </w:tc>
        <w:tc>
          <w:tcPr>
            <w:tcW w:w="310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points along a coast. Our activities also include the provision</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effects associated with our products, including those caused by</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of optical fiber infrastructure to oil and gas platforms and</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electromagnetic fields, and the outcome of such procedures is</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other offshore installations. Despite precautionary measures,</w:t>
            </w:r>
          </w:p>
        </w:tc>
        <w:tc>
          <w:tcPr>
            <w:tcW w:w="0" w:type="dxa"/>
            <w:vAlign w:val="bottom"/>
          </w:tcPr>
          <w:p>
            <w:pPr>
              <w:spacing w:after="0"/>
              <w:rPr>
                <w:sz w:val="1"/>
                <w:szCs w:val="1"/>
                <w:color w:val="auto"/>
              </w:rPr>
            </w:pPr>
          </w:p>
        </w:tc>
      </w:tr>
      <w:tr>
        <w:trPr>
          <w:trHeight w:val="5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difficult to predict, including potentially significant fines or</w:t>
            </w:r>
          </w:p>
        </w:tc>
        <w:tc>
          <w:tcPr>
            <w:tcW w:w="260" w:type="dxa"/>
            <w:vAlign w:val="bottom"/>
          </w:tcPr>
          <w:p>
            <w:pPr>
              <w:spacing w:after="0"/>
              <w:rPr>
                <w:sz w:val="4"/>
                <w:szCs w:val="4"/>
                <w:color w:val="auto"/>
              </w:rPr>
            </w:pPr>
          </w:p>
        </w:tc>
        <w:tc>
          <w:tcPr>
            <w:tcW w:w="310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there is a risk that previously laid infrastructure, such as third-</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settlements. Even a perceived risk of adverse health effects of</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party fiber optic cables, electrical power lines or hydrocarbon</w:t>
            </w:r>
          </w:p>
        </w:tc>
        <w:tc>
          <w:tcPr>
            <w:tcW w:w="0" w:type="dxa"/>
            <w:vAlign w:val="bottom"/>
          </w:tcPr>
          <w:p>
            <w:pPr>
              <w:spacing w:after="0"/>
              <w:rPr>
                <w:sz w:val="1"/>
                <w:szCs w:val="1"/>
                <w:color w:val="auto"/>
              </w:rPr>
            </w:pPr>
          </w:p>
        </w:tc>
      </w:tr>
      <w:tr>
        <w:trPr>
          <w:trHeight w:val="5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mobile devices or base stations could have a material adverse</w:t>
            </w:r>
          </w:p>
        </w:tc>
        <w:tc>
          <w:tcPr>
            <w:tcW w:w="260" w:type="dxa"/>
            <w:vAlign w:val="bottom"/>
          </w:tcPr>
          <w:p>
            <w:pPr>
              <w:spacing w:after="0"/>
              <w:rPr>
                <w:sz w:val="4"/>
                <w:szCs w:val="4"/>
                <w:color w:val="auto"/>
              </w:rPr>
            </w:pPr>
          </w:p>
        </w:tc>
        <w:tc>
          <w:tcPr>
            <w:tcW w:w="3100" w:type="dxa"/>
            <w:vAlign w:val="bottom"/>
            <w:gridSpan w:val="3"/>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pipelines, may go undetected and be damaged during the</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effect on us, for instance, through a reduction in the demand</w:t>
            </w:r>
          </w:p>
        </w:tc>
        <w:tc>
          <w:tcPr>
            <w:tcW w:w="260" w:type="dxa"/>
            <w:vAlign w:val="bottom"/>
          </w:tcPr>
          <w:p>
            <w:pPr>
              <w:spacing w:after="0"/>
              <w:rPr>
                <w:sz w:val="5"/>
                <w:szCs w:val="5"/>
                <w:color w:val="auto"/>
              </w:rPr>
            </w:pP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81"/>
        </w:trPr>
        <w:tc>
          <w:tcPr>
            <w:tcW w:w="3060" w:type="dxa"/>
            <w:vAlign w:val="bottom"/>
            <w:gridSpan w:val="4"/>
            <w:vMerge w:val="continue"/>
          </w:tcPr>
          <w:p>
            <w:pPr>
              <w:spacing w:after="0"/>
              <w:rPr>
                <w:sz w:val="7"/>
                <w:szCs w:val="7"/>
                <w:color w:val="auto"/>
              </w:rPr>
            </w:pPr>
          </w:p>
        </w:tc>
        <w:tc>
          <w:tcPr>
            <w:tcW w:w="260" w:type="dxa"/>
            <w:vAlign w:val="bottom"/>
          </w:tcPr>
          <w:p>
            <w:pPr>
              <w:spacing w:after="0"/>
              <w:rPr>
                <w:sz w:val="7"/>
                <w:szCs w:val="7"/>
                <w:color w:val="auto"/>
              </w:rPr>
            </w:pPr>
          </w:p>
        </w:tc>
        <w:tc>
          <w:tcPr>
            <w:tcW w:w="3100" w:type="dxa"/>
            <w:vAlign w:val="bottom"/>
            <w:gridSpan w:val="3"/>
            <w:vMerge w:val="restart"/>
          </w:tcPr>
          <w:p>
            <w:pPr>
              <w:ind w:left="80"/>
              <w:spacing w:after="0"/>
              <w:rPr>
                <w:sz w:val="20"/>
                <w:szCs w:val="20"/>
                <w:color w:val="auto"/>
              </w:rPr>
            </w:pPr>
            <w:r>
              <w:rPr>
                <w:rFonts w:ascii="Times New Roman" w:cs="Times New Roman" w:eastAsia="Times New Roman" w:hAnsi="Times New Roman"/>
                <w:sz w:val="11"/>
                <w:szCs w:val="11"/>
                <w:color w:val="auto"/>
              </w:rPr>
              <w:t>process of laying or maintaining the telecommunications</w:t>
            </w:r>
          </w:p>
        </w:tc>
        <w:tc>
          <w:tcPr>
            <w:tcW w:w="0" w:type="dxa"/>
            <w:vAlign w:val="bottom"/>
          </w:tcPr>
          <w:p>
            <w:pPr>
              <w:spacing w:after="0"/>
              <w:rPr>
                <w:sz w:val="1"/>
                <w:szCs w:val="1"/>
                <w:color w:val="auto"/>
              </w:rPr>
            </w:pPr>
          </w:p>
        </w:tc>
      </w:tr>
      <w:tr>
        <w:trPr>
          <w:trHeight w:val="61"/>
        </w:trPr>
        <w:tc>
          <w:tcPr>
            <w:tcW w:w="3060" w:type="dxa"/>
            <w:vAlign w:val="bottom"/>
            <w:gridSpan w:val="4"/>
            <w:vMerge w:val="restart"/>
          </w:tcPr>
          <w:p>
            <w:pPr>
              <w:spacing w:after="0"/>
              <w:rPr>
                <w:sz w:val="20"/>
                <w:szCs w:val="20"/>
                <w:color w:val="auto"/>
              </w:rPr>
            </w:pPr>
            <w:r>
              <w:rPr>
                <w:rFonts w:ascii="Times New Roman" w:cs="Times New Roman" w:eastAsia="Times New Roman" w:hAnsi="Times New Roman"/>
                <w:sz w:val="11"/>
                <w:szCs w:val="11"/>
                <w:color w:val="auto"/>
              </w:rPr>
              <w:t>for mobile devices, and a decreased demand for mobile network</w:t>
            </w:r>
          </w:p>
        </w:tc>
        <w:tc>
          <w:tcPr>
            <w:tcW w:w="260" w:type="dxa"/>
            <w:vAlign w:val="bottom"/>
            <w:vMerge w:val="restart"/>
          </w:tcPr>
          <w:p>
            <w:pPr>
              <w:ind w:left="140"/>
              <w:spacing w:after="0"/>
              <w:rPr>
                <w:sz w:val="20"/>
                <w:szCs w:val="20"/>
                <w:color w:val="auto"/>
              </w:rPr>
            </w:pPr>
            <w:r>
              <w:rPr>
                <w:rFonts w:ascii="Times New Roman" w:cs="Times New Roman" w:eastAsia="Times New Roman" w:hAnsi="Times New Roman"/>
                <w:sz w:val="11"/>
                <w:szCs w:val="11"/>
                <w:color w:val="auto"/>
              </w:rPr>
              <w:t>s</w:t>
            </w:r>
          </w:p>
        </w:tc>
        <w:tc>
          <w:tcPr>
            <w:tcW w:w="3100" w:type="dxa"/>
            <w:vAlign w:val="bottom"/>
            <w:gridSpan w:val="3"/>
            <w:vMerge w:val="continue"/>
          </w:tcPr>
          <w:p>
            <w:pPr>
              <w:spacing w:after="0"/>
              <w:rPr>
                <w:sz w:val="5"/>
                <w:szCs w:val="5"/>
                <w:color w:val="auto"/>
              </w:rPr>
            </w:pPr>
          </w:p>
        </w:tc>
        <w:tc>
          <w:tcPr>
            <w:tcW w:w="0" w:type="dxa"/>
            <w:vAlign w:val="bottom"/>
          </w:tcPr>
          <w:p>
            <w:pPr>
              <w:spacing w:after="0"/>
              <w:rPr>
                <w:sz w:val="1"/>
                <w:szCs w:val="1"/>
                <w:color w:val="auto"/>
              </w:rPr>
            </w:pPr>
          </w:p>
        </w:tc>
      </w:tr>
      <w:tr>
        <w:trPr>
          <w:trHeight w:val="93"/>
        </w:trPr>
        <w:tc>
          <w:tcPr>
            <w:tcW w:w="3060" w:type="dxa"/>
            <w:vAlign w:val="bottom"/>
            <w:gridSpan w:val="4"/>
            <w:vMerge w:val="continue"/>
          </w:tcPr>
          <w:p>
            <w:pPr>
              <w:spacing w:after="0"/>
              <w:rPr>
                <w:sz w:val="8"/>
                <w:szCs w:val="8"/>
                <w:color w:val="auto"/>
              </w:rPr>
            </w:pPr>
          </w:p>
        </w:tc>
        <w:tc>
          <w:tcPr>
            <w:tcW w:w="260" w:type="dxa"/>
            <w:vAlign w:val="bottom"/>
            <w:vMerge w:val="continue"/>
          </w:tcPr>
          <w:p>
            <w:pPr>
              <w:spacing w:after="0"/>
              <w:rPr>
                <w:sz w:val="8"/>
                <w:szCs w:val="8"/>
                <w:color w:val="auto"/>
              </w:rPr>
            </w:pPr>
          </w:p>
        </w:tc>
        <w:tc>
          <w:tcPr>
            <w:tcW w:w="3100" w:type="dxa"/>
            <w:vAlign w:val="bottom"/>
            <w:gridSpan w:val="3"/>
          </w:tcPr>
          <w:p>
            <w:pPr>
              <w:ind w:left="80"/>
              <w:spacing w:after="0" w:line="93" w:lineRule="exact"/>
              <w:rPr>
                <w:sz w:val="20"/>
                <w:szCs w:val="20"/>
                <w:color w:val="auto"/>
              </w:rPr>
            </w:pPr>
            <w:r>
              <w:rPr>
                <w:rFonts w:ascii="Times New Roman" w:cs="Times New Roman" w:eastAsia="Times New Roman" w:hAnsi="Times New Roman"/>
                <w:sz w:val="10"/>
                <w:szCs w:val="10"/>
                <w:color w:val="auto"/>
              </w:rPr>
              <w:t>cables. Such an event could potentially cause temporary</w:t>
            </w:r>
          </w:p>
        </w:tc>
        <w:tc>
          <w:tcPr>
            <w:tcW w:w="0" w:type="dxa"/>
            <w:vAlign w:val="bottom"/>
          </w:tcPr>
          <w:p>
            <w:pPr>
              <w:spacing w:after="0"/>
              <w:rPr>
                <w:sz w:val="1"/>
                <w:szCs w:val="1"/>
                <w:color w:val="auto"/>
              </w:rPr>
            </w:pPr>
          </w:p>
        </w:tc>
      </w:tr>
    </w:tbl>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48"/>
        </w:trPr>
        <w:tc>
          <w:tcPr>
            <w:tcW w:w="3020" w:type="dxa"/>
            <w:vAlign w:val="bottom"/>
          </w:tcPr>
          <w:p>
            <w:pPr>
              <w:spacing w:after="0"/>
              <w:rPr>
                <w:sz w:val="20"/>
                <w:szCs w:val="20"/>
                <w:color w:val="auto"/>
              </w:rPr>
            </w:pPr>
            <w:r>
              <w:rPr>
                <w:rFonts w:ascii="Times New Roman" w:cs="Times New Roman" w:eastAsia="Times New Roman" w:hAnsi="Times New Roman"/>
                <w:sz w:val="11"/>
                <w:szCs w:val="11"/>
                <w:color w:val="auto"/>
              </w:rPr>
              <w:t>or increased difficulty in obtaining sites for base stations.</w:t>
            </w:r>
          </w:p>
        </w:tc>
        <w:tc>
          <w:tcPr>
            <w:tcW w:w="3040" w:type="dxa"/>
            <w:vAlign w:val="bottom"/>
            <w:vMerge w:val="restart"/>
          </w:tcPr>
          <w:p>
            <w:pPr>
              <w:ind w:left="380"/>
              <w:spacing w:after="0"/>
              <w:rPr>
                <w:sz w:val="20"/>
                <w:szCs w:val="20"/>
                <w:color w:val="auto"/>
              </w:rPr>
            </w:pPr>
            <w:r>
              <w:rPr>
                <w:rFonts w:ascii="Times New Roman" w:cs="Times New Roman" w:eastAsia="Times New Roman" w:hAnsi="Times New Roman"/>
                <w:sz w:val="11"/>
                <w:szCs w:val="11"/>
                <w:color w:val="auto"/>
              </w:rPr>
              <w:t>business interruption to third parties operating in the same</w:t>
            </w:r>
          </w:p>
        </w:tc>
        <w:tc>
          <w:tcPr>
            <w:tcW w:w="0" w:type="dxa"/>
            <w:vAlign w:val="bottom"/>
          </w:tcPr>
          <w:p>
            <w:pPr>
              <w:spacing w:after="0"/>
              <w:rPr>
                <w:sz w:val="1"/>
                <w:szCs w:val="1"/>
                <w:color w:val="auto"/>
              </w:rPr>
            </w:pPr>
          </w:p>
        </w:tc>
      </w:tr>
      <w:tr>
        <w:trPr>
          <w:trHeight w:val="39"/>
        </w:trPr>
        <w:tc>
          <w:tcPr>
            <w:tcW w:w="3020" w:type="dxa"/>
            <w:vAlign w:val="bottom"/>
          </w:tcPr>
          <w:p>
            <w:pPr>
              <w:spacing w:after="0"/>
              <w:rPr>
                <w:sz w:val="3"/>
                <w:szCs w:val="3"/>
                <w:color w:val="auto"/>
              </w:rPr>
            </w:pPr>
          </w:p>
        </w:tc>
        <w:tc>
          <w:tcPr>
            <w:tcW w:w="3040" w:type="dxa"/>
            <w:vAlign w:val="bottom"/>
            <w:vMerge w:val="continue"/>
          </w:tcPr>
          <w:p>
            <w:pPr>
              <w:spacing w:after="0"/>
              <w:rPr>
                <w:sz w:val="3"/>
                <w:szCs w:val="3"/>
                <w:color w:val="auto"/>
              </w:rPr>
            </w:pPr>
          </w:p>
        </w:tc>
        <w:tc>
          <w:tcPr>
            <w:tcW w:w="0" w:type="dxa"/>
            <w:vAlign w:val="bottom"/>
          </w:tcPr>
          <w:p>
            <w:pPr>
              <w:spacing w:after="0" w:line="20" w:lineRule="exact"/>
              <w:rPr>
                <w:sz w:val="1"/>
                <w:szCs w:val="1"/>
                <w:color w:val="auto"/>
              </w:rPr>
            </w:pPr>
          </w:p>
        </w:tc>
      </w:tr>
    </w:tbl>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127</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300"/>
        <w:spacing w:after="0" w:line="263" w:lineRule="auto"/>
        <w:rPr>
          <w:sz w:val="20"/>
          <w:szCs w:val="20"/>
          <w:color w:val="auto"/>
        </w:rPr>
      </w:pPr>
      <w:r>
        <w:rPr>
          <w:rFonts w:ascii="Times New Roman" w:cs="Times New Roman" w:eastAsia="Times New Roman" w:hAnsi="Times New Roman"/>
          <w:sz w:val="11"/>
          <w:szCs w:val="11"/>
          <w:color w:val="auto"/>
        </w:rPr>
        <w:t>and proposed fundamental changes in international tax regulations, there may be an increased aggressiveness in collecting such fees or taxes. We may be obliged to pay additional taxes for past periods as a result of changes in law, or changes of tax authority practice or interpretation (possibly with retroactive effect in certain cases), or inaccurate interpretations of tax laws by us resulting potentially in a material adverse effect on our cash flow and financial position. In particular, potential changes in reallocation of taxing rights and other fundamental international tax principles, the OECD Pillar project and digital business-related initiatives, our wide geographical footprint of operations and activities and changes in tax laws or global laws regarding transfer pricing could adversely impact our business, operating results and overall tax burden. There may also be unforeseen tax expenses that turn out to have an unfavorable impact on us, adverse tax consequences related to past acquisitions and divestments, and potential tax liabilities that we are currently not aware of. As a result, and given the inherently unpredictable nature of taxation, our tax rate may change from its current level and our cash flows regarding taxes may not be stable.</w:t>
      </w:r>
    </w:p>
    <w:p>
      <w:pPr>
        <w:spacing w:after="0" w:line="62"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As a company with global operations, we are subject to tax investigations in various jurisdictions, and such proceedings can be lengthy, involve actions that can hinder local operations and affect unrelated parts of our business, and the outcome of such proceedings is difficult to predict. While we have made provisions for certain tax issues, the provisions we have made may not be adequate to cover such increases.</w:t>
      </w:r>
    </w:p>
    <w:p>
      <w:pPr>
        <w:spacing w:after="0" w:line="231" w:lineRule="auto"/>
        <w:rPr>
          <w:sz w:val="20"/>
          <w:szCs w:val="20"/>
          <w:color w:val="auto"/>
        </w:rPr>
      </w:pPr>
      <w:r>
        <w:rPr>
          <w:rFonts w:ascii="Times New Roman" w:cs="Times New Roman" w:eastAsia="Times New Roman" w:hAnsi="Times New Roman"/>
          <w:sz w:val="11"/>
          <w:szCs w:val="11"/>
          <w:color w:val="auto"/>
        </w:rPr>
        <w:t>In the context of our sale of the Devices &amp; Services business to</w:t>
      </w:r>
    </w:p>
    <w:p>
      <w:pPr>
        <w:spacing w:after="0" w:line="1" w:lineRule="exact"/>
        <w:rPr>
          <w:sz w:val="20"/>
          <w:szCs w:val="20"/>
          <w:color w:val="auto"/>
        </w:rPr>
      </w:pPr>
    </w:p>
    <w:p>
      <w:pPr>
        <w:sectPr>
          <w:pgSz w:w="11900" w:h="16838" w:orient="portrait"/>
          <w:cols w:equalWidth="0" w:num="2">
            <w:col w:w="6420" w:space="380"/>
            <w:col w:w="3180"/>
          </w:cols>
          <w:pgMar w:left="960" w:top="409" w:right="959" w:bottom="1440" w:gutter="0" w:footer="0" w:header="0"/>
        </w:sectPr>
      </w:pPr>
    </w:p>
    <w:p>
      <w:pPr>
        <w:spacing w:after="0" w:line="7"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1"/>
          <w:szCs w:val="11"/>
          <w:color w:val="auto"/>
        </w:rPr>
        <w:t>For a more detailed discussion of litigation to which we are a party, refer to Note 6.1. Commitments, contingencies and legal proceedings , in our consolidated financial statements.</w:t>
      </w:r>
    </w:p>
    <w:p>
      <w:pPr>
        <w:spacing w:after="0" w:line="52"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b w:val="1"/>
          <w:bCs w:val="1"/>
          <w:color w:val="auto"/>
        </w:rPr>
        <w:t>We are involved in joint ventures and other affiliated companies with their own governance and system infrastructure and are exposed to risks inherent to companies under joint management or not having direct management control.</w:t>
      </w:r>
    </w:p>
    <w:p>
      <w:pPr>
        <w:spacing w:after="0" w:line="1" w:lineRule="exact"/>
        <w:rPr>
          <w:sz w:val="20"/>
          <w:szCs w:val="20"/>
          <w:color w:val="auto"/>
        </w:rPr>
      </w:pPr>
    </w:p>
    <w:p>
      <w:pPr>
        <w:ind w:right="240"/>
        <w:spacing w:after="0" w:line="264" w:lineRule="auto"/>
        <w:rPr>
          <w:sz w:val="20"/>
          <w:szCs w:val="20"/>
          <w:color w:val="auto"/>
        </w:rPr>
      </w:pPr>
      <w:r>
        <w:rPr>
          <w:rFonts w:ascii="Times New Roman" w:cs="Times New Roman" w:eastAsia="Times New Roman" w:hAnsi="Times New Roman"/>
          <w:sz w:val="11"/>
          <w:szCs w:val="11"/>
          <w:color w:val="auto"/>
        </w:rPr>
        <w:t>We have a number of joint ventures, including those where Nokia is the minority partner, and other affiliated companies with their own governance and system infrastructure where Nokia does not have direct management control. The agreements related to our joint ventures may require unanimous consent or the affirmative vote of a qualified majority of the shareholders to take certain actions, thereby possibly slowing down the decision-making process or</w:t>
      </w:r>
    </w:p>
    <w:p>
      <w:pPr>
        <w:spacing w:after="0" w:line="1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ind w:right="160"/>
        <w:spacing w:after="0" w:line="263" w:lineRule="auto"/>
        <w:rPr>
          <w:sz w:val="20"/>
          <w:szCs w:val="20"/>
          <w:color w:val="auto"/>
        </w:rPr>
      </w:pPr>
      <w:r>
        <w:rPr>
          <w:rFonts w:ascii="Times New Roman" w:cs="Times New Roman" w:eastAsia="Times New Roman" w:hAnsi="Times New Roman"/>
          <w:sz w:val="11"/>
          <w:szCs w:val="11"/>
          <w:color w:val="auto"/>
        </w:rPr>
        <w:t>area, environmental incidents, safety accidents, unwanted media or regulatory attention, loss of reputation, litigation, repair costs or compensation payments for the affected parties. While we have contractual limitations in place, maintain insurance coverage to limit our exposure, and have expertise and established ways of working that minimize such risks, these protections may be insufficient to cover such exposure entirely.</w:t>
      </w:r>
    </w:p>
    <w:p>
      <w:pPr>
        <w:spacing w:after="0" w:line="2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and tax-related uncertainties</w:t>
      </w:r>
    </w:p>
    <w:p>
      <w:pPr>
        <w:spacing w:after="0" w:line="30" w:lineRule="exact"/>
        <w:rPr>
          <w:sz w:val="20"/>
          <w:szCs w:val="20"/>
          <w:color w:val="auto"/>
        </w:rPr>
      </w:pPr>
    </w:p>
    <w:p>
      <w:pPr>
        <w:spacing w:after="0" w:line="289" w:lineRule="auto"/>
        <w:rPr>
          <w:sz w:val="20"/>
          <w:szCs w:val="20"/>
          <w:color w:val="auto"/>
        </w:rPr>
      </w:pPr>
      <w:r>
        <w:rPr>
          <w:rFonts w:ascii="Times New Roman" w:cs="Times New Roman" w:eastAsia="Times New Roman" w:hAnsi="Times New Roman"/>
          <w:sz w:val="11"/>
          <w:szCs w:val="11"/>
          <w:b w:val="1"/>
          <w:bCs w:val="1"/>
          <w:color w:val="auto"/>
        </w:rPr>
        <w:t>We have operations in many countries with different tax laws and rules, which may result in complex tax issues and disputes.</w:t>
      </w:r>
    </w:p>
    <w:p>
      <w:pPr>
        <w:spacing w:after="0" w:line="114" w:lineRule="exact"/>
        <w:rPr>
          <w:sz w:val="20"/>
          <w:szCs w:val="20"/>
          <w:color w:val="auto"/>
        </w:rPr>
      </w:pPr>
    </w:p>
    <w:p>
      <w:pPr>
        <w:ind w:right="220"/>
        <w:spacing w:after="0" w:line="268" w:lineRule="auto"/>
        <w:rPr>
          <w:sz w:val="20"/>
          <w:szCs w:val="20"/>
          <w:color w:val="auto"/>
        </w:rPr>
      </w:pPr>
      <w:r>
        <w:rPr>
          <w:rFonts w:ascii="Times New Roman" w:cs="Times New Roman" w:eastAsia="Times New Roman" w:hAnsi="Times New Roman"/>
          <w:sz w:val="11"/>
          <w:szCs w:val="11"/>
          <w:color w:val="auto"/>
        </w:rPr>
        <w:t>Taxation or other fees collected by governments or governmental agencies may result in unexpected payment obligations, and in response to prevailing difficult economic conditions in the public sector, coupled with already enacted</w:t>
      </w:r>
    </w:p>
    <w:p>
      <w:pPr>
        <w:spacing w:after="0" w:line="20" w:lineRule="exact"/>
        <w:rPr>
          <w:sz w:val="20"/>
          <w:szCs w:val="20"/>
          <w:color w:val="auto"/>
        </w:rPr>
      </w:pPr>
      <w:r>
        <w:rPr>
          <w:sz w:val="20"/>
          <w:szCs w:val="20"/>
          <w:color w:val="auto"/>
        </w:rPr>
        <w:br w:type="column"/>
      </w:r>
    </w:p>
    <w:p>
      <w:pPr>
        <w:spacing w:after="0" w:line="48" w:lineRule="exact"/>
        <w:rPr>
          <w:sz w:val="20"/>
          <w:szCs w:val="20"/>
          <w:color w:val="auto"/>
        </w:rPr>
      </w:pPr>
    </w:p>
    <w:p>
      <w:pPr>
        <w:ind w:right="240"/>
        <w:spacing w:after="0" w:line="266" w:lineRule="auto"/>
        <w:rPr>
          <w:sz w:val="20"/>
          <w:szCs w:val="20"/>
          <w:color w:val="auto"/>
        </w:rPr>
      </w:pPr>
      <w:r>
        <w:rPr>
          <w:rFonts w:ascii="Times New Roman" w:cs="Times New Roman" w:eastAsia="Times New Roman" w:hAnsi="Times New Roman"/>
          <w:sz w:val="11"/>
          <w:szCs w:val="11"/>
          <w:color w:val="auto"/>
        </w:rPr>
        <w:t>Microsoft, we are required to indemnify Microsoft for certain tax liabilities, including (i) tax liabilities of the Nokia entities acquired by Microsoft in connection with the closing of the sale of the Devices &amp; Services business, (ii) tax liabilities associated with the assets acquired by Microsoft and attributable to tax periods ending on or prior to the closing date of the sale of the Devices &amp; Services business, and (iii) tax liabilities relating to the pre-closing portion of any taxable period that includes the closing date of the sale of the Devices &amp; Services business.</w:t>
      </w:r>
    </w:p>
    <w:p>
      <w:pPr>
        <w:spacing w:after="0" w:line="51" w:lineRule="exact"/>
        <w:rPr>
          <w:sz w:val="20"/>
          <w:szCs w:val="20"/>
          <w:color w:val="auto"/>
        </w:rPr>
      </w:pPr>
    </w:p>
    <w:p>
      <w:pPr>
        <w:ind w:right="200"/>
        <w:spacing w:after="0" w:line="267" w:lineRule="auto"/>
        <w:rPr>
          <w:sz w:val="20"/>
          <w:szCs w:val="20"/>
          <w:color w:val="auto"/>
        </w:rPr>
      </w:pPr>
      <w:r>
        <w:rPr>
          <w:rFonts w:ascii="Times New Roman" w:cs="Times New Roman" w:eastAsia="Times New Roman" w:hAnsi="Times New Roman"/>
          <w:sz w:val="11"/>
          <w:szCs w:val="11"/>
          <w:b w:val="1"/>
          <w:bCs w:val="1"/>
          <w:color w:val="auto"/>
        </w:rPr>
        <w:t>Our actual or anticipated performance, among other factors, could reduce our ability to utilize our tax attributes and deferred tax assets.</w:t>
      </w:r>
    </w:p>
    <w:p>
      <w:pPr>
        <w:spacing w:after="0" w:line="1" w:lineRule="exact"/>
        <w:rPr>
          <w:sz w:val="20"/>
          <w:szCs w:val="20"/>
          <w:color w:val="auto"/>
        </w:rPr>
      </w:pPr>
    </w:p>
    <w:p>
      <w:pPr>
        <w:ind w:right="480"/>
        <w:spacing w:after="0" w:line="273" w:lineRule="auto"/>
        <w:rPr>
          <w:sz w:val="20"/>
          <w:szCs w:val="20"/>
          <w:color w:val="auto"/>
        </w:rPr>
      </w:pPr>
      <w:r>
        <w:rPr>
          <w:rFonts w:ascii="Times New Roman" w:cs="Times New Roman" w:eastAsia="Times New Roman" w:hAnsi="Times New Roman"/>
          <w:sz w:val="11"/>
          <w:szCs w:val="11"/>
          <w:color w:val="auto"/>
        </w:rPr>
        <w:t>Deferred tax assets recognized on tax losses, unused tax credits and tax-deductible temporary differences are dependent on our ability to offset such items against future</w:t>
      </w:r>
    </w:p>
    <w:p>
      <w:pPr>
        <w:sectPr>
          <w:pgSz w:w="11900" w:h="16838" w:orient="portrait"/>
          <w:cols w:equalWidth="0" w:num="3">
            <w:col w:w="3020" w:space="380"/>
            <w:col w:w="3000" w:space="400"/>
            <w:col w:w="3180"/>
          </w:cols>
          <w:pgMar w:left="960" w:top="409" w:right="959" w:bottom="1440" w:gutter="0" w:footer="0" w:header="0"/>
          <w:type w:val="continuous"/>
        </w:sectPr>
      </w:pPr>
    </w:p>
    <w:bookmarkStart w:id="135" w:name="page136"/>
    <w:bookmarkEnd w:id="13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Borders>
              <w:bottom w:val="single" w:sz="8" w:color="005AFF"/>
            </w:tcBorders>
          </w:tcPr>
          <w:p>
            <w:pPr>
              <w:spacing w:after="0"/>
              <w:rPr>
                <w:sz w:val="4"/>
                <w:szCs w:val="4"/>
                <w:color w:val="auto"/>
              </w:rPr>
            </w:pPr>
          </w:p>
        </w:tc>
        <w:tc>
          <w:tcPr>
            <w:tcW w:w="1280" w:type="dxa"/>
            <w:vAlign w:val="bottom"/>
          </w:tcPr>
          <w:p>
            <w:pPr>
              <w:spacing w:after="0"/>
              <w:rPr>
                <w:sz w:val="4"/>
                <w:szCs w:val="4"/>
                <w:color w:val="auto"/>
              </w:rPr>
            </w:pPr>
          </w:p>
        </w:tc>
        <w:tc>
          <w:tcPr>
            <w:tcW w:w="10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Risk factors 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128</w:t>
      </w:r>
    </w:p>
    <w:p>
      <w:pPr>
        <w:spacing w:after="0" w:line="614" w:lineRule="exact"/>
        <w:rPr>
          <w:sz w:val="20"/>
          <w:szCs w:val="20"/>
          <w:color w:val="auto"/>
        </w:rPr>
      </w:pPr>
    </w:p>
    <w:p>
      <w:pPr>
        <w:sectPr>
          <w:pgSz w:w="11900" w:h="16838" w:orient="portrait"/>
          <w:cols w:equalWidth="0" w:num="2">
            <w:col w:w="9080" w:space="720"/>
            <w:col w:w="180"/>
          </w:cols>
          <w:pgMar w:left="960" w:top="409" w:right="959" w:bottom="1440" w:gutter="0" w:footer="0" w:header="0"/>
        </w:sectPr>
      </w:pPr>
    </w:p>
    <w:p>
      <w:pPr>
        <w:spacing w:after="0" w:line="126" w:lineRule="exact"/>
        <w:rPr>
          <w:sz w:val="20"/>
          <w:szCs w:val="20"/>
          <w:color w:val="auto"/>
        </w:rPr>
      </w:pPr>
    </w:p>
    <w:p>
      <w:pPr>
        <w:spacing w:after="0" w:line="268" w:lineRule="auto"/>
        <w:rPr>
          <w:sz w:val="20"/>
          <w:szCs w:val="20"/>
          <w:color w:val="auto"/>
        </w:rPr>
      </w:pPr>
      <w:r>
        <w:rPr>
          <w:rFonts w:ascii="Times New Roman" w:cs="Times New Roman" w:eastAsia="Times New Roman" w:hAnsi="Times New Roman"/>
          <w:sz w:val="11"/>
          <w:szCs w:val="11"/>
          <w:color w:val="auto"/>
        </w:rPr>
        <w:t>taxable income within the relevant tax jurisdiction. Such deferred tax assets are also based on our assumptions on future taxable earnings, and these may not be realized as expected which may cause the deferred tax assets to be materially reduced. Any such reduction could have a material effect on us. As an example, Nokia derecognized EUR 2.9 billion deferred tax assets related to Finland in 2020 and re-recognized EUR 2.5 billion of deferred tax assets related</w:t>
      </w:r>
    </w:p>
    <w:p>
      <w:pPr>
        <w:spacing w:after="0" w:line="126" w:lineRule="exact"/>
        <w:rPr>
          <w:sz w:val="20"/>
          <w:szCs w:val="20"/>
          <w:color w:val="auto"/>
        </w:rPr>
      </w:pPr>
    </w:p>
    <w:p>
      <w:pPr>
        <w:jc w:val="both"/>
        <w:ind w:right="380"/>
        <w:spacing w:after="0" w:line="268" w:lineRule="auto"/>
        <w:rPr>
          <w:sz w:val="20"/>
          <w:szCs w:val="20"/>
          <w:color w:val="auto"/>
        </w:rPr>
      </w:pPr>
      <w:r>
        <w:rPr>
          <w:rFonts w:ascii="Times New Roman" w:cs="Times New Roman" w:eastAsia="Times New Roman" w:hAnsi="Times New Roman"/>
          <w:sz w:val="11"/>
          <w:szCs w:val="11"/>
          <w:color w:val="auto"/>
        </w:rPr>
        <w:t>to Finland in 2022. Additionally, our earnings have been unfavorably affected in the past, and may continue to be in the future, in the event that no tax benefits are recognized for certain deferred tax items.</w:t>
      </w:r>
    </w:p>
    <w:p>
      <w:pPr>
        <w:spacing w:after="0" w:line="58" w:lineRule="exact"/>
        <w:rPr>
          <w:sz w:val="20"/>
          <w:szCs w:val="20"/>
          <w:color w:val="auto"/>
        </w:rPr>
      </w:pPr>
    </w:p>
    <w:p>
      <w:pPr>
        <w:ind w:right="220"/>
        <w:spacing w:after="0" w:line="267" w:lineRule="auto"/>
        <w:rPr>
          <w:sz w:val="20"/>
          <w:szCs w:val="20"/>
          <w:color w:val="auto"/>
        </w:rPr>
      </w:pPr>
      <w:r>
        <w:rPr>
          <w:rFonts w:ascii="Times New Roman" w:cs="Times New Roman" w:eastAsia="Times New Roman" w:hAnsi="Times New Roman"/>
          <w:sz w:val="11"/>
          <w:szCs w:val="11"/>
          <w:b w:val="1"/>
          <w:bCs w:val="1"/>
          <w:color w:val="auto"/>
        </w:rPr>
        <w:t>We may not have access to sources of funding on favorable terms, or at all.</w:t>
      </w:r>
    </w:p>
    <w:p>
      <w:pPr>
        <w:ind w:right="140"/>
        <w:spacing w:after="0" w:line="262" w:lineRule="auto"/>
        <w:rPr>
          <w:sz w:val="20"/>
          <w:szCs w:val="20"/>
          <w:color w:val="auto"/>
        </w:rPr>
      </w:pPr>
      <w:r>
        <w:rPr>
          <w:rFonts w:ascii="Times New Roman" w:cs="Times New Roman" w:eastAsia="Times New Roman" w:hAnsi="Times New Roman"/>
          <w:sz w:val="11"/>
          <w:szCs w:val="11"/>
          <w:color w:val="auto"/>
        </w:rPr>
        <w:t>In periods when the capital and credit markets experience significant volatility, the amounts, sources and cost of capital available to us may be adversely affected. Deteriorating economic conditions or financial uncertainty in any of the markets in which we sell our products could reduce business confidence and adversely impact spending patterns, and thereby could adversely affect the amounts, sources and cost of capital available to us. Our business requires a significant amount of cash and we continue to invest in our R&amp;D and other future capabilities. We rely on multiple sources of funding for short-term and long-term capital and aim to minimize the liquidity risk by maintaining a sufficient cash position and having committed credit lines in place. However, if economic conditions deteriorate or the credit market tightens, there can be no assurances that we will be able to generate sufficient amounts of capital or to maintain an efficient capital structure from time to time.</w:t>
      </w:r>
    </w:p>
    <w:p>
      <w:pPr>
        <w:spacing w:after="0" w:line="201"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We also may not be able to have access to additional sources of funds that we may need from time to time with reasonable terms, or at all. If we cannot access capital or sell receivables on a commercially viable basis, our business, financial condition and cash flow could materially suffer.</w:t>
      </w:r>
    </w:p>
    <w:p>
      <w:pPr>
        <w:spacing w:after="0" w:line="58" w:lineRule="exact"/>
        <w:rPr>
          <w:sz w:val="20"/>
          <w:szCs w:val="20"/>
          <w:color w:val="auto"/>
        </w:rPr>
      </w:pPr>
    </w:p>
    <w:p>
      <w:pPr>
        <w:ind w:right="460"/>
        <w:spacing w:after="0" w:line="272" w:lineRule="auto"/>
        <w:rPr>
          <w:sz w:val="20"/>
          <w:szCs w:val="20"/>
          <w:color w:val="auto"/>
        </w:rPr>
      </w:pPr>
      <w:r>
        <w:rPr>
          <w:rFonts w:ascii="Times New Roman" w:cs="Times New Roman" w:eastAsia="Times New Roman" w:hAnsi="Times New Roman"/>
          <w:sz w:val="11"/>
          <w:szCs w:val="11"/>
          <w:b w:val="1"/>
          <w:bCs w:val="1"/>
          <w:color w:val="auto"/>
        </w:rPr>
        <w:t>We may not be able to maintain our investment grade credit ratings</w:t>
      </w:r>
    </w:p>
    <w:p>
      <w:pPr>
        <w:ind w:right="80"/>
        <w:spacing w:after="0" w:line="268" w:lineRule="auto"/>
        <w:rPr>
          <w:sz w:val="20"/>
          <w:szCs w:val="20"/>
          <w:color w:val="auto"/>
        </w:rPr>
      </w:pPr>
      <w:r>
        <w:rPr>
          <w:rFonts w:ascii="Times New Roman" w:cs="Times New Roman" w:eastAsia="Times New Roman" w:hAnsi="Times New Roman"/>
          <w:sz w:val="11"/>
          <w:szCs w:val="11"/>
          <w:color w:val="auto"/>
        </w:rPr>
        <w:t>Moody’s, S&amp;P Global Ratings, Fitch and other credit rating agencies have assigned credit ratings to us. Following the upgrades by Moody’s and S&amp;P Global Ratings in February 2023, we updated our goal from re-establishing investment grade credit ratings to maintaining our investment grade credit</w:t>
      </w:r>
    </w:p>
    <w:p>
      <w:pPr>
        <w:spacing w:after="0" w:line="3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jc w:val="both"/>
        <w:ind w:right="240"/>
        <w:spacing w:after="0" w:line="309" w:lineRule="auto"/>
        <w:rPr>
          <w:sz w:val="20"/>
          <w:szCs w:val="20"/>
          <w:color w:val="auto"/>
        </w:rPr>
      </w:pPr>
      <w:r>
        <w:rPr>
          <w:rFonts w:ascii="Times New Roman" w:cs="Times New Roman" w:eastAsia="Times New Roman" w:hAnsi="Times New Roman"/>
          <w:sz w:val="11"/>
          <w:szCs w:val="11"/>
          <w:color w:val="auto"/>
        </w:rPr>
        <w:t>ratings. However, there can be no assurances that we will be able to maintain our current investment grade credit ratings.</w:t>
      </w:r>
    </w:p>
    <w:p>
      <w:pPr>
        <w:spacing w:after="0" w:line="38" w:lineRule="exact"/>
        <w:rPr>
          <w:sz w:val="20"/>
          <w:szCs w:val="20"/>
          <w:color w:val="auto"/>
        </w:rPr>
      </w:pPr>
    </w:p>
    <w:p>
      <w:pPr>
        <w:ind w:right="260"/>
        <w:spacing w:after="0" w:line="269" w:lineRule="auto"/>
        <w:rPr>
          <w:sz w:val="20"/>
          <w:szCs w:val="20"/>
          <w:color w:val="auto"/>
        </w:rPr>
      </w:pPr>
      <w:r>
        <w:rPr>
          <w:rFonts w:ascii="Times New Roman" w:cs="Times New Roman" w:eastAsia="Times New Roman" w:hAnsi="Times New Roman"/>
          <w:sz w:val="11"/>
          <w:szCs w:val="11"/>
          <w:color w:val="auto"/>
        </w:rPr>
        <w:t>In the event our credit rating is downgraded, it could have a material adverse effect, for instance, on our cost of funds and related margins, our business and results of operations, financial condition, liquidity, or access to capital markets.</w:t>
      </w:r>
    </w:p>
    <w:p>
      <w:pPr>
        <w:spacing w:after="0" w:line="58" w:lineRule="exact"/>
        <w:rPr>
          <w:sz w:val="20"/>
          <w:szCs w:val="20"/>
          <w:color w:val="auto"/>
        </w:rPr>
      </w:pPr>
    </w:p>
    <w:p>
      <w:pPr>
        <w:ind w:right="60"/>
        <w:spacing w:after="0" w:line="265" w:lineRule="auto"/>
        <w:rPr>
          <w:sz w:val="20"/>
          <w:szCs w:val="20"/>
          <w:color w:val="auto"/>
        </w:rPr>
      </w:pPr>
      <w:r>
        <w:rPr>
          <w:rFonts w:ascii="Times New Roman" w:cs="Times New Roman" w:eastAsia="Times New Roman" w:hAnsi="Times New Roman"/>
          <w:sz w:val="11"/>
          <w:szCs w:val="11"/>
          <w:b w:val="1"/>
          <w:bCs w:val="1"/>
          <w:color w:val="auto"/>
        </w:rPr>
        <w:t>Due to our global operations, our net sales, costs and results of operations, as well as the US dollar value of our dividends and market price of our ADSs, are affected by exchange rate fluctuations.</w:t>
      </w:r>
    </w:p>
    <w:p>
      <w:pPr>
        <w:spacing w:after="0" w:line="1" w:lineRule="exact"/>
        <w:rPr>
          <w:sz w:val="20"/>
          <w:szCs w:val="20"/>
          <w:color w:val="auto"/>
        </w:rPr>
      </w:pPr>
    </w:p>
    <w:p>
      <w:pPr>
        <w:ind w:right="60"/>
        <w:spacing w:after="0" w:line="260" w:lineRule="auto"/>
        <w:rPr>
          <w:sz w:val="20"/>
          <w:szCs w:val="20"/>
          <w:color w:val="auto"/>
        </w:rPr>
      </w:pPr>
      <w:r>
        <w:rPr>
          <w:rFonts w:ascii="Times New Roman" w:cs="Times New Roman" w:eastAsia="Times New Roman" w:hAnsi="Times New Roman"/>
          <w:sz w:val="11"/>
          <w:szCs w:val="11"/>
          <w:color w:val="auto"/>
        </w:rPr>
        <w:t>We operate globally and are therefore exposed to foreign exchange risks in the form of both transaction risks and translation risks. Our policy is to monitor and hedge foreign exchange rate exposures within defined exposure identification horizons. We manage our operations to mitigate, but not to eliminate, the impacts of exchange rate fluctuations and our hedging activities may prove unsuccessful in mitigating the potentially negative impact of exchange rate fluctuations. Additionally, significant volatility in the relevant exchange rates and interest rates may increase our hedging costs, as well</w:t>
      </w:r>
    </w:p>
    <w:p>
      <w:pPr>
        <w:spacing w:after="0" w:line="5" w:lineRule="exact"/>
        <w:rPr>
          <w:sz w:val="20"/>
          <w:szCs w:val="20"/>
          <w:color w:val="auto"/>
        </w:rPr>
      </w:pPr>
    </w:p>
    <w:p>
      <w:pPr>
        <w:ind w:right="180"/>
        <w:spacing w:after="0" w:line="261" w:lineRule="auto"/>
        <w:rPr>
          <w:sz w:val="20"/>
          <w:szCs w:val="20"/>
          <w:color w:val="auto"/>
        </w:rPr>
      </w:pPr>
      <w:r>
        <w:rPr>
          <w:rFonts w:ascii="Times New Roman" w:cs="Times New Roman" w:eastAsia="Times New Roman" w:hAnsi="Times New Roman"/>
          <w:sz w:val="11"/>
          <w:szCs w:val="11"/>
          <w:color w:val="auto"/>
        </w:rPr>
        <w:t>as limit our ability to hedge our exchange rate exposures including, in particular certain emerging market currencies. Furthermore, exchange rate fluctuations may have an adverse effect on our net sales, costs and results of operations,</w:t>
      </w:r>
    </w:p>
    <w:p>
      <w:pPr>
        <w:ind w:right="420"/>
        <w:spacing w:after="0" w:line="278" w:lineRule="auto"/>
        <w:rPr>
          <w:sz w:val="20"/>
          <w:szCs w:val="20"/>
          <w:color w:val="auto"/>
        </w:rPr>
      </w:pPr>
      <w:r>
        <w:rPr>
          <w:rFonts w:ascii="Times New Roman" w:cs="Times New Roman" w:eastAsia="Times New Roman" w:hAnsi="Times New Roman"/>
          <w:sz w:val="11"/>
          <w:szCs w:val="11"/>
          <w:color w:val="auto"/>
        </w:rPr>
        <w:t>as well as our competitive position, through their impact on our customers, suppliers and competitors.</w:t>
      </w:r>
    </w:p>
    <w:p>
      <w:pPr>
        <w:spacing w:after="0" w:line="54"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We also experience other financial market-related risks, including changes in interest rates and in prices of marketable securities that we own. We may use derivative financial instruments to reduce certain of these risks. If our strategies to reduce such risks are not successful, our financial condition and results of operations may be harmed.</w:t>
      </w:r>
    </w:p>
    <w:p>
      <w:pPr>
        <w:spacing w:after="0" w:line="60" w:lineRule="exact"/>
        <w:rPr>
          <w:sz w:val="20"/>
          <w:szCs w:val="20"/>
          <w:color w:val="auto"/>
        </w:rPr>
      </w:pPr>
    </w:p>
    <w:p>
      <w:pPr>
        <w:jc w:val="both"/>
        <w:ind w:right="120"/>
        <w:spacing w:after="0" w:line="279" w:lineRule="auto"/>
        <w:rPr>
          <w:sz w:val="20"/>
          <w:szCs w:val="20"/>
          <w:color w:val="auto"/>
        </w:rPr>
      </w:pPr>
      <w:r>
        <w:rPr>
          <w:rFonts w:ascii="Times New Roman" w:cs="Times New Roman" w:eastAsia="Times New Roman" w:hAnsi="Times New Roman"/>
          <w:sz w:val="11"/>
          <w:szCs w:val="11"/>
          <w:color w:val="auto"/>
        </w:rPr>
        <w:t>Additionally, exchange rate fluctuations may materially affect the US dollar value of any dividends or other distributions that are paid in euro, as well as the market price of our ADSs.</w:t>
      </w:r>
    </w:p>
    <w:p>
      <w:pPr>
        <w:spacing w:after="0" w:line="42" w:lineRule="exact"/>
        <w:rPr>
          <w:sz w:val="20"/>
          <w:szCs w:val="20"/>
          <w:color w:val="auto"/>
        </w:rPr>
      </w:pPr>
    </w:p>
    <w:p>
      <w:pPr>
        <w:ind w:right="80"/>
        <w:spacing w:after="0" w:line="267" w:lineRule="auto"/>
        <w:rPr>
          <w:sz w:val="20"/>
          <w:szCs w:val="20"/>
          <w:color w:val="auto"/>
        </w:rPr>
      </w:pPr>
      <w:r>
        <w:rPr>
          <w:rFonts w:ascii="Times New Roman" w:cs="Times New Roman" w:eastAsia="Times New Roman" w:hAnsi="Times New Roman"/>
          <w:sz w:val="11"/>
          <w:szCs w:val="11"/>
          <w:b w:val="1"/>
          <w:bCs w:val="1"/>
          <w:color w:val="auto"/>
        </w:rPr>
        <w:t>Our pension and other post-employment benefit obligations are subject to numerous factors that could result in a need for increased funding, adversely affecting our results of operations and cash flow.</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 are exposed to various employee cost-related risks,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including those related to pension, and other post-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employment benefits (OPEB). In the US, we maintain significant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employee pension benefit plans and a significant retiree</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260"/>
        <w:spacing w:after="0" w:line="265" w:lineRule="auto"/>
        <w:rPr>
          <w:sz w:val="20"/>
          <w:szCs w:val="20"/>
          <w:color w:val="auto"/>
        </w:rPr>
      </w:pPr>
      <w:r>
        <w:rPr>
          <w:rFonts w:ascii="Times New Roman" w:cs="Times New Roman" w:eastAsia="Times New Roman" w:hAnsi="Times New Roman"/>
          <w:sz w:val="11"/>
          <w:szCs w:val="11"/>
          <w:color w:val="auto"/>
        </w:rPr>
        <w:t>welfare benefit plan (providing post-employment healthcare benefits and post-employment life insurance coverage). Outside the US, we contribute to pension schemes for large numbers of current and former employees. The US and non-US plans and schemes have funding requirements that depend on, among other things, various legal requirements, how assets set aside to pay for those obligations are invested, the performance of financial markets, interest rates, assumptions regarding the life expectancy of covered employees and retirees, and medical cost inflation and medical care utilization. To the extent that any of those variables change, the funding required for those plans and schemes may increase, adversely affecting our results of operations and cash flow.</w:t>
      </w:r>
    </w:p>
    <w:p>
      <w:pPr>
        <w:spacing w:after="0" w:line="55" w:lineRule="exact"/>
        <w:rPr>
          <w:sz w:val="20"/>
          <w:szCs w:val="20"/>
          <w:color w:val="auto"/>
        </w:rPr>
      </w:pPr>
    </w:p>
    <w:p>
      <w:pPr>
        <w:ind w:right="200"/>
        <w:spacing w:after="0" w:line="266" w:lineRule="auto"/>
        <w:rPr>
          <w:sz w:val="20"/>
          <w:szCs w:val="20"/>
          <w:color w:val="auto"/>
        </w:rPr>
      </w:pPr>
      <w:r>
        <w:rPr>
          <w:rFonts w:ascii="Times New Roman" w:cs="Times New Roman" w:eastAsia="Times New Roman" w:hAnsi="Times New Roman"/>
          <w:sz w:val="11"/>
          <w:szCs w:val="11"/>
          <w:color w:val="auto"/>
        </w:rPr>
        <w:t>The most significantly underfunded plans are in Germany which do not currently have minimum regulatory funding requirements. With respect to other significantly underfunded plans, there are the OPEB plans in the US where Nokia is able to fund the liabilities by utilizing IRC Section 420 transfers from the US pension surplus up until 2032. More details about these plans can be found in Note 3.4. Pensions and other post-employment benefits in our consolidated financial statements.</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The carrying amount of our goodwill may not be recoverable.</w:t>
      </w:r>
    </w:p>
    <w:p>
      <w:pPr>
        <w:spacing w:after="0" w:line="24" w:lineRule="exact"/>
        <w:rPr>
          <w:sz w:val="20"/>
          <w:szCs w:val="20"/>
          <w:color w:val="auto"/>
        </w:rPr>
      </w:pPr>
    </w:p>
    <w:p>
      <w:pPr>
        <w:ind w:right="300"/>
        <w:spacing w:after="0" w:line="262" w:lineRule="auto"/>
        <w:rPr>
          <w:sz w:val="20"/>
          <w:szCs w:val="20"/>
          <w:color w:val="auto"/>
        </w:rPr>
      </w:pPr>
      <w:r>
        <w:rPr>
          <w:rFonts w:ascii="Times New Roman" w:cs="Times New Roman" w:eastAsia="Times New Roman" w:hAnsi="Times New Roman"/>
          <w:sz w:val="11"/>
          <w:szCs w:val="11"/>
          <w:color w:val="auto"/>
        </w:rPr>
        <w:t>We assess the carrying amount of goodwill annually, or more frequently if events or changes in circumstances indicate that such carrying amount may not be recoverable. We assess the carrying amount of other identifiable assets if events or changes in circumstances indicate that their carrying amounts may not be recoverable, for instance, if we would not generate revenues from our businesses as anticipated, or if our businesses would not generate sufficient positive operating cash flows. These, or other factors, may lead to a decrease in the value of our assets, including intangible assets and the goodwill attributed to our businesses, resulting in impairment charges that may adversely affect our net profit for the year. While we believe the estimated recoverable values are reasonable, actual performance in the short and long term and our assumptions on which we base our calculations could materially differ from our forecasts, which could impact future estimates of our businesses’ recoverable values, and may result in impairment charges.</w:t>
      </w:r>
    </w:p>
    <w:p>
      <w:pPr>
        <w:sectPr>
          <w:pgSz w:w="11900" w:h="16838" w:orient="portrait"/>
          <w:cols w:equalWidth="0" w:num="3">
            <w:col w:w="3080" w:space="320"/>
            <w:col w:w="3000" w:space="400"/>
            <w:col w:w="3180"/>
          </w:cols>
          <w:pgMar w:left="960" w:top="409" w:right="959" w:bottom="1440" w:gutter="0" w:footer="0" w:header="0"/>
          <w:type w:val="continuous"/>
        </w:sectPr>
      </w:pPr>
    </w:p>
    <w:bookmarkStart w:id="136" w:name="page137"/>
    <w:bookmarkEnd w:id="136"/>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9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80" w:type="dxa"/>
            <w:vAlign w:val="bottom"/>
          </w:tcPr>
          <w:p>
            <w:pPr>
              <w:spacing w:after="0"/>
              <w:rPr>
                <w:sz w:val="9"/>
                <w:szCs w:val="9"/>
                <w:color w:val="auto"/>
              </w:rPr>
            </w:pPr>
          </w:p>
        </w:tc>
        <w:tc>
          <w:tcPr>
            <w:tcW w:w="1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9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80" w:type="dxa"/>
            <w:vAlign w:val="bottom"/>
          </w:tcPr>
          <w:p>
            <w:pPr>
              <w:spacing w:after="0"/>
              <w:rPr>
                <w:sz w:val="10"/>
                <w:szCs w:val="10"/>
                <w:color w:val="auto"/>
              </w:rPr>
            </w:pPr>
          </w:p>
        </w:tc>
        <w:tc>
          <w:tcPr>
            <w:tcW w:w="12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53"/>
        </w:trPr>
        <w:tc>
          <w:tcPr>
            <w:tcW w:w="1920" w:type="dxa"/>
            <w:vAlign w:val="bottom"/>
            <w:gridSpan w:val="2"/>
            <w:vMerge w:val="restart"/>
          </w:tcPr>
          <w:p>
            <w:pPr>
              <w:spacing w:after="0"/>
              <w:rPr>
                <w:sz w:val="20"/>
                <w:szCs w:val="20"/>
                <w:color w:val="auto"/>
              </w:rPr>
            </w:pPr>
            <w:r>
              <w:rPr>
                <w:rFonts w:ascii="Times New Roman" w:cs="Times New Roman" w:eastAsia="Times New Roman" w:hAnsi="Times New Roman"/>
                <w:sz w:val="13"/>
                <w:szCs w:val="13"/>
                <w:color w:val="005AFF"/>
              </w:rPr>
              <w:t>Risk factors continued</w:t>
            </w:r>
          </w:p>
        </w:tc>
        <w:tc>
          <w:tcPr>
            <w:tcW w:w="920" w:type="dxa"/>
            <w:vAlign w:val="bottom"/>
            <w:tcBorders>
              <w:bottom w:val="single" w:sz="8" w:color="005AFF"/>
            </w:tcBorders>
          </w:tcPr>
          <w:p>
            <w:pPr>
              <w:spacing w:after="0"/>
              <w:rPr>
                <w:sz w:val="4"/>
                <w:szCs w:val="4"/>
                <w:color w:val="auto"/>
              </w:rPr>
            </w:pPr>
          </w:p>
        </w:tc>
        <w:tc>
          <w:tcPr>
            <w:tcW w:w="80" w:type="dxa"/>
            <w:vAlign w:val="bottom"/>
            <w:tcBorders>
              <w:bottom w:val="single" w:sz="8" w:color="005AFF"/>
            </w:tcBorders>
          </w:tcPr>
          <w:p>
            <w:pPr>
              <w:spacing w:after="0"/>
              <w:rPr>
                <w:sz w:val="4"/>
                <w:szCs w:val="4"/>
                <w:color w:val="auto"/>
              </w:rPr>
            </w:pPr>
          </w:p>
        </w:tc>
        <w:tc>
          <w:tcPr>
            <w:tcW w:w="12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354"/>
        </w:trPr>
        <w:tc>
          <w:tcPr>
            <w:tcW w:w="1920" w:type="dxa"/>
            <w:vAlign w:val="bottom"/>
            <w:gridSpan w:val="2"/>
            <w:vMerge w:val="continue"/>
          </w:tcPr>
          <w:p>
            <w:pPr>
              <w:spacing w:after="0"/>
              <w:rPr>
                <w:sz w:val="24"/>
                <w:szCs w:val="24"/>
                <w:color w:val="auto"/>
              </w:rPr>
            </w:pPr>
          </w:p>
        </w:tc>
        <w:tc>
          <w:tcPr>
            <w:tcW w:w="92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2840" w:type="dxa"/>
            <w:vAlign w:val="bottom"/>
            <w:gridSpan w:val="3"/>
          </w:tcPr>
          <w:p>
            <w:pPr>
              <w:spacing w:after="0"/>
              <w:rPr>
                <w:sz w:val="20"/>
                <w:szCs w:val="20"/>
                <w:color w:val="auto"/>
              </w:rPr>
            </w:pPr>
            <w:r>
              <w:rPr>
                <w:rFonts w:ascii="Times New Roman" w:cs="Times New Roman" w:eastAsia="Times New Roman" w:hAnsi="Times New Roman"/>
                <w:sz w:val="13"/>
                <w:szCs w:val="13"/>
                <w:color w:val="auto"/>
              </w:rPr>
              <w:t>Risks associated with ownership of our shares</w:t>
            </w:r>
          </w:p>
        </w:tc>
        <w:tc>
          <w:tcPr>
            <w:tcW w:w="8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7"/>
        </w:trPr>
        <w:tc>
          <w:tcPr>
            <w:tcW w:w="284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The amount of dividend and/or repayment of capital and</w:t>
            </w:r>
          </w:p>
        </w:tc>
        <w:tc>
          <w:tcPr>
            <w:tcW w:w="80" w:type="dxa"/>
            <w:vAlign w:val="bottom"/>
          </w:tcPr>
          <w:p>
            <w:pPr>
              <w:spacing w:after="0"/>
              <w:rPr>
                <w:sz w:val="12"/>
                <w:szCs w:val="12"/>
                <w:color w:val="auto"/>
              </w:rPr>
            </w:pPr>
          </w:p>
        </w:tc>
        <w:tc>
          <w:tcPr>
            <w:tcW w:w="1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284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other profit distributions such as share buybacks to</w:t>
            </w:r>
          </w:p>
        </w:tc>
        <w:tc>
          <w:tcPr>
            <w:tcW w:w="80" w:type="dxa"/>
            <w:vAlign w:val="bottom"/>
          </w:tcPr>
          <w:p>
            <w:pPr>
              <w:spacing w:after="0"/>
              <w:rPr>
                <w:sz w:val="12"/>
                <w:szCs w:val="12"/>
                <w:color w:val="auto"/>
              </w:rPr>
            </w:pPr>
          </w:p>
        </w:tc>
        <w:tc>
          <w:tcPr>
            <w:tcW w:w="1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3"/>
        </w:trPr>
        <w:tc>
          <w:tcPr>
            <w:tcW w:w="284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shareholders for each financial period is uncertain.</w:t>
            </w:r>
          </w:p>
        </w:tc>
        <w:tc>
          <w:tcPr>
            <w:tcW w:w="8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8"/>
        </w:trPr>
        <w:tc>
          <w:tcPr>
            <w:tcW w:w="28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As announced on 25 January 2024, our Board proposes</w:t>
            </w:r>
          </w:p>
        </w:tc>
        <w:tc>
          <w:tcPr>
            <w:tcW w:w="20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w w:val="96"/>
              </w:rPr>
              <w:t>that</w:t>
            </w:r>
          </w:p>
        </w:tc>
        <w:tc>
          <w:tcPr>
            <w:tcW w:w="0" w:type="dxa"/>
            <w:vAlign w:val="bottom"/>
          </w:tcPr>
          <w:p>
            <w:pPr>
              <w:spacing w:after="0"/>
              <w:rPr>
                <w:sz w:val="1"/>
                <w:szCs w:val="1"/>
                <w:color w:val="auto"/>
              </w:rPr>
            </w:pPr>
          </w:p>
        </w:tc>
      </w:tr>
    </w:tbl>
    <w:p>
      <w:pPr>
        <w:ind w:right="100"/>
        <w:spacing w:after="0" w:line="261" w:lineRule="auto"/>
        <w:rPr>
          <w:sz w:val="20"/>
          <w:szCs w:val="20"/>
          <w:color w:val="auto"/>
        </w:rPr>
      </w:pPr>
      <w:r>
        <w:rPr>
          <w:rFonts w:ascii="Times New Roman" w:cs="Times New Roman" w:eastAsia="Times New Roman" w:hAnsi="Times New Roman"/>
          <w:sz w:val="11"/>
          <w:szCs w:val="11"/>
          <w:color w:val="auto"/>
        </w:rPr>
        <w:t>the Annual General Meeting authorizes the Board to resolve on the distribution of an aggregate maximum of EUR 0.13 per share as dividend from the retained earnings and/or as assets from the reserve for invested unrestricted equity in respect of financial year 2023. Furthermore, the Board initiated a share buyback program under the authorization granted by the Annual General Meetings to repurchase shares. The program targets to return up to EUR 600 million of cash to shareholders in tranches over a period of two years, subject to continued authorization by the Annual General Meeting. The first phase of the share buyback program is expected to begin in the first quarter of 2024. Our Annual General Meeting 2023, held on 4 April 2023, authorized the Board to resolve on the distribution of an aggregate maximum of EUR 0.12 per share as dividend from the retained earnings and/or as assets from the reserve for invested unrestricted equity in respect of the financial year 2022. Furthermore, in 2022, our Board initiated a share buyback program, under the authorizations granted by Nokia’s Annual General Meetings, to return up to EUR 600 million of cash to shareholders in tranches over a period of two years. The first phase of the share buyback program with a maximum aggregate purchase price of EUR 300 million started on</w:t>
      </w:r>
    </w:p>
    <w:p>
      <w:pPr>
        <w:spacing w:after="0" w:line="135" w:lineRule="exact"/>
        <w:rPr>
          <w:sz w:val="20"/>
          <w:szCs w:val="20"/>
          <w:color w:val="auto"/>
        </w:rPr>
      </w:pPr>
    </w:p>
    <w:p>
      <w:pPr>
        <w:ind w:right="180"/>
        <w:spacing w:after="0" w:line="273" w:lineRule="auto"/>
        <w:rPr>
          <w:sz w:val="20"/>
          <w:szCs w:val="20"/>
          <w:color w:val="auto"/>
        </w:rPr>
      </w:pPr>
      <w:r>
        <w:rPr>
          <w:rFonts w:ascii="Times New Roman" w:cs="Times New Roman" w:eastAsia="Times New Roman" w:hAnsi="Times New Roman"/>
          <w:sz w:val="11"/>
          <w:szCs w:val="11"/>
          <w:color w:val="auto"/>
        </w:rPr>
        <w:t>14 February 2022 and ended on 11 November 2022. The second EUR 300 million phase of the share buyback program started on 2 January 2023 and it ended on 10 November 2023.</w:t>
      </w:r>
    </w:p>
    <w:p>
      <w:pPr>
        <w:spacing w:after="0" w:line="57" w:lineRule="exact"/>
        <w:rPr>
          <w:sz w:val="20"/>
          <w:szCs w:val="20"/>
          <w:color w:val="auto"/>
        </w:rPr>
      </w:pPr>
    </w:p>
    <w:p>
      <w:pPr>
        <w:ind w:right="120"/>
        <w:spacing w:after="0" w:line="261" w:lineRule="auto"/>
        <w:rPr>
          <w:sz w:val="20"/>
          <w:szCs w:val="20"/>
          <w:color w:val="auto"/>
        </w:rPr>
      </w:pPr>
      <w:r>
        <w:rPr>
          <w:rFonts w:ascii="Times New Roman" w:cs="Times New Roman" w:eastAsia="Times New Roman" w:hAnsi="Times New Roman"/>
          <w:sz w:val="11"/>
          <w:szCs w:val="11"/>
          <w:color w:val="auto"/>
        </w:rPr>
        <w:t>We cannot assure that we will distribute dividends and/or capital repayments on the shares issued by us, nor is there any assurance as to the amount of any dividend and/or repayment of capital we may pay, including but not limited to situations where we make commitments to increase our dividends. Neither can we guarantee that we finalize the announced share buyback program. The payment and the amount of any dividend and/or repayment of capital as well as additional share buyback programs is subject to the discretion of the general meeting of our shareholders and our Board, and will depend on available cash balances, expected cash flow generation, anticipated cash needs, retained earnings, the results of</w:t>
      </w:r>
    </w:p>
    <w:p>
      <w:pPr>
        <w:spacing w:after="0" w:line="4" w:lineRule="exact"/>
        <w:rPr>
          <w:sz w:val="20"/>
          <w:szCs w:val="20"/>
          <w:color w:val="auto"/>
        </w:rPr>
      </w:pPr>
    </w:p>
    <w:p>
      <w:pPr>
        <w:ind w:right="360"/>
        <w:spacing w:after="0" w:line="273" w:lineRule="auto"/>
        <w:rPr>
          <w:sz w:val="20"/>
          <w:szCs w:val="20"/>
          <w:color w:val="auto"/>
        </w:rPr>
      </w:pPr>
      <w:r>
        <w:rPr>
          <w:rFonts w:ascii="Times New Roman" w:cs="Times New Roman" w:eastAsia="Times New Roman" w:hAnsi="Times New Roman"/>
          <w:sz w:val="11"/>
          <w:szCs w:val="11"/>
          <w:color w:val="auto"/>
        </w:rPr>
        <w:t>our operations and our financial condition and terms of outstanding indebtedness, as well as other relevant factors such as restrictions, prohibitions or limitations imposed by</w:t>
      </w: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r>
        <w:rPr>
          <w:sz w:val="20"/>
          <w:szCs w:val="20"/>
          <w:color w:val="auto"/>
        </w:rPr>
        <w:tab/>
      </w:r>
      <w:r>
        <w:rPr>
          <w:rFonts w:ascii="Times New Roman" w:cs="Times New Roman" w:eastAsia="Times New Roman" w:hAnsi="Times New Roman"/>
          <w:sz w:val="9"/>
          <w:szCs w:val="9"/>
          <w:color w:val="auto"/>
        </w:rPr>
        <w:t>Other</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-175260</wp:posOffset>
            </wp:positionV>
            <wp:extent cx="7216140" cy="511810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1060" w:val="left"/>
          <w:tab w:leader="none" w:pos="2080" w:val="left"/>
        </w:tabs>
        <w:rPr>
          <w:sz w:val="20"/>
          <w:szCs w:val="20"/>
          <w:color w:val="auto"/>
        </w:rPr>
      </w:pP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r>
        <w:rPr>
          <w:sz w:val="20"/>
          <w:szCs w:val="20"/>
          <w:color w:val="auto"/>
        </w:rPr>
        <w:tab/>
      </w:r>
      <w:r>
        <w:rPr>
          <w:rFonts w:ascii="Times New Roman" w:cs="Times New Roman" w:eastAsia="Times New Roman" w:hAnsi="Times New Roman"/>
          <w:sz w:val="9"/>
          <w:szCs w:val="9"/>
          <w:color w:val="auto"/>
        </w:rPr>
        <w:t>information</w:t>
      </w:r>
    </w:p>
    <w:p>
      <w:pPr>
        <w:spacing w:after="0" w:line="200" w:lineRule="exact"/>
        <w:rPr>
          <w:sz w:val="20"/>
          <w:szCs w:val="20"/>
          <w:color w:val="auto"/>
        </w:rPr>
      </w:pPr>
    </w:p>
    <w:p>
      <w:pPr>
        <w:spacing w:after="0" w:line="200" w:lineRule="exact"/>
        <w:rPr>
          <w:sz w:val="20"/>
          <w:szCs w:val="20"/>
          <w:color w:val="auto"/>
        </w:rPr>
      </w:pPr>
    </w:p>
    <w:p>
      <w:pPr>
        <w:spacing w:after="0" w:line="336" w:lineRule="exact"/>
        <w:rPr>
          <w:sz w:val="20"/>
          <w:szCs w:val="20"/>
          <w:color w:val="auto"/>
        </w:rPr>
      </w:pPr>
    </w:p>
    <w:p>
      <w:pPr>
        <w:ind w:right="100"/>
        <w:spacing w:after="0" w:line="274" w:lineRule="auto"/>
        <w:rPr>
          <w:sz w:val="20"/>
          <w:szCs w:val="20"/>
          <w:color w:val="auto"/>
        </w:rPr>
      </w:pPr>
      <w:r>
        <w:rPr>
          <w:rFonts w:ascii="Times New Roman" w:cs="Times New Roman" w:eastAsia="Times New Roman" w:hAnsi="Times New Roman"/>
          <w:sz w:val="11"/>
          <w:szCs w:val="11"/>
          <w:color w:val="auto"/>
        </w:rPr>
        <w:t>applicable laws. Further, even if any conditions or factors covering the issuance or distribution of dividends are met, the Board or the shareholders have in the past decided, and may going forward decide, not to issue or distribute dividends or initiate additional buyback programs.</w:t>
      </w:r>
    </w:p>
    <w:p>
      <w:pPr>
        <w:spacing w:after="0" w:line="45" w:lineRule="exact"/>
        <w:rPr>
          <w:sz w:val="20"/>
          <w:szCs w:val="20"/>
          <w:color w:val="auto"/>
        </w:rPr>
      </w:pPr>
    </w:p>
    <w:p>
      <w:pPr>
        <w:ind w:right="80"/>
        <w:spacing w:after="0" w:line="276" w:lineRule="auto"/>
        <w:rPr>
          <w:sz w:val="20"/>
          <w:szCs w:val="20"/>
          <w:color w:val="auto"/>
        </w:rPr>
      </w:pPr>
      <w:r>
        <w:rPr>
          <w:rFonts w:ascii="Times New Roman" w:cs="Times New Roman" w:eastAsia="Times New Roman" w:hAnsi="Times New Roman"/>
          <w:sz w:val="11"/>
          <w:szCs w:val="11"/>
          <w:b w:val="1"/>
          <w:bCs w:val="1"/>
          <w:color w:val="auto"/>
        </w:rPr>
        <w:t>Our share and/or ADS price may be volatile and subject to fluctuations.</w:t>
      </w:r>
    </w:p>
    <w:p>
      <w:pPr>
        <w:spacing w:after="0" w:line="1" w:lineRule="exact"/>
        <w:rPr>
          <w:sz w:val="20"/>
          <w:szCs w:val="20"/>
          <w:color w:val="auto"/>
        </w:rPr>
      </w:pPr>
    </w:p>
    <w:p>
      <w:pPr>
        <w:spacing w:after="0" w:line="261" w:lineRule="auto"/>
        <w:rPr>
          <w:sz w:val="20"/>
          <w:szCs w:val="20"/>
          <w:color w:val="auto"/>
        </w:rPr>
      </w:pPr>
      <w:r>
        <w:rPr>
          <w:rFonts w:ascii="Times New Roman" w:cs="Times New Roman" w:eastAsia="Times New Roman" w:hAnsi="Times New Roman"/>
          <w:sz w:val="11"/>
          <w:szCs w:val="11"/>
          <w:color w:val="auto"/>
        </w:rPr>
        <w:t>Our share and/or ADS price may be volatile and could be subject to fluctuations in response to various factors, some of which are beyond our control. In addition to the factors described in this “Risk Factors” section, other factors that could cause fluctuations in our share price include, among others, high volatility in the securities markets generally and volatility in telecommunications and technology companies’ securities in particular, trading volumes, speculation in the media or retail or institutional investment communities regarding the Company and our prospects, future developments in our industry and competitors, our financial results and the expectations of financial analysts, as well as the timing or content of any public communications, including reports of operating results, by us or our competitors. Further, factors in the public trading market for our stock may produce price movements that may or may not comport with macro, industry or company-specific fundamentals, including, without limitation, the sentiment of retail investors (including as may be expressed on financial trading and other social media sites and online forums), the direct access by retail investors to broadly available trading platforms, the amount and status of short interest in our securities, access to margin debt, trading in options and other derivatives on our common stock and any related hedging and other trading factors.</w:t>
      </w:r>
    </w:p>
    <w:p>
      <w:pPr>
        <w:spacing w:after="0" w:line="207"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The market price of, and trading volume for, our shares and/or ADSs may change for reasons not necessarily related to our actual operating performance. The capital markets have experienced extreme volatility that has often been unrelated to the operating performance of particular companies. In addition, in the past, following periods of volatility in the market price of a company’s securities, stockholders often institute securities class action litigation against that company. This type of litigation could result in substantial costs and divert our management’s attention and resources, which could have a material adverse effect on our cash flows, our ability to execute our business strategy and our ability to make distributions to our stockholders.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129</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ind w:right="220"/>
        <w:spacing w:after="0" w:line="271" w:lineRule="auto"/>
        <w:rPr>
          <w:sz w:val="20"/>
          <w:szCs w:val="20"/>
          <w:color w:val="auto"/>
        </w:rPr>
      </w:pPr>
      <w:r>
        <w:rPr>
          <w:rFonts w:ascii="Times New Roman" w:cs="Times New Roman" w:eastAsia="Times New Roman" w:hAnsi="Times New Roman"/>
          <w:sz w:val="11"/>
          <w:szCs w:val="11"/>
          <w:b w:val="1"/>
          <w:bCs w:val="1"/>
          <w:color w:val="auto"/>
        </w:rPr>
        <w:t>Non-Finnish shareholders are likely required to provide detailed information to obtain advantageous withholding tax treatment for dividends.</w:t>
      </w:r>
    </w:p>
    <w:p>
      <w:pPr>
        <w:ind w:right="360"/>
        <w:spacing w:after="0" w:line="262" w:lineRule="auto"/>
        <w:rPr>
          <w:sz w:val="20"/>
          <w:szCs w:val="20"/>
          <w:color w:val="auto"/>
        </w:rPr>
      </w:pPr>
      <w:r>
        <w:rPr>
          <w:rFonts w:ascii="Times New Roman" w:cs="Times New Roman" w:eastAsia="Times New Roman" w:hAnsi="Times New Roman"/>
          <w:sz w:val="11"/>
          <w:szCs w:val="11"/>
          <w:color w:val="auto"/>
        </w:rPr>
        <w:t>As described in more detail under “General facts on Nokia– Taxation”, non-Finnish shareholders are required to provide certain information in order to benefit from the reduced dividend withholding tax rates set out in the applicable tax treaties. Furthermore, custodians are required to fulfill certain strict requirements and take over certain responsibilities and assume liability for incorrectly applied withholding tax, or a higher withholding tax rate will apply. Such requirements will likely impose an additional administrative burden on shareholders or result in the higher withholding rate becoming applicable for non-Finnish shareholders.</w:t>
      </w:r>
    </w:p>
    <w:p>
      <w:pPr>
        <w:sectPr>
          <w:pgSz w:w="11900" w:h="16838" w:orient="portrait"/>
          <w:cols w:equalWidth="0" w:num="3">
            <w:col w:w="3040" w:space="360"/>
            <w:col w:w="2940" w:space="460"/>
            <w:col w:w="3180"/>
          </w:cols>
          <w:pgMar w:left="960" w:top="409" w:right="959" w:bottom="1440" w:gutter="0" w:footer="0" w:header="0"/>
        </w:sectPr>
      </w:pPr>
    </w:p>
    <w:bookmarkStart w:id="137" w:name="page138"/>
    <w:bookmarkEnd w:id="137"/>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Operating and financial</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130</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00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review and prospects</w:t>
            </w:r>
          </w:p>
        </w:tc>
        <w:tc>
          <w:tcPr>
            <w:tcW w:w="12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Borders>
              <w:bottom w:val="single" w:sz="8" w:color="005AFF"/>
            </w:tcBorders>
          </w:tcPr>
          <w:p>
            <w:pPr>
              <w:spacing w:after="0"/>
              <w:rPr>
                <w:sz w:val="3"/>
                <w:szCs w:val="3"/>
                <w:color w:val="auto"/>
              </w:rPr>
            </w:pPr>
          </w:p>
        </w:tc>
        <w:tc>
          <w:tcPr>
            <w:tcW w:w="1280" w:type="dxa"/>
            <w:vAlign w:val="bottom"/>
          </w:tcPr>
          <w:p>
            <w:pPr>
              <w:spacing w:after="0"/>
              <w:rPr>
                <w:sz w:val="3"/>
                <w:szCs w:val="3"/>
                <w:color w:val="auto"/>
              </w:rPr>
            </w:pPr>
          </w:p>
        </w:tc>
        <w:tc>
          <w:tcPr>
            <w:tcW w:w="10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Significant subsequent events</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Significant subsequent events</w:t>
      </w:r>
    </w:p>
    <w:p>
      <w:pPr>
        <w:spacing w:after="0" w:line="1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After 31 December 2023, no significant subsequent events have taken place.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138" w:name="page139"/>
    <w:bookmarkEnd w:id="13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131</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67"/>
          <w:szCs w:val="67"/>
          <w:color w:val="FFFFFF"/>
        </w:rPr>
        <w:t>General facts</w:t>
      </w:r>
    </w:p>
    <w:p>
      <w:pPr>
        <w:spacing w:after="0"/>
        <w:rPr>
          <w:sz w:val="20"/>
          <w:szCs w:val="20"/>
          <w:color w:val="auto"/>
        </w:rPr>
      </w:pPr>
      <w:r>
        <w:rPr>
          <w:rFonts w:ascii="Times New Roman" w:cs="Times New Roman" w:eastAsia="Times New Roman" w:hAnsi="Times New Roman"/>
          <w:sz w:val="67"/>
          <w:szCs w:val="67"/>
          <w:color w:val="FFFFFF"/>
        </w:rPr>
        <w:t>on Nokia</w:t>
      </w:r>
    </w:p>
    <w:p>
      <w:pPr>
        <w:spacing w:after="0" w:line="161" w:lineRule="exact"/>
        <w:rPr>
          <w:sz w:val="20"/>
          <w:szCs w:val="20"/>
          <w:color w:val="auto"/>
        </w:rPr>
      </w:pPr>
    </w:p>
    <w:tbl>
      <w:tblPr>
        <w:tblLayout w:type="fixed"/>
        <w:tblInd w:w="40" w:type="dxa"/>
        <w:tblCellMar>
          <w:top w:w="0" w:type="dxa"/>
          <w:left w:w="0" w:type="dxa"/>
          <w:bottom w:w="0" w:type="dxa"/>
          <w:right w:w="0" w:type="dxa"/>
        </w:tblCellMar>
      </w:tblPr>
      <w:tr>
        <w:trPr>
          <w:trHeight w:val="122"/>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American Depositary Shares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132</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Controls and procedures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132</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Government regulation</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133</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Sales in United States-sanctioned countries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133</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Taxation</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134</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Key ratios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137</w:t>
            </w:r>
          </w:p>
        </w:tc>
      </w:tr>
      <w:tr>
        <w:trPr>
          <w:trHeight w:val="131"/>
        </w:trPr>
        <w:tc>
          <w:tcPr>
            <w:tcW w:w="1960" w:type="dxa"/>
            <w:vAlign w:val="bottom"/>
          </w:tcPr>
          <w:p>
            <w:pPr>
              <w:spacing w:after="0"/>
              <w:rPr>
                <w:sz w:val="20"/>
                <w:szCs w:val="20"/>
                <w:color w:val="auto"/>
              </w:rPr>
            </w:pPr>
            <w:r>
              <w:rPr>
                <w:rFonts w:ascii="Times New Roman" w:cs="Times New Roman" w:eastAsia="Times New Roman" w:hAnsi="Times New Roman"/>
                <w:sz w:val="9"/>
                <w:szCs w:val="9"/>
                <w:color w:val="FFFFFF"/>
              </w:rPr>
              <w:t>Alternative performance measures</w:t>
            </w:r>
          </w:p>
        </w:tc>
        <w:tc>
          <w:tcPr>
            <w:tcW w:w="50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138</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9980"/>
          </w:cols>
          <w:pgMar w:left="960" w:top="409" w:right="959" w:bottom="1440" w:gutter="0" w:footer="0" w:header="0"/>
        </w:sectPr>
      </w:pPr>
    </w:p>
    <w:bookmarkStart w:id="139" w:name="page140"/>
    <w:bookmarkEnd w:id="13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720" w:type="dxa"/>
            <w:vAlign w:val="bottom"/>
          </w:tcPr>
          <w:p>
            <w:pPr>
              <w:spacing w:after="0"/>
              <w:rPr>
                <w:sz w:val="3"/>
                <w:szCs w:val="3"/>
                <w:color w:val="auto"/>
              </w:rPr>
            </w:pPr>
          </w:p>
        </w:tc>
        <w:tc>
          <w:tcPr>
            <w:tcW w:w="620" w:type="dxa"/>
            <w:vAlign w:val="bottom"/>
            <w:tcBorders>
              <w:bottom w:val="single" w:sz="8" w:color="005AFF"/>
            </w:tcBorders>
          </w:tcPr>
          <w:p>
            <w:pPr>
              <w:spacing w:after="0"/>
              <w:rPr>
                <w:sz w:val="3"/>
                <w:szCs w:val="3"/>
                <w:color w:val="auto"/>
              </w:rPr>
            </w:pPr>
          </w:p>
        </w:tc>
        <w:tc>
          <w:tcPr>
            <w:tcW w:w="12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General facts on Nokia</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General facts on Nokia</w:t>
      </w:r>
    </w:p>
    <w:p>
      <w:pPr>
        <w:sectPr>
          <w:pgSz w:w="11900" w:h="16838" w:orient="portrait"/>
          <w:cols w:equalWidth="0" w:num="1">
            <w:col w:w="9980"/>
          </w:cols>
          <w:pgMar w:left="960" w:top="409" w:right="959" w:bottom="1440" w:gutter="0" w:footer="0" w:header="0"/>
        </w:sectPr>
      </w:pPr>
    </w:p>
    <w:p>
      <w:pPr>
        <w:spacing w:after="0" w:line="154"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American Depositary Shares</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Fees and charges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ADS holders may have to pay the following service fees to the</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Depositary :</w:t>
      </w:r>
    </w:p>
    <w:p>
      <w:pPr>
        <w:spacing w:after="0" w:line="132" w:lineRule="exact"/>
        <w:rPr>
          <w:sz w:val="20"/>
          <w:szCs w:val="20"/>
          <w:color w:val="auto"/>
        </w:rPr>
      </w:pPr>
    </w:p>
    <w:p>
      <w:pPr>
        <w:ind w:left="40"/>
        <w:spacing w:after="0"/>
        <w:tabs>
          <w:tab w:leader="none" w:pos="2800" w:val="left"/>
        </w:tabs>
        <w:rPr>
          <w:sz w:val="20"/>
          <w:szCs w:val="20"/>
          <w:color w:val="auto"/>
        </w:rPr>
      </w:pPr>
      <w:r>
        <w:rPr>
          <w:rFonts w:ascii="Times New Roman" w:cs="Times New Roman" w:eastAsia="Times New Roman" w:hAnsi="Times New Roman"/>
          <w:sz w:val="8"/>
          <w:szCs w:val="8"/>
          <w:b w:val="1"/>
          <w:bCs w:val="1"/>
          <w:color w:val="005AFF"/>
        </w:rPr>
        <w:t>Service</w:t>
      </w:r>
      <w:r>
        <w:rPr>
          <w:sz w:val="20"/>
          <w:szCs w:val="20"/>
          <w:color w:val="auto"/>
        </w:rPr>
        <w:tab/>
      </w:r>
      <w:r>
        <w:rPr>
          <w:rFonts w:ascii="Times New Roman" w:cs="Times New Roman" w:eastAsia="Times New Roman" w:hAnsi="Times New Roman"/>
          <w:sz w:val="8"/>
          <w:szCs w:val="8"/>
          <w:b w:val="1"/>
          <w:bCs w:val="1"/>
          <w:color w:val="005AFF"/>
        </w:rPr>
        <w:t>Fees, USD</w:t>
      </w:r>
    </w:p>
    <w:p>
      <w:pPr>
        <w:spacing w:after="0" w:line="20" w:lineRule="exact"/>
        <w:rPr>
          <w:sz w:val="20"/>
          <w:szCs w:val="20"/>
          <w:color w:val="auto"/>
        </w:rPr>
      </w:pPr>
      <w:r>
        <w:rPr>
          <w:sz w:val="20"/>
          <w:szCs w:val="20"/>
          <w:color w:val="auto"/>
        </w:rPr>
        <w:br w:type="column"/>
      </w:r>
    </w:p>
    <w:p>
      <w:pPr>
        <w:spacing w:after="0" w:line="14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Payments</w:t>
      </w:r>
    </w:p>
    <w:p>
      <w:pPr>
        <w:spacing w:after="0" w:line="32" w:lineRule="exact"/>
        <w:rPr>
          <w:sz w:val="20"/>
          <w:szCs w:val="20"/>
          <w:color w:val="auto"/>
        </w:rPr>
      </w:pPr>
    </w:p>
    <w:p>
      <w:pPr>
        <w:ind w:right="420"/>
        <w:spacing w:after="0" w:line="290" w:lineRule="auto"/>
        <w:rPr>
          <w:sz w:val="20"/>
          <w:szCs w:val="20"/>
          <w:color w:val="auto"/>
        </w:rPr>
      </w:pPr>
      <w:r>
        <w:rPr>
          <w:rFonts w:ascii="Times New Roman" w:cs="Times New Roman" w:eastAsia="Times New Roman" w:hAnsi="Times New Roman"/>
          <w:sz w:val="11"/>
          <w:szCs w:val="11"/>
          <w:color w:val="auto"/>
        </w:rPr>
        <w:t>In 2023 , our Depositary made the following payments on our behalf in relation to our ADS program:</w:t>
      </w:r>
    </w:p>
    <w:p>
      <w:pPr>
        <w:spacing w:after="0" w:line="10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Category</w:t>
            </w:r>
          </w:p>
        </w:tc>
        <w:tc>
          <w:tcPr>
            <w:tcW w:w="1120" w:type="dxa"/>
            <w:vAlign w:val="bottom"/>
            <w:tcBorders>
              <w:bottom w:val="single" w:sz="8" w:color="005AFF"/>
            </w:tcBorders>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Payment, USD</w:t>
            </w:r>
          </w:p>
        </w:tc>
      </w:tr>
      <w:tr>
        <w:trPr>
          <w:trHeight w:val="131"/>
        </w:trPr>
        <w:tc>
          <w:tcPr>
            <w:tcW w:w="2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Settlement infrastructure fees (including</w:t>
            </w:r>
          </w:p>
        </w:tc>
        <w:tc>
          <w:tcPr>
            <w:tcW w:w="1120" w:type="dxa"/>
            <w:vAlign w:val="bottom"/>
          </w:tcPr>
          <w:p>
            <w:pPr>
              <w:jc w:val="right"/>
              <w:ind w:right="94"/>
              <w:spacing w:after="0"/>
              <w:rPr>
                <w:sz w:val="20"/>
                <w:szCs w:val="20"/>
                <w:color w:val="auto"/>
              </w:rPr>
            </w:pPr>
            <w:r>
              <w:rPr>
                <w:rFonts w:ascii="Times New Roman" w:cs="Times New Roman" w:eastAsia="Times New Roman" w:hAnsi="Times New Roman"/>
                <w:sz w:val="10"/>
                <w:szCs w:val="10"/>
                <w:color w:val="005AFF"/>
              </w:rPr>
              <w:t>1 047 044.65</w:t>
            </w:r>
          </w:p>
        </w:tc>
      </w:tr>
      <w:tr>
        <w:trPr>
          <w:trHeight w:val="92"/>
        </w:trPr>
        <w:tc>
          <w:tcPr>
            <w:tcW w:w="2140" w:type="dxa"/>
            <w:vAlign w:val="bottom"/>
          </w:tcPr>
          <w:p>
            <w:pPr>
              <w:ind w:left="40"/>
              <w:spacing w:after="0" w:line="92" w:lineRule="exact"/>
              <w:rPr>
                <w:sz w:val="20"/>
                <w:szCs w:val="20"/>
                <w:color w:val="auto"/>
              </w:rPr>
            </w:pPr>
            <w:r>
              <w:rPr>
                <w:rFonts w:ascii="Times New Roman" w:cs="Times New Roman" w:eastAsia="Times New Roman" w:hAnsi="Times New Roman"/>
                <w:sz w:val="10"/>
                <w:szCs w:val="10"/>
                <w:color w:val="0D0D0D"/>
              </w:rPr>
              <w:t>the Depositary Trust Company fees)</w:t>
            </w:r>
          </w:p>
        </w:tc>
        <w:tc>
          <w:tcPr>
            <w:tcW w:w="1120" w:type="dxa"/>
            <w:vAlign w:val="bottom"/>
          </w:tcPr>
          <w:p>
            <w:pPr>
              <w:spacing w:after="0"/>
              <w:rPr>
                <w:sz w:val="8"/>
                <w:szCs w:val="8"/>
                <w:color w:val="auto"/>
              </w:rPr>
            </w:pPr>
          </w:p>
        </w:tc>
      </w:tr>
    </w:tbl>
    <w:p>
      <w:pPr>
        <w:spacing w:after="0" w:line="20" w:lineRule="exact"/>
        <w:rPr>
          <w:sz w:val="20"/>
          <w:szCs w:val="20"/>
          <w:color w:val="auto"/>
        </w:rPr>
      </w:pPr>
      <w:r>
        <w:rPr>
          <w:sz w:val="20"/>
          <w:szCs w:val="20"/>
          <w:color w:val="auto"/>
        </w:rPr>
        <w:br w:type="column"/>
      </w:r>
    </w:p>
    <w:p>
      <w:pPr>
        <w:spacing w:after="0" w:line="141" w:lineRule="exact"/>
        <w:rPr>
          <w:sz w:val="20"/>
          <w:szCs w:val="20"/>
          <w:color w:val="auto"/>
        </w:rPr>
      </w:pPr>
    </w:p>
    <w:p>
      <w:pPr>
        <w:ind w:right="220"/>
        <w:spacing w:after="0" w:line="279" w:lineRule="auto"/>
        <w:rPr>
          <w:sz w:val="20"/>
          <w:szCs w:val="20"/>
          <w:color w:val="auto"/>
        </w:rPr>
      </w:pPr>
      <w:r>
        <w:rPr>
          <w:rFonts w:ascii="Times New Roman" w:cs="Times New Roman" w:eastAsia="Times New Roman" w:hAnsi="Times New Roman"/>
          <w:sz w:val="11"/>
          <w:szCs w:val="11"/>
          <w:color w:val="auto"/>
        </w:rPr>
        <w:t>and CEO and our Chief Financial Officer, or persons performing similar functions, as appropriate to allow timely decisions regarding required disclosures.</w:t>
      </w:r>
    </w:p>
    <w:p>
      <w:pPr>
        <w:spacing w:after="0" w:line="55" w:lineRule="exact"/>
        <w:rPr>
          <w:sz w:val="20"/>
          <w:szCs w:val="20"/>
          <w:color w:val="auto"/>
        </w:rPr>
      </w:pPr>
    </w:p>
    <w:p>
      <w:pPr>
        <w:ind w:right="340"/>
        <w:spacing w:after="0" w:line="275" w:lineRule="auto"/>
        <w:rPr>
          <w:sz w:val="20"/>
          <w:szCs w:val="20"/>
          <w:color w:val="auto"/>
        </w:rPr>
      </w:pPr>
      <w:r>
        <w:rPr>
          <w:rFonts w:ascii="Times New Roman" w:cs="Times New Roman" w:eastAsia="Times New Roman" w:hAnsi="Times New Roman"/>
          <w:sz w:val="13"/>
          <w:szCs w:val="13"/>
          <w:color w:val="auto"/>
        </w:rPr>
        <w:t>Management’s annual report on internal control over financial reporting</w:t>
      </w:r>
    </w:p>
    <w:p>
      <w:pPr>
        <w:spacing w:after="0" w:line="203" w:lineRule="auto"/>
        <w:rPr>
          <w:sz w:val="20"/>
          <w:szCs w:val="20"/>
          <w:color w:val="auto"/>
        </w:rPr>
      </w:pPr>
      <w:r>
        <w:rPr>
          <w:rFonts w:ascii="Times New Roman" w:cs="Times New Roman" w:eastAsia="Times New Roman" w:hAnsi="Times New Roman"/>
          <w:sz w:val="11"/>
          <w:szCs w:val="11"/>
          <w:color w:val="auto"/>
        </w:rPr>
        <w:t>Our management is responsible for establishing and</w:t>
      </w:r>
    </w:p>
    <w:p>
      <w:pPr>
        <w:spacing w:after="0" w:line="1" w:lineRule="exact"/>
        <w:rPr>
          <w:sz w:val="20"/>
          <w:szCs w:val="20"/>
          <w:color w:val="auto"/>
        </w:rPr>
      </w:pPr>
    </w:p>
    <w:p>
      <w:pPr>
        <w:sectPr>
          <w:pgSz w:w="11900" w:h="16838" w:orient="portrait"/>
          <w:cols w:equalWidth="0" w:num="3">
            <w:col w:w="3180" w:space="220"/>
            <w:col w:w="3260" w:space="140"/>
            <w:col w:w="3180"/>
          </w:cols>
          <w:pgMar w:left="960" w:top="409" w:right="959" w:bottom="1440" w:gutter="0" w:footer="0" w:header="0"/>
          <w:type w:val="continuous"/>
        </w:sectPr>
      </w:pPr>
    </w:p>
    <w:p>
      <w:pPr>
        <w:ind w:left="40"/>
        <w:spacing w:after="0"/>
        <w:rPr>
          <w:sz w:val="20"/>
          <w:szCs w:val="20"/>
          <w:color w:val="auto"/>
        </w:rPr>
      </w:pPr>
      <w:r>
        <w:rPr>
          <w:rFonts w:ascii="Times New Roman" w:cs="Times New Roman" w:eastAsia="Times New Roman" w:hAnsi="Times New Roman"/>
          <w:sz w:val="10"/>
          <w:szCs w:val="10"/>
          <w:color w:val="0D0D0D"/>
        </w:rPr>
        <w:t>Issuance of ADSs</w:t>
      </w:r>
    </w:p>
    <w:p>
      <w:pPr>
        <w:spacing w:after="0" w:line="46"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Cancellation of ADSs</w:t>
      </w:r>
    </w:p>
    <w:p>
      <w:pPr>
        <w:spacing w:after="0" w:line="47" w:lineRule="exact"/>
        <w:rPr>
          <w:sz w:val="20"/>
          <w:szCs w:val="20"/>
          <w:color w:val="auto"/>
        </w:rPr>
      </w:pPr>
    </w:p>
    <w:p>
      <w:pPr>
        <w:ind w:left="40"/>
        <w:spacing w:after="0" w:line="284" w:lineRule="auto"/>
        <w:rPr>
          <w:sz w:val="20"/>
          <w:szCs w:val="20"/>
          <w:color w:val="auto"/>
        </w:rPr>
      </w:pPr>
      <w:r>
        <w:rPr>
          <w:rFonts w:ascii="Times New Roman" w:cs="Times New Roman" w:eastAsia="Times New Roman" w:hAnsi="Times New Roman"/>
          <w:sz w:val="10"/>
          <w:szCs w:val="10"/>
          <w:color w:val="0D0D0D"/>
        </w:rPr>
        <w:t>Distribution of cash dividends or other cash distributions</w:t>
      </w:r>
    </w:p>
    <w:p>
      <w:pPr>
        <w:spacing w:after="0" w:line="1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Distribution of ADSs pursuant to</w:t>
      </w:r>
    </w:p>
    <w:p>
      <w:pPr>
        <w:spacing w:after="0" w:line="15" w:lineRule="exact"/>
        <w:rPr>
          <w:sz w:val="20"/>
          <w:szCs w:val="20"/>
          <w:color w:val="auto"/>
        </w:rPr>
      </w:pPr>
    </w:p>
    <w:p>
      <w:pPr>
        <w:ind w:left="40" w:right="20" w:hanging="3"/>
        <w:spacing w:after="0" w:line="259" w:lineRule="auto"/>
        <w:tabs>
          <w:tab w:leader="none" w:pos="163" w:val="left"/>
        </w:tabs>
        <w:numPr>
          <w:ilvl w:val="0"/>
          <w:numId w:val="102"/>
        </w:numPr>
        <w:rPr>
          <w:rFonts w:ascii="Times New Roman" w:cs="Times New Roman" w:eastAsia="Times New Roman" w:hAnsi="Times New Roman"/>
          <w:sz w:val="10"/>
          <w:szCs w:val="10"/>
          <w:color w:val="0D0D0D"/>
        </w:rPr>
      </w:pPr>
      <w:r>
        <w:rPr>
          <w:rFonts w:ascii="Times New Roman" w:cs="Times New Roman" w:eastAsia="Times New Roman" w:hAnsi="Times New Roman"/>
          <w:sz w:val="10"/>
          <w:szCs w:val="10"/>
          <w:color w:val="0D0D0D"/>
        </w:rPr>
        <w:t>stock dividends, free stock distributions or (ii) exercises of rights to purchase additional ADSs</w:t>
      </w:r>
    </w:p>
    <w:p>
      <w:pPr>
        <w:spacing w:after="0" w:line="23" w:lineRule="exact"/>
        <w:rPr>
          <w:sz w:val="20"/>
          <w:szCs w:val="20"/>
          <w:color w:val="auto"/>
        </w:rPr>
      </w:pPr>
    </w:p>
    <w:p>
      <w:pPr>
        <w:ind w:left="40" w:right="40"/>
        <w:spacing w:after="0" w:line="269" w:lineRule="auto"/>
        <w:rPr>
          <w:sz w:val="20"/>
          <w:szCs w:val="20"/>
          <w:color w:val="auto"/>
        </w:rPr>
      </w:pPr>
      <w:r>
        <w:rPr>
          <w:rFonts w:ascii="Times New Roman" w:cs="Times New Roman" w:eastAsia="Times New Roman" w:hAnsi="Times New Roman"/>
          <w:sz w:val="10"/>
          <w:szCs w:val="10"/>
          <w:color w:val="0D0D0D"/>
        </w:rPr>
        <w:t>Distribution of securities other than ADSs or rights to purchase additional ADSs</w:t>
      </w:r>
    </w:p>
    <w:p>
      <w:pPr>
        <w:spacing w:after="0" w:line="1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ADS transfer fee</w:t>
      </w:r>
    </w:p>
    <w:p>
      <w:pPr>
        <w:spacing w:after="0" w:line="20" w:lineRule="exact"/>
        <w:rPr>
          <w:sz w:val="20"/>
          <w:szCs w:val="20"/>
          <w:color w:val="auto"/>
        </w:rPr>
      </w:pPr>
      <w:r>
        <w:rPr>
          <w:sz w:val="20"/>
          <w:szCs w:val="20"/>
          <w:color w:val="auto"/>
        </w:rPr>
        <w:br w:type="column"/>
      </w:r>
    </w:p>
    <w:p>
      <w:pPr>
        <w:ind w:left="40"/>
        <w:spacing w:after="0"/>
        <w:rPr>
          <w:sz w:val="20"/>
          <w:szCs w:val="20"/>
          <w:color w:val="auto"/>
        </w:rPr>
      </w:pPr>
      <w:r>
        <w:rPr>
          <w:rFonts w:ascii="Times New Roman" w:cs="Times New Roman" w:eastAsia="Times New Roman" w:hAnsi="Times New Roman"/>
          <w:sz w:val="10"/>
          <w:szCs w:val="10"/>
          <w:color w:val="005AFF"/>
        </w:rPr>
        <w:t xml:space="preserve">Up to 5 cents per ADS  </w:t>
      </w:r>
      <w:r>
        <w:rPr>
          <w:rFonts w:ascii="Times New Roman" w:cs="Times New Roman" w:eastAsia="Times New Roman" w:hAnsi="Times New Roman"/>
          <w:sz w:val="13"/>
          <w:szCs w:val="13"/>
          <w:color w:val="005AFF"/>
          <w:vertAlign w:val="superscript"/>
        </w:rPr>
        <w:t>(1)</w:t>
      </w:r>
    </w:p>
    <w:p>
      <w:pPr>
        <w:spacing w:after="0" w:line="1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05AFF"/>
        </w:rPr>
        <w:t xml:space="preserve">Up to 5 cents per ADS  </w:t>
      </w:r>
      <w:r>
        <w:rPr>
          <w:rFonts w:ascii="Times New Roman" w:cs="Times New Roman" w:eastAsia="Times New Roman" w:hAnsi="Times New Roman"/>
          <w:sz w:val="13"/>
          <w:szCs w:val="13"/>
          <w:color w:val="005AFF"/>
          <w:vertAlign w:val="superscript"/>
        </w:rPr>
        <w:t>(1)</w:t>
      </w:r>
    </w:p>
    <w:p>
      <w:pPr>
        <w:spacing w:after="0" w:line="17"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0"/>
          <w:szCs w:val="10"/>
          <w:color w:val="005AFF"/>
        </w:rPr>
        <w:t>Up to 2 cents per ADS</w:t>
      </w:r>
    </w:p>
    <w:p>
      <w:pPr>
        <w:spacing w:after="0" w:line="162" w:lineRule="exact"/>
        <w:rPr>
          <w:sz w:val="20"/>
          <w:szCs w:val="20"/>
          <w:color w:val="auto"/>
        </w:rPr>
      </w:pPr>
    </w:p>
    <w:p>
      <w:pPr>
        <w:ind w:left="120"/>
        <w:spacing w:after="0"/>
        <w:rPr>
          <w:sz w:val="20"/>
          <w:szCs w:val="20"/>
          <w:color w:val="auto"/>
        </w:rPr>
      </w:pPr>
      <w:r>
        <w:rPr>
          <w:rFonts w:ascii="Times New Roman" w:cs="Times New Roman" w:eastAsia="Times New Roman" w:hAnsi="Times New Roman"/>
          <w:sz w:val="10"/>
          <w:szCs w:val="10"/>
          <w:color w:val="005AFF"/>
        </w:rPr>
        <w:t>Up to 5 cents per ADS</w:t>
      </w:r>
    </w:p>
    <w:p>
      <w:pPr>
        <w:spacing w:after="0" w:line="200" w:lineRule="exact"/>
        <w:rPr>
          <w:sz w:val="20"/>
          <w:szCs w:val="20"/>
          <w:color w:val="auto"/>
        </w:rPr>
      </w:pPr>
    </w:p>
    <w:p>
      <w:pPr>
        <w:spacing w:after="0" w:line="206"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05AFF"/>
        </w:rPr>
        <w:t xml:space="preserve">Up to 5 cents per ADS  </w:t>
      </w:r>
      <w:r>
        <w:rPr>
          <w:rFonts w:ascii="Times New Roman" w:cs="Times New Roman" w:eastAsia="Times New Roman" w:hAnsi="Times New Roman"/>
          <w:sz w:val="13"/>
          <w:szCs w:val="13"/>
          <w:color w:val="005AFF"/>
          <w:vertAlign w:val="superscript"/>
        </w:rPr>
        <w:t>(1)</w:t>
      </w:r>
    </w:p>
    <w:p>
      <w:pPr>
        <w:spacing w:after="0" w:line="255" w:lineRule="exact"/>
        <w:rPr>
          <w:sz w:val="20"/>
          <w:szCs w:val="20"/>
          <w:color w:val="auto"/>
        </w:rPr>
      </w:pPr>
    </w:p>
    <w:tbl>
      <w:tblPr>
        <w:tblLayout w:type="fixed"/>
        <w:tblInd w:w="0" w:type="dxa"/>
        <w:tblCellMar>
          <w:top w:w="0" w:type="dxa"/>
          <w:left w:w="0" w:type="dxa"/>
          <w:bottom w:w="0" w:type="dxa"/>
          <w:right w:w="0" w:type="dxa"/>
        </w:tblCellMar>
      </w:tblPr>
      <w:tr>
        <w:trPr>
          <w:trHeight w:val="85"/>
        </w:trPr>
        <w:tc>
          <w:tcPr>
            <w:tcW w:w="960" w:type="dxa"/>
            <w:vAlign w:val="bottom"/>
            <w:vMerge w:val="restart"/>
          </w:tcPr>
          <w:p>
            <w:pPr>
              <w:spacing w:after="0"/>
              <w:rPr>
                <w:sz w:val="20"/>
                <w:szCs w:val="20"/>
                <w:color w:val="auto"/>
              </w:rPr>
            </w:pPr>
            <w:r>
              <w:rPr>
                <w:rFonts w:ascii="Times New Roman" w:cs="Times New Roman" w:eastAsia="Times New Roman" w:hAnsi="Times New Roman"/>
                <w:sz w:val="10"/>
                <w:szCs w:val="10"/>
                <w:color w:val="005AFF"/>
              </w:rPr>
              <w:t>1.50 cents per transfer</w:t>
            </w:r>
          </w:p>
        </w:tc>
        <w:tc>
          <w:tcPr>
            <w:tcW w:w="160" w:type="dxa"/>
            <w:vAlign w:val="bottom"/>
          </w:tcPr>
          <w:p>
            <w:pPr>
              <w:jc w:val="right"/>
              <w:spacing w:after="0"/>
              <w:rPr>
                <w:sz w:val="20"/>
                <w:szCs w:val="20"/>
                <w:color w:val="auto"/>
              </w:rPr>
            </w:pPr>
            <w:r>
              <w:rPr>
                <w:rFonts w:ascii="Times New Roman" w:cs="Times New Roman" w:eastAsia="Times New Roman" w:hAnsi="Times New Roman"/>
                <w:sz w:val="7"/>
                <w:szCs w:val="7"/>
                <w:color w:val="005AFF"/>
              </w:rPr>
              <w:t>(1)</w:t>
            </w:r>
          </w:p>
        </w:tc>
        <w:tc>
          <w:tcPr>
            <w:tcW w:w="0" w:type="dxa"/>
            <w:vAlign w:val="bottom"/>
          </w:tcPr>
          <w:p>
            <w:pPr>
              <w:spacing w:after="0"/>
              <w:rPr>
                <w:sz w:val="1"/>
                <w:szCs w:val="1"/>
                <w:color w:val="auto"/>
              </w:rPr>
            </w:pPr>
          </w:p>
        </w:tc>
      </w:tr>
      <w:tr>
        <w:trPr>
          <w:trHeight w:val="50"/>
        </w:trPr>
        <w:tc>
          <w:tcPr>
            <w:tcW w:w="960" w:type="dxa"/>
            <w:vAlign w:val="bottom"/>
            <w:vMerge w:val="continue"/>
          </w:tcPr>
          <w:p>
            <w:pPr>
              <w:spacing w:after="0"/>
              <w:rPr>
                <w:sz w:val="4"/>
                <w:szCs w:val="4"/>
                <w:color w:val="auto"/>
              </w:rPr>
            </w:pPr>
          </w:p>
        </w:tc>
        <w:tc>
          <w:tcPr>
            <w:tcW w:w="160" w:type="dxa"/>
            <w:vAlign w:val="bottom"/>
          </w:tcPr>
          <w:p>
            <w:pPr>
              <w:spacing w:after="0"/>
              <w:rPr>
                <w:sz w:val="4"/>
                <w:szCs w:val="4"/>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39"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1"/>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Proxy process expenses (including</w:t>
            </w:r>
          </w:p>
        </w:tc>
        <w:tc>
          <w:tcPr>
            <w:tcW w:w="1240" w:type="dxa"/>
            <w:vAlign w:val="bottom"/>
          </w:tcPr>
          <w:p>
            <w:pPr>
              <w:jc w:val="right"/>
              <w:ind w:right="89"/>
              <w:spacing w:after="0"/>
              <w:rPr>
                <w:sz w:val="20"/>
                <w:szCs w:val="20"/>
                <w:color w:val="auto"/>
              </w:rPr>
            </w:pPr>
            <w:r>
              <w:rPr>
                <w:rFonts w:ascii="Times New Roman" w:cs="Times New Roman" w:eastAsia="Times New Roman" w:hAnsi="Times New Roman"/>
                <w:sz w:val="10"/>
                <w:szCs w:val="10"/>
                <w:color w:val="005AFF"/>
              </w:rPr>
              <w:t>1 853 812.02</w:t>
            </w:r>
          </w:p>
        </w:tc>
      </w:tr>
      <w:tr>
        <w:trPr>
          <w:trHeight w:val="130"/>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printing, postage and distribution)</w:t>
            </w:r>
          </w:p>
        </w:tc>
        <w:tc>
          <w:tcPr>
            <w:tcW w:w="1240" w:type="dxa"/>
            <w:vAlign w:val="bottom"/>
          </w:tcPr>
          <w:p>
            <w:pPr>
              <w:spacing w:after="0"/>
              <w:rPr>
                <w:sz w:val="11"/>
                <w:szCs w:val="11"/>
                <w:color w:val="auto"/>
              </w:rPr>
            </w:pP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Legal fees</w:t>
            </w:r>
          </w:p>
        </w:tc>
        <w:tc>
          <w:tcPr>
            <w:tcW w:w="1240" w:type="dxa"/>
            <w:vAlign w:val="bottom"/>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20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NYSE listing fees</w:t>
            </w:r>
          </w:p>
        </w:tc>
        <w:tc>
          <w:tcPr>
            <w:tcW w:w="124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05AFF"/>
              </w:rPr>
              <w:t>500 000.00</w:t>
            </w:r>
          </w:p>
        </w:tc>
      </w:tr>
      <w:tr>
        <w:trPr>
          <w:trHeight w:val="167"/>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Investor relations expenses</w:t>
            </w:r>
          </w:p>
        </w:tc>
        <w:tc>
          <w:tcPr>
            <w:tcW w:w="12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color w:val="005AFF"/>
              </w:rPr>
              <w:t>9 095.92</w:t>
            </w:r>
          </w:p>
        </w:tc>
      </w:tr>
      <w:tr>
        <w:trPr>
          <w:trHeight w:val="142"/>
        </w:trPr>
        <w:tc>
          <w:tcPr>
            <w:tcW w:w="20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240" w:type="dxa"/>
            <w:vAlign w:val="bottom"/>
            <w:tcBorders>
              <w:bottom w:val="single" w:sz="8" w:color="005AFF"/>
            </w:tcBorders>
          </w:tcPr>
          <w:p>
            <w:pPr>
              <w:jc w:val="right"/>
              <w:ind w:right="89"/>
              <w:spacing w:after="0"/>
              <w:rPr>
                <w:sz w:val="20"/>
                <w:szCs w:val="20"/>
                <w:color w:val="auto"/>
              </w:rPr>
            </w:pPr>
            <w:r>
              <w:rPr>
                <w:rFonts w:ascii="Times New Roman" w:cs="Times New Roman" w:eastAsia="Times New Roman" w:hAnsi="Times New Roman"/>
                <w:sz w:val="10"/>
                <w:szCs w:val="10"/>
                <w:b w:val="1"/>
                <w:bCs w:val="1"/>
                <w:color w:val="005AFF"/>
              </w:rPr>
              <w:t>3 409 952.59</w:t>
            </w:r>
          </w:p>
        </w:tc>
      </w:tr>
    </w:tbl>
    <w:p>
      <w:pPr>
        <w:spacing w:after="0" w:line="119" w:lineRule="exact"/>
        <w:rPr>
          <w:sz w:val="20"/>
          <w:szCs w:val="20"/>
          <w:color w:val="auto"/>
        </w:rPr>
      </w:pPr>
    </w:p>
    <w:p>
      <w:pPr>
        <w:ind w:right="500"/>
        <w:spacing w:after="0" w:line="264" w:lineRule="auto"/>
        <w:rPr>
          <w:sz w:val="20"/>
          <w:szCs w:val="20"/>
          <w:color w:val="auto"/>
        </w:rPr>
      </w:pPr>
      <w:r>
        <w:rPr>
          <w:rFonts w:ascii="Times New Roman" w:cs="Times New Roman" w:eastAsia="Times New Roman" w:hAnsi="Times New Roman"/>
          <w:sz w:val="11"/>
          <w:szCs w:val="11"/>
          <w:color w:val="auto"/>
        </w:rPr>
        <w:t>Additionally for 2023 , our Depositary reimbursed us USD 6 000 000 mainly related to contributions towards our investor relations activities, including investor meetings and conferences and fees of investor relations service vendors,</w:t>
      </w:r>
    </w:p>
    <w:p>
      <w:pPr>
        <w:spacing w:after="0" w:line="20" w:lineRule="exact"/>
        <w:rPr>
          <w:sz w:val="20"/>
          <w:szCs w:val="20"/>
          <w:color w:val="auto"/>
        </w:rPr>
      </w:pPr>
      <w:r>
        <w:rPr>
          <w:sz w:val="20"/>
          <w:szCs w:val="20"/>
          <w:color w:val="auto"/>
        </w:rPr>
        <w:br w:type="column"/>
      </w:r>
    </w:p>
    <w:p>
      <w:pPr>
        <w:spacing w:after="0" w:line="4" w:lineRule="exact"/>
        <w:rPr>
          <w:sz w:val="20"/>
          <w:szCs w:val="20"/>
          <w:color w:val="auto"/>
        </w:rPr>
      </w:pPr>
    </w:p>
    <w:p>
      <w:pPr>
        <w:ind w:right="340"/>
        <w:spacing w:after="0" w:line="265" w:lineRule="auto"/>
        <w:rPr>
          <w:sz w:val="20"/>
          <w:szCs w:val="20"/>
          <w:color w:val="auto"/>
        </w:rPr>
      </w:pPr>
      <w:r>
        <w:rPr>
          <w:rFonts w:ascii="Times New Roman" w:cs="Times New Roman" w:eastAsia="Times New Roman" w:hAnsi="Times New Roman"/>
          <w:sz w:val="11"/>
          <w:szCs w:val="11"/>
          <w:color w:val="auto"/>
        </w:rPr>
        <w:t>maintaining adequate internal control over financial reporting for Nokia. Our internal control over financial reporting is designed to provide reasonable assurance regarding the reliability of financial reporting and the preparation and fair presentation of published financial statements. Because of its inherent limitations, internal control over financial reporting may not prevent or detect misstatements. Also, projections of any evaluation of effectiveness to future periods are subject to the risk that controls may become inadequate because of changes in conditions, or that the degree of compliance with the policies or procedures may deteriorate.</w:t>
      </w:r>
    </w:p>
    <w:p>
      <w:pPr>
        <w:spacing w:after="0" w:line="104" w:lineRule="exact"/>
        <w:rPr>
          <w:sz w:val="20"/>
          <w:szCs w:val="20"/>
          <w:color w:val="auto"/>
        </w:rPr>
      </w:pPr>
    </w:p>
    <w:p>
      <w:pPr>
        <w:sectPr>
          <w:pgSz w:w="11900" w:h="16838" w:orient="portrait"/>
          <w:cols w:equalWidth="0" w:num="4">
            <w:col w:w="1600" w:space="480"/>
            <w:col w:w="1120" w:space="200"/>
            <w:col w:w="3260" w:space="140"/>
            <w:col w:w="3180"/>
          </w:cols>
          <w:pgMar w:left="960" w:top="409" w:right="959" w:bottom="1440" w:gutter="0" w:footer="0" w:header="0"/>
          <w:type w:val="continuous"/>
        </w:sectPr>
      </w:pPr>
    </w:p>
    <w:p>
      <w:pPr>
        <w:spacing w:after="0" w:line="61" w:lineRule="exact"/>
        <w:rPr>
          <w:sz w:val="20"/>
          <w:szCs w:val="20"/>
          <w:color w:val="auto"/>
        </w:rPr>
      </w:pPr>
    </w:p>
    <w:p>
      <w:pPr>
        <w:ind w:left="200" w:hanging="199"/>
        <w:spacing w:after="0" w:line="265" w:lineRule="auto"/>
        <w:tabs>
          <w:tab w:leader="none" w:pos="200" w:val="left"/>
        </w:tabs>
        <w:numPr>
          <w:ilvl w:val="0"/>
          <w:numId w:val="10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These fees are typically paid to the Depositary by the brokers on behalf of their clients receiving the newly issued ADSs from the Depositary and by the brokers on behalf of their clients delivering the ADSs to the Depositary for cancellation. The brokers in turn charge these transaction fees to their clients.</w:t>
      </w:r>
    </w:p>
    <w:p>
      <w:pPr>
        <w:spacing w:after="0" w:line="55"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Additionally, ADS holders are responsible for certain fees and expenses incurred by the Depositary on their behalf and certain governmental charges such as taxes and registration fees, transmission and delivery expenses, conversion of foreign currency and fees relating to compliance with exchange control regulations. The fees and charges may vary over time.</w:t>
      </w:r>
    </w:p>
    <w:p>
      <w:pPr>
        <w:spacing w:after="0" w:line="60" w:lineRule="exact"/>
        <w:rPr>
          <w:sz w:val="20"/>
          <w:szCs w:val="20"/>
          <w:color w:val="auto"/>
        </w:rPr>
      </w:pPr>
    </w:p>
    <w:p>
      <w:pPr>
        <w:ind w:right="60"/>
        <w:spacing w:after="0" w:line="269" w:lineRule="auto"/>
        <w:rPr>
          <w:sz w:val="20"/>
          <w:szCs w:val="20"/>
          <w:color w:val="auto"/>
        </w:rPr>
      </w:pPr>
      <w:r>
        <w:rPr>
          <w:rFonts w:ascii="Times New Roman" w:cs="Times New Roman" w:eastAsia="Times New Roman" w:hAnsi="Times New Roman"/>
          <w:sz w:val="11"/>
          <w:szCs w:val="11"/>
          <w:color w:val="auto"/>
        </w:rPr>
        <w:t>In the event of refusal to pay the depositary fees, the Depositary may, under the terms of the deposit agreement, refuse the requested service until payment is received or may set off the amount of the depositary fees from any distribution to be made to the ADS holder.</w:t>
      </w:r>
    </w:p>
    <w:p>
      <w:pPr>
        <w:spacing w:after="0" w:line="20" w:lineRule="exact"/>
        <w:rPr>
          <w:sz w:val="20"/>
          <w:szCs w:val="20"/>
          <w:color w:val="auto"/>
        </w:rPr>
      </w:pPr>
      <w:r>
        <w:rPr>
          <w:sz w:val="20"/>
          <w:szCs w:val="20"/>
          <w:color w:val="auto"/>
        </w:rPr>
        <w:br w:type="column"/>
      </w:r>
    </w:p>
    <w:p>
      <w:pPr>
        <w:ind w:right="200"/>
        <w:spacing w:after="0" w:line="286" w:lineRule="auto"/>
        <w:rPr>
          <w:sz w:val="20"/>
          <w:szCs w:val="20"/>
          <w:color w:val="auto"/>
        </w:rPr>
      </w:pPr>
      <w:r>
        <w:rPr>
          <w:rFonts w:ascii="Times New Roman" w:cs="Times New Roman" w:eastAsia="Times New Roman" w:hAnsi="Times New Roman"/>
          <w:sz w:val="11"/>
          <w:szCs w:val="11"/>
          <w:color w:val="auto"/>
        </w:rPr>
        <w:t>and other miscellaneous expenses related to the listing of our ADSs in the United States .</w:t>
      </w:r>
    </w:p>
    <w:p>
      <w:pPr>
        <w:spacing w:after="0" w:line="3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Controls and procedures</w:t>
      </w:r>
    </w:p>
    <w:p>
      <w:pPr>
        <w:spacing w:after="0" w:line="66"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Our management, with the participation of our President and CEO and our Chief Financial Officer, conducted an evaluation pursuant to Rules 13a-15(e) and 15d-15(e) under the Securities Exchange Act of 1934, as amended (the Exchange Act), of the effectiveness of our disclosure controls and procedures at 31 December 2023 . Based on such evaluation, our President and CEO and our Chief Financial Officer have concluded that our disclosure controls and procedures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were effective.</w:t>
      </w:r>
    </w:p>
    <w:p>
      <w:pPr>
        <w:spacing w:after="0" w:line="84" w:lineRule="exact"/>
        <w:rPr>
          <w:sz w:val="20"/>
          <w:szCs w:val="20"/>
          <w:color w:val="auto"/>
        </w:rPr>
      </w:pPr>
    </w:p>
    <w:p>
      <w:pPr>
        <w:ind w:right="160"/>
        <w:spacing w:after="0" w:line="266" w:lineRule="auto"/>
        <w:rPr>
          <w:sz w:val="20"/>
          <w:szCs w:val="20"/>
          <w:color w:val="auto"/>
        </w:rPr>
      </w:pPr>
      <w:r>
        <w:rPr>
          <w:rFonts w:ascii="Times New Roman" w:cs="Times New Roman" w:eastAsia="Times New Roman" w:hAnsi="Times New Roman"/>
          <w:sz w:val="11"/>
          <w:szCs w:val="11"/>
          <w:color w:val="auto"/>
        </w:rPr>
        <w:t>Disclosure controls and procedures mean controls and other procedures that are designed to ensure that information required to be disclosed by us in the reports that we file or submit under the Exchange Act is recorded, processed, summarized and reported, within the time periods specified in the Commission’s rules and forms, and that such information required to be disclosed by us in the reports that we file or submit under the Exchange Act is accumulated and communicated to our management, including our President</w:t>
      </w:r>
    </w:p>
    <w:p>
      <w:pPr>
        <w:spacing w:after="0" w:line="20" w:lineRule="exact"/>
        <w:rPr>
          <w:sz w:val="20"/>
          <w:szCs w:val="20"/>
          <w:color w:val="auto"/>
        </w:rPr>
      </w:pPr>
      <w:r>
        <w:rPr>
          <w:sz w:val="20"/>
          <w:szCs w:val="20"/>
          <w:color w:val="auto"/>
        </w:rPr>
        <w:br w:type="column"/>
      </w:r>
    </w:p>
    <w:p>
      <w:pPr>
        <w:ind w:right="320"/>
        <w:spacing w:after="0" w:line="249" w:lineRule="auto"/>
        <w:rPr>
          <w:sz w:val="20"/>
          <w:szCs w:val="20"/>
          <w:color w:val="auto"/>
        </w:rPr>
      </w:pPr>
      <w:r>
        <w:rPr>
          <w:rFonts w:ascii="Times New Roman" w:cs="Times New Roman" w:eastAsia="Times New Roman" w:hAnsi="Times New Roman"/>
          <w:sz w:val="11"/>
          <w:szCs w:val="11"/>
          <w:color w:val="auto"/>
        </w:rPr>
        <w:t>Our management evaluated the effectiveness of our internal control over financial reporting using the criteria described in Internal Control – Integrated Framework (2013) issued by the Committee of Sponsoring Organizations of the Treadway Commission (COSO). Based on this evaluation, our management has assessed the effectiveness of Nokia’s internal</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30"/>
        </w:trPr>
        <w:tc>
          <w:tcPr>
            <w:tcW w:w="1600" w:type="dxa"/>
            <w:vAlign w:val="bottom"/>
          </w:tcPr>
          <w:p>
            <w:pPr>
              <w:spacing w:after="0"/>
              <w:rPr>
                <w:sz w:val="20"/>
                <w:szCs w:val="20"/>
                <w:color w:val="auto"/>
              </w:rPr>
            </w:pPr>
            <w:r>
              <w:rPr>
                <w:rFonts w:ascii="Times New Roman" w:cs="Times New Roman" w:eastAsia="Times New Roman" w:hAnsi="Times New Roman"/>
                <w:sz w:val="11"/>
                <w:szCs w:val="11"/>
                <w:color w:val="auto"/>
              </w:rPr>
              <w:t>control over financial reporting at</w:t>
            </w:r>
          </w:p>
        </w:tc>
        <w:tc>
          <w:tcPr>
            <w:tcW w:w="136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31 December 2023   and</w:t>
            </w:r>
          </w:p>
        </w:tc>
      </w:tr>
      <w:tr>
        <w:trPr>
          <w:trHeight w:val="142"/>
        </w:trPr>
        <w:tc>
          <w:tcPr>
            <w:tcW w:w="29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concluded that such internal control over financial reporting</w:t>
            </w:r>
          </w:p>
        </w:tc>
      </w:tr>
      <w:tr>
        <w:trPr>
          <w:trHeight w:val="148"/>
        </w:trPr>
        <w:tc>
          <w:tcPr>
            <w:tcW w:w="1600" w:type="dxa"/>
            <w:vAlign w:val="bottom"/>
          </w:tcPr>
          <w:p>
            <w:pPr>
              <w:spacing w:after="0"/>
              <w:rPr>
                <w:sz w:val="20"/>
                <w:szCs w:val="20"/>
                <w:color w:val="auto"/>
              </w:rPr>
            </w:pPr>
            <w:r>
              <w:rPr>
                <w:rFonts w:ascii="Times New Roman" w:cs="Times New Roman" w:eastAsia="Times New Roman" w:hAnsi="Times New Roman"/>
                <w:sz w:val="11"/>
                <w:szCs w:val="11"/>
                <w:color w:val="auto"/>
              </w:rPr>
              <w:t>was effective.</w:t>
            </w:r>
          </w:p>
        </w:tc>
        <w:tc>
          <w:tcPr>
            <w:tcW w:w="1360" w:type="dxa"/>
            <w:vAlign w:val="bottom"/>
          </w:tcPr>
          <w:p>
            <w:pPr>
              <w:spacing w:after="0"/>
              <w:rPr>
                <w:sz w:val="12"/>
                <w:szCs w:val="12"/>
                <w:color w:val="auto"/>
              </w:rPr>
            </w:pPr>
          </w:p>
        </w:tc>
      </w:tr>
      <w:tr>
        <w:trPr>
          <w:trHeight w:val="206"/>
        </w:trPr>
        <w:tc>
          <w:tcPr>
            <w:tcW w:w="29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The effectiveness of our internal control over financial</w:t>
            </w:r>
          </w:p>
        </w:tc>
      </w:tr>
      <w:tr>
        <w:trPr>
          <w:trHeight w:val="143"/>
        </w:trPr>
        <w:tc>
          <w:tcPr>
            <w:tcW w:w="1600" w:type="dxa"/>
            <w:vAlign w:val="bottom"/>
          </w:tcPr>
          <w:p>
            <w:pPr>
              <w:spacing w:after="0"/>
              <w:rPr>
                <w:sz w:val="20"/>
                <w:szCs w:val="20"/>
                <w:color w:val="auto"/>
              </w:rPr>
            </w:pPr>
            <w:r>
              <w:rPr>
                <w:rFonts w:ascii="Times New Roman" w:cs="Times New Roman" w:eastAsia="Times New Roman" w:hAnsi="Times New Roman"/>
                <w:sz w:val="11"/>
                <w:szCs w:val="11"/>
                <w:color w:val="auto"/>
              </w:rPr>
              <w:t>reporting at  31 December 2023</w:t>
            </w:r>
          </w:p>
        </w:tc>
        <w:tc>
          <w:tcPr>
            <w:tcW w:w="1360" w:type="dxa"/>
            <w:vAlign w:val="bottom"/>
          </w:tcPr>
          <w:p>
            <w:pPr>
              <w:ind w:left="60"/>
              <w:spacing w:after="0"/>
              <w:rPr>
                <w:sz w:val="20"/>
                <w:szCs w:val="20"/>
                <w:color w:val="auto"/>
              </w:rPr>
            </w:pPr>
            <w:r>
              <w:rPr>
                <w:rFonts w:ascii="Times New Roman" w:cs="Times New Roman" w:eastAsia="Times New Roman" w:hAnsi="Times New Roman"/>
                <w:sz w:val="11"/>
                <w:szCs w:val="11"/>
                <w:color w:val="auto"/>
              </w:rPr>
              <w:t>has been audited by Deloitte</w:t>
            </w:r>
          </w:p>
        </w:tc>
      </w:tr>
    </w:tbl>
    <w:p>
      <w:pPr>
        <w:ind w:right="300"/>
        <w:spacing w:after="0" w:line="277" w:lineRule="auto"/>
        <w:rPr>
          <w:sz w:val="20"/>
          <w:szCs w:val="20"/>
          <w:color w:val="auto"/>
        </w:rPr>
      </w:pPr>
      <w:r>
        <w:rPr>
          <w:rFonts w:ascii="Times New Roman" w:cs="Times New Roman" w:eastAsia="Times New Roman" w:hAnsi="Times New Roman"/>
          <w:sz w:val="11"/>
          <w:szCs w:val="11"/>
          <w:color w:val="auto"/>
        </w:rPr>
        <w:t>Oy, an independent registered public accounting firm. Refer to section “Reports of independent registered public accounting firm”.</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Changes in internal control over financial reporting</w:t>
      </w:r>
    </w:p>
    <w:p>
      <w:pPr>
        <w:spacing w:after="0" w:line="32" w:lineRule="exact"/>
        <w:rPr>
          <w:sz w:val="20"/>
          <w:szCs w:val="20"/>
          <w:color w:val="auto"/>
        </w:rPr>
      </w:pPr>
    </w:p>
    <w:p>
      <w:pPr>
        <w:ind w:right="240"/>
        <w:spacing w:after="0" w:line="275" w:lineRule="auto"/>
        <w:rPr>
          <w:sz w:val="20"/>
          <w:szCs w:val="20"/>
          <w:color w:val="auto"/>
        </w:rPr>
      </w:pPr>
      <w:r>
        <w:rPr>
          <w:rFonts w:ascii="Times New Roman" w:cs="Times New Roman" w:eastAsia="Times New Roman" w:hAnsi="Times New Roman"/>
          <w:sz w:val="11"/>
          <w:szCs w:val="11"/>
          <w:color w:val="auto"/>
        </w:rPr>
        <w:t>There have been no changes in our internal control over financial reporting during 2023 that have materially affected, or are reasonably likely to materially affect, our internal control over financial reporting.</w:t>
      </w:r>
    </w:p>
    <w:p>
      <w:pPr>
        <w:spacing w:after="0" w:line="508" w:lineRule="exact"/>
        <w:rPr>
          <w:sz w:val="20"/>
          <w:szCs w:val="20"/>
          <w:color w:val="auto"/>
        </w:rPr>
      </w:pPr>
    </w:p>
    <w:p>
      <w:pPr>
        <w:sectPr>
          <w:pgSz w:w="11900" w:h="16838" w:orient="portrait"/>
          <w:cols w:equalWidth="0" w:num="3">
            <w:col w:w="2900" w:space="500"/>
            <w:col w:w="3000" w:space="400"/>
            <w:col w:w="3180"/>
          </w:cols>
          <w:pgMar w:left="960" w:top="409"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140" w:name="page141"/>
    <w:bookmarkEnd w:id="140"/>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26" w:lineRule="exact"/>
        <w:rPr>
          <w:sz w:val="20"/>
          <w:szCs w:val="20"/>
          <w:color w:val="auto"/>
        </w:rPr>
      </w:pPr>
    </w:p>
    <w:p>
      <w:pPr>
        <w:ind w:right="740"/>
        <w:spacing w:after="0" w:line="275" w:lineRule="auto"/>
        <w:rPr>
          <w:sz w:val="20"/>
          <w:szCs w:val="20"/>
          <w:color w:val="auto"/>
        </w:rPr>
      </w:pPr>
      <w:r>
        <w:rPr>
          <w:rFonts w:ascii="Times New Roman" w:cs="Times New Roman" w:eastAsia="Times New Roman" w:hAnsi="Times New Roman"/>
          <w:sz w:val="13"/>
          <w:szCs w:val="13"/>
          <w:color w:val="auto"/>
        </w:rPr>
        <w:t>Attestation report of the registered public accounting firm</w:t>
      </w:r>
    </w:p>
    <w:p>
      <w:pPr>
        <w:spacing w:after="0" w:line="1" w:lineRule="exact"/>
        <w:rPr>
          <w:sz w:val="20"/>
          <w:szCs w:val="20"/>
          <w:color w:val="auto"/>
        </w:rPr>
      </w:pPr>
    </w:p>
    <w:p>
      <w:pPr>
        <w:ind w:right="300"/>
        <w:spacing w:after="0" w:line="309" w:lineRule="auto"/>
        <w:rPr>
          <w:sz w:val="20"/>
          <w:szCs w:val="20"/>
          <w:color w:val="auto"/>
        </w:rPr>
      </w:pPr>
      <w:r>
        <w:rPr>
          <w:rFonts w:ascii="Times New Roman" w:cs="Times New Roman" w:eastAsia="Times New Roman" w:hAnsi="Times New Roman"/>
          <w:sz w:val="11"/>
          <w:szCs w:val="11"/>
          <w:color w:val="auto"/>
        </w:rPr>
        <w:t>Refer to section “Reports of independent registered public accounting firm”.</w:t>
      </w:r>
    </w:p>
    <w:p>
      <w:pPr>
        <w:spacing w:after="0" w:line="3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Exchange controls</w:t>
      </w:r>
    </w:p>
    <w:p>
      <w:pPr>
        <w:spacing w:after="0" w:line="32" w:lineRule="exact"/>
        <w:rPr>
          <w:sz w:val="20"/>
          <w:szCs w:val="20"/>
          <w:color w:val="auto"/>
        </w:rPr>
      </w:pPr>
    </w:p>
    <w:p>
      <w:pPr>
        <w:jc w:val="both"/>
        <w:ind w:right="120"/>
        <w:spacing w:after="0" w:line="279" w:lineRule="auto"/>
        <w:rPr>
          <w:sz w:val="20"/>
          <w:szCs w:val="20"/>
          <w:color w:val="auto"/>
        </w:rPr>
      </w:pPr>
      <w:r>
        <w:rPr>
          <w:rFonts w:ascii="Times New Roman" w:cs="Times New Roman" w:eastAsia="Times New Roman" w:hAnsi="Times New Roman"/>
          <w:sz w:val="11"/>
          <w:szCs w:val="11"/>
          <w:color w:val="auto"/>
        </w:rPr>
        <w:t>There are currently no Finnish laws that may affect the import or export of capital, or the remittance of dividends, interest or other payments.</w:t>
      </w:r>
    </w:p>
    <w:p>
      <w:pPr>
        <w:spacing w:after="0" w:line="6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Government regulation</w:t>
      </w:r>
    </w:p>
    <w:p>
      <w:pPr>
        <w:spacing w:after="0" w:line="36"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Nokia and its businesses are subject to direct and indirect regulation in each of the countries in which we and our customers do business. As a result, changes in or uncertainties related to various types of regulations applicable to current or new technologies, intellectual property, products, services, company operations and business environment (e.g. labor laws, taxation) could affect our business adversely. Moreover, the implementation of technological or legal requirements could impact our products and services, technology and patent licensing activities, manufacturing and distribution processes, and could affect the timing of product and services introductions and the cost of our production, products and services, as well as their commercial success. Also, our business is subject to the impacts of changes in economic and trade policies. Export control, tariffs or other fees or levies imposed on our products and services and environmental, product safety and security and other regulations that adversely affect the export, import, pricing or costs of our products and services, as well as export prohibitions (sanctions) enacted by the EU, the United States or other countries or regions could adversely affect our net sales and results of operations.</w:t>
      </w:r>
    </w:p>
    <w:p>
      <w:pPr>
        <w:spacing w:after="0" w:line="127" w:lineRule="exact"/>
        <w:rPr>
          <w:sz w:val="20"/>
          <w:szCs w:val="20"/>
          <w:color w:val="auto"/>
        </w:rPr>
      </w:pPr>
    </w:p>
    <w:p>
      <w:pPr>
        <w:ind w:right="140"/>
        <w:spacing w:after="0" w:line="271" w:lineRule="auto"/>
        <w:rPr>
          <w:sz w:val="20"/>
          <w:szCs w:val="20"/>
          <w:color w:val="auto"/>
        </w:rPr>
      </w:pPr>
      <w:r>
        <w:rPr>
          <w:rFonts w:ascii="Times New Roman" w:cs="Times New Roman" w:eastAsia="Times New Roman" w:hAnsi="Times New Roman"/>
          <w:sz w:val="11"/>
          <w:szCs w:val="11"/>
          <w:color w:val="auto"/>
        </w:rPr>
        <w:t>Further, potential governmental intervention in supply chain (e.g. prohibiting imports from certain geographies or imposing certain criteria on selection of suppliers) may impact Nokia’s operations.</w:t>
      </w:r>
    </w:p>
    <w:p>
      <w:pPr>
        <w:spacing w:after="0" w:line="49"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1"/>
          <w:szCs w:val="11"/>
          <w:color w:val="auto"/>
        </w:rPr>
        <w:t>For example, depending on the geography, our products and services are subject to a wide range of government regulations that might have a direct impact on our business, including, but not limited to, regulation related to product certification, standards, spectrum management, provision of telecommunications services, privacy and data protection, competition and sustainability. The EU-level or local member</w:t>
      </w:r>
    </w:p>
    <w:p>
      <w:pPr>
        <w:spacing w:after="0" w:line="200" w:lineRule="exact"/>
        <w:rPr>
          <w:sz w:val="20"/>
          <w:szCs w:val="20"/>
          <w:color w:val="auto"/>
        </w:rPr>
      </w:pPr>
    </w:p>
    <w:p>
      <w:pPr>
        <w:spacing w:after="0" w:line="2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Borders>
              <w:bottom w:val="single" w:sz="8" w:color="005AFF"/>
            </w:tcBorders>
          </w:tcPr>
          <w:p>
            <w:pPr>
              <w:spacing w:after="0"/>
              <w:rPr>
                <w:sz w:val="4"/>
                <w:szCs w:val="4"/>
                <w:color w:val="auto"/>
              </w:rPr>
            </w:pPr>
          </w:p>
        </w:tc>
        <w:tc>
          <w:tcPr>
            <w:tcW w:w="12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-2567305</wp:posOffset>
            </wp:positionH>
            <wp:positionV relativeFrom="paragraph">
              <wp:posOffset>-297815</wp:posOffset>
            </wp:positionV>
            <wp:extent cx="7216140" cy="511810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ind w:left="20"/>
        <w:spacing w:after="0" w:line="266" w:lineRule="auto"/>
        <w:rPr>
          <w:sz w:val="20"/>
          <w:szCs w:val="20"/>
          <w:color w:val="auto"/>
        </w:rPr>
      </w:pPr>
      <w:r>
        <w:rPr>
          <w:rFonts w:ascii="Times New Roman" w:cs="Times New Roman" w:eastAsia="Times New Roman" w:hAnsi="Times New Roman"/>
          <w:sz w:val="11"/>
          <w:szCs w:val="11"/>
          <w:color w:val="auto"/>
        </w:rPr>
        <w:t>state regulation has a direct impact on many areas of our business, markets and customers within the EU. The European regulation influences, for example, conditions for innovation for telecommunications infrastructure and internet and related services, as well as technology and patent licensing, investment in fixed and wireless broadband communication infrastructure and operation of global data flows. Additionally, with respect to certain developing market countries, the business environment we operate in can be affected by localization requirements.</w:t>
      </w:r>
    </w:p>
    <w:p>
      <w:pPr>
        <w:spacing w:after="0" w:line="63" w:lineRule="exact"/>
        <w:rPr>
          <w:sz w:val="20"/>
          <w:szCs w:val="20"/>
          <w:color w:val="auto"/>
        </w:rPr>
      </w:pPr>
    </w:p>
    <w:p>
      <w:pPr>
        <w:ind w:left="20" w:right="80"/>
        <w:spacing w:after="0" w:line="269" w:lineRule="auto"/>
        <w:rPr>
          <w:sz w:val="20"/>
          <w:szCs w:val="20"/>
          <w:color w:val="auto"/>
        </w:rPr>
      </w:pPr>
      <w:r>
        <w:rPr>
          <w:rFonts w:ascii="Times New Roman" w:cs="Times New Roman" w:eastAsia="Times New Roman" w:hAnsi="Times New Roman"/>
          <w:sz w:val="11"/>
          <w:szCs w:val="11"/>
          <w:color w:val="auto"/>
        </w:rPr>
        <w:t>We proactively exchange views and address the impact of any planned changes to the regulatory environment on our business activities with state agencies, regulators and other decision-makers either through our government relations representatives in various geographies and through our experts, or indirectly through memberships in industry associations.</w:t>
      </w:r>
    </w:p>
    <w:p>
      <w:pPr>
        <w:spacing w:after="0" w:line="42"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6"/>
          <w:szCs w:val="16"/>
          <w:color w:val="005AFF"/>
        </w:rPr>
        <w:t>Sales in United States-sanctioned countries</w:t>
      </w:r>
    </w:p>
    <w:p>
      <w:pPr>
        <w:spacing w:after="0" w:line="46"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General</w:t>
      </w:r>
    </w:p>
    <w:p>
      <w:pPr>
        <w:spacing w:after="0" w:line="32" w:lineRule="exact"/>
        <w:rPr>
          <w:sz w:val="20"/>
          <w:szCs w:val="20"/>
          <w:color w:val="auto"/>
        </w:rPr>
      </w:pPr>
    </w:p>
    <w:p>
      <w:pPr>
        <w:ind w:left="20"/>
        <w:spacing w:after="0" w:line="261" w:lineRule="auto"/>
        <w:rPr>
          <w:sz w:val="20"/>
          <w:szCs w:val="20"/>
          <w:color w:val="auto"/>
        </w:rPr>
      </w:pPr>
      <w:r>
        <w:rPr>
          <w:rFonts w:ascii="Times New Roman" w:cs="Times New Roman" w:eastAsia="Times New Roman" w:hAnsi="Times New Roman"/>
          <w:sz w:val="11"/>
          <w:szCs w:val="11"/>
          <w:color w:val="auto"/>
        </w:rPr>
        <w:t>We are a global company and have sales in most countries of the world. Nokia is committed to the highest standards of ethical conduct, and adheres to all applicable national and international trade-related laws. As a leading international telecommunications company with global operations, Nokia has a presence also in countries subject to international sanctions. All operations of Nokia, and in particular any operations undertaken in countries targeted by sanctions, are conducted in accordance with our comprehensive and robust internal compliance program to ensure that they are in full compliance with all applicable laws and regulations. In addition, we continuously monitor international developments and assess the appropriateness of our presence and business in these,</w:t>
      </w:r>
    </w:p>
    <w:p>
      <w:pPr>
        <w:spacing w:after="0" w:line="4" w:lineRule="exact"/>
        <w:rPr>
          <w:sz w:val="20"/>
          <w:szCs w:val="20"/>
          <w:color w:val="auto"/>
        </w:rPr>
      </w:pPr>
    </w:p>
    <w:p>
      <w:pPr>
        <w:ind w:left="20" w:right="240"/>
        <w:spacing w:after="0" w:line="286" w:lineRule="auto"/>
        <w:rPr>
          <w:sz w:val="20"/>
          <w:szCs w:val="20"/>
          <w:color w:val="auto"/>
        </w:rPr>
      </w:pPr>
      <w:r>
        <w:rPr>
          <w:rFonts w:ascii="Times New Roman" w:cs="Times New Roman" w:eastAsia="Times New Roman" w:hAnsi="Times New Roman"/>
          <w:sz w:val="11"/>
          <w:szCs w:val="11"/>
          <w:color w:val="auto"/>
        </w:rPr>
        <w:t>and all, markets. Nevertheless, business in these markets is marked by complexity and uncertainty.</w:t>
      </w:r>
    </w:p>
    <w:p>
      <w:pPr>
        <w:spacing w:after="0" w:line="51" w:lineRule="exact"/>
        <w:rPr>
          <w:sz w:val="20"/>
          <w:szCs w:val="20"/>
          <w:color w:val="auto"/>
        </w:rPr>
      </w:pPr>
    </w:p>
    <w:p>
      <w:pPr>
        <w:ind w:left="20" w:right="20"/>
        <w:spacing w:after="0" w:line="262" w:lineRule="auto"/>
        <w:rPr>
          <w:sz w:val="20"/>
          <w:szCs w:val="20"/>
          <w:color w:val="auto"/>
        </w:rPr>
      </w:pPr>
      <w:r>
        <w:rPr>
          <w:rFonts w:ascii="Times New Roman" w:cs="Times New Roman" w:eastAsia="Times New Roman" w:hAnsi="Times New Roman"/>
          <w:sz w:val="11"/>
          <w:szCs w:val="11"/>
          <w:color w:val="auto"/>
        </w:rPr>
        <w:t>We cannot exclude the possibility that third parties may unlawfully divert our products to these countries from other countries in which we sell them, or that, for services distributed through the internet, third parties could have accessed them</w:t>
      </w:r>
    </w:p>
    <w:p>
      <w:pPr>
        <w:ind w:left="20" w:right="100"/>
        <w:spacing w:after="0" w:line="271" w:lineRule="auto"/>
        <w:rPr>
          <w:sz w:val="20"/>
          <w:szCs w:val="20"/>
          <w:color w:val="auto"/>
        </w:rPr>
      </w:pPr>
      <w:r>
        <w:rPr>
          <w:rFonts w:ascii="Times New Roman" w:cs="Times New Roman" w:eastAsia="Times New Roman" w:hAnsi="Times New Roman"/>
          <w:sz w:val="11"/>
          <w:szCs w:val="11"/>
          <w:color w:val="auto"/>
        </w:rPr>
        <w:t>in markets or countries for which they are not intended by circumventing the industry standard protective mechanisms, such as IP address blocks, despite our efforts in implementing measures to prevent such actions.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133</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320"/>
        <w:spacing w:after="0" w:line="275" w:lineRule="auto"/>
        <w:rPr>
          <w:sz w:val="20"/>
          <w:szCs w:val="20"/>
          <w:color w:val="auto"/>
        </w:rPr>
      </w:pPr>
      <w:r>
        <w:rPr>
          <w:rFonts w:ascii="Times New Roman" w:cs="Times New Roman" w:eastAsia="Times New Roman" w:hAnsi="Times New Roman"/>
          <w:sz w:val="13"/>
          <w:szCs w:val="13"/>
          <w:color w:val="auto"/>
        </w:rPr>
        <w:t>Disclosure pursuant to Section 219 of the Iran Threat Reduction and Syria Human Rights Act of 2012</w:t>
      </w:r>
    </w:p>
    <w:p>
      <w:pPr>
        <w:spacing w:after="0" w:line="1" w:lineRule="exact"/>
        <w:rPr>
          <w:sz w:val="20"/>
          <w:szCs w:val="20"/>
          <w:color w:val="auto"/>
        </w:rPr>
      </w:pPr>
    </w:p>
    <w:p>
      <w:pPr>
        <w:ind w:right="380"/>
        <w:spacing w:after="0" w:line="269" w:lineRule="auto"/>
        <w:rPr>
          <w:sz w:val="20"/>
          <w:szCs w:val="20"/>
          <w:color w:val="auto"/>
        </w:rPr>
      </w:pPr>
      <w:r>
        <w:rPr>
          <w:rFonts w:ascii="Times New Roman" w:cs="Times New Roman" w:eastAsia="Times New Roman" w:hAnsi="Times New Roman"/>
          <w:sz w:val="11"/>
          <w:szCs w:val="11"/>
          <w:color w:val="auto"/>
        </w:rPr>
        <w:t>We operate in Iran in compliance with applicable economic sanctions and other trade-related laws. We provide telecommunications equipment with ancillary services to network operator customers and internet service providers. We do not deliver equipment and services to Iran for military purposes, or for the purpose of limiting political discourse, blocking legitimate forms of free speech or conducting surveillance of individuals.</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connection with the business activities relating to Iran, we</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have two local offices in Iran that employed one employee at</w:t>
      </w:r>
    </w:p>
    <w:p>
      <w:pPr>
        <w:spacing w:after="0" w:line="10" w:lineRule="exact"/>
        <w:rPr>
          <w:sz w:val="20"/>
          <w:szCs w:val="20"/>
          <w:color w:val="auto"/>
        </w:rPr>
      </w:pPr>
    </w:p>
    <w:p>
      <w:pPr>
        <w:spacing w:after="0"/>
        <w:tabs>
          <w:tab w:leader="none" w:pos="540" w:val="left"/>
        </w:tabs>
        <w:rPr>
          <w:sz w:val="20"/>
          <w:szCs w:val="20"/>
          <w:color w:val="auto"/>
        </w:rPr>
      </w:pPr>
      <w:r>
        <w:rPr>
          <w:rFonts w:ascii="Times New Roman" w:cs="Times New Roman" w:eastAsia="Times New Roman" w:hAnsi="Times New Roman"/>
          <w:sz w:val="11"/>
          <w:szCs w:val="11"/>
          <w:color w:val="auto"/>
        </w:rPr>
        <w:t>the end of</w:t>
        <w:tab/>
        <w:t>2023 through a branch of a Finnish subsidiary. Nokia</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is the controlling shareholder in Pishahang Communications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Network Development Company (Pishahang). The other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minority shareholder in Pishahang is Information Technology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Application Development TACFAM Company (Tacfam).</w:t>
      </w:r>
    </w:p>
    <w:p>
      <w:pPr>
        <w:spacing w:after="0" w:line="79" w:lineRule="exact"/>
        <w:rPr>
          <w:sz w:val="20"/>
          <w:szCs w:val="20"/>
          <w:color w:val="auto"/>
        </w:rPr>
      </w:pPr>
    </w:p>
    <w:p>
      <w:pPr>
        <w:ind w:right="400"/>
        <w:spacing w:after="0" w:line="275" w:lineRule="auto"/>
        <w:rPr>
          <w:sz w:val="20"/>
          <w:szCs w:val="20"/>
          <w:color w:val="auto"/>
        </w:rPr>
      </w:pPr>
      <w:r>
        <w:rPr>
          <w:rFonts w:ascii="Times New Roman" w:cs="Times New Roman" w:eastAsia="Times New Roman" w:hAnsi="Times New Roman"/>
          <w:sz w:val="11"/>
          <w:szCs w:val="11"/>
          <w:color w:val="auto"/>
        </w:rPr>
        <w:t>We continue to maintain routine contacts with governmental agencies in Iran as required, for example, to maintain a legal presence and office facilities in Iran, pay taxes and employ Iranian nationals.</w:t>
      </w:r>
    </w:p>
    <w:p>
      <w:pPr>
        <w:spacing w:after="0" w:line="57" w:lineRule="exact"/>
        <w:rPr>
          <w:sz w:val="20"/>
          <w:szCs w:val="20"/>
          <w:color w:val="auto"/>
        </w:rPr>
      </w:pPr>
    </w:p>
    <w:tbl>
      <w:tblPr>
        <w:tblLayout w:type="fixed"/>
        <w:tblInd w:w="0" w:type="dxa"/>
        <w:tblCellMar>
          <w:top w:w="0" w:type="dxa"/>
          <w:left w:w="0" w:type="dxa"/>
          <w:bottom w:w="0" w:type="dxa"/>
          <w:right w:w="0" w:type="dxa"/>
        </w:tblCellMar>
      </w:tblPr>
      <w:tr>
        <w:trPr>
          <w:trHeight w:val="143"/>
        </w:trPr>
        <w:tc>
          <w:tcPr>
            <w:tcW w:w="2220" w:type="dxa"/>
            <w:vAlign w:val="bottom"/>
          </w:tcPr>
          <w:p>
            <w:pPr>
              <w:spacing w:after="0"/>
              <w:rPr>
                <w:sz w:val="20"/>
                <w:szCs w:val="20"/>
                <w:color w:val="auto"/>
              </w:rPr>
            </w:pPr>
            <w:r>
              <w:rPr>
                <w:rFonts w:ascii="Times New Roman" w:cs="Times New Roman" w:eastAsia="Times New Roman" w:hAnsi="Times New Roman"/>
                <w:sz w:val="11"/>
                <w:szCs w:val="11"/>
                <w:color w:val="auto"/>
              </w:rPr>
              <w:t>To our knowledge, none of our sales in Iran in</w:t>
            </w:r>
          </w:p>
        </w:tc>
        <w:tc>
          <w:tcPr>
            <w:tcW w:w="560" w:type="dxa"/>
            <w:vAlign w:val="bottom"/>
          </w:tcPr>
          <w:p>
            <w:pPr>
              <w:ind w:left="120"/>
              <w:spacing w:after="0"/>
              <w:rPr>
                <w:sz w:val="20"/>
                <w:szCs w:val="20"/>
                <w:color w:val="auto"/>
              </w:rPr>
            </w:pPr>
            <w:r>
              <w:rPr>
                <w:rFonts w:ascii="Times New Roman" w:cs="Times New Roman" w:eastAsia="Times New Roman" w:hAnsi="Times New Roman"/>
                <w:sz w:val="11"/>
                <w:szCs w:val="11"/>
                <w:color w:val="auto"/>
              </w:rPr>
              <w:t>2023 are</w:t>
            </w:r>
          </w:p>
        </w:tc>
      </w:tr>
    </w:tbl>
    <w:p>
      <w:pPr>
        <w:ind w:right="640"/>
        <w:spacing w:after="0" w:line="286" w:lineRule="auto"/>
        <w:rPr>
          <w:sz w:val="20"/>
          <w:szCs w:val="20"/>
          <w:color w:val="auto"/>
        </w:rPr>
      </w:pPr>
      <w:r>
        <w:rPr>
          <w:rFonts w:ascii="Times New Roman" w:cs="Times New Roman" w:eastAsia="Times New Roman" w:hAnsi="Times New Roman"/>
          <w:sz w:val="11"/>
          <w:szCs w:val="11"/>
          <w:color w:val="auto"/>
        </w:rPr>
        <w:t>required to be disclosed pursuant to ITRA Section 219, with the possible exception of the following.</w:t>
      </w:r>
    </w:p>
    <w:p>
      <w:pPr>
        <w:spacing w:after="0" w:line="51" w:lineRule="exact"/>
        <w:rPr>
          <w:sz w:val="20"/>
          <w:szCs w:val="20"/>
          <w:color w:val="auto"/>
        </w:rPr>
      </w:pPr>
    </w:p>
    <w:p>
      <w:pPr>
        <w:ind w:right="300"/>
        <w:spacing w:after="0" w:line="269" w:lineRule="auto"/>
        <w:rPr>
          <w:sz w:val="20"/>
          <w:szCs w:val="20"/>
          <w:color w:val="auto"/>
        </w:rPr>
      </w:pPr>
      <w:r>
        <w:rPr>
          <w:rFonts w:ascii="Times New Roman" w:cs="Times New Roman" w:eastAsia="Times New Roman" w:hAnsi="Times New Roman"/>
          <w:sz w:val="11"/>
          <w:szCs w:val="11"/>
          <w:color w:val="auto"/>
        </w:rPr>
        <w:t>In 2023 , we continued only with our existing contractual obligations in compliance with applicable economic sanctions and other trade-related laws including limited local delivery of radio products and transmission licenses, including associated services, to MTN Irancell.</w:t>
      </w:r>
    </w:p>
    <w:p>
      <w:pPr>
        <w:spacing w:after="0" w:line="60" w:lineRule="exact"/>
        <w:rPr>
          <w:sz w:val="20"/>
          <w:szCs w:val="20"/>
          <w:color w:val="auto"/>
        </w:rPr>
      </w:pPr>
    </w:p>
    <w:p>
      <w:pPr>
        <w:ind w:right="220"/>
        <w:spacing w:after="0" w:line="269" w:lineRule="auto"/>
        <w:rPr>
          <w:sz w:val="20"/>
          <w:szCs w:val="20"/>
          <w:color w:val="auto"/>
        </w:rPr>
      </w:pPr>
      <w:r>
        <w:rPr>
          <w:rFonts w:ascii="Times New Roman" w:cs="Times New Roman" w:eastAsia="Times New Roman" w:hAnsi="Times New Roman"/>
          <w:sz w:val="11"/>
          <w:szCs w:val="11"/>
          <w:color w:val="auto"/>
        </w:rPr>
        <w:t>Although it is difficult to evaluate with any reasonable degree of certainty, we have concluded that we cannot exclude the possibility that MTN Irancell or Tacfam is owned or controlled, directly or indirectly, by the government of Iran. None of these activities involve US affiliates of Nokia, or any persons from the United States.</w:t>
      </w:r>
    </w:p>
    <w:p>
      <w:pPr>
        <w:sectPr>
          <w:pgSz w:w="11900" w:h="16838" w:orient="portrait"/>
          <w:cols w:equalWidth="0" w:num="3">
            <w:col w:w="2960" w:space="420"/>
            <w:col w:w="2960" w:space="460"/>
            <w:col w:w="3180"/>
          </w:cols>
          <w:pgMar w:left="960" w:top="409" w:right="959" w:bottom="1440" w:gutter="0" w:footer="0" w:header="0"/>
        </w:sectPr>
      </w:pPr>
    </w:p>
    <w:bookmarkStart w:id="141" w:name="page142"/>
    <w:bookmarkEnd w:id="141"/>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26" w:lineRule="exact"/>
        <w:rPr>
          <w:sz w:val="20"/>
          <w:szCs w:val="20"/>
          <w:color w:val="auto"/>
        </w:rPr>
      </w:pPr>
    </w:p>
    <w:p>
      <w:pPr>
        <w:ind w:right="220"/>
        <w:spacing w:after="0" w:line="266" w:lineRule="auto"/>
        <w:rPr>
          <w:sz w:val="20"/>
          <w:szCs w:val="20"/>
          <w:color w:val="auto"/>
        </w:rPr>
      </w:pPr>
      <w:r>
        <w:rPr>
          <w:rFonts w:ascii="Times New Roman" w:cs="Times New Roman" w:eastAsia="Times New Roman" w:hAnsi="Times New Roman"/>
          <w:sz w:val="11"/>
          <w:szCs w:val="11"/>
          <w:color w:val="auto"/>
        </w:rPr>
        <w:t>Nokia does not normally allocate net profit on a country-by-country or activity-by-activity basis, other than as set forth in Nokia’s consolidated financial statements prepared in accordance with IFRS. Therefore, for this exercise Nokia will</w:t>
      </w:r>
    </w:p>
    <w:p>
      <w:pPr>
        <w:spacing w:after="0" w:line="2" w:lineRule="exact"/>
        <w:rPr>
          <w:sz w:val="20"/>
          <w:szCs w:val="20"/>
          <w:color w:val="auto"/>
        </w:rPr>
      </w:pPr>
    </w:p>
    <w:tbl>
      <w:tblPr>
        <w:tblLayout w:type="fixed"/>
        <w:tblInd w:w="0" w:type="dxa"/>
        <w:tblCellMar>
          <w:top w:w="0" w:type="dxa"/>
          <w:left w:w="0" w:type="dxa"/>
          <w:bottom w:w="0" w:type="dxa"/>
          <w:right w:w="0" w:type="dxa"/>
        </w:tblCellMar>
      </w:tblPr>
      <w:tr>
        <w:trPr>
          <w:trHeight w:val="137"/>
        </w:trPr>
        <w:tc>
          <w:tcPr>
            <w:tcW w:w="2600" w:type="dxa"/>
            <w:vAlign w:val="bottom"/>
          </w:tcPr>
          <w:p>
            <w:pPr>
              <w:spacing w:after="0"/>
              <w:rPr>
                <w:sz w:val="20"/>
                <w:szCs w:val="20"/>
                <w:color w:val="auto"/>
              </w:rPr>
            </w:pPr>
            <w:r>
              <w:rPr>
                <w:rFonts w:ascii="Times New Roman" w:cs="Times New Roman" w:eastAsia="Times New Roman" w:hAnsi="Times New Roman"/>
                <w:sz w:val="11"/>
                <w:szCs w:val="11"/>
                <w:color w:val="auto"/>
              </w:rPr>
              <w:t>reflect its sales margin in lieu of the net profit/loss. In</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2023 ,</w:t>
            </w:r>
          </w:p>
        </w:tc>
      </w:tr>
    </w:tbl>
    <w:p>
      <w:pPr>
        <w:jc w:val="both"/>
        <w:ind w:right="200"/>
        <w:spacing w:after="0" w:line="277" w:lineRule="auto"/>
        <w:rPr>
          <w:sz w:val="20"/>
          <w:szCs w:val="20"/>
          <w:color w:val="auto"/>
        </w:rPr>
      </w:pPr>
      <w:r>
        <w:rPr>
          <w:rFonts w:ascii="Times New Roman" w:cs="Times New Roman" w:eastAsia="Times New Roman" w:hAnsi="Times New Roman"/>
          <w:sz w:val="11"/>
          <w:szCs w:val="11"/>
          <w:color w:val="auto"/>
        </w:rPr>
        <w:t>we recognized net sales of approximately EUR 1 million from business with MTN Irancell. Sales margin from this customer amounted to 99%.</w:t>
      </w:r>
    </w:p>
    <w:p>
      <w:pPr>
        <w:spacing w:after="0" w:line="46" w:lineRule="exact"/>
        <w:rPr>
          <w:sz w:val="20"/>
          <w:szCs w:val="20"/>
          <w:color w:val="auto"/>
        </w:rPr>
      </w:pPr>
    </w:p>
    <w:p>
      <w:pPr>
        <w:ind w:right="200"/>
        <w:spacing w:after="0" w:line="274" w:lineRule="auto"/>
        <w:rPr>
          <w:sz w:val="20"/>
          <w:szCs w:val="20"/>
          <w:color w:val="auto"/>
        </w:rPr>
      </w:pPr>
      <w:r>
        <w:rPr>
          <w:rFonts w:ascii="Times New Roman" w:cs="Times New Roman" w:eastAsia="Times New Roman" w:hAnsi="Times New Roman"/>
          <w:sz w:val="11"/>
          <w:szCs w:val="11"/>
          <w:color w:val="auto"/>
        </w:rPr>
        <w:t>Although we evaluate our business activities on an ongoing basis, we intend to continue not accepting any new business in Iran in 2024 and intend to only complete existing contractual obligations in Iran in compliance with applicable economic sanctions and other trade-related laws.</w:t>
      </w:r>
    </w:p>
    <w:p>
      <w:pPr>
        <w:spacing w:after="0" w:line="69"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Taxation</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General</w:t>
      </w:r>
    </w:p>
    <w:p>
      <w:pPr>
        <w:spacing w:after="0" w:line="32" w:lineRule="exact"/>
        <w:rPr>
          <w:sz w:val="20"/>
          <w:szCs w:val="20"/>
          <w:color w:val="auto"/>
        </w:rPr>
      </w:pPr>
    </w:p>
    <w:p>
      <w:pPr>
        <w:ind w:right="160"/>
        <w:spacing w:after="0" w:line="269" w:lineRule="auto"/>
        <w:rPr>
          <w:sz w:val="20"/>
          <w:szCs w:val="20"/>
          <w:color w:val="auto"/>
        </w:rPr>
      </w:pPr>
      <w:r>
        <w:rPr>
          <w:rFonts w:ascii="Times New Roman" w:cs="Times New Roman" w:eastAsia="Times New Roman" w:hAnsi="Times New Roman"/>
          <w:sz w:val="11"/>
          <w:szCs w:val="11"/>
          <w:color w:val="auto"/>
        </w:rPr>
        <w:t>The statements of the United States and Finnish tax laws set out below are based on the laws in force as of the date of this report and may be subject to any changes in US or Finnish law, and in any double taxation convention or treaty between the United States and Finland, occurring after that date, possibly with retroactive effect.</w:t>
      </w:r>
    </w:p>
    <w:p>
      <w:pPr>
        <w:spacing w:after="0" w:line="60"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1"/>
          <w:szCs w:val="11"/>
          <w:color w:val="auto"/>
        </w:rPr>
        <w:t>For purposes of this discussion, “US Holders” are beneficial owners of ADSs that: (i) hold the ADSs as capital assets; (ii) are citizens or residents of the United States, corporations created in or organized under US law, estates whose income is subject to US federal income tax, or trusts that elect to be treated as a US person or are both subject to the primary supervision of a US court and controlled by a US person; and (iii) in each case, are considered residents of the United States for purposes of the current income tax convention between the United States and Finland, referred to as the “Treaty”, and the limitation on benefits provisions therein. Special rules apply to US Holders that are also residents of Finland and to citizens or residents of the United States that do not maintain a substantial presence, permanent home or habitual abode in the United States. For purposes of this discussion, it is assumed that the Depositary and its custodian will perform all actions as required by the deposit agreement with the Depositary and other related agreements between the Depositary and Nokia.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Borders>
              <w:bottom w:val="single" w:sz="8" w:color="005AFF"/>
            </w:tcBorders>
          </w:tcPr>
          <w:p>
            <w:pPr>
              <w:spacing w:after="0"/>
              <w:rPr>
                <w:sz w:val="4"/>
                <w:szCs w:val="4"/>
                <w:color w:val="auto"/>
              </w:rPr>
            </w:pPr>
          </w:p>
        </w:tc>
        <w:tc>
          <w:tcPr>
            <w:tcW w:w="12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-2567305</wp:posOffset>
            </wp:positionH>
            <wp:positionV relativeFrom="paragraph">
              <wp:posOffset>-297815</wp:posOffset>
            </wp:positionV>
            <wp:extent cx="7216140" cy="511810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ind w:left="20" w:right="100"/>
        <w:spacing w:after="0" w:line="269" w:lineRule="auto"/>
        <w:rPr>
          <w:sz w:val="20"/>
          <w:szCs w:val="20"/>
          <w:color w:val="auto"/>
        </w:rPr>
      </w:pPr>
      <w:r>
        <w:rPr>
          <w:rFonts w:ascii="Times New Roman" w:cs="Times New Roman" w:eastAsia="Times New Roman" w:hAnsi="Times New Roman"/>
          <w:sz w:val="11"/>
          <w:szCs w:val="11"/>
          <w:color w:val="auto"/>
        </w:rPr>
        <w:t>If a partnership holds ADSs (including for this purpose any entity or arrangement treated as a partnership for US federal income tax purposes), the tax treatment of a partner will depend upon the status of the partner and activities of the partnership. If a US Holder is a partnership or a partner in a partnership that holds ADSs, the holder is urged to consult its own tax adviser regarding the specific tax consequences of owning and disposing of its ADSs.</w:t>
      </w:r>
    </w:p>
    <w:p>
      <w:pPr>
        <w:spacing w:after="0" w:line="49" w:lineRule="exact"/>
        <w:rPr>
          <w:sz w:val="20"/>
          <w:szCs w:val="20"/>
          <w:color w:val="auto"/>
        </w:rPr>
      </w:pPr>
    </w:p>
    <w:p>
      <w:pPr>
        <w:ind w:left="20" w:right="20"/>
        <w:spacing w:after="0" w:line="263" w:lineRule="auto"/>
        <w:rPr>
          <w:sz w:val="20"/>
          <w:szCs w:val="20"/>
          <w:color w:val="auto"/>
        </w:rPr>
      </w:pPr>
      <w:r>
        <w:rPr>
          <w:rFonts w:ascii="Times New Roman" w:cs="Times New Roman" w:eastAsia="Times New Roman" w:hAnsi="Times New Roman"/>
          <w:sz w:val="11"/>
          <w:szCs w:val="11"/>
          <w:color w:val="auto"/>
        </w:rPr>
        <w:t>Because this summary is not exhaustive of all possible tax considerations – such as situations involving financial institutions, banks, tax-exempt entities, pension funds, US expatriates, real estate investment trusts, persons that are dealers in securities, persons who own (directly, indirectly or by attribution) 10% or more of the share capital or voting stock of Nokia, persons who acquired their ADSs pursuant to the exercise of employee stock options or otherwise as compensation, or US Holders whose functional currency is not the US dollar, who may be subject to special rules that are not discussed herein – holders of shares or ADSs that are US Holders are advised to satisfy themselves as to the overall US federal, state and local tax consequences, as well as to the overall Finnish and other applicable non-US tax consequences, of their ownership of ADSs and the underlying shares by consulting their own tax advisers. This summary does not discuss the treatment of ADSs that are held in connection with a permanent establishment or fixed base in Finland, and it does not address the US Medicare tax on certain investment income.</w:t>
      </w:r>
    </w:p>
    <w:p>
      <w:pPr>
        <w:spacing w:after="0" w:line="67" w:lineRule="exact"/>
        <w:rPr>
          <w:sz w:val="20"/>
          <w:szCs w:val="20"/>
          <w:color w:val="auto"/>
        </w:rPr>
      </w:pPr>
    </w:p>
    <w:p>
      <w:pPr>
        <w:ind w:left="20"/>
        <w:spacing w:after="0" w:line="265" w:lineRule="auto"/>
        <w:rPr>
          <w:sz w:val="20"/>
          <w:szCs w:val="20"/>
          <w:color w:val="auto"/>
        </w:rPr>
      </w:pPr>
      <w:r>
        <w:rPr>
          <w:rFonts w:ascii="Times New Roman" w:cs="Times New Roman" w:eastAsia="Times New Roman" w:hAnsi="Times New Roman"/>
          <w:sz w:val="11"/>
          <w:szCs w:val="11"/>
          <w:color w:val="auto"/>
        </w:rPr>
        <w:t>For the purposes of both the Treaty and the US Internal Revenue Code of 1986, as amended, referred to as the “Code”, US Holders of ADSs will be treated as the owners of the underlying shares that are represented by those ADSs. Accordingly, the following discussion, except where otherwise expressly noted, applies equally to US Holders of ADSs, on the one hand, and to shares on the other.</w:t>
      </w:r>
    </w:p>
    <w:p>
      <w:pPr>
        <w:spacing w:after="0" w:line="64" w:lineRule="exact"/>
        <w:rPr>
          <w:sz w:val="20"/>
          <w:szCs w:val="20"/>
          <w:color w:val="auto"/>
        </w:rPr>
      </w:pPr>
    </w:p>
    <w:p>
      <w:pPr>
        <w:ind w:left="20" w:right="60"/>
        <w:spacing w:after="0" w:line="275" w:lineRule="auto"/>
        <w:rPr>
          <w:sz w:val="20"/>
          <w:szCs w:val="20"/>
          <w:color w:val="auto"/>
        </w:rPr>
      </w:pPr>
      <w:r>
        <w:rPr>
          <w:rFonts w:ascii="Times New Roman" w:cs="Times New Roman" w:eastAsia="Times New Roman" w:hAnsi="Times New Roman"/>
          <w:sz w:val="11"/>
          <w:szCs w:val="11"/>
          <w:color w:val="auto"/>
        </w:rPr>
        <w:t>The holders of ADSs will, for Finnish tax purposes, be treated as the owners of the shares that are represented by the ADSs. The Finnish tax consequences for the holders of shares, as discussed below, also apply to the holders of ADSs.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134</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US taxation of cash dividends</w:t>
      </w:r>
    </w:p>
    <w:p>
      <w:pPr>
        <w:spacing w:after="0" w:line="32" w:lineRule="exact"/>
        <w:rPr>
          <w:sz w:val="20"/>
          <w:szCs w:val="20"/>
          <w:color w:val="auto"/>
        </w:rPr>
      </w:pPr>
    </w:p>
    <w:p>
      <w:pPr>
        <w:ind w:right="160"/>
        <w:spacing w:after="0" w:line="263" w:lineRule="auto"/>
        <w:rPr>
          <w:sz w:val="20"/>
          <w:szCs w:val="20"/>
          <w:color w:val="auto"/>
        </w:rPr>
      </w:pPr>
      <w:r>
        <w:rPr>
          <w:rFonts w:ascii="Times New Roman" w:cs="Times New Roman" w:eastAsia="Times New Roman" w:hAnsi="Times New Roman"/>
          <w:sz w:val="11"/>
          <w:szCs w:val="11"/>
          <w:color w:val="auto"/>
        </w:rPr>
        <w:t>For US federal income tax purposes, the gross amount of dividends paid to US Holders of shares or ADSs out of our current or accumulated earnings and profits, including any related Finnish withholding tax, generally will be included in gross income as foreign source dividend income. We do not expect to maintain calculations of our earnings and profits under US federal income tax principles; therefore, US Holders should expect that the entire amount of any distribution generally will be reported as dividend income. Dividends will not be eligible for the dividends received deduction allowed to corporations under the Code. The amount includible in income (including any Finnish withholding tax) will equal the US dollar value of the payment, determined at the time such payment</w:t>
      </w:r>
    </w:p>
    <w:p>
      <w:pPr>
        <w:ind w:right="200"/>
        <w:spacing w:after="0" w:line="260" w:lineRule="auto"/>
        <w:rPr>
          <w:sz w:val="20"/>
          <w:szCs w:val="20"/>
          <w:color w:val="auto"/>
        </w:rPr>
      </w:pPr>
      <w:r>
        <w:rPr>
          <w:rFonts w:ascii="Times New Roman" w:cs="Times New Roman" w:eastAsia="Times New Roman" w:hAnsi="Times New Roman"/>
          <w:sz w:val="11"/>
          <w:szCs w:val="11"/>
          <w:color w:val="auto"/>
        </w:rPr>
        <w:t>is received by the Depositary (in the case of ADSs) or by the US Holder (in the case of shares), regardless of whether the payment is in fact converted into US dollars. Generally, any gain or loss resulting from currency exchange rate fluctuations during the period between the time such payment is received and the date the dividend payment is converted into US dollars will be treated as US source ordinary income or loss to a</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US Holder.</w:t>
      </w:r>
    </w:p>
    <w:p>
      <w:pPr>
        <w:spacing w:after="0" w:line="84" w:lineRule="exact"/>
        <w:rPr>
          <w:sz w:val="20"/>
          <w:szCs w:val="20"/>
          <w:color w:val="auto"/>
        </w:rPr>
      </w:pPr>
    </w:p>
    <w:p>
      <w:pPr>
        <w:ind w:right="240"/>
        <w:spacing w:after="0" w:line="269" w:lineRule="auto"/>
        <w:rPr>
          <w:sz w:val="20"/>
          <w:szCs w:val="20"/>
          <w:color w:val="auto"/>
        </w:rPr>
      </w:pPr>
      <w:r>
        <w:rPr>
          <w:rFonts w:ascii="Times New Roman" w:cs="Times New Roman" w:eastAsia="Times New Roman" w:hAnsi="Times New Roman"/>
          <w:sz w:val="11"/>
          <w:szCs w:val="11"/>
          <w:color w:val="auto"/>
        </w:rPr>
        <w:t>Special rules govern and specific elections are available to accrual method taxpayers to determine the US dollar amount includible in income in the case of a dividend paid (and taxes withheld) in foreign currency. Accrual basis taxpayers are urged to consult their own tax advisers regarding the requirements and elections applicable in this regard.</w:t>
      </w:r>
    </w:p>
    <w:p>
      <w:pPr>
        <w:spacing w:after="0" w:line="60" w:lineRule="exact"/>
        <w:rPr>
          <w:sz w:val="20"/>
          <w:szCs w:val="20"/>
          <w:color w:val="auto"/>
        </w:rPr>
      </w:pPr>
    </w:p>
    <w:p>
      <w:pPr>
        <w:ind w:right="380"/>
        <w:spacing w:after="0" w:line="263" w:lineRule="auto"/>
        <w:rPr>
          <w:sz w:val="20"/>
          <w:szCs w:val="20"/>
          <w:color w:val="auto"/>
        </w:rPr>
      </w:pPr>
      <w:r>
        <w:rPr>
          <w:rFonts w:ascii="Times New Roman" w:cs="Times New Roman" w:eastAsia="Times New Roman" w:hAnsi="Times New Roman"/>
          <w:sz w:val="11"/>
          <w:szCs w:val="11"/>
          <w:color w:val="auto"/>
        </w:rPr>
        <w:t>Dividends received generally will constitute foreign source “passive category income” for foreign tax credit purposes. Subject to certain limitations, Finnish taxes withheld may be eligible for credit (not in excess of the applicable Treaty rate) against a US Holder’s US federal income tax liability.</w:t>
      </w:r>
    </w:p>
    <w:p>
      <w:pPr>
        <w:spacing w:after="0" w:line="1" w:lineRule="exact"/>
        <w:rPr>
          <w:sz w:val="20"/>
          <w:szCs w:val="20"/>
          <w:color w:val="auto"/>
        </w:rPr>
      </w:pPr>
    </w:p>
    <w:p>
      <w:pPr>
        <w:ind w:right="140"/>
        <w:spacing w:after="0" w:line="259" w:lineRule="auto"/>
        <w:rPr>
          <w:sz w:val="20"/>
          <w:szCs w:val="20"/>
          <w:color w:val="auto"/>
        </w:rPr>
      </w:pPr>
      <w:r>
        <w:rPr>
          <w:rFonts w:ascii="Times New Roman" w:cs="Times New Roman" w:eastAsia="Times New Roman" w:hAnsi="Times New Roman"/>
          <w:sz w:val="11"/>
          <w:szCs w:val="11"/>
          <w:color w:val="auto"/>
        </w:rPr>
        <w:t>Additionally, if Nokia makes a distribution from its reserve for invested unrestricted equity when it does not have current or</w:t>
      </w:r>
    </w:p>
    <w:p>
      <w:pPr>
        <w:ind w:right="280"/>
        <w:spacing w:after="0" w:line="278" w:lineRule="auto"/>
        <w:rPr>
          <w:sz w:val="20"/>
          <w:szCs w:val="20"/>
          <w:color w:val="auto"/>
        </w:rPr>
      </w:pPr>
      <w:r>
        <w:rPr>
          <w:rFonts w:ascii="Times New Roman" w:cs="Times New Roman" w:eastAsia="Times New Roman" w:hAnsi="Times New Roman"/>
          <w:sz w:val="11"/>
          <w:szCs w:val="11"/>
          <w:color w:val="auto"/>
        </w:rPr>
        <w:t>accumulated earnings and profits, a US Holder may not be able to claim such credit.</w:t>
      </w:r>
    </w:p>
    <w:p>
      <w:pPr>
        <w:spacing w:after="0" w:line="54" w:lineRule="exact"/>
        <w:rPr>
          <w:sz w:val="20"/>
          <w:szCs w:val="20"/>
          <w:color w:val="auto"/>
        </w:rPr>
      </w:pPr>
    </w:p>
    <w:p>
      <w:pPr>
        <w:ind w:right="300"/>
        <w:spacing w:after="0" w:line="269" w:lineRule="auto"/>
        <w:rPr>
          <w:sz w:val="20"/>
          <w:szCs w:val="20"/>
          <w:color w:val="auto"/>
        </w:rPr>
      </w:pPr>
      <w:r>
        <w:rPr>
          <w:rFonts w:ascii="Times New Roman" w:cs="Times New Roman" w:eastAsia="Times New Roman" w:hAnsi="Times New Roman"/>
          <w:sz w:val="11"/>
          <w:szCs w:val="11"/>
          <w:color w:val="auto"/>
        </w:rPr>
        <w:t>In lieu of a credit, a US Holder may elect to claim a deduction in respect of its Finnish income taxes provided the deduction is claimed for all of the foreign taxes paid by the US Holder in that particular taxable year. A deduction does not reduce US tax on a dollar-for-dollar basis like a tax credit. The deduction, however, is not subject to the limitations applicable to foreign tax credits.</w:t>
      </w:r>
    </w:p>
    <w:p>
      <w:pPr>
        <w:sectPr>
          <w:pgSz w:w="11900" w:h="16838" w:orient="portrait"/>
          <w:cols w:equalWidth="0" w:num="3">
            <w:col w:w="3060" w:space="320"/>
            <w:col w:w="2940" w:space="480"/>
            <w:col w:w="3180"/>
          </w:cols>
          <w:pgMar w:left="960" w:top="409" w:right="959" w:bottom="1440" w:gutter="0" w:footer="0" w:header="0"/>
        </w:sectPr>
      </w:pPr>
    </w:p>
    <w:bookmarkStart w:id="142" w:name="page143"/>
    <w:bookmarkEnd w:id="142"/>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26"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Provided that certain holding period and other requirements are met, individuals and certain other non-corporate US Holders are eligible for reduced rates of US federal income tax at a maximum rate of 20% in respect of “qualified dividend income”. Dividends that Nokia pays with respect to its shares and ADSs generally will be qualified dividend income if certain holding periods are met and Nokia was neither a passive foreign investment company (PFIC) in the taxable year prior to the year in which the dividend was paid nor in the taxable year in which the dividend is paid. Nokia currently believes that dividends it pays with respect to its shares and ADSs will constitute qualified dividend income for US federal income tax purposes; however, this is a factual matter and is subject to change. Nokia anticipates that its dividends will be reported as qualified dividends on Forms 1099-DIV delivered to US Holders. US Holders of shares or ADSs are urged to consult their own tax advisers regarding the availability to them of the reduced dividend tax rate in light of their own particular situation and the computations of their foreign tax credit limitation with respect to any qualified dividends paid to them, as applicable.</w:t>
      </w:r>
    </w:p>
    <w:p>
      <w:pPr>
        <w:spacing w:after="0" w:line="198"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color w:val="auto"/>
        </w:rPr>
        <w:t>We believe we should not be classified as a PFIC for US federal income tax purposes for the taxable year ended 31 December 2023 and we do not expect to become a PFIC in the foreseeable future. US Holders are advised, however, that</w:t>
      </w:r>
    </w:p>
    <w:p>
      <w:pPr>
        <w:spacing w:after="0" w:line="2"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this conclusion is a factual determination that must be made annually and thus may be subject to change. If we were to be classified as a PFIC, the tax on distributions on our shares or ADSs and on any gains realized upon the disposition of our shares or ADSs generally would be less favorable than as described herein. Dividends paid by a PFIC are not “qualified dividend income” and are not eligible for reduced rates of taxation. Additionally, US persons who are shareholders in a PFIC generally will be required to file an annual report disclosing the ownership of such shares and certain other information.</w:t>
      </w:r>
    </w:p>
    <w:p>
      <w:pPr>
        <w:spacing w:after="0" w:line="5" w:lineRule="exact"/>
        <w:rPr>
          <w:sz w:val="20"/>
          <w:szCs w:val="20"/>
          <w:color w:val="auto"/>
        </w:rPr>
      </w:pPr>
    </w:p>
    <w:p>
      <w:pPr>
        <w:ind w:right="120"/>
        <w:spacing w:after="0" w:line="273" w:lineRule="auto"/>
        <w:rPr>
          <w:sz w:val="20"/>
          <w:szCs w:val="20"/>
          <w:color w:val="auto"/>
        </w:rPr>
      </w:pPr>
      <w:r>
        <w:rPr>
          <w:rFonts w:ascii="Times New Roman" w:cs="Times New Roman" w:eastAsia="Times New Roman" w:hAnsi="Times New Roman"/>
          <w:sz w:val="11"/>
          <w:szCs w:val="11"/>
          <w:color w:val="auto"/>
        </w:rPr>
        <w:t>US Holders should consult their own tax advisers regarding the application of the PFIC rules, including the related reporting requirements, to their ownership of our shares or ADSs.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740" w:type="dxa"/>
            <w:vAlign w:val="bottom"/>
          </w:tcPr>
          <w:p>
            <w:pPr>
              <w:ind w:left="3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Borders>
              <w:bottom w:val="single" w:sz="8" w:color="005AFF"/>
            </w:tcBorders>
          </w:tcPr>
          <w:p>
            <w:pPr>
              <w:spacing w:after="0"/>
              <w:rPr>
                <w:sz w:val="4"/>
                <w:szCs w:val="4"/>
                <w:color w:val="auto"/>
              </w:rPr>
            </w:pPr>
          </w:p>
        </w:tc>
        <w:tc>
          <w:tcPr>
            <w:tcW w:w="1200" w:type="dxa"/>
            <w:vAlign w:val="bottom"/>
          </w:tcPr>
          <w:p>
            <w:pPr>
              <w:spacing w:after="0"/>
              <w:rPr>
                <w:sz w:val="4"/>
                <w:szCs w:val="4"/>
                <w:color w:val="auto"/>
              </w:rPr>
            </w:pPr>
          </w:p>
        </w:tc>
        <w:tc>
          <w:tcPr>
            <w:tcW w:w="7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-2567305</wp:posOffset>
            </wp:positionH>
            <wp:positionV relativeFrom="paragraph">
              <wp:posOffset>-297815</wp:posOffset>
            </wp:positionV>
            <wp:extent cx="7216140" cy="511810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Finnish withholding taxes on cash dividends</w:t>
      </w:r>
    </w:p>
    <w:p>
      <w:pPr>
        <w:spacing w:after="0" w:line="32" w:lineRule="exact"/>
        <w:rPr>
          <w:sz w:val="20"/>
          <w:szCs w:val="20"/>
          <w:color w:val="auto"/>
        </w:rPr>
      </w:pPr>
    </w:p>
    <w:p>
      <w:pPr>
        <w:ind w:left="20" w:right="40"/>
        <w:spacing w:after="0" w:line="265" w:lineRule="auto"/>
        <w:rPr>
          <w:sz w:val="20"/>
          <w:szCs w:val="20"/>
          <w:color w:val="auto"/>
        </w:rPr>
      </w:pPr>
      <w:r>
        <w:rPr>
          <w:rFonts w:ascii="Times New Roman" w:cs="Times New Roman" w:eastAsia="Times New Roman" w:hAnsi="Times New Roman"/>
          <w:sz w:val="11"/>
          <w:szCs w:val="11"/>
          <w:color w:val="auto"/>
        </w:rPr>
        <w:t>Under the Finnish Income Tax Act and Act on Taxation of Non-residents’ Income, non-residents of Finland are generally subject to a withholding tax at a rate of 30% on dividends paid by a Finnish resident company. Further, under the Finnish Prepayment Act, 50% preliminary tax must be withheld on dividends paid in certain situations. However, pursuant to the Treaty, dividends paid to US Holders are generally subject to Finnish withholding tax at reduced rates. Under the Finnish Income Tax Act and tax court practice, the distribution of funds from reserves for invested unrestricted equity by a listed company such as Nokia is taxed as a distribution of a dividend.</w:t>
      </w:r>
    </w:p>
    <w:p>
      <w:pPr>
        <w:spacing w:after="0" w:line="62" w:lineRule="exact"/>
        <w:rPr>
          <w:sz w:val="20"/>
          <w:szCs w:val="20"/>
          <w:color w:val="auto"/>
        </w:rPr>
      </w:pPr>
    </w:p>
    <w:p>
      <w:pPr>
        <w:ind w:left="20" w:right="80"/>
        <w:spacing w:after="0" w:line="261" w:lineRule="auto"/>
        <w:rPr>
          <w:sz w:val="20"/>
          <w:szCs w:val="20"/>
          <w:color w:val="auto"/>
        </w:rPr>
      </w:pPr>
      <w:r>
        <w:rPr>
          <w:rFonts w:ascii="Times New Roman" w:cs="Times New Roman" w:eastAsia="Times New Roman" w:hAnsi="Times New Roman"/>
          <w:sz w:val="11"/>
          <w:szCs w:val="11"/>
          <w:color w:val="auto"/>
        </w:rPr>
        <w:t>As of 1 January 2021, nominee registered shares are generally subject to a withholding tax at a rate of 35% on dividends paid by Nokia. This withholding tax regime is based on OECD’s TRACE (Treaty Relief and Compliance Enhancement) model. Under the rules, the 35% withholding tax will generally be applied on dividend distributions on nominee registered shares by listed companies such as Nokia, unless custodians fulfill certain strict requirements and are willing to take over certain responsibilities (e.g. registration with the Finnish Tax Administration (so-called authorized intermediary), identification of the beneficial owner of the dividend and collecting and submitting detailed recipient information to the Finnish Tax Administration using specific filing procedures). Furthermore, application of reduced withholding tax rates at source require that the custodian and dividend distributor</w:t>
      </w:r>
    </w:p>
    <w:p>
      <w:pPr>
        <w:spacing w:after="0" w:line="6" w:lineRule="exact"/>
        <w:rPr>
          <w:sz w:val="20"/>
          <w:szCs w:val="20"/>
          <w:color w:val="auto"/>
        </w:rPr>
      </w:pPr>
    </w:p>
    <w:p>
      <w:pPr>
        <w:ind w:left="20"/>
        <w:spacing w:after="0" w:line="266" w:lineRule="auto"/>
        <w:rPr>
          <w:sz w:val="20"/>
          <w:szCs w:val="20"/>
          <w:color w:val="auto"/>
        </w:rPr>
      </w:pPr>
      <w:r>
        <w:rPr>
          <w:rFonts w:ascii="Times New Roman" w:cs="Times New Roman" w:eastAsia="Times New Roman" w:hAnsi="Times New Roman"/>
          <w:sz w:val="11"/>
          <w:szCs w:val="11"/>
          <w:color w:val="auto"/>
        </w:rPr>
        <w:t>are willing to assume liability of incorrectly applied withholding tax. If the custodian only registers with the Finnish Tax Administration and submits (or undertakes to submit) the detailed recipient details to the Finnish Tax Administration, the 30% withholding tax rate can be applied, instead of 35%.</w:t>
      </w:r>
    </w:p>
    <w:p>
      <w:pPr>
        <w:spacing w:after="0" w:line="61" w:lineRule="exact"/>
        <w:rPr>
          <w:sz w:val="20"/>
          <w:szCs w:val="20"/>
          <w:color w:val="auto"/>
        </w:rPr>
      </w:pPr>
    </w:p>
    <w:p>
      <w:pPr>
        <w:ind w:left="20" w:right="60"/>
        <w:spacing w:after="0" w:line="266" w:lineRule="auto"/>
        <w:rPr>
          <w:sz w:val="20"/>
          <w:szCs w:val="20"/>
          <w:color w:val="auto"/>
        </w:rPr>
      </w:pPr>
      <w:r>
        <w:rPr>
          <w:rFonts w:ascii="Times New Roman" w:cs="Times New Roman" w:eastAsia="Times New Roman" w:hAnsi="Times New Roman"/>
          <w:sz w:val="11"/>
          <w:szCs w:val="11"/>
          <w:color w:val="auto"/>
        </w:rPr>
        <w:t>Any tax withheld in excess can be reclaimed after the calendar year of the dividend payment by submitting a refund application to the Finnish Tax Administration no later than by the end of the third calendar year following the dividend payment year. During the year of dividend payment, the refund can be processed if custodians and dividend distributor fulfill the above-mentioned requirements laid down for actual dividend distribution.</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135</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80"/>
        <w:spacing w:after="0" w:line="274" w:lineRule="auto"/>
        <w:rPr>
          <w:sz w:val="20"/>
          <w:szCs w:val="20"/>
          <w:color w:val="auto"/>
        </w:rPr>
      </w:pPr>
      <w:r>
        <w:rPr>
          <w:rFonts w:ascii="Times New Roman" w:cs="Times New Roman" w:eastAsia="Times New Roman" w:hAnsi="Times New Roman"/>
          <w:sz w:val="11"/>
          <w:szCs w:val="11"/>
          <w:color w:val="auto"/>
        </w:rPr>
        <w:t>It is exceptionally also possible that any tax not withheld at source is later assessed directly to the shareholder by the Finnish Tax Administration, in cases where the failure to withhold tax at source is not due to negligence of the custodian or the dividend distributor.</w:t>
      </w:r>
    </w:p>
    <w:p>
      <w:pPr>
        <w:spacing w:after="0" w:line="47" w:lineRule="exact"/>
        <w:rPr>
          <w:sz w:val="20"/>
          <w:szCs w:val="20"/>
          <w:color w:val="auto"/>
        </w:rPr>
      </w:pPr>
    </w:p>
    <w:p>
      <w:pPr>
        <w:ind w:right="300"/>
        <w:spacing w:after="0" w:line="265" w:lineRule="auto"/>
        <w:rPr>
          <w:sz w:val="20"/>
          <w:szCs w:val="20"/>
          <w:color w:val="auto"/>
        </w:rPr>
      </w:pPr>
      <w:r>
        <w:rPr>
          <w:rFonts w:ascii="Times New Roman" w:cs="Times New Roman" w:eastAsia="Times New Roman" w:hAnsi="Times New Roman"/>
          <w:sz w:val="11"/>
          <w:szCs w:val="11"/>
          <w:color w:val="auto"/>
        </w:rPr>
        <w:t>Holders of shares or ADSs are urged to consult their own custodian regarding the availability of reduced withholding tax rates in light of their own particular situation and approach their custodian in terms of their responsibilities, as well as consult their own tax advisers regarding the availability</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them of the tax credit from dividend withholding tax.</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US and Finnish tax on sale or other disposition</w:t>
      </w:r>
    </w:p>
    <w:p>
      <w:pPr>
        <w:spacing w:after="0" w:line="32" w:lineRule="exact"/>
        <w:rPr>
          <w:sz w:val="20"/>
          <w:szCs w:val="20"/>
          <w:color w:val="auto"/>
        </w:rPr>
      </w:pPr>
    </w:p>
    <w:p>
      <w:pPr>
        <w:ind w:right="180"/>
        <w:spacing w:after="0" w:line="270" w:lineRule="auto"/>
        <w:rPr>
          <w:sz w:val="20"/>
          <w:szCs w:val="20"/>
          <w:color w:val="auto"/>
        </w:rPr>
      </w:pPr>
      <w:r>
        <w:rPr>
          <w:rFonts w:ascii="Times New Roman" w:cs="Times New Roman" w:eastAsia="Times New Roman" w:hAnsi="Times New Roman"/>
          <w:sz w:val="11"/>
          <w:szCs w:val="11"/>
          <w:color w:val="auto"/>
        </w:rPr>
        <w:t>A US Holder generally will recognize taxable capital gain or loss on the sale or other disposition of ADSs in an amount equal</w:t>
      </w:r>
    </w:p>
    <w:p>
      <w:pPr>
        <w:ind w:right="220"/>
        <w:spacing w:after="0" w:line="264" w:lineRule="auto"/>
        <w:rPr>
          <w:sz w:val="20"/>
          <w:szCs w:val="20"/>
          <w:color w:val="auto"/>
        </w:rPr>
      </w:pPr>
      <w:r>
        <w:rPr>
          <w:rFonts w:ascii="Times New Roman" w:cs="Times New Roman" w:eastAsia="Times New Roman" w:hAnsi="Times New Roman"/>
          <w:sz w:val="11"/>
          <w:szCs w:val="11"/>
          <w:color w:val="auto"/>
        </w:rPr>
        <w:t>to the difference between the US dollar value of the amount realized and the adjusted tax basis (determined in US dollars) in the ADSs. If the ADSs are held as a capital asset, this gain or loss generally will be long-term capital gain or loss if, at the time of the sale, the ADSs have been held for more than one year. Any capital gain or loss, for foreign tax credit purposes, generally will constitute US source gain or loss. In the case of a US Holder that is an individual, long-term capital gain generally is subject to US federal income tax at preferential rates. The deductibility of capital losses is subject to significant limitations.</w:t>
      </w:r>
    </w:p>
    <w:p>
      <w:pPr>
        <w:spacing w:after="0" w:line="53" w:lineRule="exact"/>
        <w:rPr>
          <w:sz w:val="20"/>
          <w:szCs w:val="20"/>
          <w:color w:val="auto"/>
        </w:rPr>
      </w:pPr>
    </w:p>
    <w:p>
      <w:pPr>
        <w:ind w:right="200"/>
        <w:spacing w:after="0" w:line="275" w:lineRule="auto"/>
        <w:rPr>
          <w:sz w:val="20"/>
          <w:szCs w:val="20"/>
          <w:color w:val="auto"/>
        </w:rPr>
      </w:pPr>
      <w:r>
        <w:rPr>
          <w:rFonts w:ascii="Times New Roman" w:cs="Times New Roman" w:eastAsia="Times New Roman" w:hAnsi="Times New Roman"/>
          <w:sz w:val="11"/>
          <w:szCs w:val="11"/>
          <w:color w:val="auto"/>
        </w:rPr>
        <w:t>The deposit or withdrawal by a US Holder of shares in exchange for ADSs or of ADSs for shares under the deposit agreement generally will not be subject to US federal income tax or Finnish income tax.</w:t>
      </w:r>
    </w:p>
    <w:p>
      <w:pPr>
        <w:spacing w:after="0" w:line="57"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The sale by a US Holder of the ADSs or the underlying shares, other than an individual who, by reason of his residence in Finland for a period exceeding six months, is or becomes liable for Finnish income tax according to the relevant provisions of Finnish tax law, generally will not be subject to income tax in Finland, in accordance with Finnish tax law and the Treaty.</w:t>
      </w:r>
    </w:p>
    <w:p>
      <w:pPr>
        <w:sectPr>
          <w:pgSz w:w="11900" w:h="16838" w:orient="portrait"/>
          <w:cols w:equalWidth="0" w:num="3">
            <w:col w:w="3020" w:space="360"/>
            <w:col w:w="2980" w:space="440"/>
            <w:col w:w="3180"/>
          </w:cols>
          <w:pgMar w:left="960" w:top="409" w:right="959" w:bottom="1440" w:gutter="0" w:footer="0" w:header="0"/>
        </w:sectPr>
      </w:pPr>
    </w:p>
    <w:bookmarkStart w:id="143" w:name="page144"/>
    <w:bookmarkEnd w:id="143"/>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Finnish transfer tax</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transfer of our shares and ADSs for cash through a broker</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other appropriate intermediary is generally not subject to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Finnish transfer tax. Non-brokered transfers will generally be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exempted from the transfer tax if the transferee has been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approved as a trading party in the market where the transfer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is executed, or other conditions are met. Transfers of ADSs 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New York Stock Exchange are exempt. Where the transfer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does not fulfill the above requirements, and either the buyer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the seller is a Finnish resident or a Finnish branch office of a</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specified foreign financial service provider, the buyer is liable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pay transfer tax of 1.6% of the transaction price where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resulting tax is at least EUR 10. Parliament has approved a</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change in the transfer tax rate from 1.6% to 1.5% entering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into force as of 1 January 2024 (no change to EUR 10 de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minimis threshold). The new reduced tax rate will be applied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retroactively to transfers that have been bindingly agreed upon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on or after 12 October 2023. If transfer tax on such transfers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is paid during 2023, the old 1.6% tax rate should still be used.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Finnish Tax Administration will in such case refund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excess tax once the new rules have entered into force. Selling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shareholders should consult their tax advisers regarding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specific tax considerations of a sale of our shares or ADSs.</w:t>
      </w:r>
    </w:p>
    <w:p>
      <w:pPr>
        <w:spacing w:after="0" w:line="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Finnish inheritance and gift taxes</w:t>
      </w:r>
    </w:p>
    <w:p>
      <w:pPr>
        <w:spacing w:after="0" w:line="32"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A transfer of an underlying share by gift or by reason of the death of a US Holder and the transfer of an ADS are not subject to Finnish gift or inheritance tax provided that none of the deceased person, the donor, the beneficiary of the deceased person or the recipient of the gift is resident in Finland.</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Non-residents of the United States</w:t>
      </w:r>
    </w:p>
    <w:p>
      <w:pPr>
        <w:spacing w:after="0" w:line="32" w:lineRule="exact"/>
        <w:rPr>
          <w:sz w:val="20"/>
          <w:szCs w:val="20"/>
          <w:color w:val="auto"/>
        </w:rPr>
      </w:pPr>
    </w:p>
    <w:p>
      <w:pPr>
        <w:ind w:right="60"/>
        <w:spacing w:after="0" w:line="261" w:lineRule="auto"/>
        <w:rPr>
          <w:sz w:val="20"/>
          <w:szCs w:val="20"/>
          <w:color w:val="auto"/>
        </w:rPr>
      </w:pPr>
      <w:r>
        <w:rPr>
          <w:rFonts w:ascii="Times New Roman" w:cs="Times New Roman" w:eastAsia="Times New Roman" w:hAnsi="Times New Roman"/>
          <w:sz w:val="11"/>
          <w:szCs w:val="11"/>
          <w:color w:val="auto"/>
        </w:rPr>
        <w:t>Beneficial owners of ADSs that are not US Holders will not be subject to US federal income tax on dividends received with respect to ADSs unless such dividend income is effectively connected with the conduct of a trade or business within the United States. Similarly, non-US Holders generally will not be subject to US federal income tax on any gain realized on the sale or other disposition of ADSs, unless (a) the gain is effectively connected with the conduct of a trade or business in the United States or (b) in the case of an individual, that individual is present in the United States for 183 days or more in the taxable year of the disposition and other conditions</w:t>
      </w:r>
    </w:p>
    <w:p>
      <w:pPr>
        <w:spacing w:after="0" w:line="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are met.</w:t>
      </w:r>
    </w:p>
    <w:p>
      <w:pPr>
        <w:spacing w:after="0" w:line="200" w:lineRule="exact"/>
        <w:rPr>
          <w:sz w:val="20"/>
          <w:szCs w:val="20"/>
          <w:color w:val="auto"/>
        </w:rPr>
      </w:pPr>
    </w:p>
    <w:p>
      <w:pPr>
        <w:spacing w:after="0" w:line="27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136</w:t>
            </w:r>
          </w:p>
        </w:tc>
        <w:tc>
          <w:tcPr>
            <w:tcW w:w="0" w:type="dxa"/>
            <w:vAlign w:val="bottom"/>
          </w:tcPr>
          <w:p>
            <w:pPr>
              <w:spacing w:after="0"/>
              <w:rPr>
                <w:sz w:val="1"/>
                <w:szCs w:val="1"/>
                <w:color w:val="auto"/>
              </w:rPr>
            </w:pPr>
          </w:p>
        </w:tc>
      </w:tr>
      <w:tr>
        <w:trPr>
          <w:trHeight w:val="130"/>
        </w:trPr>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Borders>
              <w:bottom w:val="single" w:sz="8" w:color="005AFF"/>
            </w:tcBorders>
          </w:tcPr>
          <w:p>
            <w:pPr>
              <w:spacing w:after="0"/>
              <w:rPr>
                <w:sz w:val="3"/>
                <w:szCs w:val="3"/>
                <w:color w:val="auto"/>
              </w:rPr>
            </w:pPr>
          </w:p>
        </w:tc>
        <w:tc>
          <w:tcPr>
            <w:tcW w:w="12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-2567305</wp:posOffset>
            </wp:positionH>
            <wp:positionV relativeFrom="paragraph">
              <wp:posOffset>-297815</wp:posOffset>
            </wp:positionV>
            <wp:extent cx="7216140" cy="511810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The United States information reporting and backup</w:t>
      </w:r>
    </w:p>
    <w:p>
      <w:pPr>
        <w:spacing w:after="0" w:line="2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withholding</w:t>
      </w:r>
    </w:p>
    <w:p>
      <w:pPr>
        <w:spacing w:after="0" w:line="2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Dividend payments with respect to shares or ADSs and</w:t>
      </w:r>
    </w:p>
    <w:p>
      <w:pPr>
        <w:spacing w:after="0" w:line="22"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proceeds from the sale or other disposition of shares or ADSs</w:t>
      </w:r>
    </w:p>
    <w:p>
      <w:pPr>
        <w:spacing w:after="0" w:line="1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may be subject to information reporting to the Internal</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Revenue Service and possible US backup withholding. Backup</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withholding will not apply to a holder if the holder furnishes a</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correct taxpayer identification number or certificate of foreign</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status and makes any other required certification in connection</w:t>
      </w:r>
    </w:p>
    <w:p>
      <w:pPr>
        <w:spacing w:after="0" w:line="1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therewith, or if it is a recipient otherwise exempt from backup</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withholding (such as a corporation). Any US persons required</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to establish their exempt status generally must furnish a duly</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completed IRS Form W-9 (Request for Taxpayer Identification</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Number and Certification). Non-US holders generally are not</w:t>
      </w:r>
    </w:p>
    <w:p>
      <w:pPr>
        <w:spacing w:after="0" w:line="1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subject to US information reporting or backup withholding.</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However, such holders may be required to provide certification</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of non-US status (generally on IRS Form W-8BEN for individuals</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and Form W-8BEN-E for corporations) in connection with</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payments received in the United States or through certain</w:t>
      </w:r>
    </w:p>
    <w:p>
      <w:pPr>
        <w:spacing w:after="0" w:line="1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US-related financial intermediaries. Backup withholding is not</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an additional tax. Amounts withheld as backup withholding may</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be credited against a holder’s US federal income tax liability,</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and the holder may obtain a refund of any excess amounts</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withheld under the backup withholding rules by timely filing the</w:t>
      </w:r>
    </w:p>
    <w:p>
      <w:pPr>
        <w:spacing w:after="0" w:line="1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appropriate claim for refund with the Internal Revenue Service</w:t>
      </w:r>
    </w:p>
    <w:p>
      <w:pPr>
        <w:spacing w:after="0" w:line="10"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and furnishing the proper required information.</w:t>
      </w:r>
    </w:p>
    <w:p>
      <w:pPr>
        <w:sectPr>
          <w:pgSz w:w="11900" w:h="16838" w:orient="portrait"/>
          <w:cols w:equalWidth="0" w:num="2">
            <w:col w:w="2940" w:space="440"/>
            <w:col w:w="6600"/>
          </w:cols>
          <w:pgMar w:left="960" w:top="410" w:right="959" w:bottom="1440" w:gutter="0" w:footer="0" w:header="0"/>
        </w:sectPr>
      </w:pPr>
    </w:p>
    <w:bookmarkStart w:id="144" w:name="page145"/>
    <w:bookmarkEnd w:id="14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137</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720" w:type="dxa"/>
            <w:vAlign w:val="bottom"/>
          </w:tcPr>
          <w:p>
            <w:pPr>
              <w:spacing w:after="0"/>
              <w:rPr>
                <w:sz w:val="3"/>
                <w:szCs w:val="3"/>
                <w:color w:val="auto"/>
              </w:rPr>
            </w:pPr>
          </w:p>
        </w:tc>
        <w:tc>
          <w:tcPr>
            <w:tcW w:w="620" w:type="dxa"/>
            <w:vAlign w:val="bottom"/>
            <w:tcBorders>
              <w:bottom w:val="single" w:sz="8" w:color="005AFF"/>
            </w:tcBorders>
          </w:tcPr>
          <w:p>
            <w:pPr>
              <w:spacing w:after="0"/>
              <w:rPr>
                <w:sz w:val="3"/>
                <w:szCs w:val="3"/>
                <w:color w:val="auto"/>
              </w:rPr>
            </w:pPr>
          </w:p>
        </w:tc>
        <w:tc>
          <w:tcPr>
            <w:tcW w:w="12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Key ratios</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Earnings per share (basic)</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Profit/(loss) attributable to equity holders of the parent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Weighted average number of shares outstanding during the year</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Earnings per share (diluted)</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Profit/(loss) attributable to equity holders of the parent adjusted for the effect of dilution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Adjusted weighted average number of shares during the year</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P/E ratio</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Closing share price at 31 December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Earnings per share (basic) for continuing operations</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Payout ratio</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Proposed dividend per share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Earnings per share (basic) for continuing operations</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Dividend yield %</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Proposed dividend per share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Closing share price at 31 December</w:t>
      </w:r>
    </w:p>
    <w:p>
      <w:pPr>
        <w:spacing w:after="0" w:line="8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Shareholders’ equity per share</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Capital and reserves attributable to equity holders of the parent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Number of shares at 31 December – number of treasury shares at 31 December</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Market capitalization</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(Number of shares at 31 December – number of treasury shares at 31 December) x closing share price at 31 December</w:t>
      </w:r>
    </w:p>
    <w:p>
      <w:pPr>
        <w:spacing w:after="0" w:line="8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turnover %</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u w:val="single" w:color="auto"/>
          <w:color w:val="auto"/>
        </w:rPr>
        <w:t>Number of shares traded during the year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Average number of shares during the year</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145" w:name="page146"/>
    <w:bookmarkEnd w:id="14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88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880" w:type="dxa"/>
            <w:vAlign w:val="bottom"/>
          </w:tcPr>
          <w:p>
            <w:pPr>
              <w:ind w:left="480"/>
              <w:spacing w:after="0"/>
              <w:rPr>
                <w:sz w:val="20"/>
                <w:szCs w:val="20"/>
                <w:color w:val="auto"/>
              </w:rPr>
            </w:pPr>
            <w:r>
              <w:rPr>
                <w:rFonts w:ascii="Times New Roman" w:cs="Times New Roman" w:eastAsia="Times New Roman" w:hAnsi="Times New Roman"/>
                <w:sz w:val="9"/>
                <w:szCs w:val="9"/>
                <w:color w:val="auto"/>
                <w:w w:val="99"/>
              </w:rPr>
              <w:t>statements</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720" w:type="dxa"/>
            <w:vAlign w:val="bottom"/>
          </w:tcPr>
          <w:p>
            <w:pPr>
              <w:spacing w:after="0"/>
              <w:rPr>
                <w:sz w:val="4"/>
                <w:szCs w:val="4"/>
                <w:color w:val="auto"/>
              </w:rPr>
            </w:pPr>
          </w:p>
        </w:tc>
        <w:tc>
          <w:tcPr>
            <w:tcW w:w="620" w:type="dxa"/>
            <w:vAlign w:val="bottom"/>
            <w:tcBorders>
              <w:bottom w:val="single" w:sz="8" w:color="005AFF"/>
            </w:tcBorders>
          </w:tcPr>
          <w:p>
            <w:pPr>
              <w:spacing w:after="0"/>
              <w:rPr>
                <w:sz w:val="4"/>
                <w:szCs w:val="4"/>
                <w:color w:val="auto"/>
              </w:rPr>
            </w:pPr>
          </w:p>
        </w:tc>
        <w:tc>
          <w:tcPr>
            <w:tcW w:w="88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Alternative performance measures</w:t>
      </w:r>
    </w:p>
    <w:p>
      <w:pPr>
        <w:spacing w:after="0" w:line="46" w:lineRule="exact"/>
        <w:rPr>
          <w:sz w:val="20"/>
          <w:szCs w:val="20"/>
          <w:color w:val="auto"/>
        </w:rPr>
      </w:pPr>
    </w:p>
    <w:p>
      <w:pPr>
        <w:ind w:right="540"/>
        <w:spacing w:after="0" w:line="262" w:lineRule="auto"/>
        <w:rPr>
          <w:sz w:val="20"/>
          <w:szCs w:val="20"/>
          <w:color w:val="auto"/>
        </w:rPr>
      </w:pPr>
      <w:r>
        <w:rPr>
          <w:rFonts w:ascii="Times New Roman" w:cs="Times New Roman" w:eastAsia="Times New Roman" w:hAnsi="Times New Roman"/>
          <w:sz w:val="11"/>
          <w:szCs w:val="11"/>
          <w:color w:val="auto"/>
        </w:rPr>
        <w:t>Certain financial measures presented in this report are not measures of financial performance, financial position or cash flows defined in IFRS. As these measures are not defined in IFRS, they may not be directly comparable with financial measures used by other companies, including those in the same industry. The primary rationale for presenting these measures is that the management uses these measures in assessing the financial performance of Nokia and believes that these measures provide meaningful supplemental information on the underlying business performance of Nokia. These financial measures should not be considered in isolation from,</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or as a substitute for, financial information presented in compliance with IFRS.</w:t>
      </w:r>
    </w:p>
    <w:p>
      <w:pPr>
        <w:spacing w:after="0" w:line="79" w:lineRule="exact"/>
        <w:rPr>
          <w:sz w:val="20"/>
          <w:szCs w:val="20"/>
          <w:color w:val="auto"/>
        </w:rPr>
      </w:pPr>
    </w:p>
    <w:p>
      <w:pPr>
        <w:spacing w:after="0"/>
        <w:tabs>
          <w:tab w:leader="none" w:pos="1660" w:val="left"/>
        </w:tabs>
        <w:rPr>
          <w:sz w:val="20"/>
          <w:szCs w:val="20"/>
          <w:color w:val="auto"/>
        </w:rPr>
      </w:pPr>
      <w:r>
        <w:rPr>
          <w:rFonts w:ascii="Times New Roman" w:cs="Times New Roman" w:eastAsia="Times New Roman" w:hAnsi="Times New Roman"/>
          <w:sz w:val="11"/>
          <w:szCs w:val="11"/>
          <w:color w:val="auto"/>
        </w:rPr>
        <w:t>Beginning with its Annual Report</w:t>
        <w:tab/>
        <w:t>2023 Nokia changed how it defines its Free cash flow measure</w:t>
      </w:r>
    </w:p>
    <w:p>
      <w:pPr>
        <w:spacing w:after="0" w:line="22" w:lineRule="exact"/>
        <w:rPr>
          <w:sz w:val="20"/>
          <w:szCs w:val="20"/>
          <w:color w:val="auto"/>
        </w:rPr>
      </w:pPr>
    </w:p>
    <w:p>
      <w:pPr>
        <w:ind w:right="320"/>
        <w:spacing w:after="0" w:line="262" w:lineRule="auto"/>
        <w:rPr>
          <w:sz w:val="20"/>
          <w:szCs w:val="20"/>
          <w:color w:val="auto"/>
        </w:rPr>
      </w:pPr>
      <w:r>
        <w:rPr>
          <w:rFonts w:ascii="Times New Roman" w:cs="Times New Roman" w:eastAsia="Times New Roman" w:hAnsi="Times New Roman"/>
          <w:sz w:val="11"/>
          <w:szCs w:val="11"/>
          <w:color w:val="auto"/>
        </w:rPr>
        <w:t>to better align it with common practice and Non-GAAP reporting guidelines. Previously Nokia defined Free cash flow as Net cash flows from operating activities – purchases of property, plant and equipment and intangible assets (capital expenditures) + proceeds from sale of property,</w:t>
      </w:r>
    </w:p>
    <w:p>
      <w:pPr>
        <w:ind w:right="700"/>
        <w:spacing w:after="0" w:line="266" w:lineRule="auto"/>
        <w:rPr>
          <w:sz w:val="20"/>
          <w:szCs w:val="20"/>
          <w:color w:val="auto"/>
        </w:rPr>
      </w:pPr>
      <w:r>
        <w:rPr>
          <w:rFonts w:ascii="Times New Roman" w:cs="Times New Roman" w:eastAsia="Times New Roman" w:hAnsi="Times New Roman"/>
          <w:sz w:val="11"/>
          <w:szCs w:val="11"/>
          <w:color w:val="auto"/>
        </w:rPr>
        <w:t>plant and equipment and intangible assets – purchase of non-current financial investments + proceeds from sale of non-current financial investments. The new definition is Net cash flows from operating activities – purchases of property, plant and equipment and intangible assets (capital expenditures). The comparative amounts for Free cash flow presented in this report have been revised accordingly.</w:t>
      </w:r>
    </w:p>
    <w:p>
      <w:pPr>
        <w:spacing w:after="0" w:line="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Return on capital employed %</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ind w:right="760"/>
        <w:spacing w:after="0" w:line="277" w:lineRule="auto"/>
        <w:rPr>
          <w:sz w:val="20"/>
          <w:szCs w:val="20"/>
          <w:color w:val="auto"/>
        </w:rPr>
      </w:pPr>
      <w:r>
        <w:rPr>
          <w:rFonts w:ascii="Times New Roman" w:cs="Times New Roman" w:eastAsia="Times New Roman" w:hAnsi="Times New Roman"/>
          <w:sz w:val="11"/>
          <w:szCs w:val="11"/>
          <w:color w:val="auto"/>
        </w:rPr>
        <w:t>Return on capital employed is defined as Profit before tax + Interest expense on interest-bearing liabilities / Average capital and reserves attributable to equity holders of the parent + average non-controlling interests + average interest-bearing liabilities.</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Return on capital employed indicates how efficiently Nokia uses its capital to generate profits.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return on capital employed %:</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4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300" w:type="dxa"/>
            <w:vAlign w:val="bottom"/>
            <w:tcBorders>
              <w:bottom w:val="single" w:sz="8" w:color="005AFF"/>
            </w:tcBorders>
          </w:tcPr>
          <w:p>
            <w:pPr>
              <w:spacing w:after="0"/>
              <w:rPr>
                <w:sz w:val="9"/>
                <w:szCs w:val="9"/>
                <w:color w:val="auto"/>
              </w:rPr>
            </w:pP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92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50"/>
        </w:trPr>
        <w:tc>
          <w:tcPr>
            <w:tcW w:w="14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before tax</w:t>
            </w:r>
          </w:p>
        </w:tc>
        <w:tc>
          <w:tcPr>
            <w:tcW w:w="1300" w:type="dxa"/>
            <w:vAlign w:val="bottom"/>
          </w:tcPr>
          <w:p>
            <w:pPr>
              <w:spacing w:after="0"/>
              <w:rPr>
                <w:sz w:val="13"/>
                <w:szCs w:val="13"/>
                <w:color w:val="auto"/>
              </w:rPr>
            </w:pP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1 499</w:t>
            </w:r>
          </w:p>
        </w:tc>
        <w:tc>
          <w:tcPr>
            <w:tcW w:w="92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2 184</w:t>
            </w:r>
          </w:p>
        </w:tc>
        <w:tc>
          <w:tcPr>
            <w:tcW w:w="5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1 926</w:t>
            </w:r>
          </w:p>
        </w:tc>
        <w:tc>
          <w:tcPr>
            <w:tcW w:w="0" w:type="dxa"/>
            <w:vAlign w:val="bottom"/>
          </w:tcPr>
          <w:p>
            <w:pPr>
              <w:spacing w:after="0"/>
              <w:rPr>
                <w:sz w:val="1"/>
                <w:szCs w:val="1"/>
                <w:color w:val="auto"/>
              </w:rPr>
            </w:pPr>
          </w:p>
        </w:tc>
      </w:tr>
      <w:tr>
        <w:trPr>
          <w:trHeight w:val="177"/>
        </w:trPr>
        <w:tc>
          <w:tcPr>
            <w:tcW w:w="278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Interest expense on interest-bearing liabilities</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201</w:t>
            </w:r>
          </w:p>
        </w:tc>
        <w:tc>
          <w:tcPr>
            <w:tcW w:w="92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10"/>
                <w:szCs w:val="10"/>
                <w:color w:val="0D0D0D"/>
              </w:rPr>
              <w:t>103</w:t>
            </w:r>
          </w:p>
        </w:tc>
        <w:tc>
          <w:tcPr>
            <w:tcW w:w="5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113</w:t>
            </w:r>
          </w:p>
        </w:tc>
        <w:tc>
          <w:tcPr>
            <w:tcW w:w="0" w:type="dxa"/>
            <w:vAlign w:val="bottom"/>
          </w:tcPr>
          <w:p>
            <w:pPr>
              <w:spacing w:after="0"/>
              <w:rPr>
                <w:sz w:val="1"/>
                <w:szCs w:val="1"/>
                <w:color w:val="auto"/>
              </w:rPr>
            </w:pPr>
          </w:p>
        </w:tc>
      </w:tr>
      <w:tr>
        <w:trPr>
          <w:trHeight w:val="152"/>
        </w:trPr>
        <w:tc>
          <w:tcPr>
            <w:tcW w:w="14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0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1 700</w:t>
            </w:r>
          </w:p>
        </w:tc>
        <w:tc>
          <w:tcPr>
            <w:tcW w:w="92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2 287</w:t>
            </w:r>
          </w:p>
        </w:tc>
        <w:tc>
          <w:tcPr>
            <w:tcW w:w="5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2 039</w:t>
            </w:r>
          </w:p>
        </w:tc>
        <w:tc>
          <w:tcPr>
            <w:tcW w:w="0" w:type="dxa"/>
            <w:vAlign w:val="bottom"/>
          </w:tcPr>
          <w:p>
            <w:pPr>
              <w:spacing w:after="0"/>
              <w:rPr>
                <w:sz w:val="1"/>
                <w:szCs w:val="1"/>
                <w:color w:val="auto"/>
              </w:rPr>
            </w:pPr>
          </w:p>
        </w:tc>
      </w:tr>
      <w:tr>
        <w:trPr>
          <w:trHeight w:val="123"/>
        </w:trPr>
        <w:tc>
          <w:tcPr>
            <w:tcW w:w="27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Average capital and reserves attributable to equity holders</w:t>
            </w:r>
          </w:p>
        </w:tc>
        <w:tc>
          <w:tcPr>
            <w:tcW w:w="740" w:type="dxa"/>
            <w:vAlign w:val="bottom"/>
            <w:shd w:val="clear" w:color="auto" w:fill="F0F5FF"/>
          </w:tcPr>
          <w:p>
            <w:pPr>
              <w:spacing w:after="0"/>
              <w:rPr>
                <w:sz w:val="10"/>
                <w:szCs w:val="10"/>
                <w:color w:val="auto"/>
              </w:rPr>
            </w:pPr>
          </w:p>
        </w:tc>
        <w:tc>
          <w:tcPr>
            <w:tcW w:w="920" w:type="dxa"/>
            <w:vAlign w:val="bottom"/>
          </w:tcPr>
          <w:p>
            <w:pPr>
              <w:spacing w:after="0"/>
              <w:rPr>
                <w:sz w:val="10"/>
                <w:szCs w:val="10"/>
                <w:color w:val="auto"/>
              </w:rPr>
            </w:pPr>
          </w:p>
        </w:tc>
        <w:tc>
          <w:tcPr>
            <w:tcW w:w="56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72"/>
        </w:trPr>
        <w:tc>
          <w:tcPr>
            <w:tcW w:w="14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of the parent  </w:t>
            </w:r>
            <w:r>
              <w:rPr>
                <w:rFonts w:ascii="Times New Roman" w:cs="Times New Roman" w:eastAsia="Times New Roman" w:hAnsi="Times New Roman"/>
                <w:sz w:val="13"/>
                <w:szCs w:val="13"/>
                <w:color w:val="0D0D0D"/>
                <w:vertAlign w:val="superscript"/>
              </w:rPr>
              <w:t>(1)</w:t>
            </w:r>
          </w:p>
        </w:tc>
        <w:tc>
          <w:tcPr>
            <w:tcW w:w="1300" w:type="dxa"/>
            <w:vAlign w:val="bottom"/>
          </w:tcPr>
          <w:p>
            <w:pPr>
              <w:spacing w:after="0"/>
              <w:rPr>
                <w:sz w:val="14"/>
                <w:szCs w:val="14"/>
                <w:color w:val="auto"/>
              </w:rPr>
            </w:pP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20 935</w:t>
            </w:r>
          </w:p>
        </w:tc>
        <w:tc>
          <w:tcPr>
            <w:tcW w:w="92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19 347</w:t>
            </w:r>
          </w:p>
        </w:tc>
        <w:tc>
          <w:tcPr>
            <w:tcW w:w="5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14 913</w:t>
            </w:r>
          </w:p>
        </w:tc>
        <w:tc>
          <w:tcPr>
            <w:tcW w:w="0" w:type="dxa"/>
            <w:vAlign w:val="bottom"/>
          </w:tcPr>
          <w:p>
            <w:pPr>
              <w:spacing w:after="0"/>
              <w:rPr>
                <w:sz w:val="1"/>
                <w:szCs w:val="1"/>
                <w:color w:val="auto"/>
              </w:rPr>
            </w:pPr>
          </w:p>
        </w:tc>
      </w:tr>
      <w:tr>
        <w:trPr>
          <w:trHeight w:val="85"/>
        </w:trPr>
        <w:tc>
          <w:tcPr>
            <w:tcW w:w="148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Average non-controlling interests</w:t>
            </w:r>
          </w:p>
        </w:tc>
        <w:tc>
          <w:tcPr>
            <w:tcW w:w="1300" w:type="dxa"/>
            <w:vAlign w:val="bottom"/>
          </w:tcPr>
          <w:p>
            <w:pPr>
              <w:jc w:val="right"/>
              <w:ind w:right="1127"/>
              <w:spacing w:after="0"/>
              <w:rPr>
                <w:sz w:val="20"/>
                <w:szCs w:val="20"/>
                <w:color w:val="auto"/>
              </w:rPr>
            </w:pPr>
            <w:r>
              <w:rPr>
                <w:rFonts w:ascii="Times New Roman" w:cs="Times New Roman" w:eastAsia="Times New Roman" w:hAnsi="Times New Roman"/>
                <w:sz w:val="7"/>
                <w:szCs w:val="7"/>
                <w:color w:val="0D0D0D"/>
              </w:rPr>
              <w:t>(1)</w:t>
            </w:r>
          </w:p>
        </w:tc>
        <w:tc>
          <w:tcPr>
            <w:tcW w:w="74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92</w:t>
            </w:r>
          </w:p>
        </w:tc>
        <w:tc>
          <w:tcPr>
            <w:tcW w:w="920" w:type="dxa"/>
            <w:vAlign w:val="bottom"/>
            <w:vMerge w:val="restart"/>
          </w:tcPr>
          <w:p>
            <w:pPr>
              <w:jc w:val="right"/>
              <w:ind w:right="191"/>
              <w:spacing w:after="0"/>
              <w:rPr>
                <w:sz w:val="20"/>
                <w:szCs w:val="20"/>
                <w:color w:val="auto"/>
              </w:rPr>
            </w:pPr>
            <w:r>
              <w:rPr>
                <w:rFonts w:ascii="Times New Roman" w:cs="Times New Roman" w:eastAsia="Times New Roman" w:hAnsi="Times New Roman"/>
                <w:sz w:val="10"/>
                <w:szCs w:val="10"/>
                <w:color w:val="0D0D0D"/>
              </w:rPr>
              <w:t>98</w:t>
            </w:r>
          </w:p>
        </w:tc>
        <w:tc>
          <w:tcPr>
            <w:tcW w:w="56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91</w:t>
            </w:r>
          </w:p>
        </w:tc>
        <w:tc>
          <w:tcPr>
            <w:tcW w:w="0" w:type="dxa"/>
            <w:vAlign w:val="bottom"/>
          </w:tcPr>
          <w:p>
            <w:pPr>
              <w:spacing w:after="0"/>
              <w:rPr>
                <w:sz w:val="1"/>
                <w:szCs w:val="1"/>
                <w:color w:val="auto"/>
              </w:rPr>
            </w:pPr>
          </w:p>
        </w:tc>
      </w:tr>
      <w:tr>
        <w:trPr>
          <w:trHeight w:val="50"/>
        </w:trPr>
        <w:tc>
          <w:tcPr>
            <w:tcW w:w="1480" w:type="dxa"/>
            <w:vAlign w:val="bottom"/>
            <w:vMerge w:val="continue"/>
          </w:tcPr>
          <w:p>
            <w:pPr>
              <w:spacing w:after="0"/>
              <w:rPr>
                <w:sz w:val="4"/>
                <w:szCs w:val="4"/>
                <w:color w:val="auto"/>
              </w:rPr>
            </w:pPr>
          </w:p>
        </w:tc>
        <w:tc>
          <w:tcPr>
            <w:tcW w:w="1300" w:type="dxa"/>
            <w:vAlign w:val="bottom"/>
          </w:tcPr>
          <w:p>
            <w:pPr>
              <w:spacing w:after="0"/>
              <w:rPr>
                <w:sz w:val="4"/>
                <w:szCs w:val="4"/>
                <w:color w:val="auto"/>
              </w:rPr>
            </w:pPr>
          </w:p>
        </w:tc>
        <w:tc>
          <w:tcPr>
            <w:tcW w:w="740" w:type="dxa"/>
            <w:vAlign w:val="bottom"/>
            <w:vMerge w:val="continue"/>
            <w:shd w:val="clear" w:color="auto" w:fill="F0F5FF"/>
          </w:tcPr>
          <w:p>
            <w:pPr>
              <w:spacing w:after="0"/>
              <w:rPr>
                <w:sz w:val="4"/>
                <w:szCs w:val="4"/>
                <w:color w:val="auto"/>
              </w:rPr>
            </w:pPr>
          </w:p>
        </w:tc>
        <w:tc>
          <w:tcPr>
            <w:tcW w:w="920" w:type="dxa"/>
            <w:vAlign w:val="bottom"/>
            <w:vMerge w:val="continue"/>
          </w:tcPr>
          <w:p>
            <w:pPr>
              <w:spacing w:after="0"/>
              <w:rPr>
                <w:sz w:val="4"/>
                <w:szCs w:val="4"/>
                <w:color w:val="auto"/>
              </w:rPr>
            </w:pPr>
          </w:p>
        </w:tc>
        <w:tc>
          <w:tcPr>
            <w:tcW w:w="56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21"/>
        </w:trPr>
        <w:tc>
          <w:tcPr>
            <w:tcW w:w="148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Average interest-bearing liabilities</w:t>
            </w:r>
          </w:p>
        </w:tc>
        <w:tc>
          <w:tcPr>
            <w:tcW w:w="1300" w:type="dxa"/>
            <w:vAlign w:val="bottom"/>
          </w:tcPr>
          <w:p>
            <w:pPr>
              <w:jc w:val="right"/>
              <w:ind w:right="1087"/>
              <w:spacing w:after="0"/>
              <w:rPr>
                <w:sz w:val="20"/>
                <w:szCs w:val="20"/>
                <w:color w:val="auto"/>
              </w:rPr>
            </w:pPr>
            <w:r>
              <w:rPr>
                <w:rFonts w:ascii="Times New Roman" w:cs="Times New Roman" w:eastAsia="Times New Roman" w:hAnsi="Times New Roman"/>
                <w:sz w:val="7"/>
                <w:szCs w:val="7"/>
                <w:color w:val="0D0D0D"/>
              </w:rPr>
              <w:t>(1)</w:t>
            </w:r>
          </w:p>
        </w:tc>
        <w:tc>
          <w:tcPr>
            <w:tcW w:w="740" w:type="dxa"/>
            <w:vAlign w:val="bottom"/>
            <w:vMerge w:val="restart"/>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4 334</w:t>
            </w:r>
          </w:p>
        </w:tc>
        <w:tc>
          <w:tcPr>
            <w:tcW w:w="920" w:type="dxa"/>
            <w:vAlign w:val="bottom"/>
            <w:vMerge w:val="restart"/>
          </w:tcPr>
          <w:p>
            <w:pPr>
              <w:jc w:val="right"/>
              <w:ind w:right="211"/>
              <w:spacing w:after="0"/>
              <w:rPr>
                <w:sz w:val="20"/>
                <w:szCs w:val="20"/>
                <w:color w:val="auto"/>
              </w:rPr>
            </w:pPr>
            <w:r>
              <w:rPr>
                <w:rFonts w:ascii="Times New Roman" w:cs="Times New Roman" w:eastAsia="Times New Roman" w:hAnsi="Times New Roman"/>
                <w:sz w:val="10"/>
                <w:szCs w:val="10"/>
                <w:color w:val="0D0D0D"/>
              </w:rPr>
              <w:t>4 565</w:t>
            </w:r>
          </w:p>
        </w:tc>
        <w:tc>
          <w:tcPr>
            <w:tcW w:w="560" w:type="dxa"/>
            <w:vAlign w:val="bottom"/>
            <w:vMerge w:val="restart"/>
          </w:tcPr>
          <w:p>
            <w:pPr>
              <w:jc w:val="right"/>
              <w:ind w:right="31"/>
              <w:spacing w:after="0"/>
              <w:rPr>
                <w:sz w:val="20"/>
                <w:szCs w:val="20"/>
                <w:color w:val="auto"/>
              </w:rPr>
            </w:pPr>
            <w:r>
              <w:rPr>
                <w:rFonts w:ascii="Times New Roman" w:cs="Times New Roman" w:eastAsia="Times New Roman" w:hAnsi="Times New Roman"/>
                <w:sz w:val="10"/>
                <w:szCs w:val="10"/>
                <w:color w:val="0D0D0D"/>
              </w:rPr>
              <w:t>5 115</w:t>
            </w:r>
          </w:p>
        </w:tc>
        <w:tc>
          <w:tcPr>
            <w:tcW w:w="0" w:type="dxa"/>
            <w:vAlign w:val="bottom"/>
          </w:tcPr>
          <w:p>
            <w:pPr>
              <w:spacing w:after="0"/>
              <w:rPr>
                <w:sz w:val="1"/>
                <w:szCs w:val="1"/>
                <w:color w:val="auto"/>
              </w:rPr>
            </w:pPr>
          </w:p>
        </w:tc>
      </w:tr>
      <w:tr>
        <w:trPr>
          <w:trHeight w:val="56"/>
        </w:trPr>
        <w:tc>
          <w:tcPr>
            <w:tcW w:w="1480" w:type="dxa"/>
            <w:vAlign w:val="bottom"/>
            <w:tcBorders>
              <w:bottom w:val="single" w:sz="8" w:color="005AFF"/>
            </w:tcBorders>
            <w:vMerge w:val="continue"/>
          </w:tcPr>
          <w:p>
            <w:pPr>
              <w:spacing w:after="0"/>
              <w:rPr>
                <w:sz w:val="4"/>
                <w:szCs w:val="4"/>
                <w:color w:val="auto"/>
              </w:rPr>
            </w:pPr>
          </w:p>
        </w:tc>
        <w:tc>
          <w:tcPr>
            <w:tcW w:w="1300" w:type="dxa"/>
            <w:vAlign w:val="bottom"/>
            <w:tcBorders>
              <w:bottom w:val="single" w:sz="8" w:color="005AFF"/>
            </w:tcBorders>
          </w:tcPr>
          <w:p>
            <w:pPr>
              <w:spacing w:after="0"/>
              <w:rPr>
                <w:sz w:val="4"/>
                <w:szCs w:val="4"/>
                <w:color w:val="auto"/>
              </w:rPr>
            </w:pPr>
          </w:p>
        </w:tc>
        <w:tc>
          <w:tcPr>
            <w:tcW w:w="740" w:type="dxa"/>
            <w:vAlign w:val="bottom"/>
            <w:tcBorders>
              <w:bottom w:val="single" w:sz="8" w:color="005AFF"/>
            </w:tcBorders>
            <w:vMerge w:val="continue"/>
            <w:shd w:val="clear" w:color="auto" w:fill="F0F5FF"/>
          </w:tcPr>
          <w:p>
            <w:pPr>
              <w:spacing w:after="0"/>
              <w:rPr>
                <w:sz w:val="4"/>
                <w:szCs w:val="4"/>
                <w:color w:val="auto"/>
              </w:rPr>
            </w:pPr>
          </w:p>
        </w:tc>
        <w:tc>
          <w:tcPr>
            <w:tcW w:w="920" w:type="dxa"/>
            <w:vAlign w:val="bottom"/>
            <w:tcBorders>
              <w:bottom w:val="single" w:sz="8" w:color="005AFF"/>
            </w:tcBorders>
            <w:vMerge w:val="continue"/>
          </w:tcPr>
          <w:p>
            <w:pPr>
              <w:spacing w:after="0"/>
              <w:rPr>
                <w:sz w:val="4"/>
                <w:szCs w:val="4"/>
                <w:color w:val="auto"/>
              </w:rPr>
            </w:pPr>
          </w:p>
        </w:tc>
        <w:tc>
          <w:tcPr>
            <w:tcW w:w="56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52"/>
        </w:trPr>
        <w:tc>
          <w:tcPr>
            <w:tcW w:w="14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capital employed</w:t>
            </w:r>
          </w:p>
        </w:tc>
        <w:tc>
          <w:tcPr>
            <w:tcW w:w="130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25 361</w:t>
            </w:r>
          </w:p>
        </w:tc>
        <w:tc>
          <w:tcPr>
            <w:tcW w:w="92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24 010</w:t>
            </w:r>
          </w:p>
        </w:tc>
        <w:tc>
          <w:tcPr>
            <w:tcW w:w="5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20 119</w:t>
            </w:r>
          </w:p>
        </w:tc>
        <w:tc>
          <w:tcPr>
            <w:tcW w:w="0" w:type="dxa"/>
            <w:vAlign w:val="bottom"/>
          </w:tcPr>
          <w:p>
            <w:pPr>
              <w:spacing w:after="0"/>
              <w:rPr>
                <w:sz w:val="1"/>
                <w:szCs w:val="1"/>
                <w:color w:val="auto"/>
              </w:rPr>
            </w:pPr>
          </w:p>
        </w:tc>
      </w:tr>
      <w:tr>
        <w:trPr>
          <w:trHeight w:val="152"/>
        </w:trPr>
        <w:tc>
          <w:tcPr>
            <w:tcW w:w="14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Return on capital employed %</w:t>
            </w:r>
          </w:p>
        </w:tc>
        <w:tc>
          <w:tcPr>
            <w:tcW w:w="130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6.7%</w:t>
            </w:r>
          </w:p>
        </w:tc>
        <w:tc>
          <w:tcPr>
            <w:tcW w:w="9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9.5%</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10.1%</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right="800" w:hanging="199"/>
        <w:spacing w:after="0" w:line="269" w:lineRule="auto"/>
        <w:tabs>
          <w:tab w:leader="none" w:pos="200" w:val="left"/>
        </w:tabs>
        <w:numPr>
          <w:ilvl w:val="0"/>
          <w:numId w:val="10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Calculated as the average of opening and closing balance for the year as presented in the consolidated statement of financial position. Refer to the consolidated financial statements.</w:t>
      </w:r>
    </w:p>
    <w:p>
      <w:pPr>
        <w:spacing w:after="0" w:line="200" w:lineRule="exact"/>
        <w:rPr>
          <w:sz w:val="20"/>
          <w:szCs w:val="20"/>
          <w:color w:val="auto"/>
        </w:rPr>
      </w:pP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40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138</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32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Return on shareholders’ equity %</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24" w:lineRule="exact"/>
        <w:rPr>
          <w:sz w:val="20"/>
          <w:szCs w:val="20"/>
          <w:color w:val="auto"/>
        </w:rPr>
      </w:pPr>
    </w:p>
    <w:p>
      <w:pPr>
        <w:ind w:right="660"/>
        <w:spacing w:after="0" w:line="297" w:lineRule="auto"/>
        <w:rPr>
          <w:sz w:val="20"/>
          <w:szCs w:val="20"/>
          <w:color w:val="auto"/>
        </w:rPr>
      </w:pPr>
      <w:r>
        <w:rPr>
          <w:rFonts w:ascii="Times New Roman" w:cs="Times New Roman" w:eastAsia="Times New Roman" w:hAnsi="Times New Roman"/>
          <w:sz w:val="11"/>
          <w:szCs w:val="11"/>
          <w:color w:val="auto"/>
        </w:rPr>
        <w:t>Return on shareholders’ equity is defined as Profit/(loss) for the year attributable to equity holders of the parent / Average capital and reserves attributable to equity holders of the parent.</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24" w:lineRule="exact"/>
        <w:rPr>
          <w:sz w:val="20"/>
          <w:szCs w:val="20"/>
          <w:color w:val="auto"/>
        </w:rPr>
      </w:pPr>
    </w:p>
    <w:p>
      <w:pPr>
        <w:ind w:right="700"/>
        <w:spacing w:after="0" w:line="278" w:lineRule="auto"/>
        <w:rPr>
          <w:sz w:val="20"/>
          <w:szCs w:val="20"/>
          <w:color w:val="auto"/>
        </w:rPr>
      </w:pPr>
      <w:r>
        <w:rPr>
          <w:rFonts w:ascii="Times New Roman" w:cs="Times New Roman" w:eastAsia="Times New Roman" w:hAnsi="Times New Roman"/>
          <w:sz w:val="11"/>
          <w:szCs w:val="11"/>
          <w:color w:val="auto"/>
        </w:rPr>
        <w:t>Return on shareholders’ equity indicates how efficiently Nokia uses the capital invested by its shareholders to generate profits.</w:t>
      </w:r>
    </w:p>
    <w:p>
      <w:pPr>
        <w:spacing w:after="0" w:line="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return on shareholders’ equity %:</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920" w:type="dxa"/>
            <w:vAlign w:val="bottom"/>
            <w:tcBorders>
              <w:bottom w:val="single" w:sz="8" w:color="005AFF"/>
            </w:tcBorders>
          </w:tcPr>
          <w:p>
            <w:pPr>
              <w:jc w:val="right"/>
              <w:ind w:right="192"/>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1"/>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Profit/(loss) for the year attributable to equity holders of</w:t>
            </w:r>
          </w:p>
        </w:tc>
        <w:tc>
          <w:tcPr>
            <w:tcW w:w="740" w:type="dxa"/>
            <w:vAlign w:val="bottom"/>
            <w:shd w:val="clear" w:color="auto" w:fill="F0F5FF"/>
          </w:tcPr>
          <w:p>
            <w:pPr>
              <w:spacing w:after="0"/>
              <w:rPr>
                <w:sz w:val="11"/>
                <w:szCs w:val="11"/>
                <w:color w:val="auto"/>
              </w:rPr>
            </w:pPr>
          </w:p>
        </w:tc>
        <w:tc>
          <w:tcPr>
            <w:tcW w:w="92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3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the parent</w:t>
            </w:r>
          </w:p>
        </w:tc>
        <w:tc>
          <w:tcPr>
            <w:tcW w:w="74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665</w:t>
            </w:r>
          </w:p>
        </w:tc>
        <w:tc>
          <w:tcPr>
            <w:tcW w:w="920" w:type="dxa"/>
            <w:vAlign w:val="bottom"/>
          </w:tcPr>
          <w:p>
            <w:pPr>
              <w:jc w:val="right"/>
              <w:ind w:right="212"/>
              <w:spacing w:after="0"/>
              <w:rPr>
                <w:sz w:val="20"/>
                <w:szCs w:val="20"/>
                <w:color w:val="auto"/>
              </w:rPr>
            </w:pPr>
            <w:r>
              <w:rPr>
                <w:rFonts w:ascii="Times New Roman" w:cs="Times New Roman" w:eastAsia="Times New Roman" w:hAnsi="Times New Roman"/>
                <w:sz w:val="10"/>
                <w:szCs w:val="10"/>
                <w:color w:val="0D0D0D"/>
              </w:rPr>
              <w:t>4 250</w:t>
            </w:r>
          </w:p>
        </w:tc>
        <w:tc>
          <w:tcPr>
            <w:tcW w:w="56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1 623</w:t>
            </w:r>
          </w:p>
        </w:tc>
      </w:tr>
      <w:tr>
        <w:trPr>
          <w:trHeight w:val="148"/>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Average capital and reserves attributable to equity holders</w:t>
            </w:r>
          </w:p>
        </w:tc>
        <w:tc>
          <w:tcPr>
            <w:tcW w:w="740" w:type="dxa"/>
            <w:vAlign w:val="bottom"/>
            <w:shd w:val="clear" w:color="auto" w:fill="F0F5FF"/>
          </w:tcPr>
          <w:p>
            <w:pPr>
              <w:spacing w:after="0"/>
              <w:rPr>
                <w:sz w:val="12"/>
                <w:szCs w:val="12"/>
                <w:color w:val="auto"/>
              </w:rPr>
            </w:pPr>
          </w:p>
        </w:tc>
        <w:tc>
          <w:tcPr>
            <w:tcW w:w="920" w:type="dxa"/>
            <w:vAlign w:val="bottom"/>
          </w:tcPr>
          <w:p>
            <w:pPr>
              <w:spacing w:after="0"/>
              <w:rPr>
                <w:sz w:val="12"/>
                <w:szCs w:val="12"/>
                <w:color w:val="auto"/>
              </w:rPr>
            </w:pPr>
          </w:p>
        </w:tc>
        <w:tc>
          <w:tcPr>
            <w:tcW w:w="560" w:type="dxa"/>
            <w:vAlign w:val="bottom"/>
          </w:tcPr>
          <w:p>
            <w:pPr>
              <w:spacing w:after="0"/>
              <w:rPr>
                <w:sz w:val="12"/>
                <w:szCs w:val="12"/>
                <w:color w:val="auto"/>
              </w:rPr>
            </w:pPr>
          </w:p>
        </w:tc>
      </w:tr>
      <w:tr>
        <w:trPr>
          <w:trHeight w:val="145"/>
        </w:trPr>
        <w:tc>
          <w:tcPr>
            <w:tcW w:w="2780" w:type="dxa"/>
            <w:vAlign w:val="bottom"/>
            <w:tcBorders>
              <w:bottom w:val="single" w:sz="8" w:color="005AFF"/>
            </w:tcBorders>
          </w:tcPr>
          <w:p>
            <w:pPr>
              <w:ind w:left="40"/>
              <w:spacing w:after="0" w:line="146" w:lineRule="exact"/>
              <w:rPr>
                <w:sz w:val="20"/>
                <w:szCs w:val="20"/>
                <w:color w:val="auto"/>
              </w:rPr>
            </w:pPr>
            <w:r>
              <w:rPr>
                <w:rFonts w:ascii="Times New Roman" w:cs="Times New Roman" w:eastAsia="Times New Roman" w:hAnsi="Times New Roman"/>
                <w:sz w:val="10"/>
                <w:szCs w:val="10"/>
                <w:color w:val="0D0D0D"/>
              </w:rPr>
              <w:t xml:space="preserve">of the parent  </w:t>
            </w:r>
            <w:r>
              <w:rPr>
                <w:rFonts w:ascii="Times New Roman" w:cs="Times New Roman" w:eastAsia="Times New Roman" w:hAnsi="Times New Roman"/>
                <w:sz w:val="13"/>
                <w:szCs w:val="13"/>
                <w:color w:val="0D0D0D"/>
                <w:vertAlign w:val="superscript"/>
              </w:rPr>
              <w:t>(1)</w:t>
            </w:r>
          </w:p>
        </w:tc>
        <w:tc>
          <w:tcPr>
            <w:tcW w:w="74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20 935</w:t>
            </w:r>
          </w:p>
        </w:tc>
        <w:tc>
          <w:tcPr>
            <w:tcW w:w="92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10"/>
                <w:szCs w:val="10"/>
                <w:color w:val="0D0D0D"/>
              </w:rPr>
              <w:t>19 347</w:t>
            </w:r>
          </w:p>
        </w:tc>
        <w:tc>
          <w:tcPr>
            <w:tcW w:w="5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14 913</w:t>
            </w:r>
          </w:p>
        </w:tc>
      </w:tr>
      <w:tr>
        <w:trPr>
          <w:trHeight w:val="147"/>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Return on shareholders’ equity %</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3.2 %</w:t>
            </w:r>
          </w:p>
        </w:tc>
        <w:tc>
          <w:tcPr>
            <w:tcW w:w="92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10"/>
                <w:szCs w:val="10"/>
                <w:b w:val="1"/>
                <w:bCs w:val="1"/>
                <w:color w:val="auto"/>
              </w:rPr>
              <w:t>22.0 %</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10.9 %</w:t>
            </w:r>
          </w:p>
        </w:tc>
      </w:tr>
    </w:tbl>
    <w:p>
      <w:pPr>
        <w:spacing w:after="0" w:line="31" w:lineRule="exact"/>
        <w:rPr>
          <w:sz w:val="20"/>
          <w:szCs w:val="20"/>
          <w:color w:val="auto"/>
        </w:rPr>
      </w:pPr>
    </w:p>
    <w:p>
      <w:pPr>
        <w:ind w:left="200" w:right="800" w:hanging="198"/>
        <w:spacing w:after="0" w:line="295" w:lineRule="auto"/>
        <w:tabs>
          <w:tab w:leader="none" w:pos="200" w:val="left"/>
        </w:tabs>
        <w:numPr>
          <w:ilvl w:val="0"/>
          <w:numId w:val="10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Calculated as the average of opening and closing balance for the year as presented in the consolidated statement of financial position. Refer to the consolidated financial statements.</w:t>
      </w:r>
    </w:p>
    <w:p>
      <w:pPr>
        <w:spacing w:after="0" w:line="5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Equity ratio %</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ind w:right="900"/>
        <w:spacing w:after="0" w:line="286" w:lineRule="auto"/>
        <w:rPr>
          <w:sz w:val="20"/>
          <w:szCs w:val="20"/>
          <w:color w:val="auto"/>
        </w:rPr>
      </w:pPr>
      <w:r>
        <w:rPr>
          <w:rFonts w:ascii="Times New Roman" w:cs="Times New Roman" w:eastAsia="Times New Roman" w:hAnsi="Times New Roman"/>
          <w:sz w:val="11"/>
          <w:szCs w:val="11"/>
          <w:color w:val="auto"/>
        </w:rPr>
        <w:t>Equity ratio % is defined as Total capital and reserves attributable to equity holders of the parent + non-controlling interests / Total assets.</w:t>
      </w:r>
    </w:p>
    <w:p>
      <w:pPr>
        <w:spacing w:after="0" w:line="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24" w:lineRule="exact"/>
        <w:rPr>
          <w:sz w:val="20"/>
          <w:szCs w:val="20"/>
          <w:color w:val="auto"/>
        </w:rPr>
      </w:pPr>
    </w:p>
    <w:p>
      <w:pPr>
        <w:ind w:right="780"/>
        <w:spacing w:after="0" w:line="297" w:lineRule="auto"/>
        <w:rPr>
          <w:sz w:val="20"/>
          <w:szCs w:val="20"/>
          <w:color w:val="auto"/>
        </w:rPr>
      </w:pPr>
      <w:r>
        <w:rPr>
          <w:rFonts w:ascii="Times New Roman" w:cs="Times New Roman" w:eastAsia="Times New Roman" w:hAnsi="Times New Roman"/>
          <w:sz w:val="11"/>
          <w:szCs w:val="11"/>
          <w:color w:val="auto"/>
        </w:rPr>
        <w:t>Equity ratio indicates the proportion of assets financed by the capital provided by the equity holders of the parent to the total assets of Nokia.</w:t>
      </w:r>
    </w:p>
    <w:p>
      <w:pPr>
        <w:spacing w:after="0" w:line="3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equity ratio %:</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92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1"/>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capital and reserves attributable to equity holders of</w:t>
            </w:r>
          </w:p>
        </w:tc>
        <w:tc>
          <w:tcPr>
            <w:tcW w:w="740" w:type="dxa"/>
            <w:vAlign w:val="bottom"/>
            <w:shd w:val="clear" w:color="auto" w:fill="F0F5FF"/>
          </w:tcPr>
          <w:p>
            <w:pPr>
              <w:spacing w:after="0"/>
              <w:rPr>
                <w:sz w:val="11"/>
                <w:szCs w:val="11"/>
                <w:color w:val="auto"/>
              </w:rPr>
            </w:pPr>
          </w:p>
        </w:tc>
        <w:tc>
          <w:tcPr>
            <w:tcW w:w="92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3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the parent</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20 537</w:t>
            </w:r>
          </w:p>
        </w:tc>
        <w:tc>
          <w:tcPr>
            <w:tcW w:w="92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21 333</w:t>
            </w:r>
          </w:p>
        </w:tc>
        <w:tc>
          <w:tcPr>
            <w:tcW w:w="5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17 360</w:t>
            </w:r>
          </w:p>
        </w:tc>
      </w:tr>
      <w:tr>
        <w:trPr>
          <w:trHeight w:val="167"/>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91</w:t>
            </w:r>
          </w:p>
        </w:tc>
        <w:tc>
          <w:tcPr>
            <w:tcW w:w="92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10"/>
                <w:szCs w:val="10"/>
                <w:color w:val="0D0D0D"/>
              </w:rPr>
              <w:t>93</w:t>
            </w:r>
          </w:p>
        </w:tc>
        <w:tc>
          <w:tcPr>
            <w:tcW w:w="5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102</w:t>
            </w:r>
          </w:p>
        </w:tc>
      </w:tr>
      <w:tr>
        <w:trPr>
          <w:trHeight w:val="14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Shareholders’ equity</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20 628</w:t>
            </w:r>
          </w:p>
        </w:tc>
        <w:tc>
          <w:tcPr>
            <w:tcW w:w="92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21 426</w:t>
            </w:r>
          </w:p>
        </w:tc>
        <w:tc>
          <w:tcPr>
            <w:tcW w:w="5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17 462</w:t>
            </w:r>
          </w:p>
        </w:tc>
      </w:tr>
      <w:tr>
        <w:trPr>
          <w:trHeight w:val="14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assets</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39 860</w:t>
            </w:r>
          </w:p>
        </w:tc>
        <w:tc>
          <w:tcPr>
            <w:tcW w:w="92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42 943</w:t>
            </w:r>
          </w:p>
        </w:tc>
        <w:tc>
          <w:tcPr>
            <w:tcW w:w="5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40 049</w:t>
            </w:r>
          </w:p>
        </w:tc>
      </w:tr>
      <w:tr>
        <w:trPr>
          <w:trHeight w:val="14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Equity ratio %</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51.8 %</w:t>
            </w:r>
          </w:p>
        </w:tc>
        <w:tc>
          <w:tcPr>
            <w:tcW w:w="92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49.9 %</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43.6 %</w:t>
            </w:r>
          </w:p>
        </w:tc>
      </w:tr>
    </w:tbl>
    <w:p>
      <w:pPr>
        <w:sectPr>
          <w:pgSz w:w="11900" w:h="16838" w:orient="portrait"/>
          <w:cols w:equalWidth="0" w:num="2">
            <w:col w:w="5000" w:space="100"/>
            <w:col w:w="5000"/>
          </w:cols>
          <w:pgMar w:left="960" w:top="410" w:right="839" w:bottom="1440" w:gutter="0" w:footer="0" w:header="0"/>
        </w:sectPr>
      </w:pPr>
    </w:p>
    <w:bookmarkStart w:id="146" w:name="page147"/>
    <w:bookmarkEnd w:id="146"/>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139</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720" w:type="dxa"/>
            <w:vAlign w:val="bottom"/>
          </w:tcPr>
          <w:p>
            <w:pPr>
              <w:spacing w:after="0"/>
              <w:rPr>
                <w:sz w:val="3"/>
                <w:szCs w:val="3"/>
                <w:color w:val="auto"/>
              </w:rPr>
            </w:pPr>
          </w:p>
        </w:tc>
        <w:tc>
          <w:tcPr>
            <w:tcW w:w="620" w:type="dxa"/>
            <w:vAlign w:val="bottom"/>
            <w:tcBorders>
              <w:bottom w:val="single" w:sz="8" w:color="005AFF"/>
            </w:tcBorders>
          </w:tcPr>
          <w:p>
            <w:pPr>
              <w:spacing w:after="0"/>
              <w:rPr>
                <w:sz w:val="3"/>
                <w:szCs w:val="3"/>
                <w:color w:val="auto"/>
              </w:rPr>
            </w:pPr>
          </w:p>
        </w:tc>
        <w:tc>
          <w:tcPr>
            <w:tcW w:w="12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p>
    <w:p>
      <w:pPr>
        <w:sectPr>
          <w:pgSz w:w="11900" w:h="16838" w:orient="portrait"/>
          <w:cols w:equalWidth="0" w:num="1">
            <w:col w:w="10100"/>
          </w:cols>
          <w:pgMar w:left="960" w:top="409" w:right="839" w:bottom="1440" w:gutter="0" w:footer="0" w:header="0"/>
        </w:sectPr>
      </w:pP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Total cash and interest-bearing financial investments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24" w:lineRule="exact"/>
        <w:rPr>
          <w:sz w:val="20"/>
          <w:szCs w:val="20"/>
          <w:color w:val="auto"/>
        </w:rPr>
      </w:pPr>
    </w:p>
    <w:p>
      <w:pPr>
        <w:ind w:right="820"/>
        <w:spacing w:after="0" w:line="273" w:lineRule="auto"/>
        <w:rPr>
          <w:sz w:val="20"/>
          <w:szCs w:val="20"/>
          <w:color w:val="auto"/>
        </w:rPr>
      </w:pPr>
      <w:r>
        <w:rPr>
          <w:rFonts w:ascii="Times New Roman" w:cs="Times New Roman" w:eastAsia="Times New Roman" w:hAnsi="Times New Roman"/>
          <w:sz w:val="11"/>
          <w:szCs w:val="11"/>
          <w:color w:val="auto"/>
        </w:rPr>
        <w:t>Total cash and interest-bearing financial investments consist of cash and cash equivalents, current interest-bearing financial investments and non-current interest-bearing financial investments.</w:t>
      </w:r>
    </w:p>
    <w:p>
      <w:pPr>
        <w:spacing w:after="0" w:line="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19" w:lineRule="exact"/>
        <w:rPr>
          <w:sz w:val="20"/>
          <w:szCs w:val="20"/>
          <w:color w:val="auto"/>
        </w:rPr>
      </w:pPr>
    </w:p>
    <w:p>
      <w:pPr>
        <w:jc w:val="both"/>
        <w:ind w:right="780"/>
        <w:spacing w:after="0" w:line="277" w:lineRule="auto"/>
        <w:rPr>
          <w:sz w:val="20"/>
          <w:szCs w:val="20"/>
          <w:color w:val="auto"/>
        </w:rPr>
      </w:pPr>
      <w:r>
        <w:rPr>
          <w:rFonts w:ascii="Times New Roman" w:cs="Times New Roman" w:eastAsia="Times New Roman" w:hAnsi="Times New Roman"/>
          <w:sz w:val="11"/>
          <w:szCs w:val="11"/>
          <w:color w:val="auto"/>
        </w:rPr>
        <w:t>Total cash and interest-bearing financial investments is used to indicate funds available to Nokia to run its current and invest in future business activities as well as provide return for security holders.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total cash and interest-bearing financial investments:</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94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6 234</w:t>
            </w:r>
          </w:p>
        </w:tc>
        <w:tc>
          <w:tcPr>
            <w:tcW w:w="94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5 467</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6 691</w:t>
            </w:r>
          </w:p>
        </w:tc>
      </w:tr>
      <w:tr>
        <w:trPr>
          <w:trHeight w:val="162"/>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1 565</w:t>
            </w:r>
          </w:p>
        </w:tc>
        <w:tc>
          <w:tcPr>
            <w:tcW w:w="94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3 080</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2 577</w:t>
            </w:r>
          </w:p>
        </w:tc>
      </w:tr>
      <w:tr>
        <w:trPr>
          <w:trHeight w:val="167"/>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715</w:t>
            </w:r>
          </w:p>
        </w:tc>
        <w:tc>
          <w:tcPr>
            <w:tcW w:w="94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color w:val="0D0D0D"/>
              </w:rPr>
              <w:t>697</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42"/>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cash and interest-bearing financial investments</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8 514</w:t>
            </w:r>
          </w:p>
        </w:tc>
        <w:tc>
          <w:tcPr>
            <w:tcW w:w="94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9 244</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9 268</w:t>
            </w:r>
          </w:p>
        </w:tc>
      </w:tr>
    </w:tbl>
    <w:p>
      <w:pPr>
        <w:spacing w:after="0" w:line="10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 cash and interest-bearing financial investments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24" w:lineRule="exact"/>
        <w:rPr>
          <w:sz w:val="20"/>
          <w:szCs w:val="20"/>
          <w:color w:val="auto"/>
        </w:rPr>
      </w:pPr>
    </w:p>
    <w:p>
      <w:pPr>
        <w:ind w:right="860"/>
        <w:spacing w:after="0" w:line="297" w:lineRule="auto"/>
        <w:rPr>
          <w:sz w:val="20"/>
          <w:szCs w:val="20"/>
          <w:color w:val="auto"/>
        </w:rPr>
      </w:pPr>
      <w:r>
        <w:rPr>
          <w:rFonts w:ascii="Times New Roman" w:cs="Times New Roman" w:eastAsia="Times New Roman" w:hAnsi="Times New Roman"/>
          <w:sz w:val="11"/>
          <w:szCs w:val="11"/>
          <w:color w:val="auto"/>
        </w:rPr>
        <w:t>Net cash and interest-bearing financial investments equals total cash and interest-bearing financial investments less long-term and short-term interest-bearing liabilities.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24" w:lineRule="exact"/>
        <w:rPr>
          <w:sz w:val="20"/>
          <w:szCs w:val="20"/>
          <w:color w:val="auto"/>
        </w:rPr>
      </w:pPr>
    </w:p>
    <w:p>
      <w:pPr>
        <w:ind w:right="540"/>
        <w:spacing w:after="0" w:line="278" w:lineRule="auto"/>
        <w:rPr>
          <w:sz w:val="20"/>
          <w:szCs w:val="20"/>
          <w:color w:val="auto"/>
        </w:rPr>
      </w:pPr>
      <w:r>
        <w:rPr>
          <w:rFonts w:ascii="Times New Roman" w:cs="Times New Roman" w:eastAsia="Times New Roman" w:hAnsi="Times New Roman"/>
          <w:sz w:val="11"/>
          <w:szCs w:val="11"/>
          <w:color w:val="auto"/>
        </w:rPr>
        <w:t>Net cash and interest-bearing financial investments is used to indicate Nokia’s liquidity position after cash required to settle the interest-bearing liabilities.</w:t>
      </w:r>
    </w:p>
    <w:p>
      <w:pPr>
        <w:spacing w:after="0" w:line="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net cash and interest-bearing financial investments:</w:t>
      </w:r>
    </w:p>
    <w:p>
      <w:pPr>
        <w:spacing w:after="0" w:line="16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94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50"/>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cash and interest-bearing financial investments</w:t>
            </w:r>
          </w:p>
        </w:tc>
        <w:tc>
          <w:tcPr>
            <w:tcW w:w="740" w:type="dxa"/>
            <w:vAlign w:val="bottom"/>
            <w:shd w:val="clear" w:color="auto" w:fill="F0F5FF"/>
          </w:tcPr>
          <w:p>
            <w:pPr>
              <w:spacing w:after="0"/>
              <w:rPr>
                <w:sz w:val="13"/>
                <w:szCs w:val="13"/>
                <w:color w:val="auto"/>
              </w:rPr>
            </w:pPr>
          </w:p>
        </w:tc>
        <w:tc>
          <w:tcPr>
            <w:tcW w:w="940" w:type="dxa"/>
            <w:vAlign w:val="bottom"/>
          </w:tcPr>
          <w:p>
            <w:pPr>
              <w:spacing w:after="0"/>
              <w:rPr>
                <w:sz w:val="13"/>
                <w:szCs w:val="13"/>
                <w:color w:val="auto"/>
              </w:rPr>
            </w:pPr>
          </w:p>
        </w:tc>
        <w:tc>
          <w:tcPr>
            <w:tcW w:w="540" w:type="dxa"/>
            <w:vAlign w:val="bottom"/>
          </w:tcPr>
          <w:p>
            <w:pPr>
              <w:spacing w:after="0"/>
              <w:rPr>
                <w:sz w:val="13"/>
                <w:szCs w:val="13"/>
                <w:color w:val="auto"/>
              </w:rPr>
            </w:pPr>
          </w:p>
        </w:tc>
      </w:tr>
      <w:tr>
        <w:trPr>
          <w:trHeight w:val="172"/>
        </w:trPr>
        <w:tc>
          <w:tcPr>
            <w:tcW w:w="27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6 234</w:t>
            </w:r>
          </w:p>
        </w:tc>
        <w:tc>
          <w:tcPr>
            <w:tcW w:w="94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5 467</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6 691</w:t>
            </w:r>
          </w:p>
        </w:tc>
      </w:tr>
      <w:tr>
        <w:trPr>
          <w:trHeight w:val="172"/>
        </w:trPr>
        <w:tc>
          <w:tcPr>
            <w:tcW w:w="27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1 565</w:t>
            </w:r>
          </w:p>
        </w:tc>
        <w:tc>
          <w:tcPr>
            <w:tcW w:w="94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3 080</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2 577</w:t>
            </w:r>
          </w:p>
        </w:tc>
      </w:tr>
      <w:tr>
        <w:trPr>
          <w:trHeight w:val="172"/>
        </w:trPr>
        <w:tc>
          <w:tcPr>
            <w:tcW w:w="27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715</w:t>
            </w:r>
          </w:p>
        </w:tc>
        <w:tc>
          <w:tcPr>
            <w:tcW w:w="94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697</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72"/>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Interest-bearing liabilities</w:t>
            </w:r>
          </w:p>
        </w:tc>
        <w:tc>
          <w:tcPr>
            <w:tcW w:w="740" w:type="dxa"/>
            <w:vAlign w:val="bottom"/>
            <w:shd w:val="clear" w:color="auto" w:fill="F0F5FF"/>
          </w:tcPr>
          <w:p>
            <w:pPr>
              <w:spacing w:after="0"/>
              <w:rPr>
                <w:sz w:val="14"/>
                <w:szCs w:val="14"/>
                <w:color w:val="auto"/>
              </w:rPr>
            </w:pPr>
          </w:p>
        </w:tc>
        <w:tc>
          <w:tcPr>
            <w:tcW w:w="940" w:type="dxa"/>
            <w:vAlign w:val="bottom"/>
          </w:tcPr>
          <w:p>
            <w:pPr>
              <w:spacing w:after="0"/>
              <w:rPr>
                <w:sz w:val="14"/>
                <w:szCs w:val="14"/>
                <w:color w:val="auto"/>
              </w:rPr>
            </w:pPr>
          </w:p>
        </w:tc>
        <w:tc>
          <w:tcPr>
            <w:tcW w:w="540" w:type="dxa"/>
            <w:vAlign w:val="bottom"/>
          </w:tcPr>
          <w:p>
            <w:pPr>
              <w:spacing w:after="0"/>
              <w:rPr>
                <w:sz w:val="14"/>
                <w:szCs w:val="14"/>
                <w:color w:val="auto"/>
              </w:rPr>
            </w:pPr>
          </w:p>
        </w:tc>
      </w:tr>
      <w:tr>
        <w:trPr>
          <w:trHeight w:val="172"/>
        </w:trPr>
        <w:tc>
          <w:tcPr>
            <w:tcW w:w="27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Long-term interest-bearing liabilities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(3 637)</w:t>
            </w:r>
          </w:p>
        </w:tc>
        <w:tc>
          <w:tcPr>
            <w:tcW w:w="94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(4 249)</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(4 537)</w:t>
            </w:r>
          </w:p>
        </w:tc>
      </w:tr>
      <w:tr>
        <w:trPr>
          <w:trHeight w:val="177"/>
        </w:trPr>
        <w:tc>
          <w:tcPr>
            <w:tcW w:w="272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Short-term interest-bearing liabilities</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(554)</w:t>
            </w:r>
          </w:p>
        </w:tc>
        <w:tc>
          <w:tcPr>
            <w:tcW w:w="94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color w:val="0D0D0D"/>
              </w:rPr>
              <w:t>(228)</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(116)</w:t>
            </w:r>
          </w:p>
        </w:tc>
      </w:tr>
      <w:tr>
        <w:trPr>
          <w:trHeight w:val="152"/>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cash and interest-bearing financial investments</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4 323</w:t>
            </w:r>
          </w:p>
        </w:tc>
        <w:tc>
          <w:tcPr>
            <w:tcW w:w="94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10"/>
                <w:szCs w:val="10"/>
                <w:b w:val="1"/>
                <w:bCs w:val="1"/>
                <w:color w:val="auto"/>
              </w:rPr>
              <w:t>4 767</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4 615</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5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 debt to equity (gearing) %</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24" w:lineRule="exact"/>
        <w:rPr>
          <w:sz w:val="20"/>
          <w:szCs w:val="20"/>
          <w:color w:val="auto"/>
        </w:rPr>
      </w:pPr>
    </w:p>
    <w:p>
      <w:pPr>
        <w:ind w:right="820"/>
        <w:spacing w:after="0" w:line="273" w:lineRule="auto"/>
        <w:rPr>
          <w:sz w:val="20"/>
          <w:szCs w:val="20"/>
          <w:color w:val="auto"/>
        </w:rPr>
      </w:pPr>
      <w:r>
        <w:rPr>
          <w:rFonts w:ascii="Times New Roman" w:cs="Times New Roman" w:eastAsia="Times New Roman" w:hAnsi="Times New Roman"/>
          <w:sz w:val="11"/>
          <w:szCs w:val="11"/>
          <w:color w:val="auto"/>
        </w:rPr>
        <w:t>Net debt to equity (gearing) % is defined as Interest-bearing liabilities less Total cash and interest-bearing financial investments / (Total capital and reserves attributable to the equity holders of the parent + Non-controlling interests).</w:t>
      </w:r>
    </w:p>
    <w:p>
      <w:pPr>
        <w:spacing w:after="0" w:line="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19" w:lineRule="exact"/>
        <w:rPr>
          <w:sz w:val="20"/>
          <w:szCs w:val="20"/>
          <w:color w:val="auto"/>
        </w:rPr>
      </w:pPr>
    </w:p>
    <w:p>
      <w:pPr>
        <w:ind w:right="620"/>
        <w:spacing w:after="0" w:line="286" w:lineRule="auto"/>
        <w:rPr>
          <w:sz w:val="20"/>
          <w:szCs w:val="20"/>
          <w:color w:val="auto"/>
        </w:rPr>
      </w:pPr>
      <w:r>
        <w:rPr>
          <w:rFonts w:ascii="Times New Roman" w:cs="Times New Roman" w:eastAsia="Times New Roman" w:hAnsi="Times New Roman"/>
          <w:sz w:val="11"/>
          <w:szCs w:val="11"/>
          <w:color w:val="auto"/>
        </w:rPr>
        <w:t>Net debt to equity ratio presents the relative proportion of shareholders’ equity and interest-bearing liabilities used to finance Nokia’s assets and indicates the leverage of Nokia’s business.</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net debt to equity (gearing) %:</w:t>
      </w:r>
    </w:p>
    <w:p>
      <w:pPr>
        <w:spacing w:after="0" w:line="13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92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Interest-bearing liabilities</w:t>
            </w:r>
          </w:p>
        </w:tc>
        <w:tc>
          <w:tcPr>
            <w:tcW w:w="740" w:type="dxa"/>
            <w:vAlign w:val="bottom"/>
            <w:shd w:val="clear" w:color="auto" w:fill="F0F5FF"/>
          </w:tcPr>
          <w:p>
            <w:pPr>
              <w:spacing w:after="0"/>
              <w:rPr>
                <w:sz w:val="12"/>
                <w:szCs w:val="12"/>
                <w:color w:val="auto"/>
              </w:rPr>
            </w:pPr>
          </w:p>
        </w:tc>
        <w:tc>
          <w:tcPr>
            <w:tcW w:w="920" w:type="dxa"/>
            <w:vAlign w:val="bottom"/>
          </w:tcPr>
          <w:p>
            <w:pPr>
              <w:spacing w:after="0"/>
              <w:rPr>
                <w:sz w:val="12"/>
                <w:szCs w:val="12"/>
                <w:color w:val="auto"/>
              </w:rPr>
            </w:pPr>
          </w:p>
        </w:tc>
        <w:tc>
          <w:tcPr>
            <w:tcW w:w="560" w:type="dxa"/>
            <w:vAlign w:val="bottom"/>
          </w:tcPr>
          <w:p>
            <w:pPr>
              <w:spacing w:after="0"/>
              <w:rPr>
                <w:sz w:val="12"/>
                <w:szCs w:val="12"/>
                <w:color w:val="auto"/>
              </w:rPr>
            </w:pPr>
          </w:p>
        </w:tc>
      </w:tr>
      <w:tr>
        <w:trPr>
          <w:trHeight w:val="172"/>
        </w:trPr>
        <w:tc>
          <w:tcPr>
            <w:tcW w:w="2780" w:type="dxa"/>
            <w:vAlign w:val="bottom"/>
          </w:tcPr>
          <w:p>
            <w:pPr>
              <w:ind w:left="120"/>
              <w:spacing w:after="0"/>
              <w:rPr>
                <w:sz w:val="20"/>
                <w:szCs w:val="20"/>
                <w:color w:val="auto"/>
              </w:rPr>
            </w:pPr>
            <w:r>
              <w:rPr>
                <w:rFonts w:ascii="Times New Roman" w:cs="Times New Roman" w:eastAsia="Times New Roman" w:hAnsi="Times New Roman"/>
                <w:sz w:val="10"/>
                <w:szCs w:val="10"/>
                <w:color w:val="0D0D0D"/>
              </w:rPr>
              <w:t>Long-term interest-bearing liabilities</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3 637</w:t>
            </w:r>
          </w:p>
        </w:tc>
        <w:tc>
          <w:tcPr>
            <w:tcW w:w="92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4 249</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4 537</w:t>
            </w:r>
          </w:p>
        </w:tc>
      </w:tr>
      <w:tr>
        <w:trPr>
          <w:trHeight w:val="172"/>
        </w:trPr>
        <w:tc>
          <w:tcPr>
            <w:tcW w:w="2780" w:type="dxa"/>
            <w:vAlign w:val="bottom"/>
          </w:tcPr>
          <w:p>
            <w:pPr>
              <w:ind w:left="120"/>
              <w:spacing w:after="0"/>
              <w:rPr>
                <w:sz w:val="20"/>
                <w:szCs w:val="20"/>
                <w:color w:val="auto"/>
              </w:rPr>
            </w:pPr>
            <w:r>
              <w:rPr>
                <w:rFonts w:ascii="Times New Roman" w:cs="Times New Roman" w:eastAsia="Times New Roman" w:hAnsi="Times New Roman"/>
                <w:sz w:val="10"/>
                <w:szCs w:val="10"/>
                <w:color w:val="0D0D0D"/>
              </w:rPr>
              <w:t>Short-term interest-bearing liabilities</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554</w:t>
            </w:r>
          </w:p>
        </w:tc>
        <w:tc>
          <w:tcPr>
            <w:tcW w:w="920" w:type="dxa"/>
            <w:vAlign w:val="bottom"/>
          </w:tcPr>
          <w:p>
            <w:pPr>
              <w:jc w:val="right"/>
              <w:ind w:right="190"/>
              <w:spacing w:after="0"/>
              <w:rPr>
                <w:sz w:val="20"/>
                <w:szCs w:val="20"/>
                <w:color w:val="auto"/>
              </w:rPr>
            </w:pPr>
            <w:r>
              <w:rPr>
                <w:rFonts w:ascii="Times New Roman" w:cs="Times New Roman" w:eastAsia="Times New Roman" w:hAnsi="Times New Roman"/>
                <w:sz w:val="10"/>
                <w:szCs w:val="10"/>
                <w:color w:val="0D0D0D"/>
              </w:rPr>
              <w:t>228</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116</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cash and interest-bearing financial investments</w:t>
            </w:r>
          </w:p>
        </w:tc>
        <w:tc>
          <w:tcPr>
            <w:tcW w:w="740" w:type="dxa"/>
            <w:vAlign w:val="bottom"/>
            <w:shd w:val="clear" w:color="auto" w:fill="F0F5FF"/>
          </w:tcPr>
          <w:p>
            <w:pPr>
              <w:spacing w:after="0"/>
              <w:rPr>
                <w:sz w:val="14"/>
                <w:szCs w:val="14"/>
                <w:color w:val="auto"/>
              </w:rPr>
            </w:pPr>
          </w:p>
        </w:tc>
        <w:tc>
          <w:tcPr>
            <w:tcW w:w="920" w:type="dxa"/>
            <w:vAlign w:val="bottom"/>
          </w:tcPr>
          <w:p>
            <w:pPr>
              <w:spacing w:after="0"/>
              <w:rPr>
                <w:sz w:val="14"/>
                <w:szCs w:val="14"/>
                <w:color w:val="auto"/>
              </w:rPr>
            </w:pPr>
          </w:p>
        </w:tc>
        <w:tc>
          <w:tcPr>
            <w:tcW w:w="560" w:type="dxa"/>
            <w:vAlign w:val="bottom"/>
          </w:tcPr>
          <w:p>
            <w:pPr>
              <w:spacing w:after="0"/>
              <w:rPr>
                <w:sz w:val="14"/>
                <w:szCs w:val="14"/>
                <w:color w:val="auto"/>
              </w:rPr>
            </w:pPr>
          </w:p>
        </w:tc>
      </w:tr>
      <w:tr>
        <w:trPr>
          <w:trHeight w:val="172"/>
        </w:trPr>
        <w:tc>
          <w:tcPr>
            <w:tcW w:w="2780" w:type="dxa"/>
            <w:vAlign w:val="bottom"/>
          </w:tcPr>
          <w:p>
            <w:pPr>
              <w:ind w:left="12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(6 234)</w:t>
            </w:r>
          </w:p>
        </w:tc>
        <w:tc>
          <w:tcPr>
            <w:tcW w:w="92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(5 467)</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(6 691)</w:t>
            </w:r>
          </w:p>
        </w:tc>
      </w:tr>
      <w:tr>
        <w:trPr>
          <w:trHeight w:val="172"/>
        </w:trPr>
        <w:tc>
          <w:tcPr>
            <w:tcW w:w="2780" w:type="dxa"/>
            <w:vAlign w:val="bottom"/>
          </w:tcPr>
          <w:p>
            <w:pPr>
              <w:ind w:left="12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(1 565)</w:t>
            </w:r>
          </w:p>
        </w:tc>
        <w:tc>
          <w:tcPr>
            <w:tcW w:w="92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(3 080)</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(2 577)</w:t>
            </w:r>
          </w:p>
        </w:tc>
      </w:tr>
      <w:tr>
        <w:trPr>
          <w:trHeight w:val="177"/>
        </w:trPr>
        <w:tc>
          <w:tcPr>
            <w:tcW w:w="2780" w:type="dxa"/>
            <w:vAlign w:val="bottom"/>
            <w:tcBorders>
              <w:bottom w:val="single" w:sz="8" w:color="005AFF"/>
            </w:tcBorders>
          </w:tcPr>
          <w:p>
            <w:pPr>
              <w:ind w:left="12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(715)</w:t>
            </w:r>
          </w:p>
        </w:tc>
        <w:tc>
          <w:tcPr>
            <w:tcW w:w="92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(697)</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5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debt</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(4 323)</w:t>
            </w:r>
          </w:p>
        </w:tc>
        <w:tc>
          <w:tcPr>
            <w:tcW w:w="92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(4 767)</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(4 615)</w:t>
            </w:r>
          </w:p>
        </w:tc>
      </w:tr>
      <w:tr>
        <w:trPr>
          <w:trHeight w:val="128"/>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capital and reserves attributable to equity holders of</w:t>
            </w:r>
          </w:p>
        </w:tc>
        <w:tc>
          <w:tcPr>
            <w:tcW w:w="740" w:type="dxa"/>
            <w:vAlign w:val="bottom"/>
            <w:shd w:val="clear" w:color="auto" w:fill="F0F5FF"/>
          </w:tcPr>
          <w:p>
            <w:pPr>
              <w:spacing w:after="0"/>
              <w:rPr>
                <w:sz w:val="11"/>
                <w:szCs w:val="11"/>
                <w:color w:val="auto"/>
              </w:rPr>
            </w:pPr>
          </w:p>
        </w:tc>
        <w:tc>
          <w:tcPr>
            <w:tcW w:w="92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3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the parent</w:t>
            </w:r>
          </w:p>
        </w:tc>
        <w:tc>
          <w:tcPr>
            <w:tcW w:w="740" w:type="dxa"/>
            <w:vAlign w:val="bottom"/>
            <w:shd w:val="clear" w:color="auto" w:fill="F0F5FF"/>
          </w:tcPr>
          <w:p>
            <w:pPr>
              <w:ind w:left="380"/>
              <w:spacing w:after="0"/>
              <w:rPr>
                <w:sz w:val="20"/>
                <w:szCs w:val="20"/>
                <w:color w:val="auto"/>
              </w:rPr>
            </w:pPr>
            <w:r>
              <w:rPr>
                <w:rFonts w:ascii="Times New Roman" w:cs="Times New Roman" w:eastAsia="Times New Roman" w:hAnsi="Times New Roman"/>
                <w:sz w:val="10"/>
                <w:szCs w:val="10"/>
                <w:color w:val="005AFF"/>
              </w:rPr>
              <w:t>20 537</w:t>
            </w:r>
          </w:p>
        </w:tc>
        <w:tc>
          <w:tcPr>
            <w:tcW w:w="92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21 333</w:t>
            </w:r>
          </w:p>
        </w:tc>
        <w:tc>
          <w:tcPr>
            <w:tcW w:w="56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17 360</w:t>
            </w:r>
          </w:p>
        </w:tc>
      </w:tr>
      <w:tr>
        <w:trPr>
          <w:trHeight w:val="177"/>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91</w:t>
            </w:r>
          </w:p>
        </w:tc>
        <w:tc>
          <w:tcPr>
            <w:tcW w:w="92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93</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102</w:t>
            </w:r>
          </w:p>
        </w:tc>
      </w:tr>
      <w:tr>
        <w:trPr>
          <w:trHeight w:val="15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Shareholders’ equity</w:t>
            </w:r>
          </w:p>
        </w:tc>
        <w:tc>
          <w:tcPr>
            <w:tcW w:w="740" w:type="dxa"/>
            <w:vAlign w:val="bottom"/>
            <w:tcBorders>
              <w:bottom w:val="single" w:sz="8" w:color="005AFF"/>
            </w:tcBorders>
            <w:shd w:val="clear" w:color="auto" w:fill="F0F5FF"/>
          </w:tcPr>
          <w:p>
            <w:pPr>
              <w:ind w:left="380"/>
              <w:spacing w:after="0"/>
              <w:rPr>
                <w:sz w:val="20"/>
                <w:szCs w:val="20"/>
                <w:color w:val="auto"/>
              </w:rPr>
            </w:pPr>
            <w:r>
              <w:rPr>
                <w:rFonts w:ascii="Times New Roman" w:cs="Times New Roman" w:eastAsia="Times New Roman" w:hAnsi="Times New Roman"/>
                <w:sz w:val="10"/>
                <w:szCs w:val="10"/>
                <w:b w:val="1"/>
                <w:bCs w:val="1"/>
                <w:color w:val="005AFF"/>
              </w:rPr>
              <w:t>20 628</w:t>
            </w:r>
          </w:p>
        </w:tc>
        <w:tc>
          <w:tcPr>
            <w:tcW w:w="920" w:type="dxa"/>
            <w:vAlign w:val="bottom"/>
            <w:tcBorders>
              <w:bottom w:val="single" w:sz="8" w:color="005AFF"/>
            </w:tcBorders>
          </w:tcPr>
          <w:p>
            <w:pPr>
              <w:ind w:left="380"/>
              <w:spacing w:after="0"/>
              <w:rPr>
                <w:sz w:val="20"/>
                <w:szCs w:val="20"/>
                <w:color w:val="auto"/>
              </w:rPr>
            </w:pPr>
            <w:r>
              <w:rPr>
                <w:rFonts w:ascii="Times New Roman" w:cs="Times New Roman" w:eastAsia="Times New Roman" w:hAnsi="Times New Roman"/>
                <w:sz w:val="10"/>
                <w:szCs w:val="10"/>
                <w:b w:val="1"/>
                <w:bCs w:val="1"/>
                <w:color w:val="auto"/>
              </w:rPr>
              <w:t>21 426</w:t>
            </w:r>
          </w:p>
        </w:tc>
        <w:tc>
          <w:tcPr>
            <w:tcW w:w="56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b w:val="1"/>
                <w:bCs w:val="1"/>
                <w:color w:val="auto"/>
              </w:rPr>
              <w:t>17 462</w:t>
            </w:r>
          </w:p>
        </w:tc>
      </w:tr>
      <w:tr>
        <w:trPr>
          <w:trHeight w:val="15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debt to equity (gearing) %</w:t>
            </w:r>
          </w:p>
        </w:tc>
        <w:tc>
          <w:tcPr>
            <w:tcW w:w="740" w:type="dxa"/>
            <w:vAlign w:val="bottom"/>
            <w:tcBorders>
              <w:bottom w:val="single" w:sz="8" w:color="005AFF"/>
            </w:tcBorders>
            <w:shd w:val="clear" w:color="auto" w:fill="F0F5FF"/>
          </w:tcPr>
          <w:p>
            <w:pPr>
              <w:ind w:left="360"/>
              <w:spacing w:after="0"/>
              <w:rPr>
                <w:sz w:val="20"/>
                <w:szCs w:val="20"/>
                <w:color w:val="auto"/>
              </w:rPr>
            </w:pPr>
            <w:r>
              <w:rPr>
                <w:rFonts w:ascii="Times New Roman" w:cs="Times New Roman" w:eastAsia="Times New Roman" w:hAnsi="Times New Roman"/>
                <w:sz w:val="10"/>
                <w:szCs w:val="10"/>
                <w:b w:val="1"/>
                <w:bCs w:val="1"/>
                <w:color w:val="005AFF"/>
                <w:w w:val="98"/>
              </w:rPr>
              <w:t>(21.0) %</w:t>
            </w:r>
          </w:p>
        </w:tc>
        <w:tc>
          <w:tcPr>
            <w:tcW w:w="920" w:type="dxa"/>
            <w:vAlign w:val="bottom"/>
            <w:tcBorders>
              <w:bottom w:val="single" w:sz="8" w:color="005AFF"/>
            </w:tcBorders>
          </w:tcPr>
          <w:p>
            <w:pPr>
              <w:ind w:left="360"/>
              <w:spacing w:after="0"/>
              <w:rPr>
                <w:sz w:val="20"/>
                <w:szCs w:val="20"/>
                <w:color w:val="auto"/>
              </w:rPr>
            </w:pPr>
            <w:r>
              <w:rPr>
                <w:rFonts w:ascii="Times New Roman" w:cs="Times New Roman" w:eastAsia="Times New Roman" w:hAnsi="Times New Roman"/>
                <w:sz w:val="10"/>
                <w:szCs w:val="10"/>
                <w:b w:val="1"/>
                <w:bCs w:val="1"/>
                <w:color w:val="auto"/>
              </w:rPr>
              <w:t>(22.2) %</w:t>
            </w:r>
          </w:p>
        </w:tc>
        <w:tc>
          <w:tcPr>
            <w:tcW w:w="560" w:type="dxa"/>
            <w:vAlign w:val="bottom"/>
            <w:tcBorders>
              <w:bottom w:val="single" w:sz="8" w:color="005AFF"/>
            </w:tcBorders>
          </w:tcPr>
          <w:p>
            <w:pPr>
              <w:ind w:left="180"/>
              <w:spacing w:after="0"/>
              <w:rPr>
                <w:sz w:val="20"/>
                <w:szCs w:val="20"/>
                <w:color w:val="auto"/>
              </w:rPr>
            </w:pPr>
            <w:r>
              <w:rPr>
                <w:rFonts w:ascii="Times New Roman" w:cs="Times New Roman" w:eastAsia="Times New Roman" w:hAnsi="Times New Roman"/>
                <w:sz w:val="10"/>
                <w:szCs w:val="10"/>
                <w:b w:val="1"/>
                <w:bCs w:val="1"/>
                <w:color w:val="auto"/>
                <w:w w:val="98"/>
              </w:rPr>
              <w:t>(26.4) %</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Free cash flow</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ind w:right="740"/>
        <w:spacing w:after="0" w:line="286" w:lineRule="auto"/>
        <w:rPr>
          <w:sz w:val="20"/>
          <w:szCs w:val="20"/>
          <w:color w:val="auto"/>
        </w:rPr>
      </w:pPr>
      <w:r>
        <w:rPr>
          <w:rFonts w:ascii="Times New Roman" w:cs="Times New Roman" w:eastAsia="Times New Roman" w:hAnsi="Times New Roman"/>
          <w:sz w:val="11"/>
          <w:szCs w:val="11"/>
          <w:color w:val="auto"/>
        </w:rPr>
        <w:t>Free cash flow is defined as Net cash flows from operating activities – purchases of property, plant and equipment and intangible assets (capital expenditures).</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19" w:lineRule="exact"/>
        <w:rPr>
          <w:sz w:val="20"/>
          <w:szCs w:val="20"/>
          <w:color w:val="auto"/>
        </w:rPr>
      </w:pPr>
    </w:p>
    <w:p>
      <w:pPr>
        <w:ind w:right="560"/>
        <w:spacing w:after="0" w:line="265" w:lineRule="auto"/>
        <w:rPr>
          <w:sz w:val="20"/>
          <w:szCs w:val="20"/>
          <w:color w:val="auto"/>
        </w:rPr>
      </w:pPr>
      <w:r>
        <w:rPr>
          <w:rFonts w:ascii="Times New Roman" w:cs="Times New Roman" w:eastAsia="Times New Roman" w:hAnsi="Times New Roman"/>
          <w:sz w:val="11"/>
          <w:szCs w:val="11"/>
          <w:color w:val="auto"/>
        </w:rPr>
        <w:t>Free cash flow is the cash that Nokia generates after investments in property, plant and equipment and intangible assets, and we believe it provides meaningful supplemental information as it represents the cash available to service and repay interest-bearing financial liabilities, including lease liabilities, make investments to grow business and distribute funds to shareholders. It is a measure of cash generation, working capital efficiency and capital discipline of the business.</w:t>
      </w:r>
    </w:p>
    <w:p>
      <w:pPr>
        <w:sectPr>
          <w:pgSz w:w="11900" w:h="16838" w:orient="portrait"/>
          <w:cols w:equalWidth="0" w:num="2">
            <w:col w:w="4940" w:space="160"/>
            <w:col w:w="5000"/>
          </w:cols>
          <w:pgMar w:left="960" w:top="409" w:right="839" w:bottom="1440" w:gutter="0" w:footer="0" w:header="0"/>
          <w:type w:val="continuous"/>
        </w:sectPr>
      </w:pPr>
    </w:p>
    <w:bookmarkStart w:id="147" w:name="page148"/>
    <w:bookmarkEnd w:id="147"/>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General facts</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140</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7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62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on Nokia</w:t>
            </w:r>
          </w:p>
        </w:tc>
        <w:tc>
          <w:tcPr>
            <w:tcW w:w="1200" w:type="dxa"/>
            <w:vAlign w:val="bottom"/>
          </w:tcPr>
          <w:p>
            <w:pPr>
              <w:ind w:left="480"/>
              <w:spacing w:after="0"/>
              <w:rPr>
                <w:sz w:val="20"/>
                <w:szCs w:val="20"/>
                <w:color w:val="auto"/>
              </w:rPr>
            </w:pPr>
            <w:r>
              <w:rPr>
                <w:rFonts w:ascii="Times New Roman" w:cs="Times New Roman" w:eastAsia="Times New Roman" w:hAnsi="Times New Roman"/>
                <w:sz w:val="9"/>
                <w:szCs w:val="9"/>
                <w:color w:val="auto"/>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720" w:type="dxa"/>
            <w:vAlign w:val="bottom"/>
          </w:tcPr>
          <w:p>
            <w:pPr>
              <w:spacing w:after="0"/>
              <w:rPr>
                <w:sz w:val="3"/>
                <w:szCs w:val="3"/>
                <w:color w:val="auto"/>
              </w:rPr>
            </w:pPr>
          </w:p>
        </w:tc>
        <w:tc>
          <w:tcPr>
            <w:tcW w:w="620" w:type="dxa"/>
            <w:vAlign w:val="bottom"/>
            <w:tcBorders>
              <w:bottom w:val="single" w:sz="8" w:color="005AFF"/>
            </w:tcBorders>
          </w:tcPr>
          <w:p>
            <w:pPr>
              <w:spacing w:after="0"/>
              <w:rPr>
                <w:sz w:val="3"/>
                <w:szCs w:val="3"/>
                <w:color w:val="auto"/>
              </w:rPr>
            </w:pPr>
          </w:p>
        </w:tc>
        <w:tc>
          <w:tcPr>
            <w:tcW w:w="1200" w:type="dxa"/>
            <w:vAlign w:val="bottom"/>
          </w:tcPr>
          <w:p>
            <w:pPr>
              <w:spacing w:after="0"/>
              <w:rPr>
                <w:sz w:val="3"/>
                <w:szCs w:val="3"/>
                <w:color w:val="auto"/>
              </w:rPr>
            </w:pPr>
          </w:p>
        </w:tc>
        <w:tc>
          <w:tcPr>
            <w:tcW w:w="26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General facts on Nokia continued</w:t>
      </w:r>
    </w:p>
    <w:p>
      <w:pPr>
        <w:sectPr>
          <w:pgSz w:w="11900" w:h="16838" w:orient="portrait"/>
          <w:cols w:equalWidth="0" w:num="1">
            <w:col w:w="10100"/>
          </w:cols>
          <w:pgMar w:left="960" w:top="409" w:right="839" w:bottom="1440" w:gutter="0" w:footer="0" w:header="0"/>
        </w:sectPr>
      </w:pPr>
    </w:p>
    <w:p>
      <w:pPr>
        <w:spacing w:after="0" w:line="3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free cash flow:</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94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8"/>
                <w:szCs w:val="8"/>
                <w:b w:val="1"/>
                <w:bCs w:val="1"/>
                <w:color w:val="005AFF"/>
              </w:rPr>
              <w:t>2022</w:t>
            </w:r>
          </w:p>
        </w:tc>
        <w:tc>
          <w:tcPr>
            <w:tcW w:w="5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cash flows from operating activities</w:t>
            </w:r>
          </w:p>
        </w:tc>
        <w:tc>
          <w:tcPr>
            <w:tcW w:w="74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1 317</w:t>
            </w:r>
          </w:p>
        </w:tc>
        <w:tc>
          <w:tcPr>
            <w:tcW w:w="940" w:type="dxa"/>
            <w:vAlign w:val="bottom"/>
          </w:tcPr>
          <w:p>
            <w:pPr>
              <w:jc w:val="right"/>
              <w:ind w:right="212"/>
              <w:spacing w:after="0"/>
              <w:rPr>
                <w:sz w:val="20"/>
                <w:szCs w:val="20"/>
                <w:color w:val="auto"/>
              </w:rPr>
            </w:pPr>
            <w:r>
              <w:rPr>
                <w:rFonts w:ascii="Times New Roman" w:cs="Times New Roman" w:eastAsia="Times New Roman" w:hAnsi="Times New Roman"/>
                <w:sz w:val="10"/>
                <w:szCs w:val="10"/>
                <w:color w:val="0D0D0D"/>
              </w:rPr>
              <w:t>1 474</w:t>
            </w:r>
          </w:p>
        </w:tc>
        <w:tc>
          <w:tcPr>
            <w:tcW w:w="54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2 625</w:t>
            </w:r>
          </w:p>
        </w:tc>
      </w:tr>
      <w:tr>
        <w:trPr>
          <w:trHeight w:val="153"/>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of property, plant and equipment and intangible</w:t>
            </w:r>
          </w:p>
        </w:tc>
        <w:tc>
          <w:tcPr>
            <w:tcW w:w="740" w:type="dxa"/>
            <w:vAlign w:val="bottom"/>
            <w:shd w:val="clear" w:color="auto" w:fill="F0F5FF"/>
          </w:tcPr>
          <w:p>
            <w:pPr>
              <w:spacing w:after="0"/>
              <w:rPr>
                <w:sz w:val="13"/>
                <w:szCs w:val="13"/>
                <w:color w:val="auto"/>
              </w:rPr>
            </w:pPr>
          </w:p>
        </w:tc>
        <w:tc>
          <w:tcPr>
            <w:tcW w:w="940" w:type="dxa"/>
            <w:vAlign w:val="bottom"/>
          </w:tcPr>
          <w:p>
            <w:pPr>
              <w:spacing w:after="0"/>
              <w:rPr>
                <w:sz w:val="13"/>
                <w:szCs w:val="13"/>
                <w:color w:val="auto"/>
              </w:rPr>
            </w:pPr>
          </w:p>
        </w:tc>
        <w:tc>
          <w:tcPr>
            <w:tcW w:w="540" w:type="dxa"/>
            <w:vAlign w:val="bottom"/>
          </w:tcPr>
          <w:p>
            <w:pPr>
              <w:spacing w:after="0"/>
              <w:rPr>
                <w:sz w:val="13"/>
                <w:szCs w:val="13"/>
                <w:color w:val="auto"/>
              </w:rPr>
            </w:pPr>
          </w:p>
        </w:tc>
      </w:tr>
      <w:tr>
        <w:trPr>
          <w:trHeight w:val="135"/>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assets (capital expenditures)</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(652)</w:t>
            </w:r>
          </w:p>
        </w:tc>
        <w:tc>
          <w:tcPr>
            <w:tcW w:w="940" w:type="dxa"/>
            <w:vAlign w:val="bottom"/>
            <w:tcBorders>
              <w:bottom w:val="single" w:sz="8" w:color="005AFF"/>
            </w:tcBorders>
          </w:tcPr>
          <w:p>
            <w:pPr>
              <w:jc w:val="right"/>
              <w:ind w:right="172"/>
              <w:spacing w:after="0"/>
              <w:rPr>
                <w:sz w:val="20"/>
                <w:szCs w:val="20"/>
                <w:color w:val="auto"/>
              </w:rPr>
            </w:pPr>
            <w:r>
              <w:rPr>
                <w:rFonts w:ascii="Times New Roman" w:cs="Times New Roman" w:eastAsia="Times New Roman" w:hAnsi="Times New Roman"/>
                <w:sz w:val="10"/>
                <w:szCs w:val="10"/>
                <w:color w:val="0D0D0D"/>
              </w:rPr>
              <w:t>(601)</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(560)</w:t>
            </w:r>
          </w:p>
        </w:tc>
      </w:tr>
      <w:tr>
        <w:trPr>
          <w:trHeight w:val="142"/>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Free cash flow</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665</w:t>
            </w:r>
          </w:p>
        </w:tc>
        <w:tc>
          <w:tcPr>
            <w:tcW w:w="94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10"/>
                <w:szCs w:val="10"/>
                <w:b w:val="1"/>
                <w:bCs w:val="1"/>
                <w:color w:val="auto"/>
              </w:rPr>
              <w:t>873</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2 065</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Capital expenditure</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ind w:right="740"/>
        <w:spacing w:after="0" w:line="286" w:lineRule="auto"/>
        <w:rPr>
          <w:sz w:val="20"/>
          <w:szCs w:val="20"/>
          <w:color w:val="auto"/>
        </w:rPr>
      </w:pPr>
      <w:r>
        <w:rPr>
          <w:rFonts w:ascii="Times New Roman" w:cs="Times New Roman" w:eastAsia="Times New Roman" w:hAnsi="Times New Roman"/>
          <w:sz w:val="11"/>
          <w:szCs w:val="11"/>
          <w:color w:val="auto"/>
        </w:rPr>
        <w:t>Purchases of property, plant and equipment and intangible assets (excluding assets acquired under business combinations).</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3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Capital expenditure is used to describe investments in future profit-generating activities.</w:t>
      </w:r>
    </w:p>
    <w:p>
      <w:pPr>
        <w:spacing w:after="0" w:line="8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capital expenditure:</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2023</w:t>
            </w:r>
          </w:p>
        </w:tc>
        <w:tc>
          <w:tcPr>
            <w:tcW w:w="980" w:type="dxa"/>
            <w:vAlign w:val="bottom"/>
            <w:tcBorders>
              <w:bottom w:val="single" w:sz="8" w:color="005AFF"/>
            </w:tcBorders>
          </w:tcPr>
          <w:p>
            <w:pPr>
              <w:jc w:val="right"/>
              <w:ind w:right="253"/>
              <w:spacing w:after="0"/>
              <w:rPr>
                <w:sz w:val="20"/>
                <w:szCs w:val="20"/>
                <w:color w:val="auto"/>
              </w:rPr>
            </w:pPr>
            <w:r>
              <w:rPr>
                <w:rFonts w:ascii="Times New Roman" w:cs="Times New Roman" w:eastAsia="Times New Roman" w:hAnsi="Times New Roman"/>
                <w:sz w:val="8"/>
                <w:szCs w:val="8"/>
                <w:b w:val="1"/>
                <w:bCs w:val="1"/>
                <w:color w:val="005AFF"/>
              </w:rPr>
              <w:t>2022</w:t>
            </w:r>
          </w:p>
        </w:tc>
        <w:tc>
          <w:tcPr>
            <w:tcW w:w="50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1"/>
        </w:trPr>
        <w:tc>
          <w:tcPr>
            <w:tcW w:w="27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of property, plant and equipment and intangible</w:t>
            </w:r>
          </w:p>
        </w:tc>
        <w:tc>
          <w:tcPr>
            <w:tcW w:w="740" w:type="dxa"/>
            <w:vAlign w:val="bottom"/>
            <w:shd w:val="clear" w:color="auto" w:fill="F0F5FF"/>
          </w:tcPr>
          <w:p>
            <w:pPr>
              <w:spacing w:after="0"/>
              <w:rPr>
                <w:sz w:val="11"/>
                <w:szCs w:val="11"/>
                <w:color w:val="auto"/>
              </w:rPr>
            </w:pPr>
          </w:p>
        </w:tc>
        <w:tc>
          <w:tcPr>
            <w:tcW w:w="980" w:type="dxa"/>
            <w:vAlign w:val="bottom"/>
          </w:tcPr>
          <w:p>
            <w:pPr>
              <w:spacing w:after="0"/>
              <w:rPr>
                <w:sz w:val="11"/>
                <w:szCs w:val="11"/>
                <w:color w:val="auto"/>
              </w:rPr>
            </w:pPr>
          </w:p>
        </w:tc>
        <w:tc>
          <w:tcPr>
            <w:tcW w:w="500" w:type="dxa"/>
            <w:vAlign w:val="bottom"/>
          </w:tcPr>
          <w:p>
            <w:pPr>
              <w:spacing w:after="0"/>
              <w:rPr>
                <w:sz w:val="11"/>
                <w:szCs w:val="11"/>
                <w:color w:val="auto"/>
              </w:rPr>
            </w:pPr>
          </w:p>
        </w:tc>
      </w:tr>
      <w:tr>
        <w:trPr>
          <w:trHeight w:val="135"/>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assets</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(652)</w:t>
            </w:r>
          </w:p>
        </w:tc>
        <w:tc>
          <w:tcPr>
            <w:tcW w:w="980" w:type="dxa"/>
            <w:vAlign w:val="bottom"/>
            <w:tcBorders>
              <w:bottom w:val="single" w:sz="8" w:color="005AFF"/>
            </w:tcBorders>
          </w:tcPr>
          <w:p>
            <w:pPr>
              <w:jc w:val="right"/>
              <w:ind w:right="213"/>
              <w:spacing w:after="0"/>
              <w:rPr>
                <w:sz w:val="20"/>
                <w:szCs w:val="20"/>
                <w:color w:val="auto"/>
              </w:rPr>
            </w:pPr>
            <w:r>
              <w:rPr>
                <w:rFonts w:ascii="Times New Roman" w:cs="Times New Roman" w:eastAsia="Times New Roman" w:hAnsi="Times New Roman"/>
                <w:sz w:val="10"/>
                <w:szCs w:val="10"/>
                <w:color w:val="0D0D0D"/>
              </w:rPr>
              <w:t>(601)</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(560)</w:t>
            </w:r>
          </w:p>
        </w:tc>
      </w:tr>
      <w:tr>
        <w:trPr>
          <w:trHeight w:val="142"/>
        </w:trPr>
        <w:tc>
          <w:tcPr>
            <w:tcW w:w="27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Capital expenditure</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(652)</w:t>
            </w:r>
          </w:p>
        </w:tc>
        <w:tc>
          <w:tcPr>
            <w:tcW w:w="980" w:type="dxa"/>
            <w:vAlign w:val="bottom"/>
            <w:tcBorders>
              <w:bottom w:val="single" w:sz="8" w:color="005AFF"/>
            </w:tcBorders>
          </w:tcPr>
          <w:p>
            <w:pPr>
              <w:jc w:val="right"/>
              <w:ind w:right="213"/>
              <w:spacing w:after="0"/>
              <w:rPr>
                <w:sz w:val="20"/>
                <w:szCs w:val="20"/>
                <w:color w:val="auto"/>
              </w:rPr>
            </w:pPr>
            <w:r>
              <w:rPr>
                <w:rFonts w:ascii="Times New Roman" w:cs="Times New Roman" w:eastAsia="Times New Roman" w:hAnsi="Times New Roman"/>
                <w:sz w:val="10"/>
                <w:szCs w:val="10"/>
                <w:b w:val="1"/>
                <w:bCs w:val="1"/>
                <w:color w:val="auto"/>
              </w:rPr>
              <w:t>(601)</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(560)</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Comparable operating profit</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jc w:val="both"/>
        <w:ind w:right="700"/>
        <w:spacing w:after="0" w:line="273" w:lineRule="auto"/>
        <w:rPr>
          <w:sz w:val="20"/>
          <w:szCs w:val="20"/>
          <w:color w:val="auto"/>
        </w:rPr>
      </w:pPr>
      <w:r>
        <w:rPr>
          <w:rFonts w:ascii="Times New Roman" w:cs="Times New Roman" w:eastAsia="Times New Roman" w:hAnsi="Times New Roman"/>
          <w:sz w:val="11"/>
          <w:szCs w:val="11"/>
          <w:color w:val="auto"/>
        </w:rPr>
        <w:t>Comparable operating profit excludes intangible asset amortization and other purchase price fair value adjustments, goodwill impairments, restructuring-related charges and certain other items affecting comparability.</w:t>
      </w:r>
    </w:p>
    <w:p>
      <w:pPr>
        <w:spacing w:after="0" w:line="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24" w:lineRule="exact"/>
        <w:rPr>
          <w:sz w:val="20"/>
          <w:szCs w:val="20"/>
          <w:color w:val="auto"/>
        </w:rPr>
      </w:pPr>
    </w:p>
    <w:p>
      <w:pPr>
        <w:ind w:right="660" w:firstLine="1"/>
        <w:spacing w:after="0" w:line="264" w:lineRule="auto"/>
        <w:rPr>
          <w:sz w:val="20"/>
          <w:szCs w:val="20"/>
          <w:color w:val="auto"/>
        </w:rPr>
      </w:pPr>
      <w:r>
        <w:rPr>
          <w:rFonts w:ascii="Times New Roman" w:cs="Times New Roman" w:eastAsia="Times New Roman" w:hAnsi="Times New Roman"/>
          <w:sz w:val="11"/>
          <w:szCs w:val="11"/>
          <w:color w:val="auto"/>
        </w:rPr>
        <w:t>We believe that our comparable operating profit provides meaningful supplemental information to both management and investors regarding Nokia’s underlying business performance</w:t>
      </w:r>
    </w:p>
    <w:p>
      <w:pPr>
        <w:spacing w:after="0"/>
        <w:rPr>
          <w:sz w:val="20"/>
          <w:szCs w:val="20"/>
          <w:color w:val="auto"/>
        </w:rPr>
      </w:pPr>
      <w:r>
        <w:rPr>
          <w:rFonts w:ascii="Times New Roman" w:cs="Times New Roman" w:eastAsia="Times New Roman" w:hAnsi="Times New Roman"/>
          <w:sz w:val="11"/>
          <w:szCs w:val="11"/>
          <w:color w:val="auto"/>
        </w:rPr>
        <w:t>by excluding certain items of income and expenses that may not be indicative of Nokia’s</w:t>
      </w:r>
    </w:p>
    <w:p>
      <w:pPr>
        <w:spacing w:after="0" w:line="10" w:lineRule="exact"/>
        <w:rPr>
          <w:sz w:val="20"/>
          <w:szCs w:val="20"/>
          <w:color w:val="auto"/>
        </w:rPr>
      </w:pPr>
    </w:p>
    <w:p>
      <w:pPr>
        <w:spacing w:after="0"/>
        <w:tabs>
          <w:tab w:leader="none" w:pos="1380" w:val="left"/>
        </w:tabs>
        <w:rPr>
          <w:sz w:val="20"/>
          <w:szCs w:val="20"/>
          <w:color w:val="auto"/>
        </w:rPr>
      </w:pPr>
      <w:r>
        <w:rPr>
          <w:rFonts w:ascii="Times New Roman" w:cs="Times New Roman" w:eastAsia="Times New Roman" w:hAnsi="Times New Roman"/>
          <w:sz w:val="11"/>
          <w:szCs w:val="11"/>
          <w:color w:val="auto"/>
        </w:rPr>
        <w:t>business operating results.</w:t>
      </w:r>
      <w:r>
        <w:rPr>
          <w:sz w:val="20"/>
          <w:szCs w:val="20"/>
          <w:color w:val="auto"/>
        </w:rPr>
        <w:tab/>
      </w:r>
      <w:r>
        <w:rPr>
          <w:rFonts w:ascii="Times New Roman" w:cs="Times New Roman" w:eastAsia="Times New Roman" w:hAnsi="Times New Roman"/>
          <w:sz w:val="11"/>
          <w:szCs w:val="11"/>
          <w:color w:val="auto"/>
        </w:rPr>
        <w:t>Comparable operating profit is used also in determining</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management remuneration.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comparable operating profit:</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940" w:type="dxa"/>
            <w:vAlign w:val="bottom"/>
            <w:tcBorders>
              <w:bottom w:val="single" w:sz="8" w:color="005AFF"/>
            </w:tcBorders>
          </w:tcPr>
          <w:p>
            <w:pPr>
              <w:jc w:val="right"/>
              <w:ind w:right="21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1 688</w:t>
            </w:r>
          </w:p>
        </w:tc>
        <w:tc>
          <w:tcPr>
            <w:tcW w:w="940" w:type="dxa"/>
            <w:vAlign w:val="bottom"/>
          </w:tcPr>
          <w:p>
            <w:pPr>
              <w:jc w:val="right"/>
              <w:ind w:right="230"/>
              <w:spacing w:after="0"/>
              <w:rPr>
                <w:sz w:val="20"/>
                <w:szCs w:val="20"/>
                <w:color w:val="auto"/>
              </w:rPr>
            </w:pPr>
            <w:r>
              <w:rPr>
                <w:rFonts w:ascii="Times New Roman" w:cs="Times New Roman" w:eastAsia="Times New Roman" w:hAnsi="Times New Roman"/>
                <w:sz w:val="10"/>
                <w:szCs w:val="10"/>
                <w:color w:val="0D0D0D"/>
              </w:rPr>
              <w:t>2 318</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2 158</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Restructuring and associated charges</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356</w:t>
            </w:r>
          </w:p>
        </w:tc>
        <w:tc>
          <w:tcPr>
            <w:tcW w:w="94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177</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263</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Amortization of acquired intangible assets</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352</w:t>
            </w:r>
          </w:p>
        </w:tc>
        <w:tc>
          <w:tcPr>
            <w:tcW w:w="940" w:type="dxa"/>
            <w:vAlign w:val="bottom"/>
          </w:tcPr>
          <w:p>
            <w:pPr>
              <w:jc w:val="right"/>
              <w:ind w:right="230"/>
              <w:spacing w:after="0"/>
              <w:rPr>
                <w:sz w:val="20"/>
                <w:szCs w:val="20"/>
                <w:color w:val="auto"/>
              </w:rPr>
            </w:pPr>
            <w:r>
              <w:rPr>
                <w:rFonts w:ascii="Times New Roman" w:cs="Times New Roman" w:eastAsia="Times New Roman" w:hAnsi="Times New Roman"/>
                <w:sz w:val="10"/>
                <w:szCs w:val="10"/>
                <w:color w:val="0D0D0D"/>
              </w:rPr>
              <w:t>411</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391</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Costs associated with country exit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(49)</w:t>
            </w:r>
          </w:p>
        </w:tc>
        <w:tc>
          <w:tcPr>
            <w:tcW w:w="94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98</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and write-off of assets, net of reversals</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25</w:t>
            </w:r>
          </w:p>
        </w:tc>
        <w:tc>
          <w:tcPr>
            <w:tcW w:w="94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97</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45</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Settlement of legal disputes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940" w:type="dxa"/>
            <w:vAlign w:val="bottom"/>
          </w:tcPr>
          <w:p>
            <w:pPr>
              <w:jc w:val="center"/>
              <w:ind w:left="350"/>
              <w:spacing w:after="0"/>
              <w:rPr>
                <w:sz w:val="20"/>
                <w:szCs w:val="20"/>
                <w:color w:val="auto"/>
              </w:rPr>
            </w:pPr>
            <w:r>
              <w:rPr>
                <w:rFonts w:ascii="Times New Roman" w:cs="Times New Roman" w:eastAsia="Times New Roman" w:hAnsi="Times New Roman"/>
                <w:sz w:val="10"/>
                <w:szCs w:val="10"/>
                <w:color w:val="0D0D0D"/>
                <w:w w:val="99"/>
              </w:rPr>
              <w:t>—</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(80)</w:t>
            </w:r>
          </w:p>
        </w:tc>
      </w:tr>
      <w:tr>
        <w:trPr>
          <w:trHeight w:val="162"/>
        </w:trPr>
        <w:tc>
          <w:tcPr>
            <w:tcW w:w="2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Gain on sale of fixed assets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940" w:type="dxa"/>
            <w:vAlign w:val="bottom"/>
          </w:tcPr>
          <w:p>
            <w:pPr>
              <w:jc w:val="center"/>
              <w:ind w:left="350"/>
              <w:spacing w:after="0"/>
              <w:rPr>
                <w:sz w:val="20"/>
                <w:szCs w:val="20"/>
                <w:color w:val="auto"/>
              </w:rPr>
            </w:pPr>
            <w:r>
              <w:rPr>
                <w:rFonts w:ascii="Times New Roman" w:cs="Times New Roman" w:eastAsia="Times New Roman" w:hAnsi="Times New Roman"/>
                <w:sz w:val="10"/>
                <w:szCs w:val="10"/>
                <w:color w:val="0D0D0D"/>
                <w:w w:val="99"/>
              </w:rPr>
              <w:t>—</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(53)</w:t>
            </w:r>
          </w:p>
        </w:tc>
      </w:tr>
      <w:tr>
        <w:trPr>
          <w:trHeight w:val="167"/>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940" w:type="dxa"/>
            <w:vAlign w:val="bottom"/>
            <w:tcBorders>
              <w:bottom w:val="single" w:sz="8" w:color="005AFF"/>
            </w:tcBorders>
          </w:tcPr>
          <w:p>
            <w:pPr>
              <w:jc w:val="center"/>
              <w:ind w:left="330"/>
              <w:spacing w:after="0"/>
              <w:rPr>
                <w:sz w:val="20"/>
                <w:szCs w:val="20"/>
                <w:color w:val="auto"/>
              </w:rPr>
            </w:pPr>
            <w:r>
              <w:rPr>
                <w:rFonts w:ascii="Times New Roman" w:cs="Times New Roman" w:eastAsia="Times New Roman" w:hAnsi="Times New Roman"/>
                <w:sz w:val="10"/>
                <w:szCs w:val="10"/>
                <w:color w:val="0D0D0D"/>
                <w:w w:val="79"/>
              </w:rPr>
              <w:t>8</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51</w:t>
            </w:r>
          </w:p>
        </w:tc>
      </w:tr>
      <w:tr>
        <w:trPr>
          <w:trHeight w:val="142"/>
        </w:trPr>
        <w:tc>
          <w:tcPr>
            <w:tcW w:w="2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Comparable operating profit</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2 375</w:t>
            </w:r>
          </w:p>
        </w:tc>
        <w:tc>
          <w:tcPr>
            <w:tcW w:w="940" w:type="dxa"/>
            <w:vAlign w:val="bottom"/>
            <w:tcBorders>
              <w:bottom w:val="single" w:sz="8" w:color="005AFF"/>
            </w:tcBorders>
          </w:tcPr>
          <w:p>
            <w:pPr>
              <w:jc w:val="right"/>
              <w:ind w:right="230"/>
              <w:spacing w:after="0"/>
              <w:rPr>
                <w:sz w:val="20"/>
                <w:szCs w:val="20"/>
                <w:color w:val="auto"/>
              </w:rPr>
            </w:pPr>
            <w:r>
              <w:rPr>
                <w:rFonts w:ascii="Times New Roman" w:cs="Times New Roman" w:eastAsia="Times New Roman" w:hAnsi="Times New Roman"/>
                <w:sz w:val="10"/>
                <w:szCs w:val="10"/>
                <w:b w:val="1"/>
                <w:bCs w:val="1"/>
                <w:color w:val="auto"/>
              </w:rPr>
              <w:t>3 109</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2 775</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Comparable operating margin %</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Definition</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Comparable operating margin is defined as Comparable operating profit / Net sales.</w:t>
      </w:r>
    </w:p>
    <w:p>
      <w:pPr>
        <w:spacing w:after="0" w:line="8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Purpose</w:t>
      </w:r>
    </w:p>
    <w:p>
      <w:pPr>
        <w:spacing w:after="0" w:line="19" w:lineRule="exact"/>
        <w:rPr>
          <w:sz w:val="20"/>
          <w:szCs w:val="20"/>
          <w:color w:val="auto"/>
        </w:rPr>
      </w:pPr>
    </w:p>
    <w:p>
      <w:pPr>
        <w:ind w:right="660"/>
        <w:spacing w:after="0" w:line="268" w:lineRule="auto"/>
        <w:rPr>
          <w:sz w:val="20"/>
          <w:szCs w:val="20"/>
          <w:color w:val="auto"/>
        </w:rPr>
      </w:pPr>
      <w:r>
        <w:rPr>
          <w:rFonts w:ascii="Times New Roman" w:cs="Times New Roman" w:eastAsia="Times New Roman" w:hAnsi="Times New Roman"/>
          <w:sz w:val="11"/>
          <w:szCs w:val="11"/>
          <w:color w:val="auto"/>
        </w:rPr>
        <w:t>Comparable operating margin is used as a measure of Nokia’s operating profitability as a percentage of net sales excluding intangible asset amortization and other purchase price fair value adjustments, goodwill impairments, restructuring-related charges and certain other items affecting comparability.</w:t>
      </w:r>
    </w:p>
    <w:p>
      <w:pPr>
        <w:spacing w:after="0" w:line="60" w:lineRule="exact"/>
        <w:rPr>
          <w:sz w:val="20"/>
          <w:szCs w:val="20"/>
          <w:color w:val="auto"/>
        </w:rPr>
      </w:pPr>
    </w:p>
    <w:p>
      <w:pPr>
        <w:ind w:right="600"/>
        <w:spacing w:after="0" w:line="275" w:lineRule="auto"/>
        <w:rPr>
          <w:sz w:val="20"/>
          <w:szCs w:val="20"/>
          <w:color w:val="auto"/>
        </w:rPr>
      </w:pPr>
      <w:r>
        <w:rPr>
          <w:rFonts w:ascii="Times New Roman" w:cs="Times New Roman" w:eastAsia="Times New Roman" w:hAnsi="Times New Roman"/>
          <w:sz w:val="11"/>
          <w:szCs w:val="11"/>
          <w:color w:val="auto"/>
        </w:rPr>
        <w:t>As with comparable operating profit, we believe that our comparable operating margin provides meaningful supplemental information to both management and investors regarding Nokia’s underlying business performance by excluding certain items of income and expenses that may not be indicative of Nokia’s business operating results.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Composition of comparable operating margin:</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2023</w:t>
            </w:r>
          </w:p>
        </w:tc>
        <w:tc>
          <w:tcPr>
            <w:tcW w:w="92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2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Comparable operating profit</w:t>
            </w:r>
          </w:p>
        </w:tc>
        <w:tc>
          <w:tcPr>
            <w:tcW w:w="74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2 375</w:t>
            </w:r>
          </w:p>
        </w:tc>
        <w:tc>
          <w:tcPr>
            <w:tcW w:w="920" w:type="dxa"/>
            <w:vAlign w:val="bottom"/>
          </w:tcPr>
          <w:p>
            <w:pPr>
              <w:jc w:val="right"/>
              <w:ind w:right="212"/>
              <w:spacing w:after="0"/>
              <w:rPr>
                <w:sz w:val="20"/>
                <w:szCs w:val="20"/>
                <w:color w:val="auto"/>
              </w:rPr>
            </w:pPr>
            <w:r>
              <w:rPr>
                <w:rFonts w:ascii="Times New Roman" w:cs="Times New Roman" w:eastAsia="Times New Roman" w:hAnsi="Times New Roman"/>
                <w:sz w:val="10"/>
                <w:szCs w:val="10"/>
                <w:color w:val="0D0D0D"/>
              </w:rPr>
              <w:t>3 109</w:t>
            </w:r>
          </w:p>
        </w:tc>
        <w:tc>
          <w:tcPr>
            <w:tcW w:w="56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2 775</w:t>
            </w:r>
          </w:p>
        </w:tc>
      </w:tr>
      <w:tr>
        <w:trPr>
          <w:trHeight w:val="167"/>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Net sales</w:t>
            </w:r>
          </w:p>
        </w:tc>
        <w:tc>
          <w:tcPr>
            <w:tcW w:w="740" w:type="dxa"/>
            <w:vAlign w:val="bottom"/>
            <w:tcBorders>
              <w:bottom w:val="single" w:sz="8" w:color="005AFF"/>
            </w:tcBorders>
            <w:shd w:val="clear" w:color="auto" w:fill="F0F5FF"/>
          </w:tcPr>
          <w:p>
            <w:pPr>
              <w:jc w:val="right"/>
              <w:ind w:right="52"/>
              <w:spacing w:after="0"/>
              <w:rPr>
                <w:sz w:val="20"/>
                <w:szCs w:val="20"/>
                <w:color w:val="auto"/>
              </w:rPr>
            </w:pPr>
            <w:r>
              <w:rPr>
                <w:rFonts w:ascii="Times New Roman" w:cs="Times New Roman" w:eastAsia="Times New Roman" w:hAnsi="Times New Roman"/>
                <w:sz w:val="10"/>
                <w:szCs w:val="10"/>
                <w:color w:val="005AFF"/>
              </w:rPr>
              <w:t>22 258</w:t>
            </w:r>
          </w:p>
        </w:tc>
        <w:tc>
          <w:tcPr>
            <w:tcW w:w="920" w:type="dxa"/>
            <w:vAlign w:val="bottom"/>
            <w:tcBorders>
              <w:bottom w:val="single" w:sz="8" w:color="005AFF"/>
            </w:tcBorders>
          </w:tcPr>
          <w:p>
            <w:pPr>
              <w:jc w:val="right"/>
              <w:ind w:right="232"/>
              <w:spacing w:after="0"/>
              <w:rPr>
                <w:sz w:val="20"/>
                <w:szCs w:val="20"/>
                <w:color w:val="auto"/>
              </w:rPr>
            </w:pPr>
            <w:r>
              <w:rPr>
                <w:rFonts w:ascii="Times New Roman" w:cs="Times New Roman" w:eastAsia="Times New Roman" w:hAnsi="Times New Roman"/>
                <w:sz w:val="10"/>
                <w:szCs w:val="10"/>
                <w:color w:val="0D0D0D"/>
              </w:rPr>
              <w:t>24 911</w:t>
            </w:r>
          </w:p>
        </w:tc>
        <w:tc>
          <w:tcPr>
            <w:tcW w:w="56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10"/>
                <w:szCs w:val="10"/>
                <w:color w:val="0D0D0D"/>
              </w:rPr>
              <w:t>22 202</w:t>
            </w:r>
          </w:p>
        </w:tc>
      </w:tr>
      <w:tr>
        <w:trPr>
          <w:trHeight w:val="142"/>
        </w:trPr>
        <w:tc>
          <w:tcPr>
            <w:tcW w:w="2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Comparable operating margin %</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10.7 %</w:t>
            </w:r>
          </w:p>
        </w:tc>
        <w:tc>
          <w:tcPr>
            <w:tcW w:w="92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10"/>
                <w:szCs w:val="10"/>
                <w:b w:val="1"/>
                <w:bCs w:val="1"/>
                <w:color w:val="auto"/>
              </w:rPr>
              <w:t>12.5 %</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12.5 %</w:t>
            </w:r>
          </w:p>
        </w:tc>
      </w:tr>
    </w:tbl>
    <w:p>
      <w:pPr>
        <w:sectPr>
          <w:pgSz w:w="11900" w:h="16838" w:orient="portrait"/>
          <w:cols w:equalWidth="0" w:num="2">
            <w:col w:w="4940" w:space="160"/>
            <w:col w:w="5000"/>
          </w:cols>
          <w:pgMar w:left="960" w:top="409" w:right="839" w:bottom="1440" w:gutter="0" w:footer="0" w:header="0"/>
          <w:type w:val="continuous"/>
        </w:sectPr>
      </w:pPr>
    </w:p>
    <w:bookmarkStart w:id="148" w:name="page149"/>
    <w:bookmarkEnd w:id="148"/>
    <w:p>
      <w:pPr>
        <w:ind w:left="20"/>
        <w:spacing w:after="0"/>
        <w:tabs>
          <w:tab w:leader="none" w:pos="900" w:val="left"/>
          <w:tab w:leader="none" w:pos="1920" w:val="left"/>
          <w:tab w:leader="none" w:pos="3380" w:val="left"/>
          <w:tab w:leader="none" w:pos="4460" w:val="left"/>
        </w:tabs>
        <w:rPr>
          <w:sz w:val="20"/>
          <w:szCs w:val="20"/>
          <w:color w:val="auto"/>
        </w:rPr>
      </w:pPr>
      <w:r>
        <w:rPr>
          <w:rFonts w:ascii="Times New Roman" w:cs="Times New Roman" w:eastAsia="Times New Roman" w:hAnsi="Times New Roman"/>
          <w:sz w:val="9"/>
          <w:szCs w:val="9"/>
          <w:color w:val="FFFFFF"/>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Business</w:t>
      </w:r>
      <w:r>
        <w:rPr>
          <w:sz w:val="20"/>
          <w:szCs w:val="20"/>
          <w:color w:val="auto"/>
        </w:rPr>
        <w:tab/>
      </w:r>
      <w:r>
        <w:rPr>
          <w:rFonts w:ascii="Times New Roman" w:cs="Times New Roman" w:eastAsia="Times New Roman" w:hAnsi="Times New Roman"/>
          <w:sz w:val="9"/>
          <w:szCs w:val="9"/>
          <w:color w:val="FFFFFF"/>
        </w:rPr>
        <w:t>Corporate</w:t>
      </w:r>
      <w:r>
        <w:rPr>
          <w:sz w:val="20"/>
          <w:szCs w:val="20"/>
          <w:color w:val="auto"/>
        </w:rPr>
        <w:tab/>
      </w:r>
      <w:r>
        <w:rPr>
          <w:rFonts w:ascii="Times New Roman" w:cs="Times New Roman" w:eastAsia="Times New Roman" w:hAnsi="Times New Roman"/>
          <w:sz w:val="9"/>
          <w:szCs w:val="9"/>
          <w:color w:val="FFFFFF"/>
        </w:rPr>
        <w:t>Operating and financial</w:t>
      </w:r>
      <w:r>
        <w:rPr>
          <w:sz w:val="20"/>
          <w:szCs w:val="20"/>
          <w:color w:val="auto"/>
        </w:rPr>
        <w:tab/>
      </w:r>
      <w:r>
        <w:rPr>
          <w:rFonts w:ascii="Times New Roman" w:cs="Times New Roman" w:eastAsia="Times New Roman" w:hAnsi="Times New Roman"/>
          <w:sz w:val="9"/>
          <w:szCs w:val="9"/>
          <w:color w:val="FFFFFF"/>
        </w:rPr>
        <w:t>General facts</w:t>
      </w:r>
      <w:r>
        <w:rPr>
          <w:sz w:val="20"/>
          <w:szCs w:val="20"/>
          <w:color w:val="auto"/>
        </w:rPr>
        <w:tab/>
      </w:r>
      <w:r>
        <w:rPr>
          <w:rFonts w:ascii="Times New Roman" w:cs="Times New Roman" w:eastAsia="Times New Roman" w:hAnsi="Times New Roman"/>
          <w:sz w:val="9"/>
          <w:szCs w:val="9"/>
          <w:color w:val="FFFFFF"/>
        </w:rPr>
        <w:t>Financial</w:t>
      </w:r>
    </w:p>
    <w:p>
      <w:pPr>
        <w:spacing w:after="0" w:line="18" w:lineRule="exact"/>
        <w:rPr>
          <w:sz w:val="20"/>
          <w:szCs w:val="20"/>
          <w:color w:val="auto"/>
        </w:rPr>
      </w:pPr>
    </w:p>
    <w:p>
      <w:pPr>
        <w:ind w:left="20"/>
        <w:spacing w:after="0"/>
        <w:tabs>
          <w:tab w:leader="none" w:pos="900" w:val="left"/>
          <w:tab w:leader="none" w:pos="1920" w:val="left"/>
          <w:tab w:leader="none" w:pos="3380" w:val="left"/>
          <w:tab w:leader="none" w:pos="4460" w:val="left"/>
        </w:tabs>
        <w:rPr>
          <w:sz w:val="20"/>
          <w:szCs w:val="20"/>
          <w:color w:val="auto"/>
        </w:rPr>
      </w:pPr>
      <w:r>
        <w:rPr>
          <w:rFonts w:ascii="Times New Roman" w:cs="Times New Roman" w:eastAsia="Times New Roman" w:hAnsi="Times New Roman"/>
          <w:sz w:val="9"/>
          <w:szCs w:val="9"/>
          <w:color w:val="FFFFFF"/>
        </w:rPr>
        <w:t>overview</w:t>
      </w:r>
      <w:r>
        <w:rPr>
          <w:sz w:val="20"/>
          <w:szCs w:val="20"/>
          <w:color w:val="auto"/>
        </w:rPr>
        <w:tab/>
      </w:r>
      <w:r>
        <w:rPr>
          <w:rFonts w:ascii="Times New Roman" w:cs="Times New Roman" w:eastAsia="Times New Roman" w:hAnsi="Times New Roman"/>
          <w:sz w:val="9"/>
          <w:szCs w:val="9"/>
          <w:color w:val="FFFFFF"/>
        </w:rPr>
        <w:t>governance</w:t>
      </w:r>
      <w:r>
        <w:rPr>
          <w:sz w:val="20"/>
          <w:szCs w:val="20"/>
          <w:color w:val="auto"/>
        </w:rPr>
        <w:tab/>
      </w:r>
      <w:r>
        <w:rPr>
          <w:rFonts w:ascii="Times New Roman" w:cs="Times New Roman" w:eastAsia="Times New Roman" w:hAnsi="Times New Roman"/>
          <w:sz w:val="9"/>
          <w:szCs w:val="9"/>
          <w:color w:val="FFFFFF"/>
        </w:rPr>
        <w:t>review and prospects</w:t>
      </w:r>
      <w:r>
        <w:rPr>
          <w:sz w:val="20"/>
          <w:szCs w:val="20"/>
          <w:color w:val="auto"/>
        </w:rPr>
        <w:tab/>
      </w:r>
      <w:r>
        <w:rPr>
          <w:rFonts w:ascii="Times New Roman" w:cs="Times New Roman" w:eastAsia="Times New Roman" w:hAnsi="Times New Roman"/>
          <w:sz w:val="9"/>
          <w:szCs w:val="9"/>
          <w:color w:val="FFFFFF"/>
        </w:rPr>
        <w:t>on Nokia</w:t>
      </w:r>
      <w:r>
        <w:rPr>
          <w:sz w:val="20"/>
          <w:szCs w:val="20"/>
          <w:color w:val="auto"/>
        </w:rPr>
        <w:tab/>
      </w:r>
      <w:r>
        <w:rPr>
          <w:rFonts w:ascii="Times New Roman" w:cs="Times New Roman" w:eastAsia="Times New Roman" w:hAnsi="Times New Roman"/>
          <w:sz w:val="9"/>
          <w:szCs w:val="9"/>
          <w:color w:val="FFFFFF"/>
        </w:rPr>
        <w:t>statements</w:t>
      </w:r>
    </w:p>
    <w:p>
      <w:pPr>
        <w:spacing w:after="0" w:line="200" w:lineRule="exact"/>
        <w:rPr>
          <w:sz w:val="20"/>
          <w:szCs w:val="20"/>
          <w:color w:val="auto"/>
        </w:rPr>
      </w:pPr>
    </w:p>
    <w:p>
      <w:pPr>
        <w:spacing w:after="0" w:line="200" w:lineRule="exact"/>
        <w:rPr>
          <w:sz w:val="20"/>
          <w:szCs w:val="20"/>
          <w:color w:val="auto"/>
        </w:rPr>
      </w:pPr>
    </w:p>
    <w:p>
      <w:pPr>
        <w:spacing w:after="0" w:line="237" w:lineRule="exact"/>
        <w:rPr>
          <w:sz w:val="20"/>
          <w:szCs w:val="20"/>
          <w:color w:val="auto"/>
        </w:rPr>
      </w:pPr>
    </w:p>
    <w:p>
      <w:pPr>
        <w:ind w:right="2040"/>
        <w:spacing w:after="0" w:line="246" w:lineRule="auto"/>
        <w:rPr>
          <w:sz w:val="20"/>
          <w:szCs w:val="20"/>
          <w:color w:val="auto"/>
        </w:rPr>
      </w:pPr>
      <w:r>
        <w:rPr>
          <w:rFonts w:ascii="Times New Roman" w:cs="Times New Roman" w:eastAsia="Times New Roman" w:hAnsi="Times New Roman"/>
          <w:sz w:val="67"/>
          <w:szCs w:val="67"/>
          <w:color w:val="FFFFFF"/>
        </w:rPr>
        <w:t>Financial statements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FFFFFF"/>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141</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FFFFFF"/>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296" w:lineRule="exact"/>
        <w:rPr>
          <w:sz w:val="20"/>
          <w:szCs w:val="20"/>
          <w:color w:val="auto"/>
        </w:rPr>
      </w:pPr>
    </w:p>
    <w:p>
      <w:pPr>
        <w:sectPr>
          <w:pgSz w:w="11900" w:h="16838" w:orient="portrait"/>
          <w:cols w:equalWidth="0" w:num="2">
            <w:col w:w="4880" w:space="620"/>
            <w:col w:w="4480"/>
          </w:cols>
          <w:pgMar w:left="960" w:top="409" w:right="959" w:bottom="1440" w:gutter="0" w:footer="0" w:header="0"/>
        </w:sectPr>
      </w:pPr>
    </w:p>
    <w:p>
      <w:pPr>
        <w:spacing w:after="0" w:line="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b w:val="1"/>
          <w:bCs w:val="1"/>
          <w:color w:val="FFFFFF"/>
        </w:rPr>
        <w:t>Consolidated financial statements</w:t>
      </w:r>
    </w:p>
    <w:p>
      <w:pPr>
        <w:spacing w:after="0" w:line="36"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Consolidated income statement</w:t>
      </w:r>
    </w:p>
    <w:p>
      <w:pPr>
        <w:spacing w:after="0" w:line="28" w:lineRule="exact"/>
        <w:rPr>
          <w:sz w:val="20"/>
          <w:szCs w:val="20"/>
          <w:color w:val="auto"/>
        </w:rPr>
      </w:pPr>
    </w:p>
    <w:p>
      <w:pPr>
        <w:ind w:left="40" w:right="80"/>
        <w:spacing w:after="0" w:line="314" w:lineRule="auto"/>
        <w:rPr>
          <w:sz w:val="20"/>
          <w:szCs w:val="20"/>
          <w:color w:val="auto"/>
        </w:rPr>
      </w:pPr>
      <w:r>
        <w:rPr>
          <w:rFonts w:ascii="Times New Roman" w:cs="Times New Roman" w:eastAsia="Times New Roman" w:hAnsi="Times New Roman"/>
          <w:sz w:val="9"/>
          <w:szCs w:val="9"/>
          <w:color w:val="FFFFFF"/>
        </w:rPr>
        <w:t>Consolidated statement of comprehensive income Consolidated statement of financial position Consolidated statement of cash flows Consolidated statement of changes in shareholders’ equity</w:t>
      </w:r>
    </w:p>
    <w:p>
      <w:pPr>
        <w:spacing w:after="0" w:line="223" w:lineRule="exact"/>
        <w:rPr>
          <w:sz w:val="20"/>
          <w:szCs w:val="20"/>
          <w:color w:val="auto"/>
        </w:rPr>
      </w:pPr>
    </w:p>
    <w:p>
      <w:pPr>
        <w:ind w:left="40" w:right="500"/>
        <w:spacing w:after="0" w:line="272" w:lineRule="auto"/>
        <w:rPr>
          <w:sz w:val="20"/>
          <w:szCs w:val="20"/>
          <w:color w:val="auto"/>
        </w:rPr>
      </w:pPr>
      <w:r>
        <w:rPr>
          <w:rFonts w:ascii="Times New Roman" w:cs="Times New Roman" w:eastAsia="Times New Roman" w:hAnsi="Times New Roman"/>
          <w:sz w:val="13"/>
          <w:szCs w:val="13"/>
          <w:b w:val="1"/>
          <w:bCs w:val="1"/>
          <w:color w:val="FFFFFF"/>
        </w:rPr>
        <w:t>Notes to the consolidated financial statements</w:t>
      </w:r>
    </w:p>
    <w:p>
      <w:pPr>
        <w:ind w:left="40"/>
        <w:spacing w:after="0"/>
        <w:rPr>
          <w:sz w:val="20"/>
          <w:szCs w:val="20"/>
          <w:color w:val="auto"/>
        </w:rPr>
      </w:pPr>
      <w:r>
        <w:rPr>
          <w:rFonts w:ascii="Times New Roman" w:cs="Times New Roman" w:eastAsia="Times New Roman" w:hAnsi="Times New Roman"/>
          <w:sz w:val="8"/>
          <w:szCs w:val="8"/>
          <w:color w:val="FFFFFF"/>
        </w:rPr>
        <w:t>Section 1:</w:t>
      </w:r>
    </w:p>
    <w:p>
      <w:pPr>
        <w:spacing w:after="0" w:line="3"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2"/>
          <w:szCs w:val="12"/>
          <w:b w:val="1"/>
          <w:bCs w:val="1"/>
          <w:color w:val="FFFFFF"/>
        </w:rPr>
        <w:t>Basis of preparation</w:t>
      </w:r>
    </w:p>
    <w:p>
      <w:pPr>
        <w:spacing w:after="0" w:line="6"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1.1. Corporate information</w:t>
      </w:r>
    </w:p>
    <w:p>
      <w:pPr>
        <w:spacing w:after="0" w:line="19"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1.2. General accounting policies</w:t>
      </w:r>
    </w:p>
    <w:p>
      <w:pPr>
        <w:spacing w:after="0" w:line="28" w:lineRule="exact"/>
        <w:rPr>
          <w:sz w:val="20"/>
          <w:szCs w:val="20"/>
          <w:color w:val="auto"/>
        </w:rPr>
      </w:pPr>
    </w:p>
    <w:p>
      <w:pPr>
        <w:ind w:left="220" w:right="320" w:hanging="190"/>
        <w:spacing w:after="0" w:line="282" w:lineRule="auto"/>
        <w:rPr>
          <w:sz w:val="20"/>
          <w:szCs w:val="20"/>
          <w:color w:val="auto"/>
        </w:rPr>
      </w:pPr>
      <w:r>
        <w:rPr>
          <w:rFonts w:ascii="Times New Roman" w:cs="Times New Roman" w:eastAsia="Times New Roman" w:hAnsi="Times New Roman"/>
          <w:sz w:val="9"/>
          <w:szCs w:val="9"/>
          <w:color w:val="FFFFFF"/>
        </w:rPr>
        <w:t>1.3. Use of estimates and critical accounting judgments</w:t>
      </w:r>
    </w:p>
    <w:p>
      <w:pPr>
        <w:ind w:left="40"/>
        <w:spacing w:after="0"/>
        <w:rPr>
          <w:sz w:val="20"/>
          <w:szCs w:val="20"/>
          <w:color w:val="auto"/>
        </w:rPr>
      </w:pPr>
      <w:r>
        <w:rPr>
          <w:rFonts w:ascii="Times New Roman" w:cs="Times New Roman" w:eastAsia="Times New Roman" w:hAnsi="Times New Roman"/>
          <w:sz w:val="9"/>
          <w:szCs w:val="9"/>
          <w:color w:val="FFFFFF"/>
        </w:rPr>
        <w:t>1.4. New and amended standards and interpretations</w:t>
      </w:r>
    </w:p>
    <w:p>
      <w:pPr>
        <w:spacing w:after="0" w:line="163" w:lineRule="exact"/>
        <w:rPr>
          <w:sz w:val="20"/>
          <w:szCs w:val="20"/>
          <w:color w:val="auto"/>
        </w:rPr>
      </w:pPr>
    </w:p>
    <w:p>
      <w:pPr>
        <w:ind w:left="40"/>
        <w:spacing w:after="0"/>
        <w:rPr>
          <w:sz w:val="20"/>
          <w:szCs w:val="20"/>
          <w:color w:val="auto"/>
        </w:rPr>
      </w:pPr>
      <w:r>
        <w:rPr>
          <w:rFonts w:ascii="Times New Roman" w:cs="Times New Roman" w:eastAsia="Times New Roman" w:hAnsi="Times New Roman"/>
          <w:sz w:val="8"/>
          <w:szCs w:val="8"/>
          <w:color w:val="FFFFFF"/>
        </w:rPr>
        <w:t>Section 2:</w:t>
      </w:r>
    </w:p>
    <w:p>
      <w:pPr>
        <w:spacing w:after="0" w:line="1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2"/>
          <w:szCs w:val="12"/>
          <w:b w:val="1"/>
          <w:bCs w:val="1"/>
          <w:color w:val="FFFFFF"/>
        </w:rPr>
        <w:t>Results for the year</w:t>
      </w:r>
    </w:p>
    <w:p>
      <w:pPr>
        <w:spacing w:after="0" w:line="6"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2.1. Net sales</w:t>
      </w:r>
    </w:p>
    <w:p>
      <w:pPr>
        <w:spacing w:after="0" w:line="19"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2.2. Segment information</w:t>
      </w:r>
    </w:p>
    <w:p>
      <w:pPr>
        <w:spacing w:after="0" w:line="3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2.3. Operating expenses and other operating income</w:t>
      </w:r>
    </w:p>
    <w:p>
      <w:pPr>
        <w:spacing w:after="0" w:line="3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2.4. Financial income and expenses</w:t>
      </w:r>
    </w:p>
    <w:p>
      <w:pPr>
        <w:spacing w:after="0" w:line="2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2.5. Income taxes</w:t>
      </w:r>
    </w:p>
    <w:p>
      <w:pPr>
        <w:spacing w:after="0" w:line="28"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2.6. Earnings per share</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92"/>
        </w:trPr>
        <w:tc>
          <w:tcPr>
            <w:tcW w:w="320" w:type="dxa"/>
            <w:vAlign w:val="bottom"/>
            <w:vMerge w:val="restart"/>
          </w:tcPr>
          <w:p>
            <w:pPr>
              <w:spacing w:after="0"/>
              <w:rPr>
                <w:sz w:val="20"/>
                <w:szCs w:val="20"/>
                <w:color w:val="auto"/>
              </w:rPr>
            </w:pPr>
            <w:r>
              <w:rPr>
                <w:rFonts w:ascii="Times New Roman" w:cs="Times New Roman" w:eastAsia="Times New Roman" w:hAnsi="Times New Roman"/>
                <w:sz w:val="13"/>
                <w:szCs w:val="13"/>
                <w:b w:val="1"/>
                <w:bCs w:val="1"/>
                <w:color w:val="FFFFFF"/>
              </w:rPr>
              <w:t>142</w:t>
            </w: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8"/>
                <w:szCs w:val="8"/>
                <w:color w:val="FFFFFF"/>
              </w:rPr>
              <w:t>Section 4:</w:t>
            </w:r>
          </w:p>
        </w:tc>
        <w:tc>
          <w:tcPr>
            <w:tcW w:w="0" w:type="dxa"/>
            <w:vAlign w:val="bottom"/>
          </w:tcPr>
          <w:p>
            <w:pPr>
              <w:spacing w:after="0"/>
              <w:rPr>
                <w:sz w:val="1"/>
                <w:szCs w:val="1"/>
                <w:color w:val="auto"/>
              </w:rPr>
            </w:pPr>
          </w:p>
        </w:tc>
      </w:tr>
      <w:tr>
        <w:trPr>
          <w:trHeight w:val="93"/>
        </w:trPr>
        <w:tc>
          <w:tcPr>
            <w:tcW w:w="320" w:type="dxa"/>
            <w:vAlign w:val="bottom"/>
            <w:vMerge w:val="continue"/>
          </w:tcPr>
          <w:p>
            <w:pPr>
              <w:spacing w:after="0"/>
              <w:rPr>
                <w:sz w:val="8"/>
                <w:szCs w:val="8"/>
                <w:color w:val="auto"/>
              </w:rPr>
            </w:pPr>
          </w:p>
        </w:tc>
        <w:tc>
          <w:tcPr>
            <w:tcW w:w="1880" w:type="dxa"/>
            <w:vAlign w:val="bottom"/>
            <w:gridSpan w:val="2"/>
            <w:vMerge w:val="restart"/>
          </w:tcPr>
          <w:p>
            <w:pPr>
              <w:ind w:left="100"/>
              <w:spacing w:after="0"/>
              <w:rPr>
                <w:sz w:val="20"/>
                <w:szCs w:val="20"/>
                <w:color w:val="auto"/>
              </w:rPr>
            </w:pPr>
            <w:r>
              <w:rPr>
                <w:rFonts w:ascii="Times New Roman" w:cs="Times New Roman" w:eastAsia="Times New Roman" w:hAnsi="Times New Roman"/>
                <w:sz w:val="12"/>
                <w:szCs w:val="12"/>
                <w:b w:val="1"/>
                <w:bCs w:val="1"/>
                <w:color w:val="FFFFFF"/>
              </w:rPr>
              <w:t>Operating assets and liabilities</w:t>
            </w:r>
          </w:p>
        </w:tc>
        <w:tc>
          <w:tcPr>
            <w:tcW w:w="0" w:type="dxa"/>
            <w:vAlign w:val="bottom"/>
          </w:tcPr>
          <w:p>
            <w:pPr>
              <w:spacing w:after="0"/>
              <w:rPr>
                <w:sz w:val="1"/>
                <w:szCs w:val="1"/>
                <w:color w:val="auto"/>
              </w:rPr>
            </w:pPr>
          </w:p>
        </w:tc>
      </w:tr>
      <w:tr>
        <w:trPr>
          <w:trHeight w:val="58"/>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142</w:t>
            </w:r>
          </w:p>
        </w:tc>
        <w:tc>
          <w:tcPr>
            <w:tcW w:w="1880" w:type="dxa"/>
            <w:vAlign w:val="bottom"/>
            <w:gridSpan w:val="2"/>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2"/>
        </w:trPr>
        <w:tc>
          <w:tcPr>
            <w:tcW w:w="320" w:type="dxa"/>
            <w:vAlign w:val="bottom"/>
            <w:vMerge w:val="continue"/>
          </w:tcPr>
          <w:p>
            <w:pPr>
              <w:spacing w:after="0"/>
              <w:rPr>
                <w:sz w:val="6"/>
                <w:szCs w:val="6"/>
                <w:color w:val="auto"/>
              </w:rPr>
            </w:pPr>
          </w:p>
        </w:tc>
        <w:tc>
          <w:tcPr>
            <w:tcW w:w="26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FFFFFF"/>
              </w:rPr>
              <w:t>4.1.</w:t>
            </w:r>
          </w:p>
        </w:tc>
        <w:tc>
          <w:tcPr>
            <w:tcW w:w="1620" w:type="dxa"/>
            <w:vAlign w:val="bottom"/>
            <w:vMerge w:val="restart"/>
          </w:tcPr>
          <w:p>
            <w:pPr>
              <w:spacing w:after="0"/>
              <w:rPr>
                <w:sz w:val="20"/>
                <w:szCs w:val="20"/>
                <w:color w:val="auto"/>
              </w:rPr>
            </w:pPr>
            <w:r>
              <w:rPr>
                <w:rFonts w:ascii="Times New Roman" w:cs="Times New Roman" w:eastAsia="Times New Roman" w:hAnsi="Times New Roman"/>
                <w:sz w:val="9"/>
                <w:szCs w:val="9"/>
                <w:color w:val="FFFFFF"/>
              </w:rPr>
              <w:t>Goodwill and intangible assets</w:t>
            </w:r>
          </w:p>
        </w:tc>
        <w:tc>
          <w:tcPr>
            <w:tcW w:w="0" w:type="dxa"/>
            <w:vAlign w:val="bottom"/>
          </w:tcPr>
          <w:p>
            <w:pPr>
              <w:spacing w:after="0"/>
              <w:rPr>
                <w:sz w:val="1"/>
                <w:szCs w:val="1"/>
                <w:color w:val="auto"/>
              </w:rPr>
            </w:pPr>
          </w:p>
        </w:tc>
      </w:tr>
      <w:tr>
        <w:trPr>
          <w:trHeight w:val="51"/>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143</w:t>
            </w:r>
          </w:p>
        </w:tc>
        <w:tc>
          <w:tcPr>
            <w:tcW w:w="260" w:type="dxa"/>
            <w:vAlign w:val="bottom"/>
            <w:vMerge w:val="continue"/>
          </w:tcPr>
          <w:p>
            <w:pPr>
              <w:spacing w:after="0"/>
              <w:rPr>
                <w:sz w:val="4"/>
                <w:szCs w:val="4"/>
                <w:color w:val="auto"/>
              </w:rPr>
            </w:pPr>
          </w:p>
        </w:tc>
        <w:tc>
          <w:tcPr>
            <w:tcW w:w="1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20" w:type="dxa"/>
            <w:vAlign w:val="bottom"/>
            <w:vMerge w:val="continue"/>
          </w:tcPr>
          <w:p>
            <w:pPr>
              <w:spacing w:after="0"/>
              <w:rPr>
                <w:sz w:val="7"/>
                <w:szCs w:val="7"/>
                <w:color w:val="auto"/>
              </w:rPr>
            </w:pPr>
          </w:p>
        </w:tc>
        <w:tc>
          <w:tcPr>
            <w:tcW w:w="26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FFFFFF"/>
              </w:rPr>
              <w:t>4.2.</w:t>
            </w:r>
          </w:p>
        </w:tc>
        <w:tc>
          <w:tcPr>
            <w:tcW w:w="1620" w:type="dxa"/>
            <w:vAlign w:val="bottom"/>
            <w:vMerge w:val="restart"/>
          </w:tcPr>
          <w:p>
            <w:pPr>
              <w:spacing w:after="0"/>
              <w:rPr>
                <w:sz w:val="20"/>
                <w:szCs w:val="20"/>
                <w:color w:val="auto"/>
              </w:rPr>
            </w:pPr>
            <w:r>
              <w:rPr>
                <w:rFonts w:ascii="Times New Roman" w:cs="Times New Roman" w:eastAsia="Times New Roman" w:hAnsi="Times New Roman"/>
                <w:sz w:val="9"/>
                <w:szCs w:val="9"/>
                <w:color w:val="FFFFFF"/>
              </w:rPr>
              <w:t>Property, plant and equipment</w:t>
            </w:r>
          </w:p>
        </w:tc>
        <w:tc>
          <w:tcPr>
            <w:tcW w:w="0" w:type="dxa"/>
            <w:vAlign w:val="bottom"/>
          </w:tcPr>
          <w:p>
            <w:pPr>
              <w:spacing w:after="0"/>
              <w:rPr>
                <w:sz w:val="1"/>
                <w:szCs w:val="1"/>
                <w:color w:val="auto"/>
              </w:rPr>
            </w:pPr>
          </w:p>
        </w:tc>
      </w:tr>
      <w:tr>
        <w:trPr>
          <w:trHeight w:val="51"/>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144</w:t>
            </w:r>
          </w:p>
        </w:tc>
        <w:tc>
          <w:tcPr>
            <w:tcW w:w="260" w:type="dxa"/>
            <w:vAlign w:val="bottom"/>
            <w:vMerge w:val="continue"/>
          </w:tcPr>
          <w:p>
            <w:pPr>
              <w:spacing w:after="0"/>
              <w:rPr>
                <w:sz w:val="4"/>
                <w:szCs w:val="4"/>
                <w:color w:val="auto"/>
              </w:rPr>
            </w:pPr>
          </w:p>
        </w:tc>
        <w:tc>
          <w:tcPr>
            <w:tcW w:w="1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20" w:type="dxa"/>
            <w:vAlign w:val="bottom"/>
            <w:vMerge w:val="continue"/>
          </w:tcPr>
          <w:p>
            <w:pPr>
              <w:spacing w:after="0"/>
              <w:rPr>
                <w:sz w:val="7"/>
                <w:szCs w:val="7"/>
                <w:color w:val="auto"/>
              </w:rPr>
            </w:pPr>
          </w:p>
        </w:tc>
        <w:tc>
          <w:tcPr>
            <w:tcW w:w="26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FFFFFF"/>
              </w:rPr>
              <w:t>4.3.</w:t>
            </w:r>
          </w:p>
        </w:tc>
        <w:tc>
          <w:tcPr>
            <w:tcW w:w="1620" w:type="dxa"/>
            <w:vAlign w:val="bottom"/>
            <w:vMerge w:val="restart"/>
          </w:tcPr>
          <w:p>
            <w:pPr>
              <w:spacing w:after="0"/>
              <w:rPr>
                <w:sz w:val="20"/>
                <w:szCs w:val="20"/>
                <w:color w:val="auto"/>
              </w:rPr>
            </w:pPr>
            <w:r>
              <w:rPr>
                <w:rFonts w:ascii="Times New Roman" w:cs="Times New Roman" w:eastAsia="Times New Roman" w:hAnsi="Times New Roman"/>
                <w:sz w:val="9"/>
                <w:szCs w:val="9"/>
                <w:color w:val="FFFFFF"/>
              </w:rPr>
              <w:t>Leases</w:t>
            </w:r>
          </w:p>
        </w:tc>
        <w:tc>
          <w:tcPr>
            <w:tcW w:w="0" w:type="dxa"/>
            <w:vAlign w:val="bottom"/>
          </w:tcPr>
          <w:p>
            <w:pPr>
              <w:spacing w:after="0"/>
              <w:rPr>
                <w:sz w:val="1"/>
                <w:szCs w:val="1"/>
                <w:color w:val="auto"/>
              </w:rPr>
            </w:pPr>
          </w:p>
        </w:tc>
      </w:tr>
      <w:tr>
        <w:trPr>
          <w:trHeight w:val="51"/>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145</w:t>
            </w:r>
          </w:p>
        </w:tc>
        <w:tc>
          <w:tcPr>
            <w:tcW w:w="260" w:type="dxa"/>
            <w:vAlign w:val="bottom"/>
            <w:vMerge w:val="continue"/>
          </w:tcPr>
          <w:p>
            <w:pPr>
              <w:spacing w:after="0"/>
              <w:rPr>
                <w:sz w:val="4"/>
                <w:szCs w:val="4"/>
                <w:color w:val="auto"/>
              </w:rPr>
            </w:pPr>
          </w:p>
        </w:tc>
        <w:tc>
          <w:tcPr>
            <w:tcW w:w="1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1"/>
        </w:trPr>
        <w:tc>
          <w:tcPr>
            <w:tcW w:w="320" w:type="dxa"/>
            <w:vAlign w:val="bottom"/>
            <w:vMerge w:val="continue"/>
          </w:tcPr>
          <w:p>
            <w:pPr>
              <w:spacing w:after="0"/>
              <w:rPr>
                <w:sz w:val="7"/>
                <w:szCs w:val="7"/>
                <w:color w:val="auto"/>
              </w:rPr>
            </w:pPr>
          </w:p>
        </w:tc>
        <w:tc>
          <w:tcPr>
            <w:tcW w:w="26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FFFFFF"/>
              </w:rPr>
              <w:t>4.4.</w:t>
            </w:r>
          </w:p>
        </w:tc>
        <w:tc>
          <w:tcPr>
            <w:tcW w:w="1620" w:type="dxa"/>
            <w:vAlign w:val="bottom"/>
            <w:vMerge w:val="restart"/>
          </w:tcPr>
          <w:p>
            <w:pPr>
              <w:spacing w:after="0"/>
              <w:rPr>
                <w:sz w:val="20"/>
                <w:szCs w:val="20"/>
                <w:color w:val="auto"/>
              </w:rPr>
            </w:pPr>
            <w:r>
              <w:rPr>
                <w:rFonts w:ascii="Times New Roman" w:cs="Times New Roman" w:eastAsia="Times New Roman" w:hAnsi="Times New Roman"/>
                <w:sz w:val="9"/>
                <w:szCs w:val="9"/>
                <w:color w:val="FFFFFF"/>
              </w:rPr>
              <w:t>Inventories</w:t>
            </w:r>
          </w:p>
        </w:tc>
        <w:tc>
          <w:tcPr>
            <w:tcW w:w="0" w:type="dxa"/>
            <w:vAlign w:val="bottom"/>
          </w:tcPr>
          <w:p>
            <w:pPr>
              <w:spacing w:after="0"/>
              <w:rPr>
                <w:sz w:val="1"/>
                <w:szCs w:val="1"/>
                <w:color w:val="auto"/>
              </w:rPr>
            </w:pPr>
          </w:p>
        </w:tc>
      </w:tr>
      <w:tr>
        <w:trPr>
          <w:trHeight w:val="61"/>
        </w:trPr>
        <w:tc>
          <w:tcPr>
            <w:tcW w:w="320" w:type="dxa"/>
            <w:vAlign w:val="bottom"/>
          </w:tcPr>
          <w:p>
            <w:pPr>
              <w:spacing w:after="0"/>
              <w:rPr>
                <w:sz w:val="5"/>
                <w:szCs w:val="5"/>
                <w:color w:val="auto"/>
              </w:rPr>
            </w:pPr>
          </w:p>
        </w:tc>
        <w:tc>
          <w:tcPr>
            <w:tcW w:w="260" w:type="dxa"/>
            <w:vAlign w:val="bottom"/>
            <w:vMerge w:val="continue"/>
          </w:tcPr>
          <w:p>
            <w:pPr>
              <w:spacing w:after="0"/>
              <w:rPr>
                <w:sz w:val="5"/>
                <w:szCs w:val="5"/>
                <w:color w:val="auto"/>
              </w:rPr>
            </w:pPr>
          </w:p>
        </w:tc>
        <w:tc>
          <w:tcPr>
            <w:tcW w:w="162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141"/>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146</w:t>
            </w: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FFFFFF"/>
                <w:w w:val="98"/>
              </w:rPr>
              <w:t>4.5. Trade receivables and other customer-related</w:t>
            </w:r>
          </w:p>
        </w:tc>
        <w:tc>
          <w:tcPr>
            <w:tcW w:w="0" w:type="dxa"/>
            <w:vAlign w:val="bottom"/>
          </w:tcPr>
          <w:p>
            <w:pPr>
              <w:spacing w:after="0"/>
              <w:rPr>
                <w:sz w:val="1"/>
                <w:szCs w:val="1"/>
                <w:color w:val="auto"/>
              </w:rPr>
            </w:pPr>
          </w:p>
        </w:tc>
      </w:tr>
      <w:tr>
        <w:trPr>
          <w:trHeight w:val="41"/>
        </w:trPr>
        <w:tc>
          <w:tcPr>
            <w:tcW w:w="320" w:type="dxa"/>
            <w:vAlign w:val="bottom"/>
            <w:vMerge w:val="continue"/>
          </w:tcPr>
          <w:p>
            <w:pPr>
              <w:spacing w:after="0"/>
              <w:rPr>
                <w:sz w:val="3"/>
                <w:szCs w:val="3"/>
                <w:color w:val="auto"/>
              </w:rPr>
            </w:pPr>
          </w:p>
        </w:tc>
        <w:tc>
          <w:tcPr>
            <w:tcW w:w="260" w:type="dxa"/>
            <w:vAlign w:val="bottom"/>
          </w:tcPr>
          <w:p>
            <w:pPr>
              <w:spacing w:after="0"/>
              <w:rPr>
                <w:sz w:val="3"/>
                <w:szCs w:val="3"/>
                <w:color w:val="auto"/>
              </w:rPr>
            </w:pPr>
          </w:p>
        </w:tc>
        <w:tc>
          <w:tcPr>
            <w:tcW w:w="1620" w:type="dxa"/>
            <w:vAlign w:val="bottom"/>
            <w:vMerge w:val="restart"/>
          </w:tcPr>
          <w:p>
            <w:pPr>
              <w:ind w:left="40"/>
              <w:spacing w:after="0"/>
              <w:rPr>
                <w:sz w:val="20"/>
                <w:szCs w:val="20"/>
                <w:color w:val="auto"/>
              </w:rPr>
            </w:pPr>
            <w:r>
              <w:rPr>
                <w:rFonts w:ascii="Times New Roman" w:cs="Times New Roman" w:eastAsia="Times New Roman" w:hAnsi="Times New Roman"/>
                <w:sz w:val="9"/>
                <w:szCs w:val="9"/>
                <w:color w:val="FFFFFF"/>
              </w:rPr>
              <w:t>balances</w:t>
            </w:r>
          </w:p>
        </w:tc>
        <w:tc>
          <w:tcPr>
            <w:tcW w:w="0" w:type="dxa"/>
            <w:vAlign w:val="bottom"/>
          </w:tcPr>
          <w:p>
            <w:pPr>
              <w:spacing w:after="0"/>
              <w:rPr>
                <w:sz w:val="1"/>
                <w:szCs w:val="1"/>
                <w:color w:val="auto"/>
              </w:rPr>
            </w:pPr>
          </w:p>
        </w:tc>
      </w:tr>
      <w:tr>
        <w:trPr>
          <w:trHeight w:val="80"/>
        </w:trPr>
        <w:tc>
          <w:tcPr>
            <w:tcW w:w="320" w:type="dxa"/>
            <w:vAlign w:val="bottom"/>
          </w:tcPr>
          <w:p>
            <w:pPr>
              <w:spacing w:after="0"/>
              <w:rPr>
                <w:sz w:val="6"/>
                <w:szCs w:val="6"/>
                <w:color w:val="auto"/>
              </w:rPr>
            </w:pPr>
          </w:p>
        </w:tc>
        <w:tc>
          <w:tcPr>
            <w:tcW w:w="260" w:type="dxa"/>
            <w:vAlign w:val="bottom"/>
          </w:tcPr>
          <w:p>
            <w:pPr>
              <w:spacing w:after="0"/>
              <w:rPr>
                <w:sz w:val="6"/>
                <w:szCs w:val="6"/>
                <w:color w:val="auto"/>
              </w:rPr>
            </w:pPr>
          </w:p>
        </w:tc>
        <w:tc>
          <w:tcPr>
            <w:tcW w:w="1620" w:type="dxa"/>
            <w:vAlign w:val="bottom"/>
            <w:vMerge w:val="continue"/>
          </w:tcPr>
          <w:p>
            <w:pPr>
              <w:spacing w:after="0"/>
              <w:rPr>
                <w:sz w:val="6"/>
                <w:szCs w:val="6"/>
                <w:color w:val="auto"/>
              </w:rPr>
            </w:pPr>
          </w:p>
        </w:tc>
        <w:tc>
          <w:tcPr>
            <w:tcW w:w="0" w:type="dxa"/>
            <w:vAlign w:val="bottom"/>
          </w:tcPr>
          <w:p>
            <w:pPr>
              <w:spacing w:after="0"/>
              <w:rPr>
                <w:sz w:val="1"/>
                <w:szCs w:val="1"/>
                <w:color w:val="auto"/>
              </w:rPr>
            </w:pPr>
          </w:p>
        </w:tc>
      </w:tr>
      <w:tr>
        <w:trPr>
          <w:trHeight w:val="122"/>
        </w:trPr>
        <w:tc>
          <w:tcPr>
            <w:tcW w:w="320" w:type="dxa"/>
            <w:vAlign w:val="bottom"/>
          </w:tcPr>
          <w:p>
            <w:pPr>
              <w:spacing w:after="0"/>
              <w:rPr>
                <w:sz w:val="10"/>
                <w:szCs w:val="10"/>
                <w:color w:val="auto"/>
              </w:rPr>
            </w:pPr>
          </w:p>
        </w:tc>
        <w:tc>
          <w:tcPr>
            <w:tcW w:w="26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4.6.</w:t>
            </w:r>
          </w:p>
        </w:tc>
        <w:tc>
          <w:tcPr>
            <w:tcW w:w="1620" w:type="dxa"/>
            <w:vAlign w:val="bottom"/>
          </w:tcPr>
          <w:p>
            <w:pPr>
              <w:spacing w:after="0"/>
              <w:rPr>
                <w:sz w:val="20"/>
                <w:szCs w:val="20"/>
                <w:color w:val="auto"/>
              </w:rPr>
            </w:pPr>
            <w:r>
              <w:rPr>
                <w:rFonts w:ascii="Times New Roman" w:cs="Times New Roman" w:eastAsia="Times New Roman" w:hAnsi="Times New Roman"/>
                <w:sz w:val="9"/>
                <w:szCs w:val="9"/>
                <w:color w:val="FFFFFF"/>
              </w:rPr>
              <w:t>Other receivables and liabilities</w:t>
            </w:r>
          </w:p>
        </w:tc>
        <w:tc>
          <w:tcPr>
            <w:tcW w:w="0" w:type="dxa"/>
            <w:vAlign w:val="bottom"/>
          </w:tcPr>
          <w:p>
            <w:pPr>
              <w:spacing w:after="0"/>
              <w:rPr>
                <w:sz w:val="1"/>
                <w:szCs w:val="1"/>
                <w:color w:val="auto"/>
              </w:rPr>
            </w:pPr>
          </w:p>
        </w:tc>
      </w:tr>
      <w:tr>
        <w:trPr>
          <w:trHeight w:val="131"/>
        </w:trPr>
        <w:tc>
          <w:tcPr>
            <w:tcW w:w="320" w:type="dxa"/>
            <w:vAlign w:val="bottom"/>
            <w:vMerge w:val="restart"/>
          </w:tcPr>
          <w:p>
            <w:pPr>
              <w:spacing w:after="0"/>
              <w:rPr>
                <w:sz w:val="20"/>
                <w:szCs w:val="20"/>
                <w:color w:val="auto"/>
              </w:rPr>
            </w:pPr>
            <w:r>
              <w:rPr>
                <w:rFonts w:ascii="Times New Roman" w:cs="Times New Roman" w:eastAsia="Times New Roman" w:hAnsi="Times New Roman"/>
                <w:sz w:val="13"/>
                <w:szCs w:val="13"/>
                <w:b w:val="1"/>
                <w:bCs w:val="1"/>
                <w:color w:val="FFFFFF"/>
              </w:rPr>
              <w:t>147</w:t>
            </w:r>
          </w:p>
        </w:tc>
        <w:tc>
          <w:tcPr>
            <w:tcW w:w="26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4.7.</w:t>
            </w:r>
          </w:p>
        </w:tc>
        <w:tc>
          <w:tcPr>
            <w:tcW w:w="1620" w:type="dxa"/>
            <w:vAlign w:val="bottom"/>
          </w:tcPr>
          <w:p>
            <w:pPr>
              <w:spacing w:after="0"/>
              <w:rPr>
                <w:sz w:val="20"/>
                <w:szCs w:val="20"/>
                <w:color w:val="auto"/>
              </w:rPr>
            </w:pPr>
            <w:r>
              <w:rPr>
                <w:rFonts w:ascii="Times New Roman" w:cs="Times New Roman" w:eastAsia="Times New Roman" w:hAnsi="Times New Roman"/>
                <w:sz w:val="9"/>
                <w:szCs w:val="9"/>
                <w:color w:val="FFFFFF"/>
              </w:rPr>
              <w:t>Provisions</w:t>
            </w:r>
          </w:p>
        </w:tc>
        <w:tc>
          <w:tcPr>
            <w:tcW w:w="0" w:type="dxa"/>
            <w:vAlign w:val="bottom"/>
          </w:tcPr>
          <w:p>
            <w:pPr>
              <w:spacing w:after="0"/>
              <w:rPr>
                <w:sz w:val="1"/>
                <w:szCs w:val="1"/>
                <w:color w:val="auto"/>
              </w:rPr>
            </w:pPr>
          </w:p>
        </w:tc>
      </w:tr>
      <w:tr>
        <w:trPr>
          <w:trHeight w:val="123"/>
        </w:trPr>
        <w:tc>
          <w:tcPr>
            <w:tcW w:w="320" w:type="dxa"/>
            <w:vAlign w:val="bottom"/>
            <w:vMerge w:val="continue"/>
          </w:tcPr>
          <w:p>
            <w:pPr>
              <w:spacing w:after="0"/>
              <w:rPr>
                <w:sz w:val="10"/>
                <w:szCs w:val="10"/>
                <w:color w:val="auto"/>
              </w:rPr>
            </w:pPr>
          </w:p>
        </w:tc>
        <w:tc>
          <w:tcPr>
            <w:tcW w:w="260" w:type="dxa"/>
            <w:vAlign w:val="bottom"/>
          </w:tcPr>
          <w:p>
            <w:pPr>
              <w:spacing w:after="0"/>
              <w:rPr>
                <w:sz w:val="10"/>
                <w:szCs w:val="10"/>
                <w:color w:val="auto"/>
              </w:rPr>
            </w:pPr>
          </w:p>
        </w:tc>
        <w:tc>
          <w:tcPr>
            <w:tcW w:w="162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09"/>
        </w:trPr>
        <w:tc>
          <w:tcPr>
            <w:tcW w:w="320" w:type="dxa"/>
            <w:vAlign w:val="bottom"/>
            <w:vMerge w:val="restart"/>
          </w:tcPr>
          <w:p>
            <w:pPr>
              <w:spacing w:after="0"/>
              <w:rPr>
                <w:sz w:val="20"/>
                <w:szCs w:val="20"/>
                <w:color w:val="auto"/>
              </w:rPr>
            </w:pPr>
            <w:r>
              <w:rPr>
                <w:rFonts w:ascii="Times New Roman" w:cs="Times New Roman" w:eastAsia="Times New Roman" w:hAnsi="Times New Roman"/>
                <w:sz w:val="12"/>
                <w:szCs w:val="12"/>
                <w:b w:val="1"/>
                <w:bCs w:val="1"/>
                <w:color w:val="FFFFFF"/>
              </w:rPr>
              <w:t>147</w:t>
            </w: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8"/>
                <w:szCs w:val="8"/>
                <w:color w:val="FFFFFF"/>
              </w:rPr>
              <w:t>Section 5:</w:t>
            </w:r>
          </w:p>
        </w:tc>
        <w:tc>
          <w:tcPr>
            <w:tcW w:w="0" w:type="dxa"/>
            <w:vAlign w:val="bottom"/>
          </w:tcPr>
          <w:p>
            <w:pPr>
              <w:spacing w:after="0"/>
              <w:rPr>
                <w:sz w:val="1"/>
                <w:szCs w:val="1"/>
                <w:color w:val="auto"/>
              </w:rPr>
            </w:pPr>
          </w:p>
        </w:tc>
      </w:tr>
      <w:tr>
        <w:trPr>
          <w:trHeight w:val="141"/>
        </w:trPr>
        <w:tc>
          <w:tcPr>
            <w:tcW w:w="320" w:type="dxa"/>
            <w:vAlign w:val="bottom"/>
            <w:vMerge w:val="continue"/>
          </w:tcPr>
          <w:p>
            <w:pPr>
              <w:spacing w:after="0"/>
              <w:rPr>
                <w:sz w:val="12"/>
                <w:szCs w:val="12"/>
                <w:color w:val="auto"/>
              </w:rPr>
            </w:pP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12"/>
                <w:szCs w:val="12"/>
                <w:b w:val="1"/>
                <w:bCs w:val="1"/>
                <w:color w:val="FFFFFF"/>
              </w:rPr>
              <w:t>Capital and financial instruments</w:t>
            </w:r>
          </w:p>
        </w:tc>
        <w:tc>
          <w:tcPr>
            <w:tcW w:w="0" w:type="dxa"/>
            <w:vAlign w:val="bottom"/>
          </w:tcPr>
          <w:p>
            <w:pPr>
              <w:spacing w:after="0"/>
              <w:rPr>
                <w:sz w:val="1"/>
                <w:szCs w:val="1"/>
                <w:color w:val="auto"/>
              </w:rPr>
            </w:pPr>
          </w:p>
        </w:tc>
      </w:tr>
      <w:tr>
        <w:trPr>
          <w:trHeight w:val="131"/>
        </w:trPr>
        <w:tc>
          <w:tcPr>
            <w:tcW w:w="320" w:type="dxa"/>
            <w:vAlign w:val="bottom"/>
          </w:tcPr>
          <w:p>
            <w:pPr>
              <w:jc w:val="center"/>
              <w:ind w:right="48"/>
              <w:spacing w:after="0"/>
              <w:rPr>
                <w:sz w:val="20"/>
                <w:szCs w:val="20"/>
                <w:color w:val="auto"/>
              </w:rPr>
            </w:pPr>
            <w:r>
              <w:rPr>
                <w:rFonts w:ascii="Times New Roman" w:cs="Times New Roman" w:eastAsia="Times New Roman" w:hAnsi="Times New Roman"/>
                <w:sz w:val="9"/>
                <w:szCs w:val="9"/>
                <w:color w:val="FFFFFF"/>
              </w:rPr>
              <w:t>147</w:t>
            </w:r>
          </w:p>
        </w:tc>
        <w:tc>
          <w:tcPr>
            <w:tcW w:w="260" w:type="dxa"/>
            <w:vAlign w:val="bottom"/>
          </w:tcPr>
          <w:p>
            <w:pPr>
              <w:ind w:left="100"/>
              <w:spacing w:after="0"/>
              <w:rPr>
                <w:sz w:val="20"/>
                <w:szCs w:val="20"/>
                <w:color w:val="auto"/>
              </w:rPr>
            </w:pPr>
            <w:r>
              <w:rPr>
                <w:rFonts w:ascii="Times New Roman" w:cs="Times New Roman" w:eastAsia="Times New Roman" w:hAnsi="Times New Roman"/>
                <w:sz w:val="9"/>
                <w:szCs w:val="9"/>
                <w:color w:val="FFFFFF"/>
              </w:rPr>
              <w:t>5.1.</w:t>
            </w:r>
          </w:p>
        </w:tc>
        <w:tc>
          <w:tcPr>
            <w:tcW w:w="1620" w:type="dxa"/>
            <w:vAlign w:val="bottom"/>
          </w:tcPr>
          <w:p>
            <w:pPr>
              <w:spacing w:after="0"/>
              <w:rPr>
                <w:sz w:val="20"/>
                <w:szCs w:val="20"/>
                <w:color w:val="auto"/>
              </w:rPr>
            </w:pPr>
            <w:r>
              <w:rPr>
                <w:rFonts w:ascii="Times New Roman" w:cs="Times New Roman" w:eastAsia="Times New Roman" w:hAnsi="Times New Roman"/>
                <w:sz w:val="9"/>
                <w:szCs w:val="9"/>
                <w:color w:val="FFFFFF"/>
              </w:rPr>
              <w:t>Equity</w:t>
            </w:r>
          </w:p>
        </w:tc>
        <w:tc>
          <w:tcPr>
            <w:tcW w:w="0" w:type="dxa"/>
            <w:vAlign w:val="bottom"/>
          </w:tcPr>
          <w:p>
            <w:pPr>
              <w:spacing w:after="0"/>
              <w:rPr>
                <w:sz w:val="1"/>
                <w:szCs w:val="1"/>
                <w:color w:val="auto"/>
              </w:rPr>
            </w:pPr>
          </w:p>
        </w:tc>
      </w:tr>
      <w:tr>
        <w:trPr>
          <w:trHeight w:val="122"/>
        </w:trPr>
        <w:tc>
          <w:tcPr>
            <w:tcW w:w="320" w:type="dxa"/>
            <w:vAlign w:val="bottom"/>
          </w:tcPr>
          <w:p>
            <w:pPr>
              <w:jc w:val="center"/>
              <w:ind w:right="48"/>
              <w:spacing w:after="0"/>
              <w:rPr>
                <w:sz w:val="20"/>
                <w:szCs w:val="20"/>
                <w:color w:val="auto"/>
              </w:rPr>
            </w:pPr>
            <w:r>
              <w:rPr>
                <w:rFonts w:ascii="Times New Roman" w:cs="Times New Roman" w:eastAsia="Times New Roman" w:hAnsi="Times New Roman"/>
                <w:sz w:val="9"/>
                <w:szCs w:val="9"/>
                <w:color w:val="FFFFFF"/>
              </w:rPr>
              <w:t>147</w:t>
            </w:r>
          </w:p>
        </w:tc>
        <w:tc>
          <w:tcPr>
            <w:tcW w:w="1880" w:type="dxa"/>
            <w:vAlign w:val="bottom"/>
            <w:gridSpan w:val="2"/>
            <w:vMerge w:val="restart"/>
          </w:tcPr>
          <w:p>
            <w:pPr>
              <w:ind w:left="100"/>
              <w:spacing w:after="0"/>
              <w:rPr>
                <w:sz w:val="20"/>
                <w:szCs w:val="20"/>
                <w:color w:val="auto"/>
              </w:rPr>
            </w:pPr>
            <w:r>
              <w:rPr>
                <w:rFonts w:ascii="Times New Roman" w:cs="Times New Roman" w:eastAsia="Times New Roman" w:hAnsi="Times New Roman"/>
                <w:sz w:val="9"/>
                <w:szCs w:val="9"/>
                <w:color w:val="FFFFFF"/>
              </w:rPr>
              <w:t>5.2. Financial assets and liabilities</w:t>
            </w:r>
          </w:p>
        </w:tc>
        <w:tc>
          <w:tcPr>
            <w:tcW w:w="0" w:type="dxa"/>
            <w:vAlign w:val="bottom"/>
          </w:tcPr>
          <w:p>
            <w:pPr>
              <w:spacing w:after="0"/>
              <w:rPr>
                <w:sz w:val="1"/>
                <w:szCs w:val="1"/>
                <w:color w:val="auto"/>
              </w:rPr>
            </w:pPr>
          </w:p>
        </w:tc>
      </w:tr>
      <w:tr>
        <w:trPr>
          <w:trHeight w:val="40"/>
        </w:trPr>
        <w:tc>
          <w:tcPr>
            <w:tcW w:w="320" w:type="dxa"/>
            <w:vAlign w:val="bottom"/>
          </w:tcPr>
          <w:p>
            <w:pPr>
              <w:spacing w:after="0"/>
              <w:rPr>
                <w:sz w:val="3"/>
                <w:szCs w:val="3"/>
                <w:color w:val="auto"/>
              </w:rPr>
            </w:pPr>
          </w:p>
        </w:tc>
        <w:tc>
          <w:tcPr>
            <w:tcW w:w="1880" w:type="dxa"/>
            <w:vAlign w:val="bottom"/>
            <w:gridSpan w:val="2"/>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41"/>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148</w:t>
            </w: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FFFFFF"/>
              </w:rPr>
              <w:t>5.3. Derivative and firm commitment assets and</w:t>
            </w:r>
          </w:p>
        </w:tc>
        <w:tc>
          <w:tcPr>
            <w:tcW w:w="0" w:type="dxa"/>
            <w:vAlign w:val="bottom"/>
          </w:tcPr>
          <w:p>
            <w:pPr>
              <w:spacing w:after="0"/>
              <w:rPr>
                <w:sz w:val="1"/>
                <w:szCs w:val="1"/>
                <w:color w:val="auto"/>
              </w:rPr>
            </w:pPr>
          </w:p>
        </w:tc>
      </w:tr>
      <w:tr>
        <w:trPr>
          <w:trHeight w:val="61"/>
        </w:trPr>
        <w:tc>
          <w:tcPr>
            <w:tcW w:w="320" w:type="dxa"/>
            <w:vAlign w:val="bottom"/>
            <w:vMerge w:val="continue"/>
          </w:tcPr>
          <w:p>
            <w:pPr>
              <w:spacing w:after="0"/>
              <w:rPr>
                <w:sz w:val="5"/>
                <w:szCs w:val="5"/>
                <w:color w:val="auto"/>
              </w:rPr>
            </w:pPr>
          </w:p>
        </w:tc>
        <w:tc>
          <w:tcPr>
            <w:tcW w:w="260" w:type="dxa"/>
            <w:vAlign w:val="bottom"/>
          </w:tcPr>
          <w:p>
            <w:pPr>
              <w:spacing w:after="0"/>
              <w:rPr>
                <w:sz w:val="5"/>
                <w:szCs w:val="5"/>
                <w:color w:val="auto"/>
              </w:rPr>
            </w:pPr>
          </w:p>
        </w:tc>
        <w:tc>
          <w:tcPr>
            <w:tcW w:w="1620" w:type="dxa"/>
            <w:vAlign w:val="bottom"/>
            <w:vMerge w:val="restart"/>
          </w:tcPr>
          <w:p>
            <w:pPr>
              <w:ind w:left="40"/>
              <w:spacing w:after="0"/>
              <w:rPr>
                <w:sz w:val="20"/>
                <w:szCs w:val="20"/>
                <w:color w:val="auto"/>
              </w:rPr>
            </w:pPr>
            <w:r>
              <w:rPr>
                <w:rFonts w:ascii="Times New Roman" w:cs="Times New Roman" w:eastAsia="Times New Roman" w:hAnsi="Times New Roman"/>
                <w:sz w:val="9"/>
                <w:szCs w:val="9"/>
                <w:color w:val="FFFFFF"/>
              </w:rPr>
              <w:t>liabilities</w:t>
            </w:r>
          </w:p>
        </w:tc>
        <w:tc>
          <w:tcPr>
            <w:tcW w:w="0" w:type="dxa"/>
            <w:vAlign w:val="bottom"/>
          </w:tcPr>
          <w:p>
            <w:pPr>
              <w:spacing w:after="0"/>
              <w:rPr>
                <w:sz w:val="1"/>
                <w:szCs w:val="1"/>
                <w:color w:val="auto"/>
              </w:rPr>
            </w:pPr>
          </w:p>
        </w:tc>
      </w:tr>
      <w:tr>
        <w:trPr>
          <w:trHeight w:val="60"/>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149</w:t>
            </w:r>
          </w:p>
        </w:tc>
        <w:tc>
          <w:tcPr>
            <w:tcW w:w="260" w:type="dxa"/>
            <w:vAlign w:val="bottom"/>
          </w:tcPr>
          <w:p>
            <w:pPr>
              <w:spacing w:after="0"/>
              <w:rPr>
                <w:sz w:val="5"/>
                <w:szCs w:val="5"/>
                <w:color w:val="auto"/>
              </w:rPr>
            </w:pPr>
          </w:p>
        </w:tc>
        <w:tc>
          <w:tcPr>
            <w:tcW w:w="162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72"/>
        </w:trPr>
        <w:tc>
          <w:tcPr>
            <w:tcW w:w="320" w:type="dxa"/>
            <w:vAlign w:val="bottom"/>
            <w:vMerge w:val="continue"/>
          </w:tcPr>
          <w:p>
            <w:pPr>
              <w:spacing w:after="0"/>
              <w:rPr>
                <w:sz w:val="6"/>
                <w:szCs w:val="6"/>
                <w:color w:val="auto"/>
              </w:rPr>
            </w:pPr>
          </w:p>
        </w:tc>
        <w:tc>
          <w:tcPr>
            <w:tcW w:w="1880" w:type="dxa"/>
            <w:vAlign w:val="bottom"/>
            <w:gridSpan w:val="2"/>
            <w:vMerge w:val="restart"/>
          </w:tcPr>
          <w:p>
            <w:pPr>
              <w:ind w:left="100"/>
              <w:spacing w:after="0"/>
              <w:rPr>
                <w:sz w:val="20"/>
                <w:szCs w:val="20"/>
                <w:color w:val="auto"/>
              </w:rPr>
            </w:pPr>
            <w:r>
              <w:rPr>
                <w:rFonts w:ascii="Times New Roman" w:cs="Times New Roman" w:eastAsia="Times New Roman" w:hAnsi="Times New Roman"/>
                <w:sz w:val="9"/>
                <w:szCs w:val="9"/>
                <w:color w:val="FFFFFF"/>
              </w:rPr>
              <w:t>5.4. Financial risk management</w:t>
            </w:r>
          </w:p>
        </w:tc>
        <w:tc>
          <w:tcPr>
            <w:tcW w:w="0" w:type="dxa"/>
            <w:vAlign w:val="bottom"/>
          </w:tcPr>
          <w:p>
            <w:pPr>
              <w:spacing w:after="0"/>
              <w:rPr>
                <w:sz w:val="1"/>
                <w:szCs w:val="1"/>
                <w:color w:val="auto"/>
              </w:rPr>
            </w:pPr>
          </w:p>
        </w:tc>
      </w:tr>
      <w:tr>
        <w:trPr>
          <w:trHeight w:val="51"/>
        </w:trPr>
        <w:tc>
          <w:tcPr>
            <w:tcW w:w="320" w:type="dxa"/>
            <w:vAlign w:val="bottom"/>
          </w:tcPr>
          <w:p>
            <w:pPr>
              <w:spacing w:after="0"/>
              <w:rPr>
                <w:sz w:val="4"/>
                <w:szCs w:val="4"/>
                <w:color w:val="auto"/>
              </w:rPr>
            </w:pPr>
          </w:p>
        </w:tc>
        <w:tc>
          <w:tcPr>
            <w:tcW w:w="1880" w:type="dxa"/>
            <w:vAlign w:val="bottom"/>
            <w:gridSpan w:val="2"/>
            <w:vMerge w:val="continue"/>
          </w:tcPr>
          <w:p>
            <w:pPr>
              <w:spacing w:after="0"/>
              <w:rPr>
                <w:sz w:val="4"/>
                <w:szCs w:val="4"/>
                <w:color w:val="auto"/>
              </w:rPr>
            </w:pPr>
          </w:p>
        </w:tc>
        <w:tc>
          <w:tcPr>
            <w:tcW w:w="0" w:type="dxa"/>
            <w:vAlign w:val="bottom"/>
          </w:tcPr>
          <w:p>
            <w:pPr>
              <w:spacing w:after="0"/>
              <w:rPr>
                <w:sz w:val="1"/>
                <w:szCs w:val="1"/>
                <w:color w:val="auto"/>
              </w:rPr>
            </w:pPr>
          </w:p>
        </w:tc>
      </w:tr>
      <w:tr>
        <w:trPr>
          <w:trHeight w:val="232"/>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12"/>
                <w:szCs w:val="12"/>
                <w:b w:val="1"/>
                <w:bCs w:val="1"/>
                <w:color w:val="FFFFFF"/>
                <w:w w:val="99"/>
              </w:rPr>
              <w:t>150</w:t>
            </w:r>
          </w:p>
        </w:tc>
        <w:tc>
          <w:tcPr>
            <w:tcW w:w="1880" w:type="dxa"/>
            <w:vAlign w:val="bottom"/>
            <w:gridSpan w:val="2"/>
          </w:tcPr>
          <w:p>
            <w:pPr>
              <w:ind w:left="100"/>
              <w:spacing w:after="0"/>
              <w:rPr>
                <w:sz w:val="20"/>
                <w:szCs w:val="20"/>
                <w:color w:val="auto"/>
              </w:rPr>
            </w:pPr>
            <w:r>
              <w:rPr>
                <w:rFonts w:ascii="Times New Roman" w:cs="Times New Roman" w:eastAsia="Times New Roman" w:hAnsi="Times New Roman"/>
                <w:sz w:val="8"/>
                <w:szCs w:val="8"/>
                <w:color w:val="FFFFFF"/>
              </w:rPr>
              <w:t>Section 6:</w:t>
            </w:r>
          </w:p>
        </w:tc>
        <w:tc>
          <w:tcPr>
            <w:tcW w:w="0" w:type="dxa"/>
            <w:vAlign w:val="bottom"/>
          </w:tcPr>
          <w:p>
            <w:pPr>
              <w:spacing w:after="0"/>
              <w:rPr>
                <w:sz w:val="1"/>
                <w:szCs w:val="1"/>
                <w:color w:val="auto"/>
              </w:rPr>
            </w:pPr>
          </w:p>
        </w:tc>
      </w:tr>
      <w:tr>
        <w:trPr>
          <w:trHeight w:val="99"/>
        </w:trPr>
        <w:tc>
          <w:tcPr>
            <w:tcW w:w="320" w:type="dxa"/>
            <w:vAlign w:val="bottom"/>
            <w:vMerge w:val="continue"/>
          </w:tcPr>
          <w:p>
            <w:pPr>
              <w:spacing w:after="0"/>
              <w:rPr>
                <w:sz w:val="8"/>
                <w:szCs w:val="8"/>
                <w:color w:val="auto"/>
              </w:rPr>
            </w:pPr>
          </w:p>
        </w:tc>
        <w:tc>
          <w:tcPr>
            <w:tcW w:w="1880" w:type="dxa"/>
            <w:vAlign w:val="bottom"/>
            <w:gridSpan w:val="2"/>
            <w:vMerge w:val="restart"/>
          </w:tcPr>
          <w:p>
            <w:pPr>
              <w:ind w:left="100"/>
              <w:spacing w:after="0"/>
              <w:rPr>
                <w:sz w:val="20"/>
                <w:szCs w:val="20"/>
                <w:color w:val="auto"/>
              </w:rPr>
            </w:pPr>
            <w:r>
              <w:rPr>
                <w:rFonts w:ascii="Times New Roman" w:cs="Times New Roman" w:eastAsia="Times New Roman" w:hAnsi="Times New Roman"/>
                <w:sz w:val="12"/>
                <w:szCs w:val="12"/>
                <w:b w:val="1"/>
                <w:bCs w:val="1"/>
                <w:color w:val="FFFFFF"/>
              </w:rPr>
              <w:t>Other information</w:t>
            </w:r>
          </w:p>
        </w:tc>
        <w:tc>
          <w:tcPr>
            <w:tcW w:w="0" w:type="dxa"/>
            <w:vAlign w:val="bottom"/>
          </w:tcPr>
          <w:p>
            <w:pPr>
              <w:spacing w:after="0"/>
              <w:rPr>
                <w:sz w:val="1"/>
                <w:szCs w:val="1"/>
                <w:color w:val="auto"/>
              </w:rPr>
            </w:pPr>
          </w:p>
        </w:tc>
      </w:tr>
      <w:tr>
        <w:trPr>
          <w:trHeight w:val="52"/>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150</w:t>
            </w:r>
          </w:p>
        </w:tc>
        <w:tc>
          <w:tcPr>
            <w:tcW w:w="1880" w:type="dxa"/>
            <w:vAlign w:val="bottom"/>
            <w:gridSpan w:val="2"/>
            <w:vMerge w:val="continue"/>
          </w:tcPr>
          <w:p>
            <w:pPr>
              <w:spacing w:after="0"/>
              <w:rPr>
                <w:sz w:val="4"/>
                <w:szCs w:val="4"/>
                <w:color w:val="auto"/>
              </w:rPr>
            </w:pPr>
          </w:p>
        </w:tc>
        <w:tc>
          <w:tcPr>
            <w:tcW w:w="0" w:type="dxa"/>
            <w:vAlign w:val="bottom"/>
          </w:tcPr>
          <w:p>
            <w:pPr>
              <w:spacing w:after="0"/>
              <w:rPr>
                <w:sz w:val="1"/>
                <w:szCs w:val="1"/>
                <w:color w:val="auto"/>
              </w:rPr>
            </w:pPr>
          </w:p>
        </w:tc>
      </w:tr>
      <w:tr>
        <w:trPr>
          <w:trHeight w:val="72"/>
        </w:trPr>
        <w:tc>
          <w:tcPr>
            <w:tcW w:w="320" w:type="dxa"/>
            <w:vAlign w:val="bottom"/>
            <w:vMerge w:val="continue"/>
          </w:tcPr>
          <w:p>
            <w:pPr>
              <w:spacing w:after="0"/>
              <w:rPr>
                <w:sz w:val="6"/>
                <w:szCs w:val="6"/>
                <w:color w:val="auto"/>
              </w:rPr>
            </w:pPr>
          </w:p>
        </w:tc>
        <w:tc>
          <w:tcPr>
            <w:tcW w:w="260" w:type="dxa"/>
            <w:vAlign w:val="bottom"/>
            <w:vMerge w:val="restart"/>
          </w:tcPr>
          <w:p>
            <w:pPr>
              <w:ind w:left="100"/>
              <w:spacing w:after="0"/>
              <w:rPr>
                <w:sz w:val="20"/>
                <w:szCs w:val="20"/>
                <w:color w:val="auto"/>
              </w:rPr>
            </w:pPr>
            <w:r>
              <w:rPr>
                <w:rFonts w:ascii="Times New Roman" w:cs="Times New Roman" w:eastAsia="Times New Roman" w:hAnsi="Times New Roman"/>
                <w:sz w:val="9"/>
                <w:szCs w:val="9"/>
                <w:color w:val="FFFFFF"/>
              </w:rPr>
              <w:t>6.1.</w:t>
            </w:r>
          </w:p>
        </w:tc>
        <w:tc>
          <w:tcPr>
            <w:tcW w:w="1620" w:type="dxa"/>
            <w:vAlign w:val="bottom"/>
            <w:vMerge w:val="restart"/>
          </w:tcPr>
          <w:p>
            <w:pPr>
              <w:spacing w:after="0"/>
              <w:rPr>
                <w:sz w:val="20"/>
                <w:szCs w:val="20"/>
                <w:color w:val="auto"/>
              </w:rPr>
            </w:pPr>
            <w:r>
              <w:rPr>
                <w:rFonts w:ascii="Times New Roman" w:cs="Times New Roman" w:eastAsia="Times New Roman" w:hAnsi="Times New Roman"/>
                <w:sz w:val="9"/>
                <w:szCs w:val="9"/>
                <w:color w:val="FFFFFF"/>
              </w:rPr>
              <w:t>Commitments, contingencies and legal</w:t>
            </w:r>
          </w:p>
        </w:tc>
        <w:tc>
          <w:tcPr>
            <w:tcW w:w="0" w:type="dxa"/>
            <w:vAlign w:val="bottom"/>
          </w:tcPr>
          <w:p>
            <w:pPr>
              <w:spacing w:after="0"/>
              <w:rPr>
                <w:sz w:val="1"/>
                <w:szCs w:val="1"/>
                <w:color w:val="auto"/>
              </w:rPr>
            </w:pPr>
          </w:p>
        </w:tc>
      </w:tr>
      <w:tr>
        <w:trPr>
          <w:trHeight w:val="50"/>
        </w:trPr>
        <w:tc>
          <w:tcPr>
            <w:tcW w:w="320" w:type="dxa"/>
            <w:vAlign w:val="bottom"/>
            <w:vMerge w:val="restart"/>
          </w:tcPr>
          <w:p>
            <w:pPr>
              <w:jc w:val="center"/>
              <w:ind w:right="48"/>
              <w:spacing w:after="0"/>
              <w:rPr>
                <w:sz w:val="20"/>
                <w:szCs w:val="20"/>
                <w:color w:val="auto"/>
              </w:rPr>
            </w:pPr>
            <w:r>
              <w:rPr>
                <w:rFonts w:ascii="Times New Roman" w:cs="Times New Roman" w:eastAsia="Times New Roman" w:hAnsi="Times New Roman"/>
                <w:sz w:val="9"/>
                <w:szCs w:val="9"/>
                <w:color w:val="FFFFFF"/>
              </w:rPr>
              <w:t>153</w:t>
            </w:r>
          </w:p>
        </w:tc>
        <w:tc>
          <w:tcPr>
            <w:tcW w:w="260" w:type="dxa"/>
            <w:vAlign w:val="bottom"/>
            <w:vMerge w:val="continue"/>
          </w:tcPr>
          <w:p>
            <w:pPr>
              <w:spacing w:after="0"/>
              <w:rPr>
                <w:sz w:val="4"/>
                <w:szCs w:val="4"/>
                <w:color w:val="auto"/>
              </w:rPr>
            </w:pPr>
          </w:p>
        </w:tc>
        <w:tc>
          <w:tcPr>
            <w:tcW w:w="16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82"/>
        </w:trPr>
        <w:tc>
          <w:tcPr>
            <w:tcW w:w="320" w:type="dxa"/>
            <w:vAlign w:val="bottom"/>
            <w:vMerge w:val="continue"/>
          </w:tcPr>
          <w:p>
            <w:pPr>
              <w:spacing w:after="0"/>
              <w:rPr>
                <w:sz w:val="7"/>
                <w:szCs w:val="7"/>
                <w:color w:val="auto"/>
              </w:rPr>
            </w:pPr>
          </w:p>
        </w:tc>
        <w:tc>
          <w:tcPr>
            <w:tcW w:w="260" w:type="dxa"/>
            <w:vAlign w:val="bottom"/>
          </w:tcPr>
          <w:p>
            <w:pPr>
              <w:spacing w:after="0"/>
              <w:rPr>
                <w:sz w:val="7"/>
                <w:szCs w:val="7"/>
                <w:color w:val="auto"/>
              </w:rPr>
            </w:pPr>
          </w:p>
        </w:tc>
        <w:tc>
          <w:tcPr>
            <w:tcW w:w="1620" w:type="dxa"/>
            <w:vAlign w:val="bottom"/>
            <w:vMerge w:val="restart"/>
          </w:tcPr>
          <w:p>
            <w:pPr>
              <w:ind w:left="40"/>
              <w:spacing w:after="0"/>
              <w:rPr>
                <w:sz w:val="20"/>
                <w:szCs w:val="20"/>
                <w:color w:val="auto"/>
              </w:rPr>
            </w:pPr>
            <w:r>
              <w:rPr>
                <w:rFonts w:ascii="Times New Roman" w:cs="Times New Roman" w:eastAsia="Times New Roman" w:hAnsi="Times New Roman"/>
                <w:sz w:val="9"/>
                <w:szCs w:val="9"/>
                <w:color w:val="FFFFFF"/>
              </w:rPr>
              <w:t>proceedings</w:t>
            </w:r>
          </w:p>
        </w:tc>
        <w:tc>
          <w:tcPr>
            <w:tcW w:w="0" w:type="dxa"/>
            <w:vAlign w:val="bottom"/>
          </w:tcPr>
          <w:p>
            <w:pPr>
              <w:spacing w:after="0"/>
              <w:rPr>
                <w:sz w:val="1"/>
                <w:szCs w:val="1"/>
                <w:color w:val="auto"/>
              </w:rPr>
            </w:pPr>
          </w:p>
        </w:tc>
      </w:tr>
      <w:tr>
        <w:trPr>
          <w:trHeight w:val="40"/>
        </w:trPr>
        <w:tc>
          <w:tcPr>
            <w:tcW w:w="320" w:type="dxa"/>
            <w:vAlign w:val="bottom"/>
          </w:tcPr>
          <w:p>
            <w:pPr>
              <w:spacing w:after="0"/>
              <w:rPr>
                <w:sz w:val="3"/>
                <w:szCs w:val="3"/>
                <w:color w:val="auto"/>
              </w:rPr>
            </w:pPr>
          </w:p>
        </w:tc>
        <w:tc>
          <w:tcPr>
            <w:tcW w:w="260" w:type="dxa"/>
            <w:vAlign w:val="bottom"/>
          </w:tcPr>
          <w:p>
            <w:pPr>
              <w:spacing w:after="0"/>
              <w:rPr>
                <w:sz w:val="3"/>
                <w:szCs w:val="3"/>
                <w:color w:val="auto"/>
              </w:rPr>
            </w:pPr>
          </w:p>
        </w:tc>
        <w:tc>
          <w:tcPr>
            <w:tcW w:w="1620" w:type="dxa"/>
            <w:vAlign w:val="bottom"/>
            <w:vMerge w:val="continue"/>
          </w:tcPr>
          <w:p>
            <w:pPr>
              <w:spacing w:after="0"/>
              <w:rPr>
                <w:sz w:val="3"/>
                <w:szCs w:val="3"/>
                <w:color w:val="auto"/>
              </w:rPr>
            </w:pPr>
          </w:p>
        </w:tc>
        <w:tc>
          <w:tcPr>
            <w:tcW w:w="0" w:type="dxa"/>
            <w:vAlign w:val="bottom"/>
          </w:tcPr>
          <w:p>
            <w:pPr>
              <w:spacing w:after="0" w:line="20" w:lineRule="exact"/>
              <w:rPr>
                <w:sz w:val="1"/>
                <w:szCs w:val="1"/>
                <w:color w:val="auto"/>
              </w:rPr>
            </w:pPr>
          </w:p>
        </w:tc>
      </w:tr>
    </w:tbl>
    <w:p>
      <w:pPr>
        <w:ind w:left="420" w:hanging="371"/>
        <w:spacing w:after="0"/>
        <w:tabs>
          <w:tab w:leader="none" w:pos="420" w:val="left"/>
        </w:tabs>
        <w:numPr>
          <w:ilvl w:val="0"/>
          <w:numId w:val="106"/>
        </w:numPr>
        <w:rPr>
          <w:rFonts w:ascii="Times New Roman" w:cs="Times New Roman" w:eastAsia="Times New Roman" w:hAnsi="Times New Roman"/>
          <w:sz w:val="9"/>
          <w:szCs w:val="9"/>
          <w:color w:val="FFFFFF"/>
        </w:rPr>
      </w:pPr>
      <w:r>
        <w:rPr>
          <w:rFonts w:ascii="Times New Roman" w:cs="Times New Roman" w:eastAsia="Times New Roman" w:hAnsi="Times New Roman"/>
          <w:sz w:val="9"/>
          <w:szCs w:val="9"/>
          <w:color w:val="FFFFFF"/>
        </w:rPr>
        <w:t>6.2. Principal Group companies</w:t>
      </w:r>
    </w:p>
    <w:p>
      <w:pPr>
        <w:spacing w:after="0" w:line="27" w:lineRule="exact"/>
        <w:rPr>
          <w:rFonts w:ascii="Times New Roman" w:cs="Times New Roman" w:eastAsia="Times New Roman" w:hAnsi="Times New Roman"/>
          <w:sz w:val="9"/>
          <w:szCs w:val="9"/>
          <w:color w:val="FFFFFF"/>
        </w:rPr>
      </w:pPr>
    </w:p>
    <w:p>
      <w:pPr>
        <w:ind w:left="420" w:hanging="371"/>
        <w:spacing w:after="0"/>
        <w:tabs>
          <w:tab w:leader="none" w:pos="420" w:val="left"/>
        </w:tabs>
        <w:numPr>
          <w:ilvl w:val="0"/>
          <w:numId w:val="106"/>
        </w:numPr>
        <w:rPr>
          <w:rFonts w:ascii="Times New Roman" w:cs="Times New Roman" w:eastAsia="Times New Roman" w:hAnsi="Times New Roman"/>
          <w:sz w:val="9"/>
          <w:szCs w:val="9"/>
          <w:color w:val="FFFFFF"/>
        </w:rPr>
      </w:pPr>
      <w:r>
        <w:rPr>
          <w:rFonts w:ascii="Times New Roman" w:cs="Times New Roman" w:eastAsia="Times New Roman" w:hAnsi="Times New Roman"/>
          <w:sz w:val="9"/>
          <w:szCs w:val="9"/>
          <w:color w:val="FFFFFF"/>
        </w:rPr>
        <w:t>6.3. Significant partly-owned subsidiaries</w:t>
      </w:r>
    </w:p>
    <w:p>
      <w:pPr>
        <w:spacing w:after="0" w:line="27" w:lineRule="exact"/>
        <w:rPr>
          <w:rFonts w:ascii="Times New Roman" w:cs="Times New Roman" w:eastAsia="Times New Roman" w:hAnsi="Times New Roman"/>
          <w:sz w:val="9"/>
          <w:szCs w:val="9"/>
          <w:color w:val="FFFFFF"/>
        </w:rPr>
      </w:pPr>
    </w:p>
    <w:p>
      <w:pPr>
        <w:ind w:left="420" w:hanging="371"/>
        <w:spacing w:after="0"/>
        <w:tabs>
          <w:tab w:leader="none" w:pos="420" w:val="left"/>
        </w:tabs>
        <w:numPr>
          <w:ilvl w:val="0"/>
          <w:numId w:val="106"/>
        </w:numPr>
        <w:rPr>
          <w:rFonts w:ascii="Times New Roman" w:cs="Times New Roman" w:eastAsia="Times New Roman" w:hAnsi="Times New Roman"/>
          <w:sz w:val="9"/>
          <w:szCs w:val="9"/>
          <w:color w:val="FFFFFF"/>
        </w:rPr>
      </w:pPr>
      <w:r>
        <w:rPr>
          <w:rFonts w:ascii="Times New Roman" w:cs="Times New Roman" w:eastAsia="Times New Roman" w:hAnsi="Times New Roman"/>
          <w:sz w:val="9"/>
          <w:szCs w:val="9"/>
          <w:color w:val="FFFFFF"/>
        </w:rPr>
        <w:t>6.4. Related party transactions</w:t>
      </w:r>
    </w:p>
    <w:p>
      <w:pPr>
        <w:spacing w:after="0" w:line="19" w:lineRule="exact"/>
        <w:rPr>
          <w:sz w:val="20"/>
          <w:szCs w:val="20"/>
          <w:color w:val="auto"/>
        </w:rPr>
      </w:pPr>
    </w:p>
    <w:p>
      <w:pPr>
        <w:ind w:left="40"/>
        <w:spacing w:after="0"/>
        <w:rPr>
          <w:sz w:val="20"/>
          <w:szCs w:val="20"/>
          <w:color w:val="auto"/>
        </w:rPr>
      </w:pPr>
      <w:r>
        <w:rPr>
          <w:rFonts w:ascii="Times New Roman" w:cs="Times New Roman" w:eastAsia="Times New Roman" w:hAnsi="Times New Roman"/>
          <w:sz w:val="9"/>
          <w:szCs w:val="9"/>
          <w:color w:val="FFFFFF"/>
        </w:rPr>
        <w:t>160</w:t>
      </w:r>
    </w:p>
    <w:p>
      <w:pPr>
        <w:spacing w:after="0" w:line="20" w:lineRule="exact"/>
        <w:rPr>
          <w:sz w:val="20"/>
          <w:szCs w:val="20"/>
          <w:color w:val="auto"/>
        </w:rPr>
      </w:pPr>
      <w:r>
        <w:rPr>
          <w:sz w:val="20"/>
          <w:szCs w:val="20"/>
          <w:color w:val="auto"/>
        </w:rPr>
        <w:br w:type="column"/>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b w:val="1"/>
          <w:bCs w:val="1"/>
          <w:color w:val="FFFFFF"/>
        </w:rPr>
        <w:t>172</w:t>
      </w:r>
    </w:p>
    <w:p>
      <w:pPr>
        <w:spacing w:after="0" w:line="24"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172</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175</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176</w:t>
      </w:r>
    </w:p>
    <w:p>
      <w:pPr>
        <w:spacing w:after="0" w:line="4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177</w:t>
      </w:r>
    </w:p>
    <w:p>
      <w:pPr>
        <w:spacing w:after="0" w:line="139"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177</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179</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180</w:t>
      </w:r>
    </w:p>
    <w:p>
      <w:pPr>
        <w:spacing w:after="0" w:line="241"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b w:val="1"/>
          <w:bCs w:val="1"/>
          <w:color w:val="FFFFFF"/>
        </w:rPr>
        <w:t>181</w:t>
      </w:r>
    </w:p>
    <w:p>
      <w:pPr>
        <w:spacing w:after="0" w:line="44"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181</w:t>
      </w:r>
    </w:p>
    <w:p>
      <w:pPr>
        <w:spacing w:after="0" w:line="4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185</w:t>
      </w:r>
    </w:p>
    <w:p>
      <w:pPr>
        <w:spacing w:after="0" w:line="139"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189</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192</w:t>
      </w:r>
    </w:p>
    <w:p>
      <w:pPr>
        <w:spacing w:after="0" w:line="241"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b w:val="1"/>
          <w:bCs w:val="1"/>
          <w:color w:val="FFFFFF"/>
        </w:rPr>
        <w:t>199</w:t>
      </w:r>
    </w:p>
    <w:p>
      <w:pPr>
        <w:spacing w:after="0" w:line="13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199</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201</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202</w:t>
      </w:r>
    </w:p>
    <w:p>
      <w:pPr>
        <w:spacing w:after="0" w:line="2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9"/>
          <w:szCs w:val="9"/>
          <w:color w:val="FFFFFF"/>
        </w:rPr>
        <w:t>203</w:t>
      </w:r>
    </w:p>
    <w:p>
      <w:pPr>
        <w:spacing w:after="0" w:line="166" w:lineRule="exact"/>
        <w:rPr>
          <w:sz w:val="20"/>
          <w:szCs w:val="20"/>
          <w:color w:val="auto"/>
        </w:rPr>
      </w:pPr>
    </w:p>
    <w:p>
      <w:pPr>
        <w:sectPr>
          <w:pgSz w:w="11900" w:h="16838" w:orient="portrait"/>
          <w:cols w:equalWidth="0" w:num="3">
            <w:col w:w="1980" w:space="340"/>
            <w:col w:w="2200" w:space="540"/>
            <w:col w:w="4920"/>
          </w:cols>
          <w:pgMar w:left="960" w:top="409" w:right="959" w:bottom="1440" w:gutter="0" w:footer="0" w:header="0"/>
          <w:type w:val="continuous"/>
        </w:sectPr>
      </w:pPr>
    </w:p>
    <w:tbl>
      <w:tblPr>
        <w:tblLayout w:type="fixed"/>
        <w:tblInd w:w="40" w:type="dxa"/>
        <w:tblCellMar>
          <w:top w:w="0" w:type="dxa"/>
          <w:left w:w="0" w:type="dxa"/>
          <w:bottom w:w="0" w:type="dxa"/>
          <w:right w:w="0" w:type="dxa"/>
        </w:tblCellMar>
      </w:tblPr>
      <w:tr>
        <w:trPr>
          <w:trHeight w:val="162"/>
        </w:trPr>
        <w:tc>
          <w:tcPr>
            <w:tcW w:w="2080" w:type="dxa"/>
            <w:vAlign w:val="bottom"/>
            <w:gridSpan w:val="2"/>
            <w:vMerge w:val="restart"/>
          </w:tcPr>
          <w:p>
            <w:pPr>
              <w:spacing w:after="0"/>
              <w:rPr>
                <w:sz w:val="20"/>
                <w:szCs w:val="20"/>
                <w:color w:val="auto"/>
              </w:rPr>
            </w:pPr>
            <w:r>
              <w:rPr>
                <w:rFonts w:ascii="Times New Roman" w:cs="Times New Roman" w:eastAsia="Times New Roman" w:hAnsi="Times New Roman"/>
                <w:sz w:val="8"/>
                <w:szCs w:val="8"/>
                <w:color w:val="FFFFFF"/>
              </w:rPr>
              <w:t>Section 3:</w:t>
            </w:r>
          </w:p>
        </w:tc>
        <w:tc>
          <w:tcPr>
            <w:tcW w:w="520" w:type="dxa"/>
            <w:vAlign w:val="bottom"/>
          </w:tcPr>
          <w:p>
            <w:pPr>
              <w:spacing w:after="0"/>
              <w:rPr>
                <w:sz w:val="14"/>
                <w:szCs w:val="14"/>
                <w:color w:val="auto"/>
              </w:rPr>
            </w:pPr>
          </w:p>
        </w:tc>
        <w:tc>
          <w:tcPr>
            <w:tcW w:w="2160" w:type="dxa"/>
            <w:vAlign w:val="bottom"/>
          </w:tcPr>
          <w:p>
            <w:pPr>
              <w:ind w:left="100"/>
              <w:spacing w:after="0"/>
              <w:rPr>
                <w:sz w:val="20"/>
                <w:szCs w:val="20"/>
                <w:color w:val="auto"/>
              </w:rPr>
            </w:pPr>
            <w:r>
              <w:rPr>
                <w:rFonts w:ascii="Times New Roman" w:cs="Times New Roman" w:eastAsia="Times New Roman" w:hAnsi="Times New Roman"/>
                <w:sz w:val="13"/>
                <w:szCs w:val="13"/>
                <w:b w:val="1"/>
                <w:bCs w:val="1"/>
                <w:color w:val="FFFFFF"/>
              </w:rPr>
              <w:t>Reports of independent registered</w:t>
            </w:r>
          </w:p>
        </w:tc>
        <w:tc>
          <w:tcPr>
            <w:tcW w:w="0" w:type="dxa"/>
            <w:vAlign w:val="bottom"/>
          </w:tcPr>
          <w:p>
            <w:pPr>
              <w:spacing w:after="0"/>
              <w:rPr>
                <w:sz w:val="1"/>
                <w:szCs w:val="1"/>
                <w:color w:val="auto"/>
              </w:rPr>
            </w:pPr>
          </w:p>
        </w:tc>
      </w:tr>
      <w:tr>
        <w:trPr>
          <w:trHeight w:val="44"/>
        </w:trPr>
        <w:tc>
          <w:tcPr>
            <w:tcW w:w="2080" w:type="dxa"/>
            <w:vAlign w:val="bottom"/>
            <w:gridSpan w:val="2"/>
            <w:vMerge w:val="continue"/>
          </w:tcPr>
          <w:p>
            <w:pPr>
              <w:spacing w:after="0"/>
              <w:rPr>
                <w:sz w:val="3"/>
                <w:szCs w:val="3"/>
                <w:color w:val="auto"/>
              </w:rPr>
            </w:pPr>
          </w:p>
        </w:tc>
        <w:tc>
          <w:tcPr>
            <w:tcW w:w="520" w:type="dxa"/>
            <w:vAlign w:val="bottom"/>
            <w:vMerge w:val="restart"/>
          </w:tcPr>
          <w:p>
            <w:pPr>
              <w:jc w:val="center"/>
              <w:ind w:left="50"/>
              <w:spacing w:after="0"/>
              <w:rPr>
                <w:sz w:val="20"/>
                <w:szCs w:val="20"/>
                <w:color w:val="auto"/>
              </w:rPr>
            </w:pPr>
            <w:r>
              <w:rPr>
                <w:rFonts w:ascii="Times New Roman" w:cs="Times New Roman" w:eastAsia="Times New Roman" w:hAnsi="Times New Roman"/>
                <w:sz w:val="12"/>
                <w:szCs w:val="12"/>
                <w:b w:val="1"/>
                <w:bCs w:val="1"/>
                <w:color w:val="FFFFFF"/>
                <w:w w:val="99"/>
              </w:rPr>
              <w:t>161</w:t>
            </w:r>
          </w:p>
        </w:tc>
        <w:tc>
          <w:tcPr>
            <w:tcW w:w="2160" w:type="dxa"/>
            <w:vAlign w:val="bottom"/>
            <w:vMerge w:val="restart"/>
          </w:tcPr>
          <w:p>
            <w:pPr>
              <w:ind w:left="100"/>
              <w:spacing w:after="0"/>
              <w:rPr>
                <w:sz w:val="20"/>
                <w:szCs w:val="20"/>
                <w:color w:val="auto"/>
              </w:rPr>
            </w:pPr>
            <w:r>
              <w:rPr>
                <w:rFonts w:ascii="Times New Roman" w:cs="Times New Roman" w:eastAsia="Times New Roman" w:hAnsi="Times New Roman"/>
                <w:sz w:val="13"/>
                <w:szCs w:val="13"/>
                <w:b w:val="1"/>
                <w:bCs w:val="1"/>
                <w:color w:val="FFFFFF"/>
              </w:rPr>
              <w:t>public accounting firm (PCAOB ID</w:t>
            </w:r>
          </w:p>
        </w:tc>
        <w:tc>
          <w:tcPr>
            <w:tcW w:w="0" w:type="dxa"/>
            <w:vAlign w:val="bottom"/>
          </w:tcPr>
          <w:p>
            <w:pPr>
              <w:spacing w:after="0"/>
              <w:rPr>
                <w:sz w:val="1"/>
                <w:szCs w:val="1"/>
                <w:color w:val="auto"/>
              </w:rPr>
            </w:pPr>
          </w:p>
        </w:tc>
      </w:tr>
      <w:tr>
        <w:trPr>
          <w:trHeight w:val="124"/>
        </w:trPr>
        <w:tc>
          <w:tcPr>
            <w:tcW w:w="2080" w:type="dxa"/>
            <w:vAlign w:val="bottom"/>
            <w:gridSpan w:val="2"/>
          </w:tcPr>
          <w:p>
            <w:pPr>
              <w:spacing w:after="0" w:line="124" w:lineRule="exact"/>
              <w:rPr>
                <w:sz w:val="20"/>
                <w:szCs w:val="20"/>
                <w:color w:val="auto"/>
              </w:rPr>
            </w:pPr>
            <w:r>
              <w:rPr>
                <w:rFonts w:ascii="Times New Roman" w:cs="Times New Roman" w:eastAsia="Times New Roman" w:hAnsi="Times New Roman"/>
                <w:sz w:val="12"/>
                <w:szCs w:val="12"/>
                <w:b w:val="1"/>
                <w:bCs w:val="1"/>
                <w:color w:val="FFFFFF"/>
              </w:rPr>
              <w:t>Compensation and benefits</w:t>
            </w:r>
          </w:p>
        </w:tc>
        <w:tc>
          <w:tcPr>
            <w:tcW w:w="520" w:type="dxa"/>
            <w:vAlign w:val="bottom"/>
            <w:vMerge w:val="continue"/>
          </w:tcPr>
          <w:p>
            <w:pPr>
              <w:spacing w:after="0"/>
              <w:rPr>
                <w:sz w:val="10"/>
                <w:szCs w:val="10"/>
                <w:color w:val="auto"/>
              </w:rPr>
            </w:pPr>
          </w:p>
        </w:tc>
        <w:tc>
          <w:tcPr>
            <w:tcW w:w="2160" w:type="dxa"/>
            <w:vAlign w:val="bottom"/>
            <w:vMerge w:val="continue"/>
          </w:tcPr>
          <w:p>
            <w:pPr>
              <w:spacing w:after="0"/>
              <w:rPr>
                <w:sz w:val="10"/>
                <w:szCs w:val="10"/>
                <w:color w:val="auto"/>
              </w:rPr>
            </w:pPr>
          </w:p>
        </w:tc>
        <w:tc>
          <w:tcPr>
            <w:tcW w:w="0" w:type="dxa"/>
            <w:vAlign w:val="bottom"/>
          </w:tcPr>
          <w:p>
            <w:pPr>
              <w:spacing w:after="0"/>
              <w:rPr>
                <w:sz w:val="1"/>
                <w:szCs w:val="1"/>
                <w:color w:val="auto"/>
              </w:rPr>
            </w:pPr>
          </w:p>
        </w:tc>
      </w:tr>
      <w:tr>
        <w:trPr>
          <w:trHeight w:val="159"/>
        </w:trPr>
        <w:tc>
          <w:tcPr>
            <w:tcW w:w="140" w:type="dxa"/>
            <w:vAlign w:val="bottom"/>
          </w:tcPr>
          <w:p>
            <w:pPr>
              <w:spacing w:after="0"/>
              <w:rPr>
                <w:sz w:val="20"/>
                <w:szCs w:val="20"/>
                <w:color w:val="auto"/>
              </w:rPr>
            </w:pPr>
            <w:r>
              <w:rPr>
                <w:rFonts w:ascii="Times New Roman" w:cs="Times New Roman" w:eastAsia="Times New Roman" w:hAnsi="Times New Roman"/>
                <w:sz w:val="9"/>
                <w:szCs w:val="9"/>
                <w:color w:val="FFFFFF"/>
                <w:w w:val="88"/>
              </w:rPr>
              <w:t>3.1.</w:t>
            </w:r>
          </w:p>
        </w:tc>
        <w:tc>
          <w:tcPr>
            <w:tcW w:w="194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Summary of personnel expenses</w:t>
            </w:r>
          </w:p>
        </w:tc>
        <w:tc>
          <w:tcPr>
            <w:tcW w:w="520" w:type="dxa"/>
            <w:vAlign w:val="bottom"/>
          </w:tcPr>
          <w:p>
            <w:pPr>
              <w:jc w:val="center"/>
              <w:ind w:left="50"/>
              <w:spacing w:after="0"/>
              <w:rPr>
                <w:sz w:val="20"/>
                <w:szCs w:val="20"/>
                <w:color w:val="auto"/>
              </w:rPr>
            </w:pPr>
            <w:r>
              <w:rPr>
                <w:rFonts w:ascii="Times New Roman" w:cs="Times New Roman" w:eastAsia="Times New Roman" w:hAnsi="Times New Roman"/>
                <w:sz w:val="9"/>
                <w:szCs w:val="9"/>
                <w:color w:val="FFFFFF"/>
              </w:rPr>
              <w:t>161</w:t>
            </w:r>
          </w:p>
        </w:tc>
        <w:tc>
          <w:tcPr>
            <w:tcW w:w="2160" w:type="dxa"/>
            <w:vAlign w:val="bottom"/>
          </w:tcPr>
          <w:p>
            <w:pPr>
              <w:ind w:left="100"/>
              <w:spacing w:after="0"/>
              <w:rPr>
                <w:sz w:val="20"/>
                <w:szCs w:val="20"/>
                <w:color w:val="auto"/>
              </w:rPr>
            </w:pPr>
            <w:r>
              <w:rPr>
                <w:rFonts w:ascii="Times New Roman" w:cs="Times New Roman" w:eastAsia="Times New Roman" w:hAnsi="Times New Roman"/>
                <w:sz w:val="13"/>
                <w:szCs w:val="13"/>
                <w:b w:val="1"/>
                <w:bCs w:val="1"/>
                <w:color w:val="FFFFFF"/>
              </w:rPr>
              <w:t>1131)</w:t>
            </w:r>
          </w:p>
        </w:tc>
        <w:tc>
          <w:tcPr>
            <w:tcW w:w="0" w:type="dxa"/>
            <w:vAlign w:val="bottom"/>
          </w:tcPr>
          <w:p>
            <w:pPr>
              <w:spacing w:after="0"/>
              <w:rPr>
                <w:sz w:val="1"/>
                <w:szCs w:val="1"/>
                <w:color w:val="auto"/>
              </w:rPr>
            </w:pPr>
          </w:p>
        </w:tc>
      </w:tr>
      <w:tr>
        <w:trPr>
          <w:trHeight w:val="122"/>
        </w:trPr>
        <w:tc>
          <w:tcPr>
            <w:tcW w:w="2080" w:type="dxa"/>
            <w:vAlign w:val="bottom"/>
            <w:gridSpan w:val="2"/>
          </w:tcPr>
          <w:p>
            <w:pPr>
              <w:spacing w:after="0"/>
              <w:rPr>
                <w:sz w:val="20"/>
                <w:szCs w:val="20"/>
                <w:color w:val="auto"/>
              </w:rPr>
            </w:pPr>
            <w:r>
              <w:rPr>
                <w:rFonts w:ascii="Times New Roman" w:cs="Times New Roman" w:eastAsia="Times New Roman" w:hAnsi="Times New Roman"/>
                <w:sz w:val="9"/>
                <w:szCs w:val="9"/>
                <w:color w:val="FFFFFF"/>
              </w:rPr>
              <w:t>3.2. Remuneration of key management</w:t>
            </w:r>
          </w:p>
        </w:tc>
        <w:tc>
          <w:tcPr>
            <w:tcW w:w="520" w:type="dxa"/>
            <w:vAlign w:val="bottom"/>
          </w:tcPr>
          <w:p>
            <w:pPr>
              <w:jc w:val="center"/>
              <w:ind w:left="50"/>
              <w:spacing w:after="0"/>
              <w:rPr>
                <w:sz w:val="20"/>
                <w:szCs w:val="20"/>
                <w:color w:val="auto"/>
              </w:rPr>
            </w:pPr>
            <w:r>
              <w:rPr>
                <w:rFonts w:ascii="Times New Roman" w:cs="Times New Roman" w:eastAsia="Times New Roman" w:hAnsi="Times New Roman"/>
                <w:sz w:val="9"/>
                <w:szCs w:val="9"/>
                <w:color w:val="FFFFFF"/>
              </w:rPr>
              <w:t>161</w:t>
            </w:r>
          </w:p>
        </w:tc>
        <w:tc>
          <w:tcPr>
            <w:tcW w:w="216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31"/>
        </w:trPr>
        <w:tc>
          <w:tcPr>
            <w:tcW w:w="140" w:type="dxa"/>
            <w:vAlign w:val="bottom"/>
          </w:tcPr>
          <w:p>
            <w:pPr>
              <w:spacing w:after="0"/>
              <w:rPr>
                <w:sz w:val="20"/>
                <w:szCs w:val="20"/>
                <w:color w:val="auto"/>
              </w:rPr>
            </w:pPr>
            <w:r>
              <w:rPr>
                <w:rFonts w:ascii="Times New Roman" w:cs="Times New Roman" w:eastAsia="Times New Roman" w:hAnsi="Times New Roman"/>
                <w:sz w:val="9"/>
                <w:szCs w:val="9"/>
                <w:color w:val="FFFFFF"/>
                <w:w w:val="88"/>
              </w:rPr>
              <w:t>3.3.</w:t>
            </w:r>
          </w:p>
        </w:tc>
        <w:tc>
          <w:tcPr>
            <w:tcW w:w="194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Share-based payments</w:t>
            </w:r>
          </w:p>
        </w:tc>
        <w:tc>
          <w:tcPr>
            <w:tcW w:w="520" w:type="dxa"/>
            <w:vAlign w:val="bottom"/>
          </w:tcPr>
          <w:p>
            <w:pPr>
              <w:jc w:val="center"/>
              <w:ind w:left="50"/>
              <w:spacing w:after="0"/>
              <w:rPr>
                <w:sz w:val="20"/>
                <w:szCs w:val="20"/>
                <w:color w:val="auto"/>
              </w:rPr>
            </w:pPr>
            <w:r>
              <w:rPr>
                <w:rFonts w:ascii="Times New Roman" w:cs="Times New Roman" w:eastAsia="Times New Roman" w:hAnsi="Times New Roman"/>
                <w:sz w:val="9"/>
                <w:szCs w:val="9"/>
                <w:color w:val="FFFFFF"/>
              </w:rPr>
              <w:t>163</w:t>
            </w:r>
          </w:p>
        </w:tc>
        <w:tc>
          <w:tcPr>
            <w:tcW w:w="216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140" w:type="dxa"/>
            <w:vAlign w:val="bottom"/>
          </w:tcPr>
          <w:p>
            <w:pPr>
              <w:spacing w:after="0"/>
              <w:rPr>
                <w:sz w:val="20"/>
                <w:szCs w:val="20"/>
                <w:color w:val="auto"/>
              </w:rPr>
            </w:pPr>
            <w:r>
              <w:rPr>
                <w:rFonts w:ascii="Times New Roman" w:cs="Times New Roman" w:eastAsia="Times New Roman" w:hAnsi="Times New Roman"/>
                <w:sz w:val="9"/>
                <w:szCs w:val="9"/>
                <w:color w:val="FFFFFF"/>
                <w:w w:val="88"/>
              </w:rPr>
              <w:t>3.4.</w:t>
            </w:r>
          </w:p>
        </w:tc>
        <w:tc>
          <w:tcPr>
            <w:tcW w:w="1940" w:type="dxa"/>
            <w:vAlign w:val="bottom"/>
          </w:tcPr>
          <w:p>
            <w:pPr>
              <w:ind w:left="20"/>
              <w:spacing w:after="0"/>
              <w:rPr>
                <w:sz w:val="20"/>
                <w:szCs w:val="20"/>
                <w:color w:val="auto"/>
              </w:rPr>
            </w:pPr>
            <w:r>
              <w:rPr>
                <w:rFonts w:ascii="Times New Roman" w:cs="Times New Roman" w:eastAsia="Times New Roman" w:hAnsi="Times New Roman"/>
                <w:sz w:val="9"/>
                <w:szCs w:val="9"/>
                <w:color w:val="FFFFFF"/>
              </w:rPr>
              <w:t>Pensions and other post-employment benefits</w:t>
            </w:r>
          </w:p>
        </w:tc>
        <w:tc>
          <w:tcPr>
            <w:tcW w:w="520" w:type="dxa"/>
            <w:vAlign w:val="bottom"/>
          </w:tcPr>
          <w:p>
            <w:pPr>
              <w:jc w:val="center"/>
              <w:ind w:left="50"/>
              <w:spacing w:after="0"/>
              <w:rPr>
                <w:sz w:val="20"/>
                <w:szCs w:val="20"/>
                <w:color w:val="auto"/>
              </w:rPr>
            </w:pPr>
            <w:r>
              <w:rPr>
                <w:rFonts w:ascii="Times New Roman" w:cs="Times New Roman" w:eastAsia="Times New Roman" w:hAnsi="Times New Roman"/>
                <w:sz w:val="9"/>
                <w:szCs w:val="9"/>
                <w:color w:val="FFFFFF"/>
              </w:rPr>
              <w:t>165</w:t>
            </w:r>
          </w:p>
        </w:tc>
        <w:tc>
          <w:tcPr>
            <w:tcW w:w="2160" w:type="dxa"/>
            <w:vAlign w:val="bottom"/>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b w:val="1"/>
          <w:bCs w:val="1"/>
          <w:color w:val="FFFFFF"/>
        </w:rPr>
        <w:t>204</w:t>
      </w:r>
    </w:p>
    <w:p>
      <w:pPr>
        <w:sectPr>
          <w:pgSz w:w="11900" w:h="16838" w:orient="portrait"/>
          <w:cols w:equalWidth="0" w:num="2">
            <w:col w:w="4800" w:space="220"/>
            <w:col w:w="4960"/>
          </w:cols>
          <w:pgMar w:left="960" w:top="409" w:right="959" w:bottom="1440" w:gutter="0" w:footer="0" w:header="0"/>
          <w:type w:val="continuous"/>
        </w:sectPr>
      </w:pPr>
    </w:p>
    <w:bookmarkStart w:id="149" w:name="page150"/>
    <w:bookmarkEnd w:id="14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34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Consolidated income statement</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For the year ended 31 December</w:t>
      </w:r>
    </w:p>
    <w:p>
      <w:pPr>
        <w:spacing w:after="0" w:line="194"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0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Net sales</w:t>
            </w:r>
          </w:p>
        </w:tc>
        <w:tc>
          <w:tcPr>
            <w:tcW w:w="1080" w:type="dxa"/>
            <w:vAlign w:val="bottom"/>
          </w:tcPr>
          <w:p>
            <w:pPr>
              <w:jc w:val="right"/>
              <w:ind w:right="20"/>
              <w:spacing w:after="0"/>
              <w:rPr>
                <w:sz w:val="20"/>
                <w:szCs w:val="20"/>
                <w:color w:val="auto"/>
              </w:rPr>
            </w:pPr>
            <w:r>
              <w:rPr>
                <w:rFonts w:ascii="Times New Roman" w:cs="Times New Roman" w:eastAsia="Times New Roman" w:hAnsi="Times New Roman"/>
                <w:sz w:val="8"/>
                <w:szCs w:val="8"/>
                <w:color w:val="0D0D0D"/>
              </w:rPr>
              <w:t>2.1, 2.2</w:t>
            </w:r>
          </w:p>
        </w:tc>
        <w:tc>
          <w:tcPr>
            <w:tcW w:w="68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800" w:type="dxa"/>
            <w:vAlign w:val="bottom"/>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22 202</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2.3</w:t>
            </w: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(13 571)</w:t>
            </w:r>
          </w:p>
        </w:tc>
        <w:tc>
          <w:tcPr>
            <w:tcW w:w="80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(14 689)</w:t>
            </w:r>
          </w:p>
        </w:tc>
        <w:tc>
          <w:tcPr>
            <w:tcW w:w="5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(13 368)</w:t>
            </w:r>
          </w:p>
        </w:tc>
      </w:tr>
      <w:tr>
        <w:trPr>
          <w:trHeight w:val="137"/>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Gross profit</w:t>
            </w:r>
          </w:p>
        </w:tc>
        <w:tc>
          <w:tcPr>
            <w:tcW w:w="1080" w:type="dxa"/>
            <w:vAlign w:val="bottom"/>
          </w:tcPr>
          <w:p>
            <w:pPr>
              <w:spacing w:after="0"/>
              <w:rPr>
                <w:sz w:val="11"/>
                <w:szCs w:val="11"/>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8 687</w:t>
            </w:r>
          </w:p>
        </w:tc>
        <w:tc>
          <w:tcPr>
            <w:tcW w:w="800" w:type="dxa"/>
            <w:vAlign w:val="bottom"/>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10 222</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8 834</w:t>
            </w: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108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2.3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(4 327)</w:t>
            </w:r>
          </w:p>
        </w:tc>
        <w:tc>
          <w:tcPr>
            <w:tcW w:w="80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(4 550)</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(4 214)</w:t>
            </w: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 expenses</w:t>
            </w:r>
          </w:p>
        </w:tc>
        <w:tc>
          <w:tcPr>
            <w:tcW w:w="108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2.3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(2 929)</w:t>
            </w:r>
          </w:p>
        </w:tc>
        <w:tc>
          <w:tcPr>
            <w:tcW w:w="80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(3 013)</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(2 792)</w:t>
            </w: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operating income</w:t>
            </w:r>
          </w:p>
        </w:tc>
        <w:tc>
          <w:tcPr>
            <w:tcW w:w="108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2.3</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166</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98</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443</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operating expenses</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2.3</w:t>
            </w: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91</w:t>
            </w:r>
          </w:p>
        </w:tc>
        <w:tc>
          <w:tcPr>
            <w:tcW w:w="80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color w:val="0D0D0D"/>
              </w:rPr>
              <w:t>(439)</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(113)</w:t>
            </w:r>
          </w:p>
        </w:tc>
      </w:tr>
      <w:tr>
        <w:trPr>
          <w:trHeight w:val="137"/>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w:t>
            </w:r>
          </w:p>
        </w:tc>
        <w:tc>
          <w:tcPr>
            <w:tcW w:w="1080" w:type="dxa"/>
            <w:vAlign w:val="bottom"/>
          </w:tcPr>
          <w:p>
            <w:pPr>
              <w:spacing w:after="0"/>
              <w:rPr>
                <w:sz w:val="11"/>
                <w:szCs w:val="11"/>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1 688</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2 318</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2 158</w:t>
            </w: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 of results of associates and joint ventures</w:t>
            </w:r>
          </w:p>
        </w:tc>
        <w:tc>
          <w:tcPr>
            <w:tcW w:w="108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6.4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(39)</w:t>
            </w:r>
          </w:p>
        </w:tc>
        <w:tc>
          <w:tcPr>
            <w:tcW w:w="80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(26)</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9</w:t>
            </w:r>
          </w:p>
        </w:tc>
      </w:tr>
      <w:tr>
        <w:trPr>
          <w:trHeight w:val="189"/>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Financial income </w:t>
            </w:r>
            <w:r>
              <w:rPr>
                <w:rFonts w:ascii="Times New Roman" w:cs="Times New Roman" w:eastAsia="Times New Roman" w:hAnsi="Times New Roman"/>
                <w:sz w:val="13"/>
                <w:szCs w:val="13"/>
                <w:color w:val="0D0D0D"/>
                <w:vertAlign w:val="superscript"/>
              </w:rPr>
              <w:t>(1)</w:t>
            </w:r>
          </w:p>
        </w:tc>
        <w:tc>
          <w:tcPr>
            <w:tcW w:w="108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2.4</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425</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178</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69</w:t>
            </w:r>
          </w:p>
        </w:tc>
      </w:tr>
      <w:tr>
        <w:trPr>
          <w:trHeight w:val="145"/>
        </w:trPr>
        <w:tc>
          <w:tcPr>
            <w:tcW w:w="3500" w:type="dxa"/>
            <w:vAlign w:val="bottom"/>
            <w:tcBorders>
              <w:bottom w:val="single" w:sz="8" w:color="005AFF"/>
            </w:tcBorders>
          </w:tcPr>
          <w:p>
            <w:pPr>
              <w:ind w:left="40"/>
              <w:spacing w:after="0" w:line="146" w:lineRule="exact"/>
              <w:rPr>
                <w:sz w:val="20"/>
                <w:szCs w:val="20"/>
                <w:color w:val="auto"/>
              </w:rPr>
            </w:pPr>
            <w:r>
              <w:rPr>
                <w:rFonts w:ascii="Times New Roman" w:cs="Times New Roman" w:eastAsia="Times New Roman" w:hAnsi="Times New Roman"/>
                <w:sz w:val="10"/>
                <w:szCs w:val="10"/>
                <w:color w:val="0D0D0D"/>
              </w:rPr>
              <w:t xml:space="preserve">Financial expenses  </w:t>
            </w:r>
            <w:r>
              <w:rPr>
                <w:rFonts w:ascii="Times New Roman" w:cs="Times New Roman" w:eastAsia="Times New Roman" w:hAnsi="Times New Roman"/>
                <w:sz w:val="13"/>
                <w:szCs w:val="13"/>
                <w:color w:val="0D0D0D"/>
                <w:vertAlign w:val="superscript"/>
              </w:rPr>
              <w:t>(1)</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2.4</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(575)</w:t>
            </w:r>
          </w:p>
        </w:tc>
        <w:tc>
          <w:tcPr>
            <w:tcW w:w="80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color w:val="0D0D0D"/>
              </w:rPr>
              <w:t>(286)</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(310)</w:t>
            </w:r>
          </w:p>
        </w:tc>
      </w:tr>
      <w:tr>
        <w:trPr>
          <w:trHeight w:val="131"/>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before tax</w:t>
            </w:r>
          </w:p>
        </w:tc>
        <w:tc>
          <w:tcPr>
            <w:tcW w:w="1080" w:type="dxa"/>
            <w:vAlign w:val="bottom"/>
          </w:tcPr>
          <w:p>
            <w:pPr>
              <w:spacing w:after="0"/>
              <w:rPr>
                <w:sz w:val="11"/>
                <w:szCs w:val="11"/>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1 499</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2 184</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1 926</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Income tax (expense)/benefit</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2.5</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(825)</w:t>
            </w:r>
          </w:p>
        </w:tc>
        <w:tc>
          <w:tcPr>
            <w:tcW w:w="80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2 026</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(272)</w:t>
            </w:r>
          </w:p>
        </w:tc>
      </w:tr>
      <w:tr>
        <w:trPr>
          <w:trHeight w:val="142"/>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from continuing operations</w:t>
            </w:r>
          </w:p>
        </w:tc>
        <w:tc>
          <w:tcPr>
            <w:tcW w:w="10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674</w:t>
            </w:r>
          </w:p>
        </w:tc>
        <w:tc>
          <w:tcPr>
            <w:tcW w:w="80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4 210</w:t>
            </w:r>
          </w:p>
        </w:tc>
        <w:tc>
          <w:tcPr>
            <w:tcW w:w="56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1 654</w:t>
            </w:r>
          </w:p>
        </w:tc>
      </w:tr>
      <w:tr>
        <w:trPr>
          <w:trHeight w:val="142"/>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Profit/(loss) from discontinued operations</w:t>
            </w:r>
          </w:p>
        </w:tc>
        <w:tc>
          <w:tcPr>
            <w:tcW w:w="10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w:t>
            </w:r>
          </w:p>
        </w:tc>
        <w:tc>
          <w:tcPr>
            <w:tcW w:w="80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49</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w:t>
            </w:r>
          </w:p>
        </w:tc>
      </w:tr>
      <w:tr>
        <w:trPr>
          <w:trHeight w:val="142"/>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for the year</w:t>
            </w:r>
          </w:p>
        </w:tc>
        <w:tc>
          <w:tcPr>
            <w:tcW w:w="10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679</w:t>
            </w:r>
          </w:p>
        </w:tc>
        <w:tc>
          <w:tcPr>
            <w:tcW w:w="80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4 259</w:t>
            </w:r>
          </w:p>
        </w:tc>
        <w:tc>
          <w:tcPr>
            <w:tcW w:w="56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1 645</w:t>
            </w:r>
          </w:p>
        </w:tc>
      </w:tr>
      <w:tr>
        <w:trPr>
          <w:trHeight w:val="137"/>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Attributable to:</w:t>
            </w:r>
          </w:p>
        </w:tc>
        <w:tc>
          <w:tcPr>
            <w:tcW w:w="10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0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Equity holders of the parent</w:t>
            </w:r>
          </w:p>
        </w:tc>
        <w:tc>
          <w:tcPr>
            <w:tcW w:w="1080" w:type="dxa"/>
            <w:vAlign w:val="bottom"/>
          </w:tcPr>
          <w:p>
            <w:pPr>
              <w:spacing w:after="0"/>
              <w:rPr>
                <w:sz w:val="14"/>
                <w:szCs w:val="14"/>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665</w:t>
            </w:r>
          </w:p>
        </w:tc>
        <w:tc>
          <w:tcPr>
            <w:tcW w:w="80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4 250</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1 623</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108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14</w:t>
            </w:r>
          </w:p>
        </w:tc>
        <w:tc>
          <w:tcPr>
            <w:tcW w:w="80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9</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22</w:t>
            </w:r>
          </w:p>
        </w:tc>
      </w:tr>
      <w:tr>
        <w:trPr>
          <w:trHeight w:val="198"/>
        </w:trPr>
        <w:tc>
          <w:tcPr>
            <w:tcW w:w="3500" w:type="dxa"/>
            <w:vAlign w:val="bottom"/>
            <w:tcBorders>
              <w:bottom w:val="single" w:sz="8" w:color="005AFF"/>
            </w:tcBorders>
          </w:tcPr>
          <w:p>
            <w:pPr>
              <w:spacing w:after="0"/>
              <w:rPr>
                <w:sz w:val="17"/>
                <w:szCs w:val="17"/>
                <w:color w:val="auto"/>
              </w:rPr>
            </w:pPr>
          </w:p>
        </w:tc>
        <w:tc>
          <w:tcPr>
            <w:tcW w:w="1080" w:type="dxa"/>
            <w:vAlign w:val="bottom"/>
            <w:tcBorders>
              <w:bottom w:val="single" w:sz="8" w:color="005AFF"/>
            </w:tcBorders>
          </w:tcPr>
          <w:p>
            <w:pPr>
              <w:spacing w:after="0"/>
              <w:rPr>
                <w:sz w:val="17"/>
                <w:szCs w:val="17"/>
                <w:color w:val="auto"/>
              </w:rPr>
            </w:pPr>
          </w:p>
        </w:tc>
        <w:tc>
          <w:tcPr>
            <w:tcW w:w="680" w:type="dxa"/>
            <w:vAlign w:val="bottom"/>
            <w:tcBorders>
              <w:bottom w:val="single" w:sz="8" w:color="005AFF"/>
            </w:tcBorders>
          </w:tcPr>
          <w:p>
            <w:pPr>
              <w:spacing w:after="0"/>
              <w:rPr>
                <w:sz w:val="17"/>
                <w:szCs w:val="17"/>
                <w:color w:val="auto"/>
              </w:rPr>
            </w:pPr>
          </w:p>
        </w:tc>
        <w:tc>
          <w:tcPr>
            <w:tcW w:w="800" w:type="dxa"/>
            <w:vAlign w:val="bottom"/>
            <w:tcBorders>
              <w:bottom w:val="single" w:sz="8" w:color="005AFF"/>
            </w:tcBorders>
          </w:tcPr>
          <w:p>
            <w:pPr>
              <w:spacing w:after="0"/>
              <w:rPr>
                <w:sz w:val="17"/>
                <w:szCs w:val="17"/>
                <w:color w:val="auto"/>
              </w:rPr>
            </w:pPr>
          </w:p>
        </w:tc>
        <w:tc>
          <w:tcPr>
            <w:tcW w:w="560" w:type="dxa"/>
            <w:vAlign w:val="bottom"/>
            <w:tcBorders>
              <w:bottom w:val="single" w:sz="8" w:color="005AFF"/>
            </w:tcBorders>
          </w:tcPr>
          <w:p>
            <w:pPr>
              <w:spacing w:after="0"/>
              <w:rPr>
                <w:sz w:val="17"/>
                <w:szCs w:val="17"/>
                <w:color w:val="auto"/>
              </w:rPr>
            </w:pPr>
          </w:p>
        </w:tc>
      </w:tr>
      <w:tr>
        <w:trPr>
          <w:trHeight w:val="13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Earnings per share attributable to equity holders of the parent</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2.6</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c>
          <w:tcPr>
            <w:tcW w:w="80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8"/>
                <w:szCs w:val="8"/>
                <w:b w:val="1"/>
                <w:bCs w:val="1"/>
                <w:color w:val="005AFF"/>
              </w:rPr>
              <w:t>EUR</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r>
      <w:tr>
        <w:trPr>
          <w:trHeight w:val="137"/>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Basic</w:t>
            </w:r>
          </w:p>
        </w:tc>
        <w:tc>
          <w:tcPr>
            <w:tcW w:w="10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0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from continuing operations</w:t>
            </w:r>
          </w:p>
        </w:tc>
        <w:tc>
          <w:tcPr>
            <w:tcW w:w="1080" w:type="dxa"/>
            <w:vAlign w:val="bottom"/>
          </w:tcPr>
          <w:p>
            <w:pPr>
              <w:spacing w:after="0"/>
              <w:rPr>
                <w:sz w:val="14"/>
                <w:szCs w:val="14"/>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0.12</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0.75</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0.29</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108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0.12</w:t>
            </w:r>
          </w:p>
        </w:tc>
        <w:tc>
          <w:tcPr>
            <w:tcW w:w="80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0.76</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0.29</w:t>
            </w:r>
          </w:p>
        </w:tc>
      </w:tr>
      <w:tr>
        <w:trPr>
          <w:trHeight w:val="137"/>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Diluted</w:t>
            </w:r>
          </w:p>
        </w:tc>
        <w:tc>
          <w:tcPr>
            <w:tcW w:w="10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00" w:type="dxa"/>
            <w:vAlign w:val="bottom"/>
          </w:tcPr>
          <w:p>
            <w:pPr>
              <w:spacing w:after="0"/>
              <w:rPr>
                <w:sz w:val="11"/>
                <w:szCs w:val="11"/>
                <w:color w:val="auto"/>
              </w:rPr>
            </w:pPr>
          </w:p>
        </w:tc>
        <w:tc>
          <w:tcPr>
            <w:tcW w:w="560" w:type="dxa"/>
            <w:vAlign w:val="bottom"/>
          </w:tcPr>
          <w:p>
            <w:pPr>
              <w:spacing w:after="0"/>
              <w:rPr>
                <w:sz w:val="11"/>
                <w:szCs w:val="11"/>
                <w:color w:val="auto"/>
              </w:rPr>
            </w:pPr>
          </w:p>
        </w:tc>
      </w:tr>
      <w:tr>
        <w:trPr>
          <w:trHeight w:val="162"/>
        </w:trPr>
        <w:tc>
          <w:tcPr>
            <w:tcW w:w="3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from continuing operations</w:t>
            </w:r>
          </w:p>
        </w:tc>
        <w:tc>
          <w:tcPr>
            <w:tcW w:w="1080" w:type="dxa"/>
            <w:vAlign w:val="bottom"/>
          </w:tcPr>
          <w:p>
            <w:pPr>
              <w:spacing w:after="0"/>
              <w:rPr>
                <w:sz w:val="14"/>
                <w:szCs w:val="14"/>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0.12</w:t>
            </w:r>
          </w:p>
        </w:tc>
        <w:tc>
          <w:tcPr>
            <w:tcW w:w="80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0.74</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0.29</w:t>
            </w:r>
          </w:p>
        </w:tc>
      </w:tr>
      <w:tr>
        <w:trPr>
          <w:trHeight w:val="167"/>
        </w:trPr>
        <w:tc>
          <w:tcPr>
            <w:tcW w:w="3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108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0.12</w:t>
            </w:r>
          </w:p>
        </w:tc>
        <w:tc>
          <w:tcPr>
            <w:tcW w:w="80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0.75</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0.29</w:t>
            </w:r>
          </w:p>
        </w:tc>
      </w:tr>
    </w:tbl>
    <w:p>
      <w:pPr>
        <w:spacing w:after="0" w:line="82" w:lineRule="exact"/>
        <w:rPr>
          <w:sz w:val="20"/>
          <w:szCs w:val="20"/>
          <w:color w:val="auto"/>
        </w:rPr>
      </w:pPr>
    </w:p>
    <w:p>
      <w:pPr>
        <w:ind w:left="220" w:right="4180" w:hanging="184"/>
        <w:spacing w:after="0" w:line="269" w:lineRule="auto"/>
        <w:tabs>
          <w:tab w:leader="none" w:pos="220" w:val="left"/>
        </w:tabs>
        <w:numPr>
          <w:ilvl w:val="0"/>
          <w:numId w:val="10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Nokia changed the presentation of net interest income on defined benefit plans within financial income and expenses. The comparative amounts for 2022 and 2021 have been recast accordingly. Refer to Note 2.4. Financial income and expenses for more information.</w:t>
      </w:r>
    </w:p>
    <w:p>
      <w:pPr>
        <w:spacing w:after="0" w:line="188" w:lineRule="exact"/>
        <w:rPr>
          <w:sz w:val="20"/>
          <w:szCs w:val="20"/>
          <w:color w:val="auto"/>
        </w:rPr>
      </w:pPr>
    </w:p>
    <w:p>
      <w:pPr>
        <w:spacing w:after="0"/>
        <w:rPr>
          <w:sz w:val="20"/>
          <w:szCs w:val="20"/>
          <w:color w:val="auto"/>
        </w:rPr>
      </w:pPr>
      <w:r>
        <w:rPr>
          <w:rFonts w:ascii="Times New Roman" w:cs="Times New Roman" w:eastAsia="Times New Roman" w:hAnsi="Times New Roman"/>
          <w:sz w:val="8"/>
          <w:szCs w:val="8"/>
          <w:color w:val="auto"/>
        </w:rPr>
        <w:t>The notes are an integral part of these consolidated financial statements.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8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sectPr>
      </w:pPr>
    </w:p>
    <w:bookmarkStart w:id="150" w:name="page151"/>
    <w:bookmarkEnd w:id="15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34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Consolidated statement of comprehensive income</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For the year ended 31 December</w:t>
      </w:r>
    </w:p>
    <w:p>
      <w:pPr>
        <w:spacing w:after="0" w:line="214"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94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86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for the year</w:t>
            </w:r>
          </w:p>
        </w:tc>
        <w:tc>
          <w:tcPr>
            <w:tcW w:w="940" w:type="dxa"/>
            <w:vAlign w:val="bottom"/>
          </w:tcPr>
          <w:p>
            <w:pPr>
              <w:spacing w:after="0"/>
              <w:rPr>
                <w:sz w:val="11"/>
                <w:szCs w:val="11"/>
                <w:color w:val="auto"/>
              </w:rPr>
            </w:pP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679</w:t>
            </w:r>
          </w:p>
        </w:tc>
        <w:tc>
          <w:tcPr>
            <w:tcW w:w="860" w:type="dxa"/>
            <w:vAlign w:val="bottom"/>
          </w:tcPr>
          <w:p>
            <w:pPr>
              <w:jc w:val="right"/>
              <w:ind w:right="210"/>
              <w:spacing w:after="0"/>
              <w:rPr>
                <w:sz w:val="20"/>
                <w:szCs w:val="20"/>
                <w:color w:val="auto"/>
              </w:rPr>
            </w:pPr>
            <w:r>
              <w:rPr>
                <w:rFonts w:ascii="Times New Roman" w:cs="Times New Roman" w:eastAsia="Times New Roman" w:hAnsi="Times New Roman"/>
                <w:sz w:val="10"/>
                <w:szCs w:val="10"/>
                <w:b w:val="1"/>
                <w:bCs w:val="1"/>
                <w:color w:val="auto"/>
              </w:rPr>
              <w:t>4 259</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1 645</w:t>
            </w:r>
          </w:p>
        </w:tc>
      </w:tr>
      <w:tr>
        <w:trPr>
          <w:trHeight w:val="20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Items that will not be reclassified to profit or loss</w:t>
            </w:r>
          </w:p>
        </w:tc>
        <w:tc>
          <w:tcPr>
            <w:tcW w:w="940" w:type="dxa"/>
            <w:vAlign w:val="bottom"/>
          </w:tcPr>
          <w:p>
            <w:pPr>
              <w:spacing w:after="0"/>
              <w:rPr>
                <w:sz w:val="17"/>
                <w:szCs w:val="17"/>
                <w:color w:val="auto"/>
              </w:rPr>
            </w:pPr>
          </w:p>
        </w:tc>
        <w:tc>
          <w:tcPr>
            <w:tcW w:w="680" w:type="dxa"/>
            <w:vAlign w:val="bottom"/>
            <w:shd w:val="clear" w:color="auto" w:fill="F0F5FF"/>
          </w:tcPr>
          <w:p>
            <w:pPr>
              <w:spacing w:after="0"/>
              <w:rPr>
                <w:sz w:val="17"/>
                <w:szCs w:val="17"/>
                <w:color w:val="auto"/>
              </w:rPr>
            </w:pPr>
          </w:p>
        </w:tc>
        <w:tc>
          <w:tcPr>
            <w:tcW w:w="860" w:type="dxa"/>
            <w:vAlign w:val="bottom"/>
          </w:tcPr>
          <w:p>
            <w:pPr>
              <w:spacing w:after="0"/>
              <w:rPr>
                <w:sz w:val="17"/>
                <w:szCs w:val="17"/>
                <w:color w:val="auto"/>
              </w:rPr>
            </w:pPr>
          </w:p>
        </w:tc>
        <w:tc>
          <w:tcPr>
            <w:tcW w:w="500" w:type="dxa"/>
            <w:vAlign w:val="bottom"/>
          </w:tcPr>
          <w:p>
            <w:pPr>
              <w:spacing w:after="0"/>
              <w:rPr>
                <w:sz w:val="17"/>
                <w:szCs w:val="17"/>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 of defined benefit plans</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(343)</w:t>
            </w:r>
          </w:p>
        </w:tc>
        <w:tc>
          <w:tcPr>
            <w:tcW w:w="86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(424)</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3 040</w:t>
            </w:r>
          </w:p>
        </w:tc>
      </w:tr>
      <w:tr>
        <w:trPr>
          <w:trHeight w:val="169"/>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Income tax related to items that will not be reclassified to profit or loss</w:t>
            </w:r>
          </w:p>
        </w:tc>
        <w:tc>
          <w:tcPr>
            <w:tcW w:w="9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2.5</w:t>
            </w: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61</w:t>
            </w:r>
          </w:p>
        </w:tc>
        <w:tc>
          <w:tcPr>
            <w:tcW w:w="86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77</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(755)</w:t>
            </w:r>
          </w:p>
        </w:tc>
      </w:tr>
      <w:tr>
        <w:trPr>
          <w:trHeight w:val="135"/>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Total of items that will not be reclassified to profit or loss</w:t>
            </w:r>
          </w:p>
        </w:tc>
        <w:tc>
          <w:tcPr>
            <w:tcW w:w="940" w:type="dxa"/>
            <w:vAlign w:val="bottom"/>
          </w:tcPr>
          <w:p>
            <w:pPr>
              <w:spacing w:after="0"/>
              <w:rPr>
                <w:sz w:val="11"/>
                <w:szCs w:val="11"/>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(282)</w:t>
            </w:r>
          </w:p>
        </w:tc>
        <w:tc>
          <w:tcPr>
            <w:tcW w:w="860" w:type="dxa"/>
            <w:vAlign w:val="bottom"/>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(347)</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2 285</w:t>
            </w: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Items that may be reclassified to profit or loss</w:t>
            </w:r>
          </w:p>
        </w:tc>
        <w:tc>
          <w:tcPr>
            <w:tcW w:w="94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860" w:type="dxa"/>
            <w:vAlign w:val="bottom"/>
          </w:tcPr>
          <w:p>
            <w:pPr>
              <w:spacing w:after="0"/>
              <w:rPr>
                <w:sz w:val="14"/>
                <w:szCs w:val="14"/>
                <w:color w:val="auto"/>
              </w:rPr>
            </w:pPr>
          </w:p>
        </w:tc>
        <w:tc>
          <w:tcPr>
            <w:tcW w:w="500" w:type="dxa"/>
            <w:vAlign w:val="bottom"/>
          </w:tcPr>
          <w:p>
            <w:pPr>
              <w:spacing w:after="0"/>
              <w:rPr>
                <w:sz w:val="14"/>
                <w:szCs w:val="14"/>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94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860" w:type="dxa"/>
            <w:vAlign w:val="bottom"/>
          </w:tcPr>
          <w:p>
            <w:pPr>
              <w:spacing w:after="0"/>
              <w:rPr>
                <w:sz w:val="14"/>
                <w:szCs w:val="14"/>
                <w:color w:val="auto"/>
              </w:rPr>
            </w:pPr>
          </w:p>
        </w:tc>
        <w:tc>
          <w:tcPr>
            <w:tcW w:w="500" w:type="dxa"/>
            <w:vAlign w:val="bottom"/>
          </w:tcPr>
          <w:p>
            <w:pPr>
              <w:spacing w:after="0"/>
              <w:rPr>
                <w:sz w:val="14"/>
                <w:szCs w:val="14"/>
                <w:color w:val="auto"/>
              </w:rPr>
            </w:pP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Exchange differences on translating foreign operations</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(554)</w:t>
            </w:r>
          </w:p>
        </w:tc>
        <w:tc>
          <w:tcPr>
            <w:tcW w:w="860" w:type="dxa"/>
            <w:vAlign w:val="bottom"/>
          </w:tcPr>
          <w:p>
            <w:pPr>
              <w:ind w:left="480"/>
              <w:spacing w:after="0"/>
              <w:rPr>
                <w:sz w:val="20"/>
                <w:szCs w:val="20"/>
                <w:color w:val="auto"/>
              </w:rPr>
            </w:pPr>
            <w:r>
              <w:rPr>
                <w:rFonts w:ascii="Times New Roman" w:cs="Times New Roman" w:eastAsia="Times New Roman" w:hAnsi="Times New Roman"/>
                <w:sz w:val="10"/>
                <w:szCs w:val="10"/>
                <w:color w:val="auto"/>
              </w:rPr>
              <w:t>696</w:t>
            </w:r>
          </w:p>
        </w:tc>
        <w:tc>
          <w:tcPr>
            <w:tcW w:w="5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auto"/>
              </w:rPr>
              <w:t>1 160</w:t>
            </w: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940" w:type="dxa"/>
            <w:vAlign w:val="bottom"/>
          </w:tcPr>
          <w:p>
            <w:pPr>
              <w:spacing w:after="0"/>
              <w:rPr>
                <w:sz w:val="14"/>
                <w:szCs w:val="14"/>
                <w:color w:val="auto"/>
              </w:rPr>
            </w:pP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19</w:t>
            </w:r>
          </w:p>
        </w:tc>
        <w:tc>
          <w:tcPr>
            <w:tcW w:w="860" w:type="dxa"/>
            <w:vAlign w:val="bottom"/>
          </w:tcPr>
          <w:p>
            <w:pPr>
              <w:ind w:left="540"/>
              <w:spacing w:after="0"/>
              <w:rPr>
                <w:sz w:val="20"/>
                <w:szCs w:val="20"/>
                <w:color w:val="auto"/>
              </w:rPr>
            </w:pPr>
            <w:r>
              <w:rPr>
                <w:rFonts w:ascii="Times New Roman" w:cs="Times New Roman" w:eastAsia="Times New Roman" w:hAnsi="Times New Roman"/>
                <w:sz w:val="10"/>
                <w:szCs w:val="10"/>
                <w:color w:val="auto"/>
              </w:rPr>
              <w:t>14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(7)</w:t>
            </w: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hedges</w:t>
            </w:r>
          </w:p>
        </w:tc>
        <w:tc>
          <w:tcPr>
            <w:tcW w:w="94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860" w:type="dxa"/>
            <w:vAlign w:val="bottom"/>
          </w:tcPr>
          <w:p>
            <w:pPr>
              <w:spacing w:after="0"/>
              <w:rPr>
                <w:sz w:val="14"/>
                <w:szCs w:val="14"/>
                <w:color w:val="auto"/>
              </w:rPr>
            </w:pPr>
          </w:p>
        </w:tc>
        <w:tc>
          <w:tcPr>
            <w:tcW w:w="500" w:type="dxa"/>
            <w:vAlign w:val="bottom"/>
          </w:tcPr>
          <w:p>
            <w:pPr>
              <w:spacing w:after="0"/>
              <w:rPr>
                <w:sz w:val="14"/>
                <w:szCs w:val="14"/>
                <w:color w:val="auto"/>
              </w:rPr>
            </w:pP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Net fair value gains/(losses)</w:t>
            </w:r>
          </w:p>
        </w:tc>
        <w:tc>
          <w:tcPr>
            <w:tcW w:w="940" w:type="dxa"/>
            <w:vAlign w:val="bottom"/>
          </w:tcPr>
          <w:p>
            <w:pPr>
              <w:spacing w:after="0"/>
              <w:rPr>
                <w:sz w:val="14"/>
                <w:szCs w:val="14"/>
                <w:color w:val="auto"/>
              </w:rPr>
            </w:pP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135</w:t>
            </w:r>
          </w:p>
        </w:tc>
        <w:tc>
          <w:tcPr>
            <w:tcW w:w="86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(127)</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(249)</w:t>
            </w: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 and other hedges</w:t>
            </w:r>
          </w:p>
        </w:tc>
        <w:tc>
          <w:tcPr>
            <w:tcW w:w="94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860" w:type="dxa"/>
            <w:vAlign w:val="bottom"/>
          </w:tcPr>
          <w:p>
            <w:pPr>
              <w:spacing w:after="0"/>
              <w:rPr>
                <w:sz w:val="14"/>
                <w:szCs w:val="14"/>
                <w:color w:val="auto"/>
              </w:rPr>
            </w:pPr>
          </w:p>
        </w:tc>
        <w:tc>
          <w:tcPr>
            <w:tcW w:w="500" w:type="dxa"/>
            <w:vAlign w:val="bottom"/>
          </w:tcPr>
          <w:p>
            <w:pPr>
              <w:spacing w:after="0"/>
              <w:rPr>
                <w:sz w:val="14"/>
                <w:szCs w:val="14"/>
                <w:color w:val="auto"/>
              </w:rPr>
            </w:pP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Net fair value losses</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w:t>
            </w:r>
          </w:p>
        </w:tc>
        <w:tc>
          <w:tcPr>
            <w:tcW w:w="86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(15)</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(10)</w:t>
            </w: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w:t>
            </w:r>
          </w:p>
        </w:tc>
        <w:tc>
          <w:tcPr>
            <w:tcW w:w="860" w:type="dxa"/>
            <w:vAlign w:val="bottom"/>
          </w:tcPr>
          <w:p>
            <w:pPr>
              <w:jc w:val="right"/>
              <w:ind w:right="190"/>
              <w:spacing w:after="0"/>
              <w:rPr>
                <w:sz w:val="20"/>
                <w:szCs w:val="20"/>
                <w:color w:val="auto"/>
              </w:rPr>
            </w:pPr>
            <w:r>
              <w:rPr>
                <w:rFonts w:ascii="Times New Roman" w:cs="Times New Roman" w:eastAsia="Times New Roman" w:hAnsi="Times New Roman"/>
                <w:sz w:val="10"/>
                <w:szCs w:val="10"/>
                <w:color w:val="0D0D0D"/>
              </w:rPr>
              <w:t>98</w:t>
            </w:r>
          </w:p>
        </w:tc>
        <w:tc>
          <w:tcPr>
            <w:tcW w:w="5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w:t>
            </w: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assets at fair value through other comprehensive income</w:t>
            </w:r>
          </w:p>
        </w:tc>
        <w:tc>
          <w:tcPr>
            <w:tcW w:w="94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860" w:type="dxa"/>
            <w:vAlign w:val="bottom"/>
          </w:tcPr>
          <w:p>
            <w:pPr>
              <w:spacing w:after="0"/>
              <w:rPr>
                <w:sz w:val="14"/>
                <w:szCs w:val="14"/>
                <w:color w:val="auto"/>
              </w:rPr>
            </w:pPr>
          </w:p>
        </w:tc>
        <w:tc>
          <w:tcPr>
            <w:tcW w:w="500" w:type="dxa"/>
            <w:vAlign w:val="bottom"/>
          </w:tcPr>
          <w:p>
            <w:pPr>
              <w:spacing w:after="0"/>
              <w:rPr>
                <w:sz w:val="14"/>
                <w:szCs w:val="14"/>
                <w:color w:val="auto"/>
              </w:rPr>
            </w:pP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Net fair value losses</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(110)</w:t>
            </w:r>
          </w:p>
        </w:tc>
        <w:tc>
          <w:tcPr>
            <w:tcW w:w="86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(264)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(25)</w:t>
            </w:r>
          </w:p>
        </w:tc>
      </w:tr>
      <w:tr>
        <w:trPr>
          <w:trHeight w:val="162"/>
        </w:trPr>
        <w:tc>
          <w:tcPr>
            <w:tcW w:w="3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940" w:type="dxa"/>
            <w:vAlign w:val="bottom"/>
          </w:tcPr>
          <w:p>
            <w:pPr>
              <w:spacing w:after="0"/>
              <w:rPr>
                <w:sz w:val="14"/>
                <w:szCs w:val="14"/>
                <w:color w:val="auto"/>
              </w:rPr>
            </w:pP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120</w:t>
            </w:r>
          </w:p>
        </w:tc>
        <w:tc>
          <w:tcPr>
            <w:tcW w:w="86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218</w:t>
            </w:r>
          </w:p>
        </w:tc>
        <w:tc>
          <w:tcPr>
            <w:tcW w:w="5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32</w:t>
            </w: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decrease, net</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860" w:type="dxa"/>
            <w:vAlign w:val="bottom"/>
          </w:tcPr>
          <w:p>
            <w:pPr>
              <w:ind w:left="540"/>
              <w:spacing w:after="0"/>
              <w:rPr>
                <w:sz w:val="20"/>
                <w:szCs w:val="20"/>
                <w:color w:val="auto"/>
              </w:rPr>
            </w:pPr>
            <w:r>
              <w:rPr>
                <w:rFonts w:ascii="Times New Roman" w:cs="Times New Roman" w:eastAsia="Times New Roman" w:hAnsi="Times New Roman"/>
                <w:sz w:val="10"/>
                <w:szCs w:val="10"/>
                <w:color w:val="0D0D0D"/>
              </w:rPr>
              <w:t>(3)</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9"/>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Income tax related to items that may be reclassified to profit or loss</w:t>
            </w:r>
          </w:p>
        </w:tc>
        <w:tc>
          <w:tcPr>
            <w:tcW w:w="9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2.5</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w:t>
            </w:r>
          </w:p>
        </w:tc>
        <w:tc>
          <w:tcPr>
            <w:tcW w:w="860" w:type="dxa"/>
            <w:vAlign w:val="bottom"/>
            <w:tcBorders>
              <w:bottom w:val="single" w:sz="8" w:color="005AFF"/>
            </w:tcBorders>
          </w:tcPr>
          <w:p>
            <w:pPr>
              <w:ind w:left="480"/>
              <w:spacing w:after="0"/>
              <w:rPr>
                <w:sz w:val="20"/>
                <w:szCs w:val="20"/>
                <w:color w:val="auto"/>
              </w:rPr>
            </w:pPr>
            <w:r>
              <w:rPr>
                <w:rFonts w:ascii="Times New Roman" w:cs="Times New Roman" w:eastAsia="Times New Roman" w:hAnsi="Times New Roman"/>
                <w:sz w:val="10"/>
                <w:szCs w:val="10"/>
                <w:color w:val="0D0D0D"/>
              </w:rPr>
              <w:t>(21)</w:t>
            </w:r>
          </w:p>
        </w:tc>
        <w:tc>
          <w:tcPr>
            <w:tcW w:w="5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2</w:t>
            </w:r>
          </w:p>
        </w:tc>
      </w:tr>
      <w:tr>
        <w:trPr>
          <w:trHeight w:val="140"/>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of items that may be reclassified to profit or loss</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(465)</w:t>
            </w:r>
          </w:p>
        </w:tc>
        <w:tc>
          <w:tcPr>
            <w:tcW w:w="860" w:type="dxa"/>
            <w:vAlign w:val="bottom"/>
            <w:tcBorders>
              <w:bottom w:val="single" w:sz="8" w:color="005AFF"/>
            </w:tcBorders>
          </w:tcPr>
          <w:p>
            <w:pPr>
              <w:jc w:val="right"/>
              <w:ind w:right="210"/>
              <w:spacing w:after="0"/>
              <w:rPr>
                <w:sz w:val="20"/>
                <w:szCs w:val="20"/>
                <w:color w:val="auto"/>
              </w:rPr>
            </w:pPr>
            <w:r>
              <w:rPr>
                <w:rFonts w:ascii="Times New Roman" w:cs="Times New Roman" w:eastAsia="Times New Roman" w:hAnsi="Times New Roman"/>
                <w:sz w:val="10"/>
                <w:szCs w:val="10"/>
                <w:b w:val="1"/>
                <w:bCs w:val="1"/>
                <w:color w:val="auto"/>
              </w:rPr>
              <w:t>596</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913</w:t>
            </w:r>
          </w:p>
        </w:tc>
      </w:tr>
      <w:tr>
        <w:trPr>
          <w:trHeight w:val="14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Other comprehensive (loss)/income, net of tax</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(747)</w:t>
            </w:r>
          </w:p>
        </w:tc>
        <w:tc>
          <w:tcPr>
            <w:tcW w:w="860" w:type="dxa"/>
            <w:vAlign w:val="bottom"/>
            <w:tcBorders>
              <w:bottom w:val="single" w:sz="8" w:color="005AFF"/>
            </w:tcBorders>
          </w:tcPr>
          <w:p>
            <w:pPr>
              <w:jc w:val="right"/>
              <w:ind w:right="210"/>
              <w:spacing w:after="0"/>
              <w:rPr>
                <w:sz w:val="20"/>
                <w:szCs w:val="20"/>
                <w:color w:val="auto"/>
              </w:rPr>
            </w:pPr>
            <w:r>
              <w:rPr>
                <w:rFonts w:ascii="Times New Roman" w:cs="Times New Roman" w:eastAsia="Times New Roman" w:hAnsi="Times New Roman"/>
                <w:sz w:val="10"/>
                <w:szCs w:val="10"/>
                <w:b w:val="1"/>
                <w:bCs w:val="1"/>
                <w:color w:val="auto"/>
              </w:rPr>
              <w:t>249</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3 198</w:t>
            </w:r>
          </w:p>
        </w:tc>
      </w:tr>
      <w:tr>
        <w:trPr>
          <w:trHeight w:val="14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comprehensive (loss)/income for the year</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(68)</w:t>
            </w:r>
          </w:p>
        </w:tc>
        <w:tc>
          <w:tcPr>
            <w:tcW w:w="860" w:type="dxa"/>
            <w:vAlign w:val="bottom"/>
            <w:tcBorders>
              <w:bottom w:val="single" w:sz="8" w:color="005AFF"/>
            </w:tcBorders>
          </w:tcPr>
          <w:p>
            <w:pPr>
              <w:jc w:val="right"/>
              <w:ind w:right="210"/>
              <w:spacing w:after="0"/>
              <w:rPr>
                <w:sz w:val="20"/>
                <w:szCs w:val="20"/>
                <w:color w:val="auto"/>
              </w:rPr>
            </w:pPr>
            <w:r>
              <w:rPr>
                <w:rFonts w:ascii="Times New Roman" w:cs="Times New Roman" w:eastAsia="Times New Roman" w:hAnsi="Times New Roman"/>
                <w:sz w:val="10"/>
                <w:szCs w:val="10"/>
                <w:b w:val="1"/>
                <w:bCs w:val="1"/>
                <w:color w:val="auto"/>
              </w:rPr>
              <w:t>4 508</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4 843</w:t>
            </w:r>
          </w:p>
        </w:tc>
      </w:tr>
      <w:tr>
        <w:trPr>
          <w:trHeight w:val="137"/>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Attributable to:</w:t>
            </w:r>
          </w:p>
        </w:tc>
        <w:tc>
          <w:tcPr>
            <w:tcW w:w="94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60" w:type="dxa"/>
            <w:vAlign w:val="bottom"/>
          </w:tcPr>
          <w:p>
            <w:pPr>
              <w:spacing w:after="0"/>
              <w:rPr>
                <w:sz w:val="11"/>
                <w:szCs w:val="11"/>
                <w:color w:val="auto"/>
              </w:rPr>
            </w:pPr>
          </w:p>
        </w:tc>
        <w:tc>
          <w:tcPr>
            <w:tcW w:w="500" w:type="dxa"/>
            <w:vAlign w:val="bottom"/>
          </w:tcPr>
          <w:p>
            <w:pPr>
              <w:spacing w:after="0"/>
              <w:rPr>
                <w:sz w:val="11"/>
                <w:szCs w:val="11"/>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Equity holders of the parent</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(78)</w:t>
            </w:r>
          </w:p>
        </w:tc>
        <w:tc>
          <w:tcPr>
            <w:tcW w:w="86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4 500</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4 814</w:t>
            </w:r>
          </w:p>
        </w:tc>
      </w:tr>
      <w:tr>
        <w:trPr>
          <w:trHeight w:val="167"/>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94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10</w:t>
            </w:r>
          </w:p>
        </w:tc>
        <w:tc>
          <w:tcPr>
            <w:tcW w:w="86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8</w:t>
            </w:r>
          </w:p>
        </w:tc>
        <w:tc>
          <w:tcPr>
            <w:tcW w:w="5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29</w:t>
            </w:r>
          </w:p>
        </w:tc>
      </w:tr>
    </w:tbl>
    <w:p>
      <w:pPr>
        <w:spacing w:after="0" w:line="183" w:lineRule="exact"/>
        <w:rPr>
          <w:sz w:val="20"/>
          <w:szCs w:val="20"/>
          <w:color w:val="auto"/>
        </w:rPr>
      </w:pPr>
    </w:p>
    <w:p>
      <w:pPr>
        <w:spacing w:after="0"/>
        <w:rPr>
          <w:sz w:val="20"/>
          <w:szCs w:val="20"/>
          <w:color w:val="auto"/>
        </w:rPr>
      </w:pPr>
      <w:r>
        <w:rPr>
          <w:rFonts w:ascii="Times New Roman" w:cs="Times New Roman" w:eastAsia="Times New Roman" w:hAnsi="Times New Roman"/>
          <w:sz w:val="8"/>
          <w:szCs w:val="8"/>
          <w:color w:val="auto"/>
        </w:rPr>
        <w:t>The notes are an integral part of these consolidated financial statements.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sectPr>
      </w:pPr>
    </w:p>
    <w:bookmarkStart w:id="151" w:name="page152"/>
    <w:bookmarkEnd w:id="15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144</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34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190" w:lineRule="exact"/>
        <w:rPr>
          <w:sz w:val="20"/>
          <w:szCs w:val="20"/>
          <w:color w:val="auto"/>
        </w:rPr>
      </w:pPr>
    </w:p>
    <w:tbl>
      <w:tblPr>
        <w:tblLayout w:type="fixed"/>
        <w:tblInd w:w="0" w:type="dxa"/>
        <w:tblCellMar>
          <w:top w:w="0" w:type="dxa"/>
          <w:left w:w="0" w:type="dxa"/>
          <w:bottom w:w="0" w:type="dxa"/>
          <w:right w:w="0" w:type="dxa"/>
        </w:tblCellMar>
      </w:tblPr>
      <w:tr>
        <w:trPr>
          <w:trHeight w:val="162"/>
        </w:trPr>
        <w:tc>
          <w:tcPr>
            <w:tcW w:w="1980" w:type="dxa"/>
            <w:vAlign w:val="bottom"/>
          </w:tcPr>
          <w:p>
            <w:pPr>
              <w:spacing w:after="0"/>
              <w:rPr>
                <w:sz w:val="20"/>
                <w:szCs w:val="20"/>
                <w:color w:val="auto"/>
              </w:rPr>
            </w:pPr>
            <w:r>
              <w:rPr>
                <w:rFonts w:ascii="Times New Roman" w:cs="Times New Roman" w:eastAsia="Times New Roman" w:hAnsi="Times New Roman"/>
                <w:sz w:val="13"/>
                <w:szCs w:val="13"/>
                <w:color w:val="005AFF"/>
              </w:rPr>
              <w:t>Consolidated statement of financial</w:t>
            </w:r>
          </w:p>
        </w:tc>
        <w:tc>
          <w:tcPr>
            <w:tcW w:w="1800" w:type="dxa"/>
            <w:vAlign w:val="bottom"/>
          </w:tcPr>
          <w:p>
            <w:pPr>
              <w:ind w:left="60"/>
              <w:spacing w:after="0"/>
              <w:rPr>
                <w:sz w:val="20"/>
                <w:szCs w:val="20"/>
                <w:color w:val="auto"/>
              </w:rPr>
            </w:pPr>
            <w:r>
              <w:rPr>
                <w:rFonts w:ascii="Times New Roman" w:cs="Times New Roman" w:eastAsia="Times New Roman" w:hAnsi="Times New Roman"/>
                <w:sz w:val="13"/>
                <w:szCs w:val="13"/>
                <w:color w:val="005AFF"/>
              </w:rPr>
              <w:t>position</w:t>
            </w:r>
          </w:p>
        </w:tc>
        <w:tc>
          <w:tcPr>
            <w:tcW w:w="680" w:type="dxa"/>
            <w:vAlign w:val="bottom"/>
          </w:tcPr>
          <w:p>
            <w:pPr>
              <w:spacing w:after="0"/>
              <w:rPr>
                <w:sz w:val="14"/>
                <w:szCs w:val="14"/>
                <w:color w:val="auto"/>
              </w:rPr>
            </w:pPr>
          </w:p>
        </w:tc>
        <w:tc>
          <w:tcPr>
            <w:tcW w:w="480" w:type="dxa"/>
            <w:vAlign w:val="bottom"/>
          </w:tcPr>
          <w:p>
            <w:pPr>
              <w:spacing w:after="0"/>
              <w:rPr>
                <w:sz w:val="14"/>
                <w:szCs w:val="14"/>
                <w:color w:val="auto"/>
              </w:rPr>
            </w:pPr>
          </w:p>
        </w:tc>
      </w:tr>
      <w:tr>
        <w:trPr>
          <w:trHeight w:val="174"/>
        </w:trPr>
        <w:tc>
          <w:tcPr>
            <w:tcW w:w="1980" w:type="dxa"/>
            <w:vAlign w:val="bottom"/>
          </w:tcPr>
          <w:p>
            <w:pPr>
              <w:spacing w:after="0"/>
              <w:rPr>
                <w:sz w:val="20"/>
                <w:szCs w:val="20"/>
                <w:color w:val="auto"/>
              </w:rPr>
            </w:pPr>
            <w:r>
              <w:rPr>
                <w:rFonts w:ascii="Times New Roman" w:cs="Times New Roman" w:eastAsia="Times New Roman" w:hAnsi="Times New Roman"/>
                <w:sz w:val="13"/>
                <w:szCs w:val="13"/>
                <w:color w:val="005AFF"/>
              </w:rPr>
              <w:t>At 31 December</w:t>
            </w:r>
          </w:p>
        </w:tc>
        <w:tc>
          <w:tcPr>
            <w:tcW w:w="1800" w:type="dxa"/>
            <w:vAlign w:val="bottom"/>
          </w:tcPr>
          <w:p>
            <w:pPr>
              <w:spacing w:after="0"/>
              <w:rPr>
                <w:sz w:val="15"/>
                <w:szCs w:val="15"/>
                <w:color w:val="auto"/>
              </w:rPr>
            </w:pPr>
          </w:p>
        </w:tc>
        <w:tc>
          <w:tcPr>
            <w:tcW w:w="680" w:type="dxa"/>
            <w:vAlign w:val="bottom"/>
          </w:tcPr>
          <w:p>
            <w:pPr>
              <w:spacing w:after="0"/>
              <w:rPr>
                <w:sz w:val="15"/>
                <w:szCs w:val="15"/>
                <w:color w:val="auto"/>
              </w:rPr>
            </w:pPr>
          </w:p>
        </w:tc>
        <w:tc>
          <w:tcPr>
            <w:tcW w:w="480" w:type="dxa"/>
            <w:vAlign w:val="bottom"/>
          </w:tcPr>
          <w:p>
            <w:pPr>
              <w:spacing w:after="0"/>
              <w:rPr>
                <w:sz w:val="15"/>
                <w:szCs w:val="15"/>
                <w:color w:val="auto"/>
              </w:rPr>
            </w:pPr>
          </w:p>
        </w:tc>
      </w:tr>
      <w:tr>
        <w:trPr>
          <w:trHeight w:val="311"/>
        </w:trPr>
        <w:tc>
          <w:tcPr>
            <w:tcW w:w="19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800" w:type="dxa"/>
            <w:vAlign w:val="bottom"/>
            <w:tcBorders>
              <w:bottom w:val="single" w:sz="8" w:color="005AFF"/>
            </w:tcBorders>
          </w:tcPr>
          <w:p>
            <w:pPr>
              <w:ind w:left="140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tcBorders>
              <w:bottom w:val="single" w:sz="8" w:color="005AFF"/>
            </w:tcBorders>
          </w:tcPr>
          <w:p>
            <w:pPr>
              <w:jc w:val="right"/>
              <w:ind w:right="220"/>
              <w:spacing w:after="0"/>
              <w:rPr>
                <w:sz w:val="20"/>
                <w:szCs w:val="20"/>
                <w:color w:val="auto"/>
              </w:rPr>
            </w:pPr>
            <w:r>
              <w:rPr>
                <w:rFonts w:ascii="Times New Roman" w:cs="Times New Roman" w:eastAsia="Times New Roman" w:hAnsi="Times New Roman"/>
                <w:sz w:val="8"/>
                <w:szCs w:val="8"/>
                <w:b w:val="1"/>
                <w:bCs w:val="1"/>
                <w:color w:val="005AFF"/>
              </w:rPr>
              <w:t>2023</w:t>
            </w:r>
          </w:p>
        </w:tc>
        <w:tc>
          <w:tcPr>
            <w:tcW w:w="4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ASSETS</w:t>
            </w:r>
          </w:p>
        </w:tc>
        <w:tc>
          <w:tcPr>
            <w:tcW w:w="180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62"/>
        </w:trPr>
        <w:tc>
          <w:tcPr>
            <w:tcW w:w="19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Non-current assets</w:t>
            </w:r>
          </w:p>
        </w:tc>
        <w:tc>
          <w:tcPr>
            <w:tcW w:w="1800" w:type="dxa"/>
            <w:vAlign w:val="bottom"/>
          </w:tcPr>
          <w:p>
            <w:pPr>
              <w:spacing w:after="0"/>
              <w:rPr>
                <w:sz w:val="14"/>
                <w:szCs w:val="14"/>
                <w:color w:val="auto"/>
              </w:rPr>
            </w:pPr>
          </w:p>
        </w:tc>
        <w:tc>
          <w:tcPr>
            <w:tcW w:w="680" w:type="dxa"/>
            <w:vAlign w:val="bottom"/>
          </w:tcPr>
          <w:p>
            <w:pPr>
              <w:spacing w:after="0"/>
              <w:rPr>
                <w:sz w:val="14"/>
                <w:szCs w:val="14"/>
                <w:color w:val="auto"/>
              </w:rPr>
            </w:pPr>
          </w:p>
        </w:tc>
        <w:tc>
          <w:tcPr>
            <w:tcW w:w="480" w:type="dxa"/>
            <w:vAlign w:val="bottom"/>
          </w:tcPr>
          <w:p>
            <w:pPr>
              <w:spacing w:after="0"/>
              <w:rPr>
                <w:sz w:val="14"/>
                <w:szCs w:val="14"/>
                <w:color w:val="auto"/>
              </w:rPr>
            </w:pP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307"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9"/>
        </w:trPr>
        <w:tc>
          <w:tcPr>
            <w:tcW w:w="28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980" w:type="dxa"/>
            <w:vAlign w:val="bottom"/>
            <w:tcBorders>
              <w:bottom w:val="single" w:sz="8" w:color="005AFF"/>
            </w:tcBorders>
          </w:tcPr>
          <w:p>
            <w:pPr>
              <w:ind w:left="58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tcBorders>
              <w:bottom w:val="single" w:sz="8" w:color="005AFF"/>
            </w:tcBorders>
          </w:tcPr>
          <w:p>
            <w:pPr>
              <w:jc w:val="right"/>
              <w:ind w:right="220"/>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bottom w:val="single" w:sz="8" w:color="005AFF"/>
            </w:tcBorders>
          </w:tcPr>
          <w:p>
            <w:pPr>
              <w:jc w:val="right"/>
              <w:ind w:right="40"/>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28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SHAREHOLDERS’ EQUITY AND LIABILITIES</w:t>
            </w:r>
          </w:p>
        </w:tc>
        <w:tc>
          <w:tcPr>
            <w:tcW w:w="9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500" w:type="dxa"/>
            <w:vAlign w:val="bottom"/>
          </w:tcPr>
          <w:p>
            <w:pPr>
              <w:spacing w:after="0"/>
              <w:rPr>
                <w:sz w:val="11"/>
                <w:szCs w:val="11"/>
                <w:color w:val="auto"/>
              </w:rPr>
            </w:pPr>
          </w:p>
        </w:tc>
      </w:tr>
      <w:tr>
        <w:trPr>
          <w:trHeight w:val="162"/>
        </w:trPr>
        <w:tc>
          <w:tcPr>
            <w:tcW w:w="28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Equity</w:t>
            </w:r>
          </w:p>
        </w:tc>
        <w:tc>
          <w:tcPr>
            <w:tcW w:w="980" w:type="dxa"/>
            <w:vAlign w:val="bottom"/>
          </w:tcPr>
          <w:p>
            <w:pPr>
              <w:spacing w:after="0"/>
              <w:rPr>
                <w:sz w:val="14"/>
                <w:szCs w:val="14"/>
                <w:color w:val="auto"/>
              </w:rPr>
            </w:pPr>
          </w:p>
        </w:tc>
        <w:tc>
          <w:tcPr>
            <w:tcW w:w="680" w:type="dxa"/>
            <w:vAlign w:val="bottom"/>
          </w:tcPr>
          <w:p>
            <w:pPr>
              <w:spacing w:after="0"/>
              <w:rPr>
                <w:sz w:val="14"/>
                <w:szCs w:val="14"/>
                <w:color w:val="auto"/>
              </w:rPr>
            </w:pPr>
          </w:p>
        </w:tc>
        <w:tc>
          <w:tcPr>
            <w:tcW w:w="500" w:type="dxa"/>
            <w:vAlign w:val="bottom"/>
          </w:tcPr>
          <w:p>
            <w:pPr>
              <w:spacing w:after="0"/>
              <w:rPr>
                <w:sz w:val="14"/>
                <w:szCs w:val="14"/>
                <w:color w:val="auto"/>
              </w:rPr>
            </w:pPr>
          </w:p>
        </w:tc>
      </w:tr>
    </w:tbl>
    <w:p>
      <w:pPr>
        <w:spacing w:after="0" w:line="32" w:lineRule="exact"/>
        <w:rPr>
          <w:sz w:val="20"/>
          <w:szCs w:val="20"/>
          <w:color w:val="auto"/>
        </w:rPr>
      </w:pPr>
    </w:p>
    <w:p>
      <w:pPr>
        <w:sectPr>
          <w:pgSz w:w="11900" w:h="16838" w:orient="portrait"/>
          <w:cols w:equalWidth="0" w:num="2">
            <w:col w:w="4940" w:space="160"/>
            <w:col w:w="4960"/>
          </w:cols>
          <w:pgMar w:left="960" w:top="410" w:right="879" w:bottom="1440" w:gutter="0" w:footer="0" w:header="0"/>
          <w:type w:val="continuous"/>
        </w:sectPr>
      </w:pPr>
    </w:p>
    <w:p>
      <w:pPr>
        <w:ind w:left="40"/>
        <w:spacing w:after="0"/>
        <w:rPr>
          <w:sz w:val="20"/>
          <w:szCs w:val="20"/>
          <w:color w:val="auto"/>
        </w:rPr>
      </w:pPr>
      <w:r>
        <w:rPr>
          <w:rFonts w:ascii="Times New Roman" w:cs="Times New Roman" w:eastAsia="Times New Roman" w:hAnsi="Times New Roman"/>
          <w:sz w:val="10"/>
          <w:szCs w:val="10"/>
          <w:color w:val="0D0D0D"/>
        </w:rPr>
        <w:t>Goodwill</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Other intangible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Property, plant and equipment</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Right-of-use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Investments in associated companies and joint ventures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Other non-current financial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Defined benefit pension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Deferred tax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Other non-current receivables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4"/>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4.1</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5 504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5 667</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4.1</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1 086</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1 263</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4.2</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1 951</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2 015</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4.3</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906</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929</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6.4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88</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199</w:t>
            </w:r>
          </w:p>
        </w:tc>
      </w:tr>
      <w:tr>
        <w:trPr>
          <w:trHeight w:val="162"/>
        </w:trPr>
        <w:tc>
          <w:tcPr>
            <w:tcW w:w="46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1"/>
              </w:rPr>
              <w:t>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715</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697</w:t>
            </w:r>
          </w:p>
        </w:tc>
      </w:tr>
      <w:tr>
        <w:trPr>
          <w:trHeight w:val="162"/>
        </w:trPr>
        <w:tc>
          <w:tcPr>
            <w:tcW w:w="46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1"/>
              </w:rPr>
              <w:t>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1 100</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1 080</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3.4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6 258</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6 754</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2.5</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3 873</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3 834</w:t>
            </w:r>
          </w:p>
        </w:tc>
      </w:tr>
      <w:tr>
        <w:trPr>
          <w:trHeight w:val="162"/>
        </w:trPr>
        <w:tc>
          <w:tcPr>
            <w:tcW w:w="46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4.6</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213</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239</w:t>
            </w:r>
          </w:p>
        </w:tc>
      </w:tr>
    </w:tbl>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0"/>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 capital</w:t>
            </w:r>
          </w:p>
        </w:tc>
        <w:tc>
          <w:tcPr>
            <w:tcW w:w="1180" w:type="dxa"/>
            <w:vAlign w:val="bottom"/>
          </w:tcPr>
          <w:p>
            <w:pPr>
              <w:spacing w:after="0"/>
              <w:rPr>
                <w:sz w:val="11"/>
                <w:szCs w:val="11"/>
                <w:color w:val="auto"/>
              </w:rPr>
            </w:pPr>
          </w:p>
        </w:tc>
        <w:tc>
          <w:tcPr>
            <w:tcW w:w="68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246</w:t>
            </w:r>
          </w:p>
        </w:tc>
        <w:tc>
          <w:tcPr>
            <w:tcW w:w="5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246</w:t>
            </w:r>
          </w:p>
        </w:tc>
      </w:tr>
      <w:tr>
        <w:trPr>
          <w:trHeight w:val="162"/>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 premium</w:t>
            </w:r>
          </w:p>
        </w:tc>
        <w:tc>
          <w:tcPr>
            <w:tcW w:w="1180" w:type="dxa"/>
            <w:vAlign w:val="bottom"/>
          </w:tcPr>
          <w:p>
            <w:pPr>
              <w:spacing w:after="0"/>
              <w:rPr>
                <w:sz w:val="14"/>
                <w:szCs w:val="14"/>
                <w:color w:val="auto"/>
              </w:rPr>
            </w:pPr>
          </w:p>
        </w:tc>
        <w:tc>
          <w:tcPr>
            <w:tcW w:w="68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628</w:t>
            </w:r>
          </w:p>
        </w:tc>
        <w:tc>
          <w:tcPr>
            <w:tcW w:w="5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503</w:t>
            </w:r>
          </w:p>
        </w:tc>
      </w:tr>
      <w:tr>
        <w:trPr>
          <w:trHeight w:val="162"/>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Treasury shares</w:t>
            </w:r>
          </w:p>
        </w:tc>
        <w:tc>
          <w:tcPr>
            <w:tcW w:w="1180" w:type="dxa"/>
            <w:vAlign w:val="bottom"/>
          </w:tcPr>
          <w:p>
            <w:pPr>
              <w:spacing w:after="0"/>
              <w:rPr>
                <w:sz w:val="14"/>
                <w:szCs w:val="14"/>
                <w:color w:val="auto"/>
              </w:rPr>
            </w:pPr>
          </w:p>
        </w:tc>
        <w:tc>
          <w:tcPr>
            <w:tcW w:w="68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(352)</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(352)</w:t>
            </w:r>
          </w:p>
        </w:tc>
      </w:tr>
      <w:tr>
        <w:trPr>
          <w:trHeight w:val="162"/>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1180" w:type="dxa"/>
            <w:vAlign w:val="bottom"/>
          </w:tcPr>
          <w:p>
            <w:pPr>
              <w:spacing w:after="0"/>
              <w:rPr>
                <w:sz w:val="14"/>
                <w:szCs w:val="14"/>
                <w:color w:val="auto"/>
              </w:rPr>
            </w:pPr>
          </w:p>
        </w:tc>
        <w:tc>
          <w:tcPr>
            <w:tcW w:w="68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05AFF"/>
              </w:rPr>
              <w:t>(249)</w:t>
            </w:r>
          </w:p>
        </w:tc>
        <w:tc>
          <w:tcPr>
            <w:tcW w:w="5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169</w:t>
            </w:r>
          </w:p>
        </w:tc>
      </w:tr>
      <w:tr>
        <w:trPr>
          <w:trHeight w:val="162"/>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Fair value and other reserves</w:t>
            </w:r>
          </w:p>
        </w:tc>
        <w:tc>
          <w:tcPr>
            <w:tcW w:w="1180" w:type="dxa"/>
            <w:vAlign w:val="bottom"/>
          </w:tcPr>
          <w:p>
            <w:pPr>
              <w:spacing w:after="0"/>
              <w:rPr>
                <w:sz w:val="14"/>
                <w:szCs w:val="14"/>
                <w:color w:val="auto"/>
              </w:rPr>
            </w:pPr>
          </w:p>
        </w:tc>
        <w:tc>
          <w:tcPr>
            <w:tcW w:w="68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3 605</w:t>
            </w:r>
          </w:p>
        </w:tc>
        <w:tc>
          <w:tcPr>
            <w:tcW w:w="540" w:type="dxa"/>
            <w:vAlign w:val="bottom"/>
          </w:tcPr>
          <w:p>
            <w:pPr>
              <w:jc w:val="right"/>
              <w:ind w:right="49"/>
              <w:spacing w:after="0"/>
              <w:rPr>
                <w:sz w:val="20"/>
                <w:szCs w:val="20"/>
                <w:color w:val="auto"/>
              </w:rPr>
            </w:pPr>
            <w:r>
              <w:rPr>
                <w:rFonts w:ascii="Times New Roman" w:cs="Times New Roman" w:eastAsia="Times New Roman" w:hAnsi="Times New Roman"/>
                <w:sz w:val="10"/>
                <w:szCs w:val="10"/>
                <w:color w:val="0D0D0D"/>
              </w:rPr>
              <w:t>3 905</w:t>
            </w:r>
          </w:p>
        </w:tc>
      </w:tr>
      <w:tr>
        <w:trPr>
          <w:trHeight w:val="162"/>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Reserve for invested unrestricted equity</w:t>
            </w:r>
          </w:p>
        </w:tc>
        <w:tc>
          <w:tcPr>
            <w:tcW w:w="1180" w:type="dxa"/>
            <w:vAlign w:val="bottom"/>
          </w:tcPr>
          <w:p>
            <w:pPr>
              <w:spacing w:after="0"/>
              <w:rPr>
                <w:sz w:val="14"/>
                <w:szCs w:val="14"/>
                <w:color w:val="auto"/>
              </w:rPr>
            </w:pP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05AFF"/>
              </w:rPr>
              <w:t>15 255</w:t>
            </w:r>
          </w:p>
        </w:tc>
        <w:tc>
          <w:tcPr>
            <w:tcW w:w="540" w:type="dxa"/>
            <w:vAlign w:val="bottom"/>
          </w:tcPr>
          <w:p>
            <w:pPr>
              <w:jc w:val="right"/>
              <w:ind w:right="49"/>
              <w:spacing w:after="0"/>
              <w:rPr>
                <w:sz w:val="20"/>
                <w:szCs w:val="20"/>
                <w:color w:val="auto"/>
              </w:rPr>
            </w:pPr>
            <w:r>
              <w:rPr>
                <w:rFonts w:ascii="Times New Roman" w:cs="Times New Roman" w:eastAsia="Times New Roman" w:hAnsi="Times New Roman"/>
                <w:sz w:val="10"/>
                <w:szCs w:val="10"/>
                <w:color w:val="0D0D0D"/>
              </w:rPr>
              <w:t>15 487</w:t>
            </w:r>
          </w:p>
        </w:tc>
      </w:tr>
      <w:tr>
        <w:trPr>
          <w:trHeight w:val="167"/>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Retained earnings</w:t>
            </w:r>
          </w:p>
        </w:tc>
        <w:tc>
          <w:tcPr>
            <w:tcW w:w="118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color w:val="005AFF"/>
              </w:rPr>
              <w:t>1 404</w:t>
            </w:r>
          </w:p>
        </w:tc>
        <w:tc>
          <w:tcPr>
            <w:tcW w:w="5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color w:val="0D0D0D"/>
              </w:rPr>
              <w:t>1 375</w:t>
            </w:r>
          </w:p>
        </w:tc>
      </w:tr>
      <w:tr>
        <w:trPr>
          <w:trHeight w:val="137"/>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Total shareholders’ equity</w:t>
            </w:r>
          </w:p>
        </w:tc>
        <w:tc>
          <w:tcPr>
            <w:tcW w:w="1180" w:type="dxa"/>
            <w:vAlign w:val="bottom"/>
          </w:tcPr>
          <w:p>
            <w:pPr>
              <w:spacing w:after="0"/>
              <w:rPr>
                <w:sz w:val="11"/>
                <w:szCs w:val="11"/>
                <w:color w:val="auto"/>
              </w:rPr>
            </w:pP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b w:val="1"/>
                <w:bCs w:val="1"/>
                <w:color w:val="005AFF"/>
              </w:rPr>
              <w:t>20 537</w:t>
            </w:r>
          </w:p>
        </w:tc>
        <w:tc>
          <w:tcPr>
            <w:tcW w:w="540" w:type="dxa"/>
            <w:vAlign w:val="bottom"/>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21 333</w:t>
            </w:r>
          </w:p>
        </w:tc>
      </w:tr>
      <w:tr>
        <w:trPr>
          <w:trHeight w:val="137"/>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11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color w:val="005AFF"/>
              </w:rPr>
              <w:t>91</w:t>
            </w:r>
          </w:p>
        </w:tc>
        <w:tc>
          <w:tcPr>
            <w:tcW w:w="54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93</w:t>
            </w:r>
          </w:p>
        </w:tc>
      </w:tr>
      <w:tr>
        <w:trPr>
          <w:trHeight w:val="144"/>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equity</w:t>
            </w:r>
          </w:p>
        </w:tc>
        <w:tc>
          <w:tcPr>
            <w:tcW w:w="1180" w:type="dxa"/>
            <w:vAlign w:val="bottom"/>
            <w:tcBorders>
              <w:bottom w:val="single" w:sz="8" w:color="005AFF"/>
            </w:tcBorders>
          </w:tcPr>
          <w:p>
            <w:pPr>
              <w:jc w:val="right"/>
              <w:ind w:right="14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tcPr>
          <w:p>
            <w:pPr>
              <w:jc w:val="right"/>
              <w:ind w:right="189"/>
              <w:spacing w:after="0"/>
              <w:rPr>
                <w:sz w:val="20"/>
                <w:szCs w:val="20"/>
                <w:color w:val="auto"/>
              </w:rPr>
            </w:pPr>
            <w:r>
              <w:rPr>
                <w:rFonts w:ascii="Times New Roman" w:cs="Times New Roman" w:eastAsia="Times New Roman" w:hAnsi="Times New Roman"/>
                <w:sz w:val="10"/>
                <w:szCs w:val="10"/>
                <w:b w:val="1"/>
                <w:bCs w:val="1"/>
                <w:color w:val="005AFF"/>
              </w:rPr>
              <w:t>20 628</w:t>
            </w:r>
          </w:p>
        </w:tc>
        <w:tc>
          <w:tcPr>
            <w:tcW w:w="5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21 426</w:t>
            </w:r>
          </w:p>
        </w:tc>
      </w:tr>
    </w:tbl>
    <w:p>
      <w:pPr>
        <w:spacing w:after="0" w:line="14" w:lineRule="exact"/>
        <w:rPr>
          <w:sz w:val="20"/>
          <w:szCs w:val="20"/>
          <w:color w:val="auto"/>
        </w:rPr>
      </w:pPr>
    </w:p>
    <w:p>
      <w:pPr>
        <w:sectPr>
          <w:pgSz w:w="11900" w:h="16838" w:orient="portrait"/>
          <w:cols w:equalWidth="0" w:num="3">
            <w:col w:w="2580" w:space="720"/>
            <w:col w:w="1580" w:space="220"/>
            <w:col w:w="4960"/>
          </w:cols>
          <w:pgMar w:left="960" w:top="410" w:right="879" w:bottom="1440" w:gutter="0" w:footer="0" w:header="0"/>
          <w:type w:val="continuous"/>
        </w:sectPr>
      </w:pPr>
    </w:p>
    <w:p>
      <w:pPr>
        <w:spacing w:after="0" w:line="25" w:lineRule="exact"/>
        <w:rPr>
          <w:sz w:val="20"/>
          <w:szCs w:val="20"/>
          <w:color w:val="auto"/>
        </w:rPr>
      </w:pPr>
    </w:p>
    <w:tbl>
      <w:tblPr>
        <w:tblLayout w:type="fixed"/>
        <w:tblInd w:w="40" w:type="dxa"/>
        <w:tblCellMar>
          <w:top w:w="0" w:type="dxa"/>
          <w:left w:w="0" w:type="dxa"/>
          <w:bottom w:w="0" w:type="dxa"/>
          <w:right w:w="0" w:type="dxa"/>
        </w:tblCellMar>
      </w:tblPr>
      <w:tr>
        <w:trPr>
          <w:trHeight w:val="132"/>
        </w:trPr>
        <w:tc>
          <w:tcPr>
            <w:tcW w:w="2460" w:type="dxa"/>
            <w:vAlign w:val="bottom"/>
          </w:tcPr>
          <w:p>
            <w:pPr>
              <w:spacing w:after="0"/>
              <w:rPr>
                <w:sz w:val="20"/>
                <w:szCs w:val="20"/>
                <w:color w:val="auto"/>
              </w:rPr>
            </w:pPr>
            <w:r>
              <w:rPr>
                <w:rFonts w:ascii="Times New Roman" w:cs="Times New Roman" w:eastAsia="Times New Roman" w:hAnsi="Times New Roman"/>
                <w:sz w:val="10"/>
                <w:szCs w:val="10"/>
                <w:b w:val="1"/>
                <w:bCs w:val="1"/>
                <w:color w:val="005AFF"/>
              </w:rPr>
              <w:t>Total non-current assets</w:t>
            </w:r>
          </w:p>
        </w:tc>
        <w:tc>
          <w:tcPr>
            <w:tcW w:w="1880" w:type="dxa"/>
            <w:vAlign w:val="bottom"/>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21 694</w:t>
            </w:r>
          </w:p>
        </w:tc>
        <w:tc>
          <w:tcPr>
            <w:tcW w:w="4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22 677</w:t>
            </w:r>
          </w:p>
        </w:tc>
      </w:tr>
    </w:tbl>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b w:val="1"/>
          <w:bCs w:val="1"/>
          <w:color w:val="005AFF"/>
        </w:rPr>
        <w:t>Non-current liabilities</w:t>
      </w:r>
    </w:p>
    <w:p>
      <w:pPr>
        <w:spacing w:after="0" w:line="43" w:lineRule="exact"/>
        <w:rPr>
          <w:sz w:val="20"/>
          <w:szCs w:val="20"/>
          <w:color w:val="auto"/>
        </w:rPr>
      </w:pPr>
    </w:p>
    <w:p>
      <w:pPr>
        <w:sectPr>
          <w:pgSz w:w="11900" w:h="16838" w:orient="portrait"/>
          <w:cols w:equalWidth="0" w:num="2">
            <w:col w:w="4860" w:space="280"/>
            <w:col w:w="4920"/>
          </w:cols>
          <w:pgMar w:left="960" w:top="410" w:right="879" w:bottom="1440" w:gutter="0" w:footer="0" w:header="0"/>
          <w:type w:val="continuous"/>
        </w:sectPr>
      </w:pPr>
    </w:p>
    <w:p>
      <w:pPr>
        <w:spacing w:after="0" w:line="29"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b w:val="1"/>
          <w:bCs w:val="1"/>
          <w:color w:val="005AFF"/>
        </w:rPr>
        <w:t>Current assets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0D0D0D"/>
        </w:rPr>
        <w:t>Long-term interest-bearing liabilities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4"/>
        </w:trPr>
        <w:tc>
          <w:tcPr>
            <w:tcW w:w="58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94"/>
              </w:rPr>
              <w:t>5.2, 5.3, 5.4</w:t>
            </w:r>
          </w:p>
        </w:tc>
        <w:tc>
          <w:tcPr>
            <w:tcW w:w="68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3 637</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4 249</w:t>
            </w:r>
          </w:p>
        </w:tc>
      </w:tr>
    </w:tbl>
    <w:p>
      <w:pPr>
        <w:spacing w:after="0" w:line="27" w:lineRule="exact"/>
        <w:rPr>
          <w:sz w:val="20"/>
          <w:szCs w:val="20"/>
          <w:color w:val="auto"/>
        </w:rPr>
      </w:pPr>
    </w:p>
    <w:p>
      <w:pPr>
        <w:sectPr>
          <w:pgSz w:w="11900" w:h="16838" w:orient="portrait"/>
          <w:cols w:equalWidth="0" w:num="3">
            <w:col w:w="4420" w:space="720"/>
            <w:col w:w="2400" w:space="720"/>
            <w:col w:w="1800"/>
          </w:cols>
          <w:pgMar w:left="960" w:top="410" w:right="879" w:bottom="1440" w:gutter="0" w:footer="0" w:header="0"/>
          <w:type w:val="continuous"/>
        </w:sectPr>
      </w:pPr>
    </w:p>
    <w:p>
      <w:pPr>
        <w:spacing w:after="0" w:line="3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Inventories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Trade receivables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Contract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Current income tax assets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Other current receivables</w:t>
      </w:r>
    </w:p>
    <w:p>
      <w:pPr>
        <w:spacing w:after="0" w:line="47"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p>
      <w:pPr>
        <w:spacing w:after="0" w:line="20" w:lineRule="exact"/>
        <w:rPr>
          <w:sz w:val="20"/>
          <w:szCs w:val="20"/>
          <w:color w:val="auto"/>
        </w:rPr>
      </w:pPr>
      <w:r>
        <w:rPr>
          <w:sz w:val="20"/>
          <w:szCs w:val="20"/>
          <w:color w:val="auto"/>
        </w:rPr>
        <w:br w:type="column"/>
      </w:r>
    </w:p>
    <w:p>
      <w:pPr>
        <w:spacing w:after="0" w:line="11"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4"/>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2 719</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3 265</w:t>
            </w:r>
          </w:p>
        </w:tc>
      </w:tr>
      <w:tr>
        <w:trPr>
          <w:trHeight w:val="162"/>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4"/>
              </w:rPr>
              <w:t>4.5, 5.2, 5.4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4 921</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5 549</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4.5</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1 136</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1 203</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2.5</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307</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153</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4.6</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764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934</w:t>
            </w:r>
          </w:p>
        </w:tc>
      </w:tr>
      <w:tr>
        <w:trPr>
          <w:trHeight w:val="162"/>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rPr>
              <w:t>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1 565</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3 080</w:t>
            </w:r>
          </w:p>
        </w:tc>
      </w:tr>
    </w:tbl>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0D0D0D"/>
        </w:rPr>
        <w:t>Long-term lease liabilities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Defined benefit pension and post-employment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Deferred tax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Contract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Other non-current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Provisions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4"/>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5.4</w:t>
            </w:r>
          </w:p>
        </w:tc>
        <w:tc>
          <w:tcPr>
            <w:tcW w:w="660" w:type="dxa"/>
            <w:vAlign w:val="bottom"/>
          </w:tcPr>
          <w:p>
            <w:pPr>
              <w:ind w:left="280"/>
              <w:spacing w:after="0"/>
              <w:rPr>
                <w:sz w:val="20"/>
                <w:szCs w:val="20"/>
                <w:color w:val="auto"/>
              </w:rPr>
            </w:pPr>
            <w:r>
              <w:rPr>
                <w:rFonts w:ascii="Times New Roman" w:cs="Times New Roman" w:eastAsia="Times New Roman" w:hAnsi="Times New Roman"/>
                <w:sz w:val="10"/>
                <w:szCs w:val="10"/>
                <w:color w:val="005AFF"/>
              </w:rPr>
              <w:t>799</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858</w:t>
            </w:r>
          </w:p>
        </w:tc>
      </w:tr>
      <w:tr>
        <w:trPr>
          <w:trHeight w:val="162"/>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3.4</w:t>
            </w:r>
          </w:p>
        </w:tc>
        <w:tc>
          <w:tcPr>
            <w:tcW w:w="660" w:type="dxa"/>
            <w:vAlign w:val="bottom"/>
          </w:tcPr>
          <w:p>
            <w:pPr>
              <w:ind w:left="200"/>
              <w:spacing w:after="0"/>
              <w:rPr>
                <w:sz w:val="20"/>
                <w:szCs w:val="20"/>
                <w:color w:val="auto"/>
              </w:rPr>
            </w:pPr>
            <w:r>
              <w:rPr>
                <w:rFonts w:ascii="Times New Roman" w:cs="Times New Roman" w:eastAsia="Times New Roman" w:hAnsi="Times New Roman"/>
                <w:sz w:val="10"/>
                <w:szCs w:val="10"/>
                <w:color w:val="005AFF"/>
              </w:rPr>
              <w:t>2 299</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2 459</w:t>
            </w:r>
          </w:p>
        </w:tc>
      </w:tr>
      <w:tr>
        <w:trPr>
          <w:trHeight w:val="162"/>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2.5</w:t>
            </w:r>
          </w:p>
        </w:tc>
        <w:tc>
          <w:tcPr>
            <w:tcW w:w="660" w:type="dxa"/>
            <w:vAlign w:val="bottom"/>
          </w:tcPr>
          <w:p>
            <w:pPr>
              <w:ind w:left="280"/>
              <w:spacing w:after="0"/>
              <w:rPr>
                <w:sz w:val="20"/>
                <w:szCs w:val="20"/>
                <w:color w:val="auto"/>
              </w:rPr>
            </w:pPr>
            <w:r>
              <w:rPr>
                <w:rFonts w:ascii="Times New Roman" w:cs="Times New Roman" w:eastAsia="Times New Roman" w:hAnsi="Times New Roman"/>
                <w:sz w:val="10"/>
                <w:szCs w:val="10"/>
                <w:color w:val="005AFF"/>
              </w:rPr>
              <w:t>725</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332</w:t>
            </w:r>
          </w:p>
        </w:tc>
      </w:tr>
      <w:tr>
        <w:trPr>
          <w:trHeight w:val="162"/>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4.5</w:t>
            </w:r>
          </w:p>
        </w:tc>
        <w:tc>
          <w:tcPr>
            <w:tcW w:w="660" w:type="dxa"/>
            <w:vAlign w:val="bottom"/>
          </w:tcPr>
          <w:p>
            <w:pPr>
              <w:ind w:left="280"/>
              <w:spacing w:after="0"/>
              <w:rPr>
                <w:sz w:val="20"/>
                <w:szCs w:val="20"/>
                <w:color w:val="auto"/>
              </w:rPr>
            </w:pPr>
            <w:r>
              <w:rPr>
                <w:rFonts w:ascii="Times New Roman" w:cs="Times New Roman" w:eastAsia="Times New Roman" w:hAnsi="Times New Roman"/>
                <w:sz w:val="10"/>
                <w:szCs w:val="10"/>
                <w:color w:val="005AFF"/>
              </w:rPr>
              <w:t>210</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120</w:t>
            </w:r>
          </w:p>
        </w:tc>
      </w:tr>
      <w:tr>
        <w:trPr>
          <w:trHeight w:val="162"/>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4.6</w:t>
            </w:r>
          </w:p>
        </w:tc>
        <w:tc>
          <w:tcPr>
            <w:tcW w:w="660" w:type="dxa"/>
            <w:vAlign w:val="bottom"/>
          </w:tcPr>
          <w:p>
            <w:pPr>
              <w:ind w:left="280"/>
              <w:spacing w:after="0"/>
              <w:rPr>
                <w:sz w:val="20"/>
                <w:szCs w:val="20"/>
                <w:color w:val="auto"/>
              </w:rPr>
            </w:pPr>
            <w:r>
              <w:rPr>
                <w:rFonts w:ascii="Times New Roman" w:cs="Times New Roman" w:eastAsia="Times New Roman" w:hAnsi="Times New Roman"/>
                <w:sz w:val="10"/>
                <w:szCs w:val="10"/>
                <w:color w:val="005AFF"/>
              </w:rPr>
              <w:t>111</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103</w:t>
            </w:r>
          </w:p>
        </w:tc>
      </w:tr>
      <w:tr>
        <w:trPr>
          <w:trHeight w:val="162"/>
        </w:trPr>
        <w:tc>
          <w:tcPr>
            <w:tcW w:w="3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w w:val="79"/>
              </w:rPr>
              <w:t>4.7</w:t>
            </w:r>
          </w:p>
        </w:tc>
        <w:tc>
          <w:tcPr>
            <w:tcW w:w="660" w:type="dxa"/>
            <w:vAlign w:val="bottom"/>
          </w:tcPr>
          <w:p>
            <w:pPr>
              <w:ind w:left="280"/>
              <w:spacing w:after="0"/>
              <w:rPr>
                <w:sz w:val="20"/>
                <w:szCs w:val="20"/>
                <w:color w:val="auto"/>
              </w:rPr>
            </w:pPr>
            <w:r>
              <w:rPr>
                <w:rFonts w:ascii="Times New Roman" w:cs="Times New Roman" w:eastAsia="Times New Roman" w:hAnsi="Times New Roman"/>
                <w:sz w:val="10"/>
                <w:szCs w:val="10"/>
                <w:color w:val="005AFF"/>
              </w:rPr>
              <w:t>518</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622</w:t>
            </w:r>
          </w:p>
        </w:tc>
      </w:tr>
    </w:tbl>
    <w:p>
      <w:pPr>
        <w:spacing w:after="0" w:line="31" w:lineRule="exact"/>
        <w:rPr>
          <w:sz w:val="20"/>
          <w:szCs w:val="20"/>
          <w:color w:val="auto"/>
        </w:rPr>
      </w:pPr>
    </w:p>
    <w:p>
      <w:pPr>
        <w:sectPr>
          <w:pgSz w:w="11900" w:h="16838" w:orient="portrait"/>
          <w:cols w:equalWidth="0" w:num="4">
            <w:col w:w="2440" w:space="720"/>
            <w:col w:w="1720" w:space="260"/>
            <w:col w:w="2700" w:space="720"/>
            <w:col w:w="1500"/>
          </w:cols>
          <w:pgMar w:left="960" w:top="410" w:right="879" w:bottom="1440" w:gutter="0" w:footer="0" w:header="0"/>
          <w:type w:val="continuous"/>
        </w:sectPr>
      </w:pPr>
    </w:p>
    <w:p>
      <w:pPr>
        <w:spacing w:after="0" w:line="27" w:lineRule="exact"/>
        <w:rPr>
          <w:sz w:val="20"/>
          <w:szCs w:val="20"/>
          <w:color w:val="auto"/>
        </w:rPr>
      </w:pPr>
    </w:p>
    <w:p>
      <w:pPr>
        <w:ind w:left="40" w:right="320"/>
        <w:spacing w:after="0" w:line="308" w:lineRule="auto"/>
        <w:rPr>
          <w:sz w:val="20"/>
          <w:szCs w:val="20"/>
          <w:color w:val="auto"/>
        </w:rPr>
      </w:pPr>
      <w:r>
        <w:rPr>
          <w:rFonts w:ascii="Times New Roman" w:cs="Times New Roman" w:eastAsia="Times New Roman" w:hAnsi="Times New Roman"/>
          <w:sz w:val="10"/>
          <w:szCs w:val="10"/>
          <w:color w:val="0D0D0D"/>
        </w:rPr>
        <w:t>Other current financial and firm commitment assets Cash and cash equivalents</w:t>
      </w:r>
    </w:p>
    <w:p>
      <w:pPr>
        <w:spacing w:after="0" w:line="20" w:lineRule="exact"/>
        <w:rPr>
          <w:sz w:val="20"/>
          <w:szCs w:val="20"/>
          <w:color w:val="auto"/>
        </w:rPr>
      </w:pPr>
      <w:r>
        <w:rPr>
          <w:sz w:val="20"/>
          <w:szCs w:val="20"/>
          <w:color w:val="auto"/>
        </w:rPr>
        <w:br w:type="column"/>
      </w:r>
    </w:p>
    <w:p>
      <w:pPr>
        <w:spacing w:after="0" w:line="7"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4"/>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4"/>
              </w:rPr>
              <w:t>5.2, 5.3, 5.4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441</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615</w:t>
            </w:r>
          </w:p>
        </w:tc>
      </w:tr>
      <w:tr>
        <w:trPr>
          <w:trHeight w:val="162"/>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rPr>
              <w:t>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6 234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5 467</w:t>
            </w:r>
          </w:p>
        </w:tc>
      </w:tr>
    </w:tbl>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5"/>
        </w:trPr>
        <w:tc>
          <w:tcPr>
            <w:tcW w:w="26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non-current liabilities</w:t>
            </w:r>
          </w:p>
        </w:tc>
        <w:tc>
          <w:tcPr>
            <w:tcW w:w="182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b w:val="1"/>
                <w:bCs w:val="1"/>
                <w:color w:val="005AFF"/>
              </w:rPr>
              <w:t>8 299</w:t>
            </w:r>
          </w:p>
        </w:tc>
        <w:tc>
          <w:tcPr>
            <w:tcW w:w="5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8 743</w:t>
            </w:r>
          </w:p>
        </w:tc>
      </w:tr>
      <w:tr>
        <w:trPr>
          <w:trHeight w:val="134"/>
        </w:trPr>
        <w:tc>
          <w:tcPr>
            <w:tcW w:w="26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Current liabilities</w:t>
            </w:r>
          </w:p>
        </w:tc>
        <w:tc>
          <w:tcPr>
            <w:tcW w:w="1820" w:type="dxa"/>
            <w:vAlign w:val="bottom"/>
          </w:tcPr>
          <w:p>
            <w:pPr>
              <w:spacing w:after="0"/>
              <w:rPr>
                <w:sz w:val="11"/>
                <w:szCs w:val="11"/>
                <w:color w:val="auto"/>
              </w:rPr>
            </w:pPr>
          </w:p>
        </w:tc>
        <w:tc>
          <w:tcPr>
            <w:tcW w:w="540" w:type="dxa"/>
            <w:vAlign w:val="bottom"/>
          </w:tcPr>
          <w:p>
            <w:pPr>
              <w:spacing w:after="0"/>
              <w:rPr>
                <w:sz w:val="11"/>
                <w:szCs w:val="11"/>
                <w:color w:val="auto"/>
              </w:rPr>
            </w:pPr>
          </w:p>
        </w:tc>
      </w:tr>
    </w:tbl>
    <w:p>
      <w:pPr>
        <w:spacing w:after="0" w:line="35" w:lineRule="exact"/>
        <w:rPr>
          <w:sz w:val="20"/>
          <w:szCs w:val="20"/>
          <w:color w:val="auto"/>
        </w:rPr>
      </w:pPr>
    </w:p>
    <w:p>
      <w:pPr>
        <w:sectPr>
          <w:pgSz w:w="11900" w:h="16838" w:orient="portrait"/>
          <w:cols w:equalWidth="0" w:num="3">
            <w:col w:w="2440" w:space="720"/>
            <w:col w:w="1720" w:space="220"/>
            <w:col w:w="4960"/>
          </w:cols>
          <w:pgMar w:left="960" w:top="410" w:right="879" w:bottom="1440" w:gutter="0" w:footer="0" w:header="0"/>
          <w:type w:val="continuous"/>
        </w:sectPr>
      </w:pPr>
    </w:p>
    <w:p>
      <w:pPr>
        <w:spacing w:after="0" w:line="25" w:lineRule="exact"/>
        <w:rPr>
          <w:sz w:val="20"/>
          <w:szCs w:val="20"/>
          <w:color w:val="auto"/>
        </w:rPr>
      </w:pPr>
    </w:p>
    <w:tbl>
      <w:tblPr>
        <w:tblLayout w:type="fixed"/>
        <w:tblInd w:w="0" w:type="dxa"/>
        <w:tblCellMar>
          <w:top w:w="0" w:type="dxa"/>
          <w:left w:w="0" w:type="dxa"/>
          <w:bottom w:w="0" w:type="dxa"/>
          <w:right w:w="0" w:type="dxa"/>
        </w:tblCellMar>
      </w:tblPr>
      <w:tr>
        <w:trPr>
          <w:trHeight w:val="137"/>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current assets</w:t>
            </w:r>
          </w:p>
        </w:tc>
        <w:tc>
          <w:tcPr>
            <w:tcW w:w="1560" w:type="dxa"/>
            <w:vAlign w:val="bottom"/>
            <w:tcBorders>
              <w:bottom w:val="single" w:sz="8" w:color="005AFF"/>
            </w:tcBorders>
          </w:tcPr>
          <w:p>
            <w:pPr>
              <w:spacing w:after="0"/>
              <w:rPr>
                <w:sz w:val="11"/>
                <w:szCs w:val="11"/>
                <w:color w:val="auto"/>
              </w:rPr>
            </w:pPr>
          </w:p>
        </w:tc>
        <w:tc>
          <w:tcPr>
            <w:tcW w:w="66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b w:val="1"/>
                <w:bCs w:val="1"/>
                <w:color w:val="005AFF"/>
              </w:rPr>
              <w:t>18 087</w:t>
            </w:r>
          </w:p>
        </w:tc>
        <w:tc>
          <w:tcPr>
            <w:tcW w:w="54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20 266</w:t>
            </w:r>
          </w:p>
        </w:tc>
        <w:tc>
          <w:tcPr>
            <w:tcW w:w="20" w:type="dxa"/>
            <w:vAlign w:val="bottom"/>
          </w:tcPr>
          <w:p>
            <w:pPr>
              <w:spacing w:after="0"/>
              <w:rPr>
                <w:sz w:val="11"/>
                <w:szCs w:val="11"/>
                <w:color w:val="auto"/>
              </w:rPr>
            </w:pPr>
          </w:p>
        </w:tc>
      </w:tr>
      <w:tr>
        <w:trPr>
          <w:trHeight w:val="144"/>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Assets held for sale</w:t>
            </w:r>
          </w:p>
        </w:tc>
        <w:tc>
          <w:tcPr>
            <w:tcW w:w="1560" w:type="dxa"/>
            <w:vAlign w:val="bottom"/>
          </w:tcPr>
          <w:p>
            <w:pPr>
              <w:jc w:val="right"/>
              <w:ind w:right="140"/>
              <w:spacing w:after="0"/>
              <w:rPr>
                <w:sz w:val="20"/>
                <w:szCs w:val="20"/>
                <w:color w:val="auto"/>
              </w:rPr>
            </w:pPr>
            <w:r>
              <w:rPr>
                <w:rFonts w:ascii="Times New Roman" w:cs="Times New Roman" w:eastAsia="Times New Roman" w:hAnsi="Times New Roman"/>
                <w:sz w:val="8"/>
                <w:szCs w:val="8"/>
                <w:color w:val="0D0D0D"/>
              </w:rPr>
              <w:t>6.4</w:t>
            </w:r>
          </w:p>
        </w:tc>
        <w:tc>
          <w:tcPr>
            <w:tcW w:w="660" w:type="dxa"/>
            <w:vAlign w:val="bottom"/>
          </w:tcPr>
          <w:p>
            <w:pPr>
              <w:jc w:val="right"/>
              <w:ind w:right="149"/>
              <w:spacing w:after="0"/>
              <w:rPr>
                <w:sz w:val="20"/>
                <w:szCs w:val="20"/>
                <w:color w:val="auto"/>
              </w:rPr>
            </w:pPr>
            <w:r>
              <w:rPr>
                <w:rFonts w:ascii="Times New Roman" w:cs="Times New Roman" w:eastAsia="Times New Roman" w:hAnsi="Times New Roman"/>
                <w:sz w:val="10"/>
                <w:szCs w:val="10"/>
                <w:color w:val="005AFF"/>
              </w:rPr>
              <w:t>79</w:t>
            </w:r>
          </w:p>
        </w:tc>
        <w:tc>
          <w:tcPr>
            <w:tcW w:w="560" w:type="dxa"/>
            <w:vAlign w:val="bottom"/>
            <w:gridSpan w:val="2"/>
          </w:tcPr>
          <w:p>
            <w:pPr>
              <w:ind w:left="460"/>
              <w:spacing w:after="0"/>
              <w:rPr>
                <w:sz w:val="20"/>
                <w:szCs w:val="20"/>
                <w:color w:val="auto"/>
              </w:rPr>
            </w:pPr>
            <w:r>
              <w:rPr>
                <w:rFonts w:ascii="Times New Roman" w:cs="Times New Roman" w:eastAsia="Times New Roman" w:hAnsi="Times New Roman"/>
                <w:sz w:val="10"/>
                <w:szCs w:val="10"/>
                <w:color w:val="0D0D0D"/>
                <w:w w:val="79"/>
              </w:rPr>
              <w:t>—</w:t>
            </w:r>
          </w:p>
        </w:tc>
      </w:tr>
      <w:tr>
        <w:trPr>
          <w:trHeight w:val="140"/>
        </w:trPr>
        <w:tc>
          <w:tcPr>
            <w:tcW w:w="2180" w:type="dxa"/>
            <w:vAlign w:val="bottom"/>
            <w:tcBorders>
              <w:top w:val="single" w:sz="8" w:color="005AFF"/>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assets</w:t>
            </w:r>
          </w:p>
        </w:tc>
        <w:tc>
          <w:tcPr>
            <w:tcW w:w="1560" w:type="dxa"/>
            <w:vAlign w:val="bottom"/>
            <w:tcBorders>
              <w:top w:val="single" w:sz="8" w:color="005AFF"/>
              <w:bottom w:val="single" w:sz="8" w:color="005AFF"/>
            </w:tcBorders>
          </w:tcPr>
          <w:p>
            <w:pPr>
              <w:spacing w:after="0"/>
              <w:rPr>
                <w:sz w:val="12"/>
                <w:szCs w:val="12"/>
                <w:color w:val="auto"/>
              </w:rPr>
            </w:pPr>
          </w:p>
        </w:tc>
        <w:tc>
          <w:tcPr>
            <w:tcW w:w="660" w:type="dxa"/>
            <w:vAlign w:val="bottom"/>
            <w:tcBorders>
              <w:top w:val="single" w:sz="8" w:color="005AFF"/>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b w:val="1"/>
                <w:bCs w:val="1"/>
                <w:color w:val="005AFF"/>
              </w:rPr>
              <w:t>39 860</w:t>
            </w:r>
          </w:p>
        </w:tc>
        <w:tc>
          <w:tcPr>
            <w:tcW w:w="540" w:type="dxa"/>
            <w:vAlign w:val="bottom"/>
            <w:tcBorders>
              <w:top w:val="single" w:sz="8" w:color="005AFF"/>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42 943</w:t>
            </w:r>
          </w:p>
        </w:tc>
        <w:tc>
          <w:tcPr>
            <w:tcW w:w="20" w:type="dxa"/>
            <w:vAlign w:val="bottom"/>
          </w:tcPr>
          <w:p>
            <w:pPr>
              <w:spacing w:after="0"/>
              <w:rPr>
                <w:sz w:val="12"/>
                <w:szCs w:val="12"/>
                <w:color w:val="auto"/>
              </w:rPr>
            </w:pPr>
          </w:p>
        </w:tc>
      </w:tr>
    </w:tbl>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0D0D0D"/>
        </w:rPr>
        <w:t>Short-term interest-bearing liabilities</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Short-term lease liabilities</w:t>
      </w:r>
    </w:p>
    <w:p>
      <w:pPr>
        <w:spacing w:after="0" w:line="47" w:lineRule="exact"/>
        <w:rPr>
          <w:sz w:val="20"/>
          <w:szCs w:val="20"/>
          <w:color w:val="auto"/>
        </w:rPr>
      </w:pPr>
    </w:p>
    <w:p>
      <w:pPr>
        <w:ind w:right="480"/>
        <w:spacing w:after="0" w:line="337" w:lineRule="auto"/>
        <w:rPr>
          <w:sz w:val="20"/>
          <w:szCs w:val="20"/>
          <w:color w:val="auto"/>
        </w:rPr>
      </w:pPr>
      <w:r>
        <w:rPr>
          <w:rFonts w:ascii="Times New Roman" w:cs="Times New Roman" w:eastAsia="Times New Roman" w:hAnsi="Times New Roman"/>
          <w:sz w:val="10"/>
          <w:szCs w:val="10"/>
          <w:color w:val="0D0D0D"/>
        </w:rPr>
        <w:t>Other financial and firm commitment liabilities Contract liabilities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Current income tax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Trade payables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Other current liabilities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0"/>
          <w:szCs w:val="10"/>
          <w:color w:val="0D0D0D"/>
        </w:rPr>
        <w:t>Provisions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1"/>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4"/>
              </w:rPr>
              <w:t>5.2, 5.3, 5.4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554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228</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198</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184</w:t>
            </w:r>
          </w:p>
        </w:tc>
      </w:tr>
      <w:tr>
        <w:trPr>
          <w:trHeight w:val="162"/>
        </w:trPr>
        <w:tc>
          <w:tcPr>
            <w:tcW w:w="600" w:type="dxa"/>
            <w:vAlign w:val="bottom"/>
          </w:tcPr>
          <w:p>
            <w:pPr>
              <w:jc w:val="right"/>
              <w:ind w:right="180"/>
              <w:spacing w:after="0"/>
              <w:rPr>
                <w:sz w:val="20"/>
                <w:szCs w:val="20"/>
                <w:color w:val="auto"/>
              </w:rPr>
            </w:pPr>
            <w:r>
              <w:rPr>
                <w:rFonts w:ascii="Times New Roman" w:cs="Times New Roman" w:eastAsia="Times New Roman" w:hAnsi="Times New Roman"/>
                <w:sz w:val="8"/>
                <w:szCs w:val="8"/>
                <w:color w:val="0D0D0D"/>
                <w:w w:val="94"/>
              </w:rPr>
              <w:t>5.2, 5.3, 5.4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830</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1 038</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4.5</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2 157</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1 977</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2.5</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203</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185</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5.2, 5.4</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3 423</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4 730</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4.6</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2 824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3 619</w:t>
            </w:r>
          </w:p>
        </w:tc>
      </w:tr>
      <w:tr>
        <w:trPr>
          <w:trHeight w:val="162"/>
        </w:trPr>
        <w:tc>
          <w:tcPr>
            <w:tcW w:w="600" w:type="dxa"/>
            <w:vAlign w:val="bottom"/>
          </w:tcPr>
          <w:p>
            <w:pPr>
              <w:jc w:val="right"/>
              <w:ind w:right="160"/>
              <w:spacing w:after="0"/>
              <w:rPr>
                <w:sz w:val="20"/>
                <w:szCs w:val="20"/>
                <w:color w:val="auto"/>
              </w:rPr>
            </w:pPr>
            <w:r>
              <w:rPr>
                <w:rFonts w:ascii="Times New Roman" w:cs="Times New Roman" w:eastAsia="Times New Roman" w:hAnsi="Times New Roman"/>
                <w:sz w:val="8"/>
                <w:szCs w:val="8"/>
                <w:color w:val="0D0D0D"/>
              </w:rPr>
              <w:t>4.7</w:t>
            </w:r>
          </w:p>
        </w:tc>
        <w:tc>
          <w:tcPr>
            <w:tcW w:w="66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05AFF"/>
              </w:rPr>
              <w:t>744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813</w:t>
            </w:r>
          </w:p>
        </w:tc>
      </w:tr>
    </w:tbl>
    <w:p>
      <w:pPr>
        <w:spacing w:after="0" w:line="26" w:lineRule="exact"/>
        <w:rPr>
          <w:sz w:val="20"/>
          <w:szCs w:val="20"/>
          <w:color w:val="auto"/>
        </w:rPr>
      </w:pPr>
    </w:p>
    <w:p>
      <w:pPr>
        <w:sectPr>
          <w:pgSz w:w="11900" w:h="16838" w:orient="portrait"/>
          <w:cols w:equalWidth="0" w:num="3">
            <w:col w:w="4960" w:space="180"/>
            <w:col w:w="2400" w:space="720"/>
            <w:col w:w="1800"/>
          </w:cols>
          <w:pgMar w:left="960" w:top="410" w:right="87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7"/>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current liabilities</w:t>
            </w:r>
          </w:p>
        </w:tc>
        <w:tc>
          <w:tcPr>
            <w:tcW w:w="15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10 933</w:t>
            </w:r>
          </w:p>
        </w:tc>
        <w:tc>
          <w:tcPr>
            <w:tcW w:w="58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12 774</w:t>
            </w:r>
          </w:p>
        </w:tc>
      </w:tr>
      <w:tr>
        <w:trPr>
          <w:trHeight w:val="142"/>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liabilities</w:t>
            </w:r>
          </w:p>
        </w:tc>
        <w:tc>
          <w:tcPr>
            <w:tcW w:w="15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19 232</w:t>
            </w:r>
          </w:p>
        </w:tc>
        <w:tc>
          <w:tcPr>
            <w:tcW w:w="58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21 517</w:t>
            </w:r>
          </w:p>
        </w:tc>
      </w:tr>
      <w:tr>
        <w:trPr>
          <w:trHeight w:val="142"/>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shareholders’ equity and liabilities</w:t>
            </w:r>
          </w:p>
        </w:tc>
        <w:tc>
          <w:tcPr>
            <w:tcW w:w="1540" w:type="dxa"/>
            <w:vAlign w:val="bottom"/>
            <w:tcBorders>
              <w:bottom w:val="single" w:sz="8" w:color="005AFF"/>
            </w:tcBorders>
          </w:tcPr>
          <w:p>
            <w:pPr>
              <w:jc w:val="right"/>
              <w:ind w:right="149"/>
              <w:spacing w:after="0"/>
              <w:rPr>
                <w:sz w:val="20"/>
                <w:szCs w:val="20"/>
                <w:color w:val="auto"/>
              </w:rPr>
            </w:pPr>
            <w:r>
              <w:rPr>
                <w:rFonts w:ascii="Times New Roman" w:cs="Times New Roman" w:eastAsia="Times New Roman" w:hAnsi="Times New Roman"/>
                <w:sz w:val="10"/>
                <w:szCs w:val="10"/>
                <w:b w:val="1"/>
                <w:bCs w:val="1"/>
                <w:color w:val="005AFF"/>
              </w:rPr>
              <w:t>39 860</w:t>
            </w:r>
          </w:p>
        </w:tc>
        <w:tc>
          <w:tcPr>
            <w:tcW w:w="58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42 943</w:t>
            </w:r>
          </w:p>
        </w:tc>
      </w:tr>
    </w:tbl>
    <w:p>
      <w:pPr>
        <w:spacing w:after="0" w:line="142" w:lineRule="exact"/>
        <w:rPr>
          <w:sz w:val="20"/>
          <w:szCs w:val="20"/>
          <w:color w:val="auto"/>
        </w:rPr>
      </w:pPr>
    </w:p>
    <w:p>
      <w:pPr>
        <w:spacing w:after="0"/>
        <w:rPr>
          <w:sz w:val="20"/>
          <w:szCs w:val="20"/>
          <w:color w:val="auto"/>
        </w:rPr>
      </w:pPr>
      <w:r>
        <w:rPr>
          <w:rFonts w:ascii="Times New Roman" w:cs="Times New Roman" w:eastAsia="Times New Roman" w:hAnsi="Times New Roman"/>
          <w:sz w:val="8"/>
          <w:szCs w:val="8"/>
          <w:color w:val="auto"/>
        </w:rPr>
        <w:t>The notes are an integral part of these consolidated financial statements.</w:t>
      </w:r>
    </w:p>
    <w:p>
      <w:pPr>
        <w:sectPr>
          <w:pgSz w:w="11900" w:h="16838" w:orient="portrait"/>
          <w:cols w:equalWidth="0" w:num="2">
            <w:col w:w="4380" w:space="720"/>
            <w:col w:w="4960"/>
          </w:cols>
          <w:pgMar w:left="960" w:top="410" w:right="879" w:bottom="1440" w:gutter="0" w:footer="0" w:header="0"/>
          <w:type w:val="continuous"/>
        </w:sectPr>
      </w:pPr>
    </w:p>
    <w:bookmarkStart w:id="152" w:name="page153"/>
    <w:bookmarkEnd w:id="15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145</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34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Consolidated statement of cash flows</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For the year ended 31 December</w:t>
      </w:r>
    </w:p>
    <w:p>
      <w:pPr>
        <w:spacing w:after="0" w:line="186" w:lineRule="exact"/>
        <w:rPr>
          <w:sz w:val="20"/>
          <w:szCs w:val="20"/>
          <w:color w:val="auto"/>
        </w:rPr>
      </w:pPr>
    </w:p>
    <w:tbl>
      <w:tblPr>
        <w:tblLayout w:type="fixed"/>
        <w:tblInd w:w="0" w:type="dxa"/>
        <w:tblCellMar>
          <w:top w:w="0" w:type="dxa"/>
          <w:left w:w="0" w:type="dxa"/>
          <w:bottom w:w="0" w:type="dxa"/>
          <w:right w:w="0" w:type="dxa"/>
        </w:tblCellMar>
      </w:tblPr>
      <w:tr>
        <w:trPr>
          <w:trHeight w:val="104"/>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940" w:type="dxa"/>
            <w:vAlign w:val="bottom"/>
            <w:vMerge w:val="restart"/>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vMerge w:val="restart"/>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840" w:type="dxa"/>
            <w:vAlign w:val="bottom"/>
            <w:vMerge w:val="restart"/>
          </w:tcPr>
          <w:p>
            <w:pPr>
              <w:jc w:val="right"/>
              <w:ind w:right="17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20" w:type="dxa"/>
            <w:vAlign w:val="bottom"/>
            <w:vMerge w:val="restart"/>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2021</w:t>
            </w:r>
          </w:p>
        </w:tc>
        <w:tc>
          <w:tcPr>
            <w:tcW w:w="180" w:type="dxa"/>
            <w:vAlign w:val="bottom"/>
          </w:tcPr>
          <w:p>
            <w:pPr>
              <w:spacing w:after="0"/>
              <w:rPr>
                <w:sz w:val="9"/>
                <w:szCs w:val="9"/>
                <w:color w:val="auto"/>
              </w:rPr>
            </w:pPr>
          </w:p>
        </w:tc>
        <w:tc>
          <w:tcPr>
            <w:tcW w:w="2040" w:type="dxa"/>
            <w:vAlign w:val="bottom"/>
          </w:tcPr>
          <w:p>
            <w:pPr>
              <w:ind w:left="40"/>
              <w:spacing w:after="0"/>
              <w:rPr>
                <w:sz w:val="20"/>
                <w:szCs w:val="20"/>
                <w:color w:val="auto"/>
              </w:rPr>
            </w:pPr>
            <w:r>
              <w:rPr>
                <w:rFonts w:ascii="Times New Roman" w:cs="Times New Roman" w:eastAsia="Times New Roman" w:hAnsi="Times New Roman"/>
                <w:sz w:val="8"/>
                <w:szCs w:val="8"/>
                <w:color w:val="auto"/>
              </w:rPr>
              <w:t>(1) Adjustments</w:t>
            </w:r>
          </w:p>
        </w:tc>
        <w:tc>
          <w:tcPr>
            <w:tcW w:w="400" w:type="dxa"/>
            <w:vAlign w:val="bottom"/>
          </w:tcPr>
          <w:p>
            <w:pPr>
              <w:spacing w:after="0"/>
              <w:rPr>
                <w:sz w:val="9"/>
                <w:szCs w:val="9"/>
                <w:color w:val="auto"/>
              </w:rPr>
            </w:pPr>
          </w:p>
        </w:tc>
        <w:tc>
          <w:tcPr>
            <w:tcW w:w="44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35"/>
        </w:trPr>
        <w:tc>
          <w:tcPr>
            <w:tcW w:w="3640" w:type="dxa"/>
            <w:vAlign w:val="bottom"/>
            <w:tcBorders>
              <w:bottom w:val="single" w:sz="8" w:color="005AFF"/>
            </w:tcBorders>
            <w:vMerge w:val="continue"/>
          </w:tcPr>
          <w:p>
            <w:pPr>
              <w:spacing w:after="0"/>
              <w:rPr>
                <w:sz w:val="2"/>
                <w:szCs w:val="2"/>
                <w:color w:val="auto"/>
              </w:rPr>
            </w:pPr>
          </w:p>
        </w:tc>
        <w:tc>
          <w:tcPr>
            <w:tcW w:w="940" w:type="dxa"/>
            <w:vAlign w:val="bottom"/>
            <w:tcBorders>
              <w:bottom w:val="single" w:sz="8" w:color="005AFF"/>
            </w:tcBorders>
            <w:vMerge w:val="continue"/>
          </w:tcPr>
          <w:p>
            <w:pPr>
              <w:spacing w:after="0"/>
              <w:rPr>
                <w:sz w:val="2"/>
                <w:szCs w:val="2"/>
                <w:color w:val="auto"/>
              </w:rPr>
            </w:pPr>
          </w:p>
        </w:tc>
        <w:tc>
          <w:tcPr>
            <w:tcW w:w="680" w:type="dxa"/>
            <w:vAlign w:val="bottom"/>
            <w:tcBorders>
              <w:bottom w:val="single" w:sz="8" w:color="005AFF"/>
            </w:tcBorders>
            <w:vMerge w:val="continue"/>
          </w:tcPr>
          <w:p>
            <w:pPr>
              <w:spacing w:after="0"/>
              <w:rPr>
                <w:sz w:val="2"/>
                <w:szCs w:val="2"/>
                <w:color w:val="auto"/>
              </w:rPr>
            </w:pPr>
          </w:p>
        </w:tc>
        <w:tc>
          <w:tcPr>
            <w:tcW w:w="840" w:type="dxa"/>
            <w:vAlign w:val="bottom"/>
            <w:tcBorders>
              <w:bottom w:val="single" w:sz="8" w:color="005AFF"/>
            </w:tcBorders>
            <w:vMerge w:val="continue"/>
          </w:tcPr>
          <w:p>
            <w:pPr>
              <w:spacing w:after="0"/>
              <w:rPr>
                <w:sz w:val="2"/>
                <w:szCs w:val="2"/>
                <w:color w:val="auto"/>
              </w:rPr>
            </w:pPr>
          </w:p>
        </w:tc>
        <w:tc>
          <w:tcPr>
            <w:tcW w:w="520" w:type="dxa"/>
            <w:vAlign w:val="bottom"/>
            <w:tcBorders>
              <w:bottom w:val="single" w:sz="8" w:color="005AFF"/>
            </w:tcBorders>
            <w:vMerge w:val="continue"/>
          </w:tcPr>
          <w:p>
            <w:pPr>
              <w:spacing w:after="0"/>
              <w:rPr>
                <w:sz w:val="2"/>
                <w:szCs w:val="2"/>
                <w:color w:val="auto"/>
              </w:rPr>
            </w:pPr>
          </w:p>
        </w:tc>
        <w:tc>
          <w:tcPr>
            <w:tcW w:w="180" w:type="dxa"/>
            <w:vAlign w:val="bottom"/>
          </w:tcPr>
          <w:p>
            <w:pPr>
              <w:spacing w:after="0"/>
              <w:rPr>
                <w:sz w:val="2"/>
                <w:szCs w:val="2"/>
                <w:color w:val="auto"/>
              </w:rPr>
            </w:pPr>
          </w:p>
        </w:tc>
        <w:tc>
          <w:tcPr>
            <w:tcW w:w="2040" w:type="dxa"/>
            <w:vAlign w:val="bottom"/>
          </w:tcPr>
          <w:p>
            <w:pPr>
              <w:spacing w:after="0"/>
              <w:rPr>
                <w:sz w:val="2"/>
                <w:szCs w:val="2"/>
                <w:color w:val="auto"/>
              </w:rPr>
            </w:pPr>
          </w:p>
        </w:tc>
        <w:tc>
          <w:tcPr>
            <w:tcW w:w="400" w:type="dxa"/>
            <w:vAlign w:val="bottom"/>
          </w:tcPr>
          <w:p>
            <w:pPr>
              <w:spacing w:after="0"/>
              <w:rPr>
                <w:sz w:val="2"/>
                <w:szCs w:val="2"/>
                <w:color w:val="auto"/>
              </w:rPr>
            </w:pPr>
          </w:p>
        </w:tc>
        <w:tc>
          <w:tcPr>
            <w:tcW w:w="440" w:type="dxa"/>
            <w:vAlign w:val="bottom"/>
          </w:tcPr>
          <w:p>
            <w:pPr>
              <w:spacing w:after="0"/>
              <w:rPr>
                <w:sz w:val="2"/>
                <w:szCs w:val="2"/>
                <w:color w:val="auto"/>
              </w:rPr>
            </w:pPr>
          </w:p>
        </w:tc>
        <w:tc>
          <w:tcPr>
            <w:tcW w:w="380" w:type="dxa"/>
            <w:vAlign w:val="bottom"/>
          </w:tcPr>
          <w:p>
            <w:pPr>
              <w:spacing w:after="0"/>
              <w:rPr>
                <w:sz w:val="2"/>
                <w:szCs w:val="2"/>
                <w:color w:val="auto"/>
              </w:rPr>
            </w:pPr>
          </w:p>
        </w:tc>
        <w:tc>
          <w:tcPr>
            <w:tcW w:w="0" w:type="dxa"/>
            <w:vAlign w:val="bottom"/>
          </w:tcPr>
          <w:p>
            <w:pPr>
              <w:spacing w:after="0"/>
              <w:rPr>
                <w:sz w:val="1"/>
                <w:szCs w:val="1"/>
                <w:color w:val="auto"/>
              </w:rPr>
            </w:pPr>
          </w:p>
        </w:tc>
      </w:tr>
      <w:tr>
        <w:trPr>
          <w:trHeight w:val="108"/>
        </w:trPr>
        <w:tc>
          <w:tcPr>
            <w:tcW w:w="3640" w:type="dxa"/>
            <w:vAlign w:val="bottom"/>
          </w:tcPr>
          <w:p>
            <w:pPr>
              <w:ind w:left="40"/>
              <w:spacing w:after="0" w:line="92" w:lineRule="exact"/>
              <w:rPr>
                <w:sz w:val="20"/>
                <w:szCs w:val="20"/>
                <w:color w:val="auto"/>
              </w:rPr>
            </w:pPr>
            <w:r>
              <w:rPr>
                <w:rFonts w:ascii="Times New Roman" w:cs="Times New Roman" w:eastAsia="Times New Roman" w:hAnsi="Times New Roman"/>
                <w:sz w:val="10"/>
                <w:szCs w:val="10"/>
                <w:color w:val="0D0D0D"/>
              </w:rPr>
              <w:t>Profit for the year</w:t>
            </w:r>
          </w:p>
        </w:tc>
        <w:tc>
          <w:tcPr>
            <w:tcW w:w="940" w:type="dxa"/>
            <w:vAlign w:val="bottom"/>
          </w:tcPr>
          <w:p>
            <w:pPr>
              <w:spacing w:after="0"/>
              <w:rPr>
                <w:sz w:val="9"/>
                <w:szCs w:val="9"/>
                <w:color w:val="auto"/>
              </w:rPr>
            </w:pPr>
          </w:p>
        </w:tc>
        <w:tc>
          <w:tcPr>
            <w:tcW w:w="680" w:type="dxa"/>
            <w:vAlign w:val="bottom"/>
            <w:tcBorders>
              <w:bottom w:val="single" w:sz="8" w:color="F0F5FF"/>
            </w:tcBorders>
            <w:shd w:val="clear" w:color="auto" w:fill="F0F5FF"/>
          </w:tcPr>
          <w:p>
            <w:pPr>
              <w:jc w:val="right"/>
              <w:ind w:right="30"/>
              <w:spacing w:after="0" w:line="92" w:lineRule="exact"/>
              <w:rPr>
                <w:sz w:val="20"/>
                <w:szCs w:val="20"/>
                <w:color w:val="auto"/>
              </w:rPr>
            </w:pPr>
            <w:r>
              <w:rPr>
                <w:rFonts w:ascii="Times New Roman" w:cs="Times New Roman" w:eastAsia="Times New Roman" w:hAnsi="Times New Roman"/>
                <w:sz w:val="10"/>
                <w:szCs w:val="10"/>
                <w:color w:val="005AFF"/>
              </w:rPr>
              <w:t>679</w:t>
            </w:r>
          </w:p>
        </w:tc>
        <w:tc>
          <w:tcPr>
            <w:tcW w:w="840" w:type="dxa"/>
            <w:vAlign w:val="bottom"/>
          </w:tcPr>
          <w:p>
            <w:pPr>
              <w:jc w:val="right"/>
              <w:ind w:right="210"/>
              <w:spacing w:after="0" w:line="92" w:lineRule="exact"/>
              <w:rPr>
                <w:sz w:val="20"/>
                <w:szCs w:val="20"/>
                <w:color w:val="auto"/>
              </w:rPr>
            </w:pPr>
            <w:r>
              <w:rPr>
                <w:rFonts w:ascii="Times New Roman" w:cs="Times New Roman" w:eastAsia="Times New Roman" w:hAnsi="Times New Roman"/>
                <w:sz w:val="10"/>
                <w:szCs w:val="10"/>
                <w:color w:val="0D0D0D"/>
              </w:rPr>
              <w:t>4 259</w:t>
            </w:r>
          </w:p>
        </w:tc>
        <w:tc>
          <w:tcPr>
            <w:tcW w:w="520" w:type="dxa"/>
            <w:vAlign w:val="bottom"/>
          </w:tcPr>
          <w:p>
            <w:pPr>
              <w:jc w:val="right"/>
              <w:ind w:right="50"/>
              <w:spacing w:after="0" w:line="92" w:lineRule="exact"/>
              <w:rPr>
                <w:sz w:val="20"/>
                <w:szCs w:val="20"/>
                <w:color w:val="auto"/>
              </w:rPr>
            </w:pPr>
            <w:r>
              <w:rPr>
                <w:rFonts w:ascii="Times New Roman" w:cs="Times New Roman" w:eastAsia="Times New Roman" w:hAnsi="Times New Roman"/>
                <w:sz w:val="10"/>
                <w:szCs w:val="10"/>
                <w:color w:val="0D0D0D"/>
              </w:rPr>
              <w:t>1 645</w:t>
            </w:r>
          </w:p>
        </w:tc>
        <w:tc>
          <w:tcPr>
            <w:tcW w:w="180" w:type="dxa"/>
            <w:vAlign w:val="bottom"/>
          </w:tcPr>
          <w:p>
            <w:pPr>
              <w:spacing w:after="0"/>
              <w:rPr>
                <w:sz w:val="9"/>
                <w:szCs w:val="9"/>
                <w:color w:val="auto"/>
              </w:rPr>
            </w:pPr>
          </w:p>
        </w:tc>
        <w:tc>
          <w:tcPr>
            <w:tcW w:w="2040" w:type="dxa"/>
            <w:vAlign w:val="bottom"/>
            <w:tcBorders>
              <w:bottom w:val="single" w:sz="8" w:color="005AFF"/>
            </w:tcBorders>
          </w:tcPr>
          <w:p>
            <w:pPr>
              <w:ind w:left="40"/>
              <w:spacing w:after="0" w:line="88" w:lineRule="exact"/>
              <w:rPr>
                <w:sz w:val="20"/>
                <w:szCs w:val="20"/>
                <w:color w:val="auto"/>
              </w:rPr>
            </w:pPr>
            <w:r>
              <w:rPr>
                <w:rFonts w:ascii="Times New Roman" w:cs="Times New Roman" w:eastAsia="Times New Roman" w:hAnsi="Times New Roman"/>
                <w:sz w:val="8"/>
                <w:szCs w:val="8"/>
                <w:b w:val="1"/>
                <w:bCs w:val="1"/>
                <w:color w:val="005AFF"/>
              </w:rPr>
              <w:t>EURm</w:t>
            </w:r>
          </w:p>
        </w:tc>
        <w:tc>
          <w:tcPr>
            <w:tcW w:w="400" w:type="dxa"/>
            <w:vAlign w:val="bottom"/>
            <w:tcBorders>
              <w:bottom w:val="single" w:sz="8" w:color="005AFF"/>
            </w:tcBorders>
          </w:tcPr>
          <w:p>
            <w:pPr>
              <w:jc w:val="right"/>
              <w:ind w:right="11"/>
              <w:spacing w:after="0" w:line="88" w:lineRule="exact"/>
              <w:rPr>
                <w:sz w:val="20"/>
                <w:szCs w:val="20"/>
                <w:color w:val="auto"/>
              </w:rPr>
            </w:pPr>
            <w:r>
              <w:rPr>
                <w:rFonts w:ascii="Times New Roman" w:cs="Times New Roman" w:eastAsia="Times New Roman" w:hAnsi="Times New Roman"/>
                <w:sz w:val="8"/>
                <w:szCs w:val="8"/>
                <w:b w:val="1"/>
                <w:bCs w:val="1"/>
                <w:color w:val="005AFF"/>
              </w:rPr>
              <w:t>2023</w:t>
            </w:r>
          </w:p>
        </w:tc>
        <w:tc>
          <w:tcPr>
            <w:tcW w:w="440" w:type="dxa"/>
            <w:vAlign w:val="bottom"/>
            <w:tcBorders>
              <w:bottom w:val="single" w:sz="8" w:color="005AFF"/>
            </w:tcBorders>
          </w:tcPr>
          <w:p>
            <w:pPr>
              <w:jc w:val="right"/>
              <w:ind w:right="51"/>
              <w:spacing w:after="0" w:line="88" w:lineRule="exact"/>
              <w:rPr>
                <w:sz w:val="20"/>
                <w:szCs w:val="20"/>
                <w:color w:val="auto"/>
              </w:rPr>
            </w:pPr>
            <w:r>
              <w:rPr>
                <w:rFonts w:ascii="Times New Roman" w:cs="Times New Roman" w:eastAsia="Times New Roman" w:hAnsi="Times New Roman"/>
                <w:sz w:val="8"/>
                <w:szCs w:val="8"/>
                <w:b w:val="1"/>
                <w:bCs w:val="1"/>
                <w:color w:val="005AFF"/>
              </w:rPr>
              <w:t>2022</w:t>
            </w:r>
          </w:p>
        </w:tc>
        <w:tc>
          <w:tcPr>
            <w:tcW w:w="380" w:type="dxa"/>
            <w:vAlign w:val="bottom"/>
            <w:tcBorders>
              <w:bottom w:val="single" w:sz="8" w:color="005AFF"/>
            </w:tcBorders>
          </w:tcPr>
          <w:p>
            <w:pPr>
              <w:jc w:val="right"/>
              <w:ind w:right="31"/>
              <w:spacing w:after="0" w:line="88" w:lineRule="exact"/>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63"/>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Adjustments, total  </w:t>
            </w:r>
            <w:r>
              <w:rPr>
                <w:rFonts w:ascii="Times New Roman" w:cs="Times New Roman" w:eastAsia="Times New Roman" w:hAnsi="Times New Roman"/>
                <w:sz w:val="13"/>
                <w:szCs w:val="13"/>
                <w:color w:val="0D0D0D"/>
                <w:vertAlign w:val="superscript"/>
              </w:rPr>
              <w:t>(1)</w:t>
            </w:r>
          </w:p>
        </w:tc>
        <w:tc>
          <w:tcPr>
            <w:tcW w:w="940" w:type="dxa"/>
            <w:vAlign w:val="bottom"/>
          </w:tcPr>
          <w:p>
            <w:pPr>
              <w:spacing w:after="0"/>
              <w:rPr>
                <w:sz w:val="14"/>
                <w:szCs w:val="14"/>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2 559</w:t>
            </w:r>
          </w:p>
        </w:tc>
        <w:tc>
          <w:tcPr>
            <w:tcW w:w="84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(446)</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1 713</w:t>
            </w:r>
          </w:p>
        </w:tc>
        <w:tc>
          <w:tcPr>
            <w:tcW w:w="180" w:type="dxa"/>
            <w:vAlign w:val="bottom"/>
          </w:tcPr>
          <w:p>
            <w:pPr>
              <w:spacing w:after="0"/>
              <w:rPr>
                <w:sz w:val="14"/>
                <w:szCs w:val="14"/>
                <w:color w:val="auto"/>
              </w:rPr>
            </w:pPr>
          </w:p>
        </w:tc>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 and amortization</w:t>
            </w:r>
          </w:p>
        </w:tc>
        <w:tc>
          <w:tcPr>
            <w:tcW w:w="4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1 087</w:t>
            </w:r>
          </w:p>
        </w:tc>
        <w:tc>
          <w:tcPr>
            <w:tcW w:w="4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1 140</w:t>
            </w:r>
          </w:p>
        </w:tc>
        <w:tc>
          <w:tcPr>
            <w:tcW w:w="3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1 095</w:t>
            </w:r>
          </w:p>
        </w:tc>
        <w:tc>
          <w:tcPr>
            <w:tcW w:w="0" w:type="dxa"/>
            <w:vAlign w:val="bottom"/>
          </w:tcPr>
          <w:p>
            <w:pPr>
              <w:spacing w:after="0"/>
              <w:rPr>
                <w:sz w:val="1"/>
                <w:szCs w:val="1"/>
                <w:color w:val="auto"/>
              </w:rPr>
            </w:pPr>
          </w:p>
        </w:tc>
      </w:tr>
      <w:tr>
        <w:trPr>
          <w:trHeight w:val="171"/>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Change in net working capital  </w:t>
            </w:r>
            <w:r>
              <w:rPr>
                <w:rFonts w:ascii="Times New Roman" w:cs="Times New Roman" w:eastAsia="Times New Roman" w:hAnsi="Times New Roman"/>
                <w:sz w:val="13"/>
                <w:szCs w:val="13"/>
                <w:color w:val="0D0D0D"/>
                <w:vertAlign w:val="superscript"/>
              </w:rPr>
              <w:t>(2)</w:t>
            </w:r>
          </w:p>
        </w:tc>
        <w:tc>
          <w:tcPr>
            <w:tcW w:w="94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(1 282)</w:t>
            </w:r>
          </w:p>
        </w:tc>
        <w:tc>
          <w:tcPr>
            <w:tcW w:w="84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(1 843)</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(268)</w:t>
            </w:r>
          </w:p>
        </w:tc>
        <w:tc>
          <w:tcPr>
            <w:tcW w:w="180" w:type="dxa"/>
            <w:vAlign w:val="bottom"/>
          </w:tcPr>
          <w:p>
            <w:pPr>
              <w:spacing w:after="0"/>
              <w:rPr>
                <w:sz w:val="14"/>
                <w:szCs w:val="14"/>
                <w:color w:val="auto"/>
              </w:rPr>
            </w:pPr>
          </w:p>
        </w:tc>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400" w:type="dxa"/>
            <w:vAlign w:val="bottom"/>
            <w:tcBorders>
              <w:bottom w:val="single" w:sz="8" w:color="F0F5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202</w:t>
            </w:r>
          </w:p>
        </w:tc>
        <w:tc>
          <w:tcPr>
            <w:tcW w:w="4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149</w:t>
            </w:r>
          </w:p>
        </w:tc>
        <w:tc>
          <w:tcPr>
            <w:tcW w:w="3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108</w:t>
            </w:r>
          </w:p>
        </w:tc>
        <w:tc>
          <w:tcPr>
            <w:tcW w:w="0" w:type="dxa"/>
            <w:vAlign w:val="bottom"/>
          </w:tcPr>
          <w:p>
            <w:pPr>
              <w:spacing w:after="0"/>
              <w:rPr>
                <w:sz w:val="1"/>
                <w:szCs w:val="1"/>
                <w:color w:val="auto"/>
              </w:rPr>
            </w:pPr>
          </w:p>
        </w:tc>
      </w:tr>
      <w:tr>
        <w:trPr>
          <w:trHeight w:val="101"/>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Cash flows from operations</w:t>
            </w:r>
          </w:p>
        </w:tc>
        <w:tc>
          <w:tcPr>
            <w:tcW w:w="940" w:type="dxa"/>
            <w:vAlign w:val="bottom"/>
          </w:tcPr>
          <w:p>
            <w:pPr>
              <w:spacing w:after="0"/>
              <w:rPr>
                <w:sz w:val="8"/>
                <w:szCs w:val="8"/>
                <w:color w:val="auto"/>
              </w:rPr>
            </w:pPr>
          </w:p>
        </w:tc>
        <w:tc>
          <w:tcPr>
            <w:tcW w:w="6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1 956</w:t>
            </w:r>
          </w:p>
        </w:tc>
        <w:tc>
          <w:tcPr>
            <w:tcW w:w="840" w:type="dxa"/>
            <w:vAlign w:val="bottom"/>
            <w:vMerge w:val="restart"/>
          </w:tcPr>
          <w:p>
            <w:pPr>
              <w:jc w:val="right"/>
              <w:ind w:right="210"/>
              <w:spacing w:after="0"/>
              <w:rPr>
                <w:sz w:val="20"/>
                <w:szCs w:val="20"/>
                <w:color w:val="auto"/>
              </w:rPr>
            </w:pPr>
            <w:r>
              <w:rPr>
                <w:rFonts w:ascii="Times New Roman" w:cs="Times New Roman" w:eastAsia="Times New Roman" w:hAnsi="Times New Roman"/>
                <w:sz w:val="10"/>
                <w:szCs w:val="10"/>
                <w:color w:val="0D0D0D"/>
              </w:rPr>
              <w:t>1 970</w:t>
            </w:r>
          </w:p>
        </w:tc>
        <w:tc>
          <w:tcPr>
            <w:tcW w:w="520" w:type="dxa"/>
            <w:vAlign w:val="bottom"/>
            <w:vMerge w:val="restart"/>
          </w:tcPr>
          <w:p>
            <w:pPr>
              <w:jc w:val="right"/>
              <w:ind w:right="50"/>
              <w:spacing w:after="0"/>
              <w:rPr>
                <w:sz w:val="20"/>
                <w:szCs w:val="20"/>
                <w:color w:val="auto"/>
              </w:rPr>
            </w:pPr>
            <w:r>
              <w:rPr>
                <w:rFonts w:ascii="Times New Roman" w:cs="Times New Roman" w:eastAsia="Times New Roman" w:hAnsi="Times New Roman"/>
                <w:sz w:val="10"/>
                <w:szCs w:val="10"/>
                <w:color w:val="0D0D0D"/>
              </w:rPr>
              <w:t>3 090</w:t>
            </w:r>
          </w:p>
        </w:tc>
        <w:tc>
          <w:tcPr>
            <w:tcW w:w="180" w:type="dxa"/>
            <w:vAlign w:val="bottom"/>
          </w:tcPr>
          <w:p>
            <w:pPr>
              <w:spacing w:after="0"/>
              <w:rPr>
                <w:sz w:val="8"/>
                <w:szCs w:val="8"/>
                <w:color w:val="auto"/>
              </w:rPr>
            </w:pPr>
          </w:p>
        </w:tc>
        <w:tc>
          <w:tcPr>
            <w:tcW w:w="2040" w:type="dxa"/>
            <w:vAlign w:val="bottom"/>
          </w:tcPr>
          <w:p>
            <w:pPr>
              <w:ind w:left="40"/>
              <w:spacing w:after="0" w:line="101" w:lineRule="exact"/>
              <w:rPr>
                <w:sz w:val="20"/>
                <w:szCs w:val="20"/>
                <w:color w:val="auto"/>
              </w:rPr>
            </w:pPr>
            <w:r>
              <w:rPr>
                <w:rFonts w:ascii="Times New Roman" w:cs="Times New Roman" w:eastAsia="Times New Roman" w:hAnsi="Times New Roman"/>
                <w:sz w:val="10"/>
                <w:szCs w:val="10"/>
                <w:color w:val="0D0D0D"/>
              </w:rPr>
              <w:t>Impairment charges</w:t>
            </w:r>
          </w:p>
        </w:tc>
        <w:tc>
          <w:tcPr>
            <w:tcW w:w="400" w:type="dxa"/>
            <w:vAlign w:val="bottom"/>
            <w:shd w:val="clear" w:color="auto" w:fill="F0F5FF"/>
          </w:tcPr>
          <w:p>
            <w:pPr>
              <w:jc w:val="right"/>
              <w:ind w:right="11"/>
              <w:spacing w:after="0" w:line="101" w:lineRule="exact"/>
              <w:rPr>
                <w:sz w:val="20"/>
                <w:szCs w:val="20"/>
                <w:color w:val="auto"/>
              </w:rPr>
            </w:pPr>
            <w:r>
              <w:rPr>
                <w:rFonts w:ascii="Times New Roman" w:cs="Times New Roman" w:eastAsia="Times New Roman" w:hAnsi="Times New Roman"/>
                <w:sz w:val="10"/>
                <w:szCs w:val="10"/>
                <w:color w:val="005AFF"/>
              </w:rPr>
              <w:t>25</w:t>
            </w:r>
          </w:p>
        </w:tc>
        <w:tc>
          <w:tcPr>
            <w:tcW w:w="440" w:type="dxa"/>
            <w:vAlign w:val="bottom"/>
          </w:tcPr>
          <w:p>
            <w:pPr>
              <w:jc w:val="right"/>
              <w:ind w:right="71"/>
              <w:spacing w:after="0" w:line="101" w:lineRule="exact"/>
              <w:rPr>
                <w:sz w:val="20"/>
                <w:szCs w:val="20"/>
                <w:color w:val="auto"/>
              </w:rPr>
            </w:pPr>
            <w:r>
              <w:rPr>
                <w:rFonts w:ascii="Times New Roman" w:cs="Times New Roman" w:eastAsia="Times New Roman" w:hAnsi="Times New Roman"/>
                <w:sz w:val="10"/>
                <w:szCs w:val="10"/>
                <w:color w:val="0D0D0D"/>
              </w:rPr>
              <w:t>152</w:t>
            </w:r>
          </w:p>
        </w:tc>
        <w:tc>
          <w:tcPr>
            <w:tcW w:w="380" w:type="dxa"/>
            <w:vAlign w:val="bottom"/>
          </w:tcPr>
          <w:p>
            <w:pPr>
              <w:jc w:val="right"/>
              <w:ind w:right="31"/>
              <w:spacing w:after="0" w:line="101" w:lineRule="exact"/>
              <w:rPr>
                <w:sz w:val="20"/>
                <w:szCs w:val="20"/>
                <w:color w:val="auto"/>
              </w:rPr>
            </w:pPr>
            <w:r>
              <w:rPr>
                <w:rFonts w:ascii="Times New Roman" w:cs="Times New Roman" w:eastAsia="Times New Roman" w:hAnsi="Times New Roman"/>
                <w:sz w:val="10"/>
                <w:szCs w:val="10"/>
                <w:color w:val="0D0D0D"/>
              </w:rPr>
              <w:t>40</w:t>
            </w:r>
          </w:p>
        </w:tc>
        <w:tc>
          <w:tcPr>
            <w:tcW w:w="0" w:type="dxa"/>
            <w:vAlign w:val="bottom"/>
          </w:tcPr>
          <w:p>
            <w:pPr>
              <w:spacing w:after="0"/>
              <w:rPr>
                <w:sz w:val="1"/>
                <w:szCs w:val="1"/>
                <w:color w:val="auto"/>
              </w:rPr>
            </w:pPr>
          </w:p>
        </w:tc>
      </w:tr>
      <w:tr>
        <w:trPr>
          <w:trHeight w:val="40"/>
        </w:trPr>
        <w:tc>
          <w:tcPr>
            <w:tcW w:w="3640" w:type="dxa"/>
            <w:vAlign w:val="bottom"/>
            <w:vMerge w:val="continue"/>
          </w:tcPr>
          <w:p>
            <w:pPr>
              <w:spacing w:after="0"/>
              <w:rPr>
                <w:sz w:val="3"/>
                <w:szCs w:val="3"/>
                <w:color w:val="auto"/>
              </w:rPr>
            </w:pPr>
          </w:p>
        </w:tc>
        <w:tc>
          <w:tcPr>
            <w:tcW w:w="940" w:type="dxa"/>
            <w:vAlign w:val="bottom"/>
          </w:tcPr>
          <w:p>
            <w:pPr>
              <w:spacing w:after="0"/>
              <w:rPr>
                <w:sz w:val="3"/>
                <w:szCs w:val="3"/>
                <w:color w:val="auto"/>
              </w:rPr>
            </w:pPr>
          </w:p>
        </w:tc>
        <w:tc>
          <w:tcPr>
            <w:tcW w:w="680" w:type="dxa"/>
            <w:vAlign w:val="bottom"/>
            <w:vMerge w:val="continue"/>
            <w:shd w:val="clear" w:color="auto" w:fill="F0F5FF"/>
          </w:tcPr>
          <w:p>
            <w:pPr>
              <w:spacing w:after="0"/>
              <w:rPr>
                <w:sz w:val="3"/>
                <w:szCs w:val="3"/>
                <w:color w:val="auto"/>
              </w:rPr>
            </w:pPr>
          </w:p>
        </w:tc>
        <w:tc>
          <w:tcPr>
            <w:tcW w:w="840" w:type="dxa"/>
            <w:vAlign w:val="bottom"/>
            <w:vMerge w:val="continue"/>
          </w:tcPr>
          <w:p>
            <w:pPr>
              <w:spacing w:after="0"/>
              <w:rPr>
                <w:sz w:val="3"/>
                <w:szCs w:val="3"/>
                <w:color w:val="auto"/>
              </w:rPr>
            </w:pPr>
          </w:p>
        </w:tc>
        <w:tc>
          <w:tcPr>
            <w:tcW w:w="520" w:type="dxa"/>
            <w:vAlign w:val="bottom"/>
            <w:vMerge w:val="continue"/>
          </w:tcPr>
          <w:p>
            <w:pPr>
              <w:spacing w:after="0"/>
              <w:rPr>
                <w:sz w:val="3"/>
                <w:szCs w:val="3"/>
                <w:color w:val="auto"/>
              </w:rPr>
            </w:pPr>
          </w:p>
        </w:tc>
        <w:tc>
          <w:tcPr>
            <w:tcW w:w="180" w:type="dxa"/>
            <w:vAlign w:val="bottom"/>
          </w:tcPr>
          <w:p>
            <w:pPr>
              <w:spacing w:after="0"/>
              <w:rPr>
                <w:sz w:val="3"/>
                <w:szCs w:val="3"/>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Restructuring charges</w:t>
            </w:r>
          </w:p>
        </w:tc>
        <w:tc>
          <w:tcPr>
            <w:tcW w:w="400" w:type="dxa"/>
            <w:vAlign w:val="bottom"/>
            <w:vMerge w:val="restart"/>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316</w:t>
            </w:r>
          </w:p>
        </w:tc>
        <w:tc>
          <w:tcPr>
            <w:tcW w:w="440" w:type="dxa"/>
            <w:vAlign w:val="bottom"/>
            <w:vMerge w:val="restart"/>
          </w:tcPr>
          <w:p>
            <w:pPr>
              <w:jc w:val="right"/>
              <w:ind w:right="71"/>
              <w:spacing w:after="0"/>
              <w:rPr>
                <w:sz w:val="20"/>
                <w:szCs w:val="20"/>
                <w:color w:val="auto"/>
              </w:rPr>
            </w:pPr>
            <w:r>
              <w:rPr>
                <w:rFonts w:ascii="Times New Roman" w:cs="Times New Roman" w:eastAsia="Times New Roman" w:hAnsi="Times New Roman"/>
                <w:sz w:val="10"/>
                <w:szCs w:val="10"/>
                <w:color w:val="0D0D0D"/>
              </w:rPr>
              <w:t>125</w:t>
            </w:r>
          </w:p>
        </w:tc>
        <w:tc>
          <w:tcPr>
            <w:tcW w:w="38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183</w:t>
            </w:r>
          </w:p>
        </w:tc>
        <w:tc>
          <w:tcPr>
            <w:tcW w:w="0" w:type="dxa"/>
            <w:vAlign w:val="bottom"/>
          </w:tcPr>
          <w:p>
            <w:pPr>
              <w:spacing w:after="0"/>
              <w:rPr>
                <w:sz w:val="1"/>
                <w:szCs w:val="1"/>
                <w:color w:val="auto"/>
              </w:rPr>
            </w:pPr>
          </w:p>
        </w:tc>
      </w:tr>
      <w:tr>
        <w:trPr>
          <w:trHeight w:val="121"/>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Interest received</w:t>
            </w:r>
          </w:p>
        </w:tc>
        <w:tc>
          <w:tcPr>
            <w:tcW w:w="940" w:type="dxa"/>
            <w:vAlign w:val="bottom"/>
          </w:tcPr>
          <w:p>
            <w:pPr>
              <w:spacing w:after="0"/>
              <w:rPr>
                <w:sz w:val="10"/>
                <w:szCs w:val="10"/>
                <w:color w:val="auto"/>
              </w:rPr>
            </w:pPr>
          </w:p>
        </w:tc>
        <w:tc>
          <w:tcPr>
            <w:tcW w:w="6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178</w:t>
            </w:r>
          </w:p>
        </w:tc>
        <w:tc>
          <w:tcPr>
            <w:tcW w:w="840" w:type="dxa"/>
            <w:vAlign w:val="bottom"/>
            <w:vMerge w:val="restart"/>
          </w:tcPr>
          <w:p>
            <w:pPr>
              <w:jc w:val="right"/>
              <w:ind w:right="190"/>
              <w:spacing w:after="0"/>
              <w:rPr>
                <w:sz w:val="20"/>
                <w:szCs w:val="20"/>
                <w:color w:val="auto"/>
              </w:rPr>
            </w:pPr>
            <w:r>
              <w:rPr>
                <w:rFonts w:ascii="Times New Roman" w:cs="Times New Roman" w:eastAsia="Times New Roman" w:hAnsi="Times New Roman"/>
                <w:sz w:val="10"/>
                <w:szCs w:val="10"/>
                <w:color w:val="0D0D0D"/>
              </w:rPr>
              <w:t>65</w:t>
            </w:r>
          </w:p>
        </w:tc>
        <w:tc>
          <w:tcPr>
            <w:tcW w:w="52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color w:val="0D0D0D"/>
              </w:rPr>
              <w:t>41</w:t>
            </w:r>
          </w:p>
        </w:tc>
        <w:tc>
          <w:tcPr>
            <w:tcW w:w="180" w:type="dxa"/>
            <w:vAlign w:val="bottom"/>
          </w:tcPr>
          <w:p>
            <w:pPr>
              <w:spacing w:after="0"/>
              <w:rPr>
                <w:sz w:val="10"/>
                <w:szCs w:val="10"/>
                <w:color w:val="auto"/>
              </w:rPr>
            </w:pPr>
          </w:p>
        </w:tc>
        <w:tc>
          <w:tcPr>
            <w:tcW w:w="2040" w:type="dxa"/>
            <w:vAlign w:val="bottom"/>
            <w:vMerge w:val="continue"/>
          </w:tcPr>
          <w:p>
            <w:pPr>
              <w:spacing w:after="0"/>
              <w:rPr>
                <w:sz w:val="10"/>
                <w:szCs w:val="10"/>
                <w:color w:val="auto"/>
              </w:rPr>
            </w:pPr>
          </w:p>
        </w:tc>
        <w:tc>
          <w:tcPr>
            <w:tcW w:w="400" w:type="dxa"/>
            <w:vAlign w:val="bottom"/>
            <w:vMerge w:val="continue"/>
            <w:shd w:val="clear" w:color="auto" w:fill="F0F5FF"/>
          </w:tcPr>
          <w:p>
            <w:pPr>
              <w:spacing w:after="0"/>
              <w:rPr>
                <w:sz w:val="10"/>
                <w:szCs w:val="10"/>
                <w:color w:val="auto"/>
              </w:rPr>
            </w:pPr>
          </w:p>
        </w:tc>
        <w:tc>
          <w:tcPr>
            <w:tcW w:w="440" w:type="dxa"/>
            <w:vAlign w:val="bottom"/>
            <w:vMerge w:val="continue"/>
          </w:tcPr>
          <w:p>
            <w:pPr>
              <w:spacing w:after="0"/>
              <w:rPr>
                <w:sz w:val="10"/>
                <w:szCs w:val="10"/>
                <w:color w:val="auto"/>
              </w:rPr>
            </w:pPr>
          </w:p>
        </w:tc>
        <w:tc>
          <w:tcPr>
            <w:tcW w:w="380" w:type="dxa"/>
            <w:vAlign w:val="bottom"/>
            <w:vMerge w:val="continue"/>
          </w:tcPr>
          <w:p>
            <w:pPr>
              <w:spacing w:after="0"/>
              <w:rPr>
                <w:sz w:val="10"/>
                <w:szCs w:val="10"/>
                <w:color w:val="auto"/>
              </w:rPr>
            </w:pPr>
          </w:p>
        </w:tc>
        <w:tc>
          <w:tcPr>
            <w:tcW w:w="0" w:type="dxa"/>
            <w:vAlign w:val="bottom"/>
          </w:tcPr>
          <w:p>
            <w:pPr>
              <w:spacing w:after="0"/>
              <w:rPr>
                <w:sz w:val="1"/>
                <w:szCs w:val="1"/>
                <w:color w:val="auto"/>
              </w:rPr>
            </w:pPr>
          </w:p>
        </w:tc>
      </w:tr>
      <w:tr>
        <w:trPr>
          <w:trHeight w:val="40"/>
        </w:trPr>
        <w:tc>
          <w:tcPr>
            <w:tcW w:w="3640" w:type="dxa"/>
            <w:vAlign w:val="bottom"/>
            <w:vMerge w:val="continue"/>
          </w:tcPr>
          <w:p>
            <w:pPr>
              <w:spacing w:after="0"/>
              <w:rPr>
                <w:sz w:val="3"/>
                <w:szCs w:val="3"/>
                <w:color w:val="auto"/>
              </w:rPr>
            </w:pPr>
          </w:p>
        </w:tc>
        <w:tc>
          <w:tcPr>
            <w:tcW w:w="940" w:type="dxa"/>
            <w:vAlign w:val="bottom"/>
          </w:tcPr>
          <w:p>
            <w:pPr>
              <w:spacing w:after="0"/>
              <w:rPr>
                <w:sz w:val="3"/>
                <w:szCs w:val="3"/>
                <w:color w:val="auto"/>
              </w:rPr>
            </w:pPr>
          </w:p>
        </w:tc>
        <w:tc>
          <w:tcPr>
            <w:tcW w:w="680" w:type="dxa"/>
            <w:vAlign w:val="bottom"/>
            <w:vMerge w:val="continue"/>
            <w:shd w:val="clear" w:color="auto" w:fill="F0F5FF"/>
          </w:tcPr>
          <w:p>
            <w:pPr>
              <w:spacing w:after="0"/>
              <w:rPr>
                <w:sz w:val="3"/>
                <w:szCs w:val="3"/>
                <w:color w:val="auto"/>
              </w:rPr>
            </w:pPr>
          </w:p>
        </w:tc>
        <w:tc>
          <w:tcPr>
            <w:tcW w:w="840" w:type="dxa"/>
            <w:vAlign w:val="bottom"/>
            <w:vMerge w:val="continue"/>
          </w:tcPr>
          <w:p>
            <w:pPr>
              <w:spacing w:after="0"/>
              <w:rPr>
                <w:sz w:val="3"/>
                <w:szCs w:val="3"/>
                <w:color w:val="auto"/>
              </w:rPr>
            </w:pPr>
          </w:p>
        </w:tc>
        <w:tc>
          <w:tcPr>
            <w:tcW w:w="520" w:type="dxa"/>
            <w:vAlign w:val="bottom"/>
            <w:vMerge w:val="continue"/>
          </w:tcPr>
          <w:p>
            <w:pPr>
              <w:spacing w:after="0"/>
              <w:rPr>
                <w:sz w:val="3"/>
                <w:szCs w:val="3"/>
                <w:color w:val="auto"/>
              </w:rPr>
            </w:pPr>
          </w:p>
        </w:tc>
        <w:tc>
          <w:tcPr>
            <w:tcW w:w="180" w:type="dxa"/>
            <w:vAlign w:val="bottom"/>
          </w:tcPr>
          <w:p>
            <w:pPr>
              <w:spacing w:after="0"/>
              <w:rPr>
                <w:sz w:val="3"/>
                <w:szCs w:val="3"/>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Loss/(gain) from other non-current</w:t>
            </w:r>
          </w:p>
        </w:tc>
        <w:tc>
          <w:tcPr>
            <w:tcW w:w="400" w:type="dxa"/>
            <w:vAlign w:val="bottom"/>
            <w:shd w:val="clear" w:color="auto" w:fill="F0F5FF"/>
          </w:tcPr>
          <w:p>
            <w:pPr>
              <w:spacing w:after="0"/>
              <w:rPr>
                <w:sz w:val="3"/>
                <w:szCs w:val="3"/>
                <w:color w:val="auto"/>
              </w:rPr>
            </w:pPr>
          </w:p>
        </w:tc>
        <w:tc>
          <w:tcPr>
            <w:tcW w:w="440" w:type="dxa"/>
            <w:vAlign w:val="bottom"/>
          </w:tcPr>
          <w:p>
            <w:pPr>
              <w:spacing w:after="0"/>
              <w:rPr>
                <w:sz w:val="3"/>
                <w:szCs w:val="3"/>
                <w:color w:val="auto"/>
              </w:rPr>
            </w:pPr>
          </w:p>
        </w:tc>
        <w:tc>
          <w:tcPr>
            <w:tcW w:w="3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113"/>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Interest paid</w:t>
            </w:r>
          </w:p>
        </w:tc>
        <w:tc>
          <w:tcPr>
            <w:tcW w:w="940" w:type="dxa"/>
            <w:vAlign w:val="bottom"/>
            <w:vMerge w:val="restart"/>
          </w:tcPr>
          <w:p>
            <w:pPr>
              <w:jc w:val="right"/>
              <w:ind w:right="20"/>
              <w:spacing w:after="0"/>
              <w:rPr>
                <w:sz w:val="20"/>
                <w:szCs w:val="20"/>
                <w:color w:val="auto"/>
              </w:rPr>
            </w:pPr>
            <w:r>
              <w:rPr>
                <w:rFonts w:ascii="Times New Roman" w:cs="Times New Roman" w:eastAsia="Times New Roman" w:hAnsi="Times New Roman"/>
                <w:sz w:val="8"/>
                <w:szCs w:val="8"/>
                <w:color w:val="0D0D0D"/>
              </w:rPr>
              <w:t>4.3, 5.2</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(241)</w:t>
            </w:r>
          </w:p>
        </w:tc>
        <w:tc>
          <w:tcPr>
            <w:tcW w:w="840" w:type="dxa"/>
            <w:vAlign w:val="bottom"/>
            <w:vMerge w:val="restart"/>
          </w:tcPr>
          <w:p>
            <w:pPr>
              <w:jc w:val="right"/>
              <w:ind w:right="150"/>
              <w:spacing w:after="0"/>
              <w:rPr>
                <w:sz w:val="20"/>
                <w:szCs w:val="20"/>
                <w:color w:val="auto"/>
              </w:rPr>
            </w:pPr>
            <w:r>
              <w:rPr>
                <w:rFonts w:ascii="Times New Roman" w:cs="Times New Roman" w:eastAsia="Times New Roman" w:hAnsi="Times New Roman"/>
                <w:sz w:val="10"/>
                <w:szCs w:val="10"/>
                <w:color w:val="0D0D0D"/>
              </w:rPr>
              <w:t>(180)</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(192)</w:t>
            </w:r>
          </w:p>
        </w:tc>
        <w:tc>
          <w:tcPr>
            <w:tcW w:w="180" w:type="dxa"/>
            <w:vAlign w:val="bottom"/>
          </w:tcPr>
          <w:p>
            <w:pPr>
              <w:spacing w:after="0"/>
              <w:rPr>
                <w:sz w:val="9"/>
                <w:szCs w:val="9"/>
                <w:color w:val="auto"/>
              </w:rPr>
            </w:pPr>
          </w:p>
        </w:tc>
        <w:tc>
          <w:tcPr>
            <w:tcW w:w="2040" w:type="dxa"/>
            <w:vAlign w:val="bottom"/>
            <w:vMerge w:val="continue"/>
          </w:tcPr>
          <w:p>
            <w:pPr>
              <w:spacing w:after="0"/>
              <w:rPr>
                <w:sz w:val="9"/>
                <w:szCs w:val="9"/>
                <w:color w:val="auto"/>
              </w:rPr>
            </w:pPr>
          </w:p>
        </w:tc>
        <w:tc>
          <w:tcPr>
            <w:tcW w:w="400" w:type="dxa"/>
            <w:vAlign w:val="bottom"/>
            <w:shd w:val="clear" w:color="auto" w:fill="F0F5FF"/>
          </w:tcPr>
          <w:p>
            <w:pPr>
              <w:spacing w:after="0"/>
              <w:rPr>
                <w:sz w:val="9"/>
                <w:szCs w:val="9"/>
                <w:color w:val="auto"/>
              </w:rPr>
            </w:pPr>
          </w:p>
        </w:tc>
        <w:tc>
          <w:tcPr>
            <w:tcW w:w="44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3"/>
        </w:trPr>
        <w:tc>
          <w:tcPr>
            <w:tcW w:w="3640" w:type="dxa"/>
            <w:vAlign w:val="bottom"/>
            <w:vMerge w:val="continue"/>
          </w:tcPr>
          <w:p>
            <w:pPr>
              <w:spacing w:after="0"/>
              <w:rPr>
                <w:sz w:val="4"/>
                <w:szCs w:val="4"/>
                <w:color w:val="auto"/>
              </w:rPr>
            </w:pPr>
          </w:p>
        </w:tc>
        <w:tc>
          <w:tcPr>
            <w:tcW w:w="940" w:type="dxa"/>
            <w:vAlign w:val="bottom"/>
            <w:vMerge w:val="continue"/>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840" w:type="dxa"/>
            <w:vAlign w:val="bottom"/>
            <w:vMerge w:val="continue"/>
          </w:tcPr>
          <w:p>
            <w:pPr>
              <w:spacing w:after="0"/>
              <w:rPr>
                <w:sz w:val="4"/>
                <w:szCs w:val="4"/>
                <w:color w:val="auto"/>
              </w:rPr>
            </w:pPr>
          </w:p>
        </w:tc>
        <w:tc>
          <w:tcPr>
            <w:tcW w:w="520" w:type="dxa"/>
            <w:vAlign w:val="bottom"/>
            <w:vMerge w:val="continue"/>
          </w:tcPr>
          <w:p>
            <w:pPr>
              <w:spacing w:after="0"/>
              <w:rPr>
                <w:sz w:val="4"/>
                <w:szCs w:val="4"/>
                <w:color w:val="auto"/>
              </w:rPr>
            </w:pPr>
          </w:p>
        </w:tc>
        <w:tc>
          <w:tcPr>
            <w:tcW w:w="180" w:type="dxa"/>
            <w:vAlign w:val="bottom"/>
          </w:tcPr>
          <w:p>
            <w:pPr>
              <w:spacing w:after="0"/>
              <w:rPr>
                <w:sz w:val="4"/>
                <w:szCs w:val="4"/>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financial assets</w:t>
            </w:r>
          </w:p>
        </w:tc>
        <w:tc>
          <w:tcPr>
            <w:tcW w:w="40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56</w:t>
            </w:r>
          </w:p>
        </w:tc>
        <w:tc>
          <w:tcPr>
            <w:tcW w:w="44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(27)</w:t>
            </w:r>
          </w:p>
        </w:tc>
        <w:tc>
          <w:tcPr>
            <w:tcW w:w="38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(188)</w:t>
            </w:r>
          </w:p>
        </w:tc>
        <w:tc>
          <w:tcPr>
            <w:tcW w:w="0" w:type="dxa"/>
            <w:vAlign w:val="bottom"/>
          </w:tcPr>
          <w:p>
            <w:pPr>
              <w:spacing w:after="0"/>
              <w:rPr>
                <w:sz w:val="1"/>
                <w:szCs w:val="1"/>
                <w:color w:val="auto"/>
              </w:rPr>
            </w:pPr>
          </w:p>
        </w:tc>
      </w:tr>
      <w:tr>
        <w:trPr>
          <w:trHeight w:val="77"/>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Income taxes paid, net</w:t>
            </w:r>
          </w:p>
        </w:tc>
        <w:tc>
          <w:tcPr>
            <w:tcW w:w="940" w:type="dxa"/>
            <w:vAlign w:val="bottom"/>
          </w:tcPr>
          <w:p>
            <w:pPr>
              <w:spacing w:after="0"/>
              <w:rPr>
                <w:sz w:val="6"/>
                <w:szCs w:val="6"/>
                <w:color w:val="auto"/>
              </w:rPr>
            </w:pP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(576)</w:t>
            </w:r>
          </w:p>
        </w:tc>
        <w:tc>
          <w:tcPr>
            <w:tcW w:w="840" w:type="dxa"/>
            <w:vAlign w:val="bottom"/>
            <w:vMerge w:val="restart"/>
          </w:tcPr>
          <w:p>
            <w:pPr>
              <w:jc w:val="right"/>
              <w:ind w:right="150"/>
              <w:spacing w:after="0"/>
              <w:rPr>
                <w:sz w:val="20"/>
                <w:szCs w:val="20"/>
                <w:color w:val="auto"/>
              </w:rPr>
            </w:pPr>
            <w:r>
              <w:rPr>
                <w:rFonts w:ascii="Times New Roman" w:cs="Times New Roman" w:eastAsia="Times New Roman" w:hAnsi="Times New Roman"/>
                <w:sz w:val="10"/>
                <w:szCs w:val="10"/>
                <w:color w:val="0D0D0D"/>
              </w:rPr>
              <w:t>(381)</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(314)</w:t>
            </w:r>
          </w:p>
        </w:tc>
        <w:tc>
          <w:tcPr>
            <w:tcW w:w="180" w:type="dxa"/>
            <w:vAlign w:val="bottom"/>
          </w:tcPr>
          <w:p>
            <w:pPr>
              <w:spacing w:after="0"/>
              <w:rPr>
                <w:sz w:val="6"/>
                <w:szCs w:val="6"/>
                <w:color w:val="auto"/>
              </w:rPr>
            </w:pPr>
          </w:p>
        </w:tc>
        <w:tc>
          <w:tcPr>
            <w:tcW w:w="2040" w:type="dxa"/>
            <w:vAlign w:val="bottom"/>
            <w:vMerge w:val="continue"/>
          </w:tcPr>
          <w:p>
            <w:pPr>
              <w:spacing w:after="0"/>
              <w:rPr>
                <w:sz w:val="6"/>
                <w:szCs w:val="6"/>
                <w:color w:val="auto"/>
              </w:rPr>
            </w:pPr>
          </w:p>
        </w:tc>
        <w:tc>
          <w:tcPr>
            <w:tcW w:w="400" w:type="dxa"/>
            <w:vAlign w:val="bottom"/>
            <w:vMerge w:val="continue"/>
            <w:shd w:val="clear" w:color="auto" w:fill="F0F5FF"/>
          </w:tcPr>
          <w:p>
            <w:pPr>
              <w:spacing w:after="0"/>
              <w:rPr>
                <w:sz w:val="6"/>
                <w:szCs w:val="6"/>
                <w:color w:val="auto"/>
              </w:rPr>
            </w:pPr>
          </w:p>
        </w:tc>
        <w:tc>
          <w:tcPr>
            <w:tcW w:w="440" w:type="dxa"/>
            <w:vAlign w:val="bottom"/>
            <w:vMerge w:val="continue"/>
          </w:tcPr>
          <w:p>
            <w:pPr>
              <w:spacing w:after="0"/>
              <w:rPr>
                <w:sz w:val="6"/>
                <w:szCs w:val="6"/>
                <w:color w:val="auto"/>
              </w:rPr>
            </w:pPr>
          </w:p>
        </w:tc>
        <w:tc>
          <w:tcPr>
            <w:tcW w:w="380" w:type="dxa"/>
            <w:vAlign w:val="bottom"/>
            <w:vMerge w:val="continue"/>
          </w:tcPr>
          <w:p>
            <w:pPr>
              <w:spacing w:after="0"/>
              <w:rPr>
                <w:sz w:val="6"/>
                <w:szCs w:val="6"/>
                <w:color w:val="auto"/>
              </w:rPr>
            </w:pPr>
          </w:p>
        </w:tc>
        <w:tc>
          <w:tcPr>
            <w:tcW w:w="0" w:type="dxa"/>
            <w:vAlign w:val="bottom"/>
          </w:tcPr>
          <w:p>
            <w:pPr>
              <w:spacing w:after="0"/>
              <w:rPr>
                <w:sz w:val="1"/>
                <w:szCs w:val="1"/>
                <w:color w:val="auto"/>
              </w:rPr>
            </w:pPr>
          </w:p>
        </w:tc>
      </w:tr>
      <w:tr>
        <w:trPr>
          <w:trHeight w:val="86"/>
        </w:trPr>
        <w:tc>
          <w:tcPr>
            <w:tcW w:w="3640" w:type="dxa"/>
            <w:vAlign w:val="bottom"/>
            <w:tcBorders>
              <w:bottom w:val="single" w:sz="8" w:color="005AFF"/>
            </w:tcBorders>
            <w:vMerge w:val="continue"/>
          </w:tcPr>
          <w:p>
            <w:pPr>
              <w:spacing w:after="0"/>
              <w:rPr>
                <w:sz w:val="7"/>
                <w:szCs w:val="7"/>
                <w:color w:val="auto"/>
              </w:rPr>
            </w:pPr>
          </w:p>
        </w:tc>
        <w:tc>
          <w:tcPr>
            <w:tcW w:w="940" w:type="dxa"/>
            <w:vAlign w:val="bottom"/>
            <w:tcBorders>
              <w:bottom w:val="single" w:sz="8" w:color="005AFF"/>
            </w:tcBorders>
          </w:tcPr>
          <w:p>
            <w:pPr>
              <w:spacing w:after="0"/>
              <w:rPr>
                <w:sz w:val="7"/>
                <w:szCs w:val="7"/>
                <w:color w:val="auto"/>
              </w:rPr>
            </w:pPr>
          </w:p>
        </w:tc>
        <w:tc>
          <w:tcPr>
            <w:tcW w:w="680" w:type="dxa"/>
            <w:vAlign w:val="bottom"/>
            <w:tcBorders>
              <w:bottom w:val="single" w:sz="8" w:color="005AFF"/>
            </w:tcBorders>
            <w:vMerge w:val="continue"/>
            <w:shd w:val="clear" w:color="auto" w:fill="F0F5FF"/>
          </w:tcPr>
          <w:p>
            <w:pPr>
              <w:spacing w:after="0"/>
              <w:rPr>
                <w:sz w:val="7"/>
                <w:szCs w:val="7"/>
                <w:color w:val="auto"/>
              </w:rPr>
            </w:pPr>
          </w:p>
        </w:tc>
        <w:tc>
          <w:tcPr>
            <w:tcW w:w="840" w:type="dxa"/>
            <w:vAlign w:val="bottom"/>
            <w:tcBorders>
              <w:bottom w:val="single" w:sz="8" w:color="005AFF"/>
            </w:tcBorders>
            <w:vMerge w:val="continue"/>
          </w:tcPr>
          <w:p>
            <w:pPr>
              <w:spacing w:after="0"/>
              <w:rPr>
                <w:sz w:val="7"/>
                <w:szCs w:val="7"/>
                <w:color w:val="auto"/>
              </w:rPr>
            </w:pPr>
          </w:p>
        </w:tc>
        <w:tc>
          <w:tcPr>
            <w:tcW w:w="520" w:type="dxa"/>
            <w:vAlign w:val="bottom"/>
            <w:tcBorders>
              <w:bottom w:val="single" w:sz="8" w:color="005AFF"/>
            </w:tcBorders>
            <w:vMerge w:val="continue"/>
          </w:tcPr>
          <w:p>
            <w:pPr>
              <w:spacing w:after="0"/>
              <w:rPr>
                <w:sz w:val="7"/>
                <w:szCs w:val="7"/>
                <w:color w:val="auto"/>
              </w:rPr>
            </w:pPr>
          </w:p>
        </w:tc>
        <w:tc>
          <w:tcPr>
            <w:tcW w:w="180" w:type="dxa"/>
            <w:vAlign w:val="bottom"/>
          </w:tcPr>
          <w:p>
            <w:pPr>
              <w:spacing w:after="0"/>
              <w:rPr>
                <w:sz w:val="7"/>
                <w:szCs w:val="7"/>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Gain on sale of property, plant and</w:t>
            </w:r>
          </w:p>
        </w:tc>
        <w:tc>
          <w:tcPr>
            <w:tcW w:w="400" w:type="dxa"/>
            <w:vAlign w:val="bottom"/>
            <w:tcBorders>
              <w:bottom w:val="single" w:sz="8" w:color="F0F5FF"/>
            </w:tcBorders>
            <w:shd w:val="clear" w:color="auto" w:fill="F0F5FF"/>
          </w:tcPr>
          <w:p>
            <w:pPr>
              <w:spacing w:after="0"/>
              <w:rPr>
                <w:sz w:val="7"/>
                <w:szCs w:val="7"/>
                <w:color w:val="auto"/>
              </w:rPr>
            </w:pPr>
          </w:p>
        </w:tc>
        <w:tc>
          <w:tcPr>
            <w:tcW w:w="440" w:type="dxa"/>
            <w:vAlign w:val="bottom"/>
          </w:tcPr>
          <w:p>
            <w:pPr>
              <w:spacing w:after="0"/>
              <w:rPr>
                <w:sz w:val="7"/>
                <w:szCs w:val="7"/>
                <w:color w:val="auto"/>
              </w:rPr>
            </w:pPr>
          </w:p>
        </w:tc>
        <w:tc>
          <w:tcPr>
            <w:tcW w:w="38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47"/>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b w:val="1"/>
                <w:bCs w:val="1"/>
                <w:color w:val="005AFF"/>
              </w:rPr>
              <w:t>Net cash flows from operating activities</w:t>
            </w:r>
          </w:p>
        </w:tc>
        <w:tc>
          <w:tcPr>
            <w:tcW w:w="940" w:type="dxa"/>
            <w:vAlign w:val="bottom"/>
          </w:tcPr>
          <w:p>
            <w:pPr>
              <w:spacing w:after="0"/>
              <w:rPr>
                <w:sz w:val="4"/>
                <w:szCs w:val="4"/>
                <w:color w:val="auto"/>
              </w:rPr>
            </w:pPr>
          </w:p>
        </w:tc>
        <w:tc>
          <w:tcPr>
            <w:tcW w:w="6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1 317</w:t>
            </w:r>
          </w:p>
        </w:tc>
        <w:tc>
          <w:tcPr>
            <w:tcW w:w="840" w:type="dxa"/>
            <w:vAlign w:val="bottom"/>
            <w:vMerge w:val="restart"/>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1 474</w:t>
            </w:r>
          </w:p>
        </w:tc>
        <w:tc>
          <w:tcPr>
            <w:tcW w:w="52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2 625</w:t>
            </w:r>
          </w:p>
        </w:tc>
        <w:tc>
          <w:tcPr>
            <w:tcW w:w="180" w:type="dxa"/>
            <w:vAlign w:val="bottom"/>
          </w:tcPr>
          <w:p>
            <w:pPr>
              <w:spacing w:after="0"/>
              <w:rPr>
                <w:sz w:val="4"/>
                <w:szCs w:val="4"/>
                <w:color w:val="auto"/>
              </w:rPr>
            </w:pPr>
          </w:p>
        </w:tc>
        <w:tc>
          <w:tcPr>
            <w:tcW w:w="2040" w:type="dxa"/>
            <w:vAlign w:val="bottom"/>
            <w:vMerge w:val="continue"/>
          </w:tcPr>
          <w:p>
            <w:pPr>
              <w:spacing w:after="0"/>
              <w:rPr>
                <w:sz w:val="4"/>
                <w:szCs w:val="4"/>
                <w:color w:val="auto"/>
              </w:rPr>
            </w:pPr>
          </w:p>
        </w:tc>
        <w:tc>
          <w:tcPr>
            <w:tcW w:w="400" w:type="dxa"/>
            <w:vAlign w:val="bottom"/>
            <w:shd w:val="clear" w:color="auto" w:fill="F0F5FF"/>
          </w:tcPr>
          <w:p>
            <w:pPr>
              <w:spacing w:after="0"/>
              <w:rPr>
                <w:sz w:val="4"/>
                <w:szCs w:val="4"/>
                <w:color w:val="auto"/>
              </w:rPr>
            </w:pPr>
          </w:p>
        </w:tc>
        <w:tc>
          <w:tcPr>
            <w:tcW w:w="440" w:type="dxa"/>
            <w:vAlign w:val="bottom"/>
          </w:tcPr>
          <w:p>
            <w:pPr>
              <w:spacing w:after="0"/>
              <w:rPr>
                <w:sz w:val="4"/>
                <w:szCs w:val="4"/>
                <w:color w:val="auto"/>
              </w:rPr>
            </w:pPr>
          </w:p>
        </w:tc>
        <w:tc>
          <w:tcPr>
            <w:tcW w:w="38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00"/>
        </w:trPr>
        <w:tc>
          <w:tcPr>
            <w:tcW w:w="3640" w:type="dxa"/>
            <w:vAlign w:val="bottom"/>
            <w:tcBorders>
              <w:bottom w:val="single" w:sz="8" w:color="005AFF"/>
            </w:tcBorders>
            <w:vMerge w:val="continue"/>
          </w:tcPr>
          <w:p>
            <w:pPr>
              <w:spacing w:after="0"/>
              <w:rPr>
                <w:sz w:val="8"/>
                <w:szCs w:val="8"/>
                <w:color w:val="auto"/>
              </w:rPr>
            </w:pPr>
          </w:p>
        </w:tc>
        <w:tc>
          <w:tcPr>
            <w:tcW w:w="940" w:type="dxa"/>
            <w:vAlign w:val="bottom"/>
            <w:tcBorders>
              <w:bottom w:val="single" w:sz="8" w:color="005AFF"/>
            </w:tcBorders>
          </w:tcPr>
          <w:p>
            <w:pPr>
              <w:spacing w:after="0"/>
              <w:rPr>
                <w:sz w:val="8"/>
                <w:szCs w:val="8"/>
                <w:color w:val="auto"/>
              </w:rPr>
            </w:pPr>
          </w:p>
        </w:tc>
        <w:tc>
          <w:tcPr>
            <w:tcW w:w="680" w:type="dxa"/>
            <w:vAlign w:val="bottom"/>
            <w:tcBorders>
              <w:bottom w:val="single" w:sz="8" w:color="005AFF"/>
            </w:tcBorders>
            <w:vMerge w:val="continue"/>
            <w:shd w:val="clear" w:color="auto" w:fill="F0F5FF"/>
          </w:tcPr>
          <w:p>
            <w:pPr>
              <w:spacing w:after="0"/>
              <w:rPr>
                <w:sz w:val="8"/>
                <w:szCs w:val="8"/>
                <w:color w:val="auto"/>
              </w:rPr>
            </w:pPr>
          </w:p>
        </w:tc>
        <w:tc>
          <w:tcPr>
            <w:tcW w:w="840" w:type="dxa"/>
            <w:vAlign w:val="bottom"/>
            <w:tcBorders>
              <w:bottom w:val="single" w:sz="8" w:color="005AFF"/>
            </w:tcBorders>
            <w:vMerge w:val="continue"/>
          </w:tcPr>
          <w:p>
            <w:pPr>
              <w:spacing w:after="0"/>
              <w:rPr>
                <w:sz w:val="8"/>
                <w:szCs w:val="8"/>
                <w:color w:val="auto"/>
              </w:rPr>
            </w:pPr>
          </w:p>
        </w:tc>
        <w:tc>
          <w:tcPr>
            <w:tcW w:w="520" w:type="dxa"/>
            <w:vAlign w:val="bottom"/>
            <w:tcBorders>
              <w:bottom w:val="single" w:sz="8" w:color="005AFF"/>
            </w:tcBorders>
            <w:vMerge w:val="continue"/>
          </w:tcPr>
          <w:p>
            <w:pPr>
              <w:spacing w:after="0"/>
              <w:rPr>
                <w:sz w:val="8"/>
                <w:szCs w:val="8"/>
                <w:color w:val="auto"/>
              </w:rPr>
            </w:pPr>
          </w:p>
        </w:tc>
        <w:tc>
          <w:tcPr>
            <w:tcW w:w="180" w:type="dxa"/>
            <w:vAlign w:val="bottom"/>
          </w:tcPr>
          <w:p>
            <w:pPr>
              <w:spacing w:after="0"/>
              <w:rPr>
                <w:sz w:val="8"/>
                <w:szCs w:val="8"/>
                <w:color w:val="auto"/>
              </w:rPr>
            </w:pPr>
          </w:p>
        </w:tc>
        <w:tc>
          <w:tcPr>
            <w:tcW w:w="2040" w:type="dxa"/>
            <w:vAlign w:val="bottom"/>
          </w:tcPr>
          <w:p>
            <w:pPr>
              <w:ind w:left="40"/>
              <w:spacing w:after="0" w:line="80" w:lineRule="exact"/>
              <w:rPr>
                <w:sz w:val="20"/>
                <w:szCs w:val="20"/>
                <w:color w:val="auto"/>
              </w:rPr>
            </w:pPr>
            <w:r>
              <w:rPr>
                <w:rFonts w:ascii="Times New Roman" w:cs="Times New Roman" w:eastAsia="Times New Roman" w:hAnsi="Times New Roman"/>
                <w:sz w:val="9"/>
                <w:szCs w:val="9"/>
                <w:color w:val="0D0D0D"/>
              </w:rPr>
              <w:t>equipment</w:t>
            </w:r>
          </w:p>
        </w:tc>
        <w:tc>
          <w:tcPr>
            <w:tcW w:w="400" w:type="dxa"/>
            <w:vAlign w:val="bottom"/>
            <w:tcBorders>
              <w:bottom w:val="single" w:sz="8" w:color="F0F5FF"/>
            </w:tcBorders>
            <w:shd w:val="clear" w:color="auto" w:fill="F0F5FF"/>
          </w:tcPr>
          <w:p>
            <w:pPr>
              <w:jc w:val="right"/>
              <w:spacing w:after="0" w:line="80" w:lineRule="exact"/>
              <w:rPr>
                <w:sz w:val="20"/>
                <w:szCs w:val="20"/>
                <w:color w:val="auto"/>
              </w:rPr>
            </w:pPr>
            <w:r>
              <w:rPr>
                <w:rFonts w:ascii="Times New Roman" w:cs="Times New Roman" w:eastAsia="Times New Roman" w:hAnsi="Times New Roman"/>
                <w:sz w:val="9"/>
                <w:szCs w:val="9"/>
                <w:color w:val="005AFF"/>
              </w:rPr>
              <w:t>(143)</w:t>
            </w:r>
          </w:p>
        </w:tc>
        <w:tc>
          <w:tcPr>
            <w:tcW w:w="440" w:type="dxa"/>
            <w:vAlign w:val="bottom"/>
          </w:tcPr>
          <w:p>
            <w:pPr>
              <w:jc w:val="right"/>
              <w:ind w:right="11"/>
              <w:spacing w:after="0" w:line="80" w:lineRule="exact"/>
              <w:rPr>
                <w:sz w:val="20"/>
                <w:szCs w:val="20"/>
                <w:color w:val="auto"/>
              </w:rPr>
            </w:pPr>
            <w:r>
              <w:rPr>
                <w:rFonts w:ascii="Times New Roman" w:cs="Times New Roman" w:eastAsia="Times New Roman" w:hAnsi="Times New Roman"/>
                <w:sz w:val="9"/>
                <w:szCs w:val="9"/>
                <w:color w:val="0D0D0D"/>
              </w:rPr>
              <w:t>(35)</w:t>
            </w:r>
          </w:p>
        </w:tc>
        <w:tc>
          <w:tcPr>
            <w:tcW w:w="380" w:type="dxa"/>
            <w:vAlign w:val="bottom"/>
          </w:tcPr>
          <w:p>
            <w:pPr>
              <w:jc w:val="right"/>
              <w:spacing w:after="0" w:line="80" w:lineRule="exact"/>
              <w:rPr>
                <w:sz w:val="20"/>
                <w:szCs w:val="20"/>
                <w:color w:val="auto"/>
              </w:rPr>
            </w:pPr>
            <w:r>
              <w:rPr>
                <w:rFonts w:ascii="Times New Roman" w:cs="Times New Roman" w:eastAsia="Times New Roman" w:hAnsi="Times New Roman"/>
                <w:sz w:val="9"/>
                <w:szCs w:val="9"/>
                <w:color w:val="0D0D0D"/>
              </w:rPr>
              <w:t>(59)</w:t>
            </w:r>
          </w:p>
        </w:tc>
        <w:tc>
          <w:tcPr>
            <w:tcW w:w="0" w:type="dxa"/>
            <w:vAlign w:val="bottom"/>
          </w:tcPr>
          <w:p>
            <w:pPr>
              <w:spacing w:after="0"/>
              <w:rPr>
                <w:sz w:val="1"/>
                <w:szCs w:val="1"/>
                <w:color w:val="auto"/>
              </w:rPr>
            </w:pPr>
          </w:p>
        </w:tc>
      </w:tr>
      <w:tr>
        <w:trPr>
          <w:trHeight w:val="131"/>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of property, plant and equipment and intangible assets</w:t>
            </w:r>
          </w:p>
        </w:tc>
        <w:tc>
          <w:tcPr>
            <w:tcW w:w="940" w:type="dxa"/>
            <w:vAlign w:val="bottom"/>
          </w:tcPr>
          <w:p>
            <w:pPr>
              <w:spacing w:after="0"/>
              <w:rPr>
                <w:sz w:val="11"/>
                <w:szCs w:val="11"/>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(652)</w:t>
            </w:r>
          </w:p>
        </w:tc>
        <w:tc>
          <w:tcPr>
            <w:tcW w:w="84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(601)</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(560)</w:t>
            </w:r>
          </w:p>
        </w:tc>
        <w:tc>
          <w:tcPr>
            <w:tcW w:w="180" w:type="dxa"/>
            <w:vAlign w:val="bottom"/>
          </w:tcPr>
          <w:p>
            <w:pPr>
              <w:spacing w:after="0"/>
              <w:rPr>
                <w:sz w:val="11"/>
                <w:szCs w:val="11"/>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Financial income and expenses</w:t>
            </w:r>
          </w:p>
        </w:tc>
        <w:tc>
          <w:tcPr>
            <w:tcW w:w="400" w:type="dxa"/>
            <w:vAlign w:val="bottom"/>
            <w:vMerge w:val="restart"/>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148</w:t>
            </w:r>
          </w:p>
        </w:tc>
        <w:tc>
          <w:tcPr>
            <w:tcW w:w="44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28</w:t>
            </w:r>
          </w:p>
        </w:tc>
        <w:tc>
          <w:tcPr>
            <w:tcW w:w="38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240</w:t>
            </w:r>
          </w:p>
        </w:tc>
        <w:tc>
          <w:tcPr>
            <w:tcW w:w="0" w:type="dxa"/>
            <w:vAlign w:val="bottom"/>
          </w:tcPr>
          <w:p>
            <w:pPr>
              <w:spacing w:after="0"/>
              <w:rPr>
                <w:sz w:val="1"/>
                <w:szCs w:val="1"/>
                <w:color w:val="auto"/>
              </w:rPr>
            </w:pPr>
          </w:p>
        </w:tc>
      </w:tr>
      <w:tr>
        <w:trPr>
          <w:trHeight w:val="40"/>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Proceeds from sale of property, plant and equipment and intangible assets</w:t>
            </w:r>
          </w:p>
        </w:tc>
        <w:tc>
          <w:tcPr>
            <w:tcW w:w="940" w:type="dxa"/>
            <w:vAlign w:val="bottom"/>
          </w:tcPr>
          <w:p>
            <w:pPr>
              <w:spacing w:after="0"/>
              <w:rPr>
                <w:sz w:val="3"/>
                <w:szCs w:val="3"/>
                <w:color w:val="auto"/>
              </w:rPr>
            </w:pPr>
          </w:p>
        </w:tc>
        <w:tc>
          <w:tcPr>
            <w:tcW w:w="6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189</w:t>
            </w:r>
          </w:p>
        </w:tc>
        <w:tc>
          <w:tcPr>
            <w:tcW w:w="840" w:type="dxa"/>
            <w:vAlign w:val="bottom"/>
            <w:vMerge w:val="restart"/>
          </w:tcPr>
          <w:p>
            <w:pPr>
              <w:jc w:val="right"/>
              <w:ind w:right="150"/>
              <w:spacing w:after="0"/>
              <w:rPr>
                <w:sz w:val="20"/>
                <w:szCs w:val="20"/>
                <w:color w:val="auto"/>
              </w:rPr>
            </w:pPr>
            <w:r>
              <w:rPr>
                <w:rFonts w:ascii="Times New Roman" w:cs="Times New Roman" w:eastAsia="Times New Roman" w:hAnsi="Times New Roman"/>
                <w:sz w:val="10"/>
                <w:szCs w:val="10"/>
                <w:color w:val="0D0D0D"/>
              </w:rPr>
              <w:t>33</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103</w:t>
            </w:r>
          </w:p>
        </w:tc>
        <w:tc>
          <w:tcPr>
            <w:tcW w:w="180" w:type="dxa"/>
            <w:vAlign w:val="bottom"/>
          </w:tcPr>
          <w:p>
            <w:pPr>
              <w:spacing w:after="0"/>
              <w:rPr>
                <w:sz w:val="3"/>
                <w:szCs w:val="3"/>
                <w:color w:val="auto"/>
              </w:rPr>
            </w:pPr>
          </w:p>
        </w:tc>
        <w:tc>
          <w:tcPr>
            <w:tcW w:w="2040" w:type="dxa"/>
            <w:vAlign w:val="bottom"/>
            <w:vMerge w:val="continue"/>
          </w:tcPr>
          <w:p>
            <w:pPr>
              <w:spacing w:after="0"/>
              <w:rPr>
                <w:sz w:val="3"/>
                <w:szCs w:val="3"/>
                <w:color w:val="auto"/>
              </w:rPr>
            </w:pPr>
          </w:p>
        </w:tc>
        <w:tc>
          <w:tcPr>
            <w:tcW w:w="400" w:type="dxa"/>
            <w:vAlign w:val="bottom"/>
            <w:vMerge w:val="continue"/>
            <w:shd w:val="clear" w:color="auto" w:fill="F0F5FF"/>
          </w:tcPr>
          <w:p>
            <w:pPr>
              <w:spacing w:after="0"/>
              <w:rPr>
                <w:sz w:val="3"/>
                <w:szCs w:val="3"/>
                <w:color w:val="auto"/>
              </w:rPr>
            </w:pPr>
          </w:p>
        </w:tc>
        <w:tc>
          <w:tcPr>
            <w:tcW w:w="440" w:type="dxa"/>
            <w:vAlign w:val="bottom"/>
            <w:vMerge w:val="continue"/>
          </w:tcPr>
          <w:p>
            <w:pPr>
              <w:spacing w:after="0"/>
              <w:rPr>
                <w:sz w:val="3"/>
                <w:szCs w:val="3"/>
                <w:color w:val="auto"/>
              </w:rPr>
            </w:pPr>
          </w:p>
        </w:tc>
        <w:tc>
          <w:tcPr>
            <w:tcW w:w="38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21"/>
        </w:trPr>
        <w:tc>
          <w:tcPr>
            <w:tcW w:w="3640" w:type="dxa"/>
            <w:vAlign w:val="bottom"/>
            <w:vMerge w:val="continue"/>
          </w:tcPr>
          <w:p>
            <w:pPr>
              <w:spacing w:after="0"/>
              <w:rPr>
                <w:sz w:val="10"/>
                <w:szCs w:val="10"/>
                <w:color w:val="auto"/>
              </w:rPr>
            </w:pPr>
          </w:p>
        </w:tc>
        <w:tc>
          <w:tcPr>
            <w:tcW w:w="940" w:type="dxa"/>
            <w:vAlign w:val="bottom"/>
          </w:tcPr>
          <w:p>
            <w:pPr>
              <w:spacing w:after="0"/>
              <w:rPr>
                <w:sz w:val="10"/>
                <w:szCs w:val="10"/>
                <w:color w:val="auto"/>
              </w:rPr>
            </w:pPr>
          </w:p>
        </w:tc>
        <w:tc>
          <w:tcPr>
            <w:tcW w:w="680" w:type="dxa"/>
            <w:vAlign w:val="bottom"/>
            <w:vMerge w:val="continue"/>
            <w:shd w:val="clear" w:color="auto" w:fill="F0F5FF"/>
          </w:tcPr>
          <w:p>
            <w:pPr>
              <w:spacing w:after="0"/>
              <w:rPr>
                <w:sz w:val="10"/>
                <w:szCs w:val="10"/>
                <w:color w:val="auto"/>
              </w:rPr>
            </w:pPr>
          </w:p>
        </w:tc>
        <w:tc>
          <w:tcPr>
            <w:tcW w:w="840" w:type="dxa"/>
            <w:vAlign w:val="bottom"/>
            <w:vMerge w:val="continue"/>
          </w:tcPr>
          <w:p>
            <w:pPr>
              <w:spacing w:after="0"/>
              <w:rPr>
                <w:sz w:val="10"/>
                <w:szCs w:val="10"/>
                <w:color w:val="auto"/>
              </w:rPr>
            </w:pPr>
          </w:p>
        </w:tc>
        <w:tc>
          <w:tcPr>
            <w:tcW w:w="520" w:type="dxa"/>
            <w:vAlign w:val="bottom"/>
            <w:vMerge w:val="continue"/>
          </w:tcPr>
          <w:p>
            <w:pPr>
              <w:spacing w:after="0"/>
              <w:rPr>
                <w:sz w:val="10"/>
                <w:szCs w:val="10"/>
                <w:color w:val="auto"/>
              </w:rPr>
            </w:pPr>
          </w:p>
        </w:tc>
        <w:tc>
          <w:tcPr>
            <w:tcW w:w="180" w:type="dxa"/>
            <w:vAlign w:val="bottom"/>
          </w:tcPr>
          <w:p>
            <w:pPr>
              <w:spacing w:after="0"/>
              <w:rPr>
                <w:sz w:val="10"/>
                <w:szCs w:val="10"/>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Income tax expense/(benefit)</w:t>
            </w:r>
          </w:p>
        </w:tc>
        <w:tc>
          <w:tcPr>
            <w:tcW w:w="400" w:type="dxa"/>
            <w:vAlign w:val="bottom"/>
            <w:vMerge w:val="restart"/>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825</w:t>
            </w:r>
          </w:p>
        </w:tc>
        <w:tc>
          <w:tcPr>
            <w:tcW w:w="440" w:type="dxa"/>
            <w:vAlign w:val="bottom"/>
            <w:vMerge w:val="restart"/>
          </w:tcPr>
          <w:p>
            <w:pPr>
              <w:jc w:val="right"/>
              <w:ind w:right="31"/>
              <w:spacing w:after="0"/>
              <w:rPr>
                <w:sz w:val="20"/>
                <w:szCs w:val="20"/>
                <w:color w:val="auto"/>
              </w:rPr>
            </w:pPr>
            <w:r>
              <w:rPr>
                <w:rFonts w:ascii="Times New Roman" w:cs="Times New Roman" w:eastAsia="Times New Roman" w:hAnsi="Times New Roman"/>
                <w:sz w:val="10"/>
                <w:szCs w:val="10"/>
                <w:color w:val="0D0D0D"/>
              </w:rPr>
              <w:t>(2 030)</w:t>
            </w:r>
          </w:p>
        </w:tc>
        <w:tc>
          <w:tcPr>
            <w:tcW w:w="38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273</w:t>
            </w:r>
          </w:p>
        </w:tc>
        <w:tc>
          <w:tcPr>
            <w:tcW w:w="0" w:type="dxa"/>
            <w:vAlign w:val="bottom"/>
          </w:tcPr>
          <w:p>
            <w:pPr>
              <w:spacing w:after="0"/>
              <w:rPr>
                <w:sz w:val="1"/>
                <w:szCs w:val="1"/>
                <w:color w:val="auto"/>
              </w:rPr>
            </w:pPr>
          </w:p>
        </w:tc>
      </w:tr>
      <w:tr>
        <w:trPr>
          <w:trHeight w:val="40"/>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Acquisition of businesses, net of cash acquired</w:t>
            </w:r>
          </w:p>
        </w:tc>
        <w:tc>
          <w:tcPr>
            <w:tcW w:w="940" w:type="dxa"/>
            <w:vAlign w:val="bottom"/>
          </w:tcPr>
          <w:p>
            <w:pPr>
              <w:spacing w:after="0"/>
              <w:rPr>
                <w:sz w:val="3"/>
                <w:szCs w:val="3"/>
                <w:color w:val="auto"/>
              </w:rPr>
            </w:pP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(19)</w:t>
            </w:r>
          </w:p>
        </w:tc>
        <w:tc>
          <w:tcPr>
            <w:tcW w:w="840" w:type="dxa"/>
            <w:vAlign w:val="bottom"/>
            <w:vMerge w:val="restart"/>
          </w:tcPr>
          <w:p>
            <w:pPr>
              <w:jc w:val="right"/>
              <w:ind w:right="130"/>
              <w:spacing w:after="0"/>
              <w:rPr>
                <w:sz w:val="20"/>
                <w:szCs w:val="20"/>
                <w:color w:val="auto"/>
              </w:rPr>
            </w:pPr>
            <w:r>
              <w:rPr>
                <w:rFonts w:ascii="Times New Roman" w:cs="Times New Roman" w:eastAsia="Times New Roman" w:hAnsi="Times New Roman"/>
                <w:sz w:val="10"/>
                <w:szCs w:val="10"/>
                <w:color w:val="0D0D0D"/>
              </w:rPr>
              <w:t>(20)</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(33)</w:t>
            </w:r>
          </w:p>
        </w:tc>
        <w:tc>
          <w:tcPr>
            <w:tcW w:w="180" w:type="dxa"/>
            <w:vAlign w:val="bottom"/>
          </w:tcPr>
          <w:p>
            <w:pPr>
              <w:spacing w:after="0"/>
              <w:rPr>
                <w:sz w:val="3"/>
                <w:szCs w:val="3"/>
                <w:color w:val="auto"/>
              </w:rPr>
            </w:pPr>
          </w:p>
        </w:tc>
        <w:tc>
          <w:tcPr>
            <w:tcW w:w="2040" w:type="dxa"/>
            <w:vAlign w:val="bottom"/>
            <w:vMerge w:val="continue"/>
          </w:tcPr>
          <w:p>
            <w:pPr>
              <w:spacing w:after="0"/>
              <w:rPr>
                <w:sz w:val="3"/>
                <w:szCs w:val="3"/>
                <w:color w:val="auto"/>
              </w:rPr>
            </w:pPr>
          </w:p>
        </w:tc>
        <w:tc>
          <w:tcPr>
            <w:tcW w:w="400" w:type="dxa"/>
            <w:vAlign w:val="bottom"/>
            <w:vMerge w:val="continue"/>
            <w:shd w:val="clear" w:color="auto" w:fill="F0F5FF"/>
          </w:tcPr>
          <w:p>
            <w:pPr>
              <w:spacing w:after="0"/>
              <w:rPr>
                <w:sz w:val="3"/>
                <w:szCs w:val="3"/>
                <w:color w:val="auto"/>
              </w:rPr>
            </w:pPr>
          </w:p>
        </w:tc>
        <w:tc>
          <w:tcPr>
            <w:tcW w:w="440" w:type="dxa"/>
            <w:vAlign w:val="bottom"/>
            <w:vMerge w:val="continue"/>
          </w:tcPr>
          <w:p>
            <w:pPr>
              <w:spacing w:after="0"/>
              <w:rPr>
                <w:sz w:val="3"/>
                <w:szCs w:val="3"/>
                <w:color w:val="auto"/>
              </w:rPr>
            </w:pPr>
          </w:p>
        </w:tc>
        <w:tc>
          <w:tcPr>
            <w:tcW w:w="380" w:type="dxa"/>
            <w:vAlign w:val="bottom"/>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21"/>
        </w:trPr>
        <w:tc>
          <w:tcPr>
            <w:tcW w:w="3640" w:type="dxa"/>
            <w:vAlign w:val="bottom"/>
            <w:vMerge w:val="continue"/>
          </w:tcPr>
          <w:p>
            <w:pPr>
              <w:spacing w:after="0"/>
              <w:rPr>
                <w:sz w:val="10"/>
                <w:szCs w:val="10"/>
                <w:color w:val="auto"/>
              </w:rPr>
            </w:pPr>
          </w:p>
        </w:tc>
        <w:tc>
          <w:tcPr>
            <w:tcW w:w="940" w:type="dxa"/>
            <w:vAlign w:val="bottom"/>
          </w:tcPr>
          <w:p>
            <w:pPr>
              <w:spacing w:after="0"/>
              <w:rPr>
                <w:sz w:val="10"/>
                <w:szCs w:val="10"/>
                <w:color w:val="auto"/>
              </w:rPr>
            </w:pPr>
          </w:p>
        </w:tc>
        <w:tc>
          <w:tcPr>
            <w:tcW w:w="680" w:type="dxa"/>
            <w:vAlign w:val="bottom"/>
            <w:vMerge w:val="continue"/>
            <w:shd w:val="clear" w:color="auto" w:fill="F0F5FF"/>
          </w:tcPr>
          <w:p>
            <w:pPr>
              <w:spacing w:after="0"/>
              <w:rPr>
                <w:sz w:val="10"/>
                <w:szCs w:val="10"/>
                <w:color w:val="auto"/>
              </w:rPr>
            </w:pPr>
          </w:p>
        </w:tc>
        <w:tc>
          <w:tcPr>
            <w:tcW w:w="840" w:type="dxa"/>
            <w:vAlign w:val="bottom"/>
            <w:vMerge w:val="continue"/>
          </w:tcPr>
          <w:p>
            <w:pPr>
              <w:spacing w:after="0"/>
              <w:rPr>
                <w:sz w:val="10"/>
                <w:szCs w:val="10"/>
                <w:color w:val="auto"/>
              </w:rPr>
            </w:pPr>
          </w:p>
        </w:tc>
        <w:tc>
          <w:tcPr>
            <w:tcW w:w="520" w:type="dxa"/>
            <w:vAlign w:val="bottom"/>
            <w:vMerge w:val="continue"/>
          </w:tcPr>
          <w:p>
            <w:pPr>
              <w:spacing w:after="0"/>
              <w:rPr>
                <w:sz w:val="10"/>
                <w:szCs w:val="10"/>
                <w:color w:val="auto"/>
              </w:rPr>
            </w:pPr>
          </w:p>
        </w:tc>
        <w:tc>
          <w:tcPr>
            <w:tcW w:w="180" w:type="dxa"/>
            <w:vAlign w:val="bottom"/>
          </w:tcPr>
          <w:p>
            <w:pPr>
              <w:spacing w:after="0"/>
              <w:rPr>
                <w:sz w:val="10"/>
                <w:szCs w:val="10"/>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Other adjustments, net</w:t>
            </w:r>
          </w:p>
        </w:tc>
        <w:tc>
          <w:tcPr>
            <w:tcW w:w="40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43</w:t>
            </w:r>
          </w:p>
        </w:tc>
        <w:tc>
          <w:tcPr>
            <w:tcW w:w="44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52</w:t>
            </w:r>
          </w:p>
        </w:tc>
        <w:tc>
          <w:tcPr>
            <w:tcW w:w="380" w:type="dxa"/>
            <w:vAlign w:val="bottom"/>
            <w:vMerge w:val="restart"/>
          </w:tcPr>
          <w:p>
            <w:pPr>
              <w:jc w:val="right"/>
              <w:ind w:right="31"/>
              <w:spacing w:after="0"/>
              <w:rPr>
                <w:sz w:val="20"/>
                <w:szCs w:val="20"/>
                <w:color w:val="auto"/>
              </w:rPr>
            </w:pPr>
            <w:r>
              <w:rPr>
                <w:rFonts w:ascii="Times New Roman" w:cs="Times New Roman" w:eastAsia="Times New Roman" w:hAnsi="Times New Roman"/>
                <w:sz w:val="10"/>
                <w:szCs w:val="10"/>
                <w:color w:val="0D0D0D"/>
              </w:rPr>
              <w:t>21</w:t>
            </w:r>
          </w:p>
        </w:tc>
        <w:tc>
          <w:tcPr>
            <w:tcW w:w="0" w:type="dxa"/>
            <w:vAlign w:val="bottom"/>
          </w:tcPr>
          <w:p>
            <w:pPr>
              <w:spacing w:after="0"/>
              <w:rPr>
                <w:sz w:val="1"/>
                <w:szCs w:val="1"/>
                <w:color w:val="auto"/>
              </w:rPr>
            </w:pPr>
          </w:p>
        </w:tc>
      </w:tr>
      <w:tr>
        <w:trPr>
          <w:trHeight w:val="51"/>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Proceeds from disposal of businesses, net of cash disposed</w:t>
            </w:r>
          </w:p>
        </w:tc>
        <w:tc>
          <w:tcPr>
            <w:tcW w:w="940" w:type="dxa"/>
            <w:vAlign w:val="bottom"/>
          </w:tcPr>
          <w:p>
            <w:pPr>
              <w:spacing w:after="0"/>
              <w:rPr>
                <w:sz w:val="3"/>
                <w:szCs w:val="3"/>
                <w:color w:val="auto"/>
              </w:rPr>
            </w:pPr>
          </w:p>
        </w:tc>
        <w:tc>
          <w:tcPr>
            <w:tcW w:w="680" w:type="dxa"/>
            <w:vAlign w:val="bottom"/>
            <w:tcBorders>
              <w:bottom w:val="single" w:sz="8" w:color="F0F5FF"/>
            </w:tcBorders>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17</w:t>
            </w:r>
          </w:p>
        </w:tc>
        <w:tc>
          <w:tcPr>
            <w:tcW w:w="840" w:type="dxa"/>
            <w:vAlign w:val="bottom"/>
            <w:vMerge w:val="restart"/>
          </w:tcPr>
          <w:p>
            <w:pPr>
              <w:jc w:val="right"/>
              <w:ind w:right="11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gridSpan w:val="2"/>
            <w:vMerge w:val="restart"/>
          </w:tcPr>
          <w:p>
            <w:pPr>
              <w:ind w:left="420"/>
              <w:spacing w:after="0"/>
              <w:rPr>
                <w:sz w:val="20"/>
                <w:szCs w:val="20"/>
                <w:color w:val="auto"/>
              </w:rPr>
            </w:pPr>
            <w:r>
              <w:rPr>
                <w:rFonts w:ascii="Times New Roman" w:cs="Times New Roman" w:eastAsia="Times New Roman" w:hAnsi="Times New Roman"/>
                <w:sz w:val="10"/>
                <w:szCs w:val="10"/>
                <w:color w:val="0D0D0D"/>
              </w:rPr>
              <w:t>—</w:t>
            </w:r>
          </w:p>
        </w:tc>
        <w:tc>
          <w:tcPr>
            <w:tcW w:w="2040" w:type="dxa"/>
            <w:vAlign w:val="bottom"/>
            <w:tcBorders>
              <w:bottom w:val="single" w:sz="8" w:color="005AFF"/>
            </w:tcBorders>
            <w:vMerge w:val="continue"/>
          </w:tcPr>
          <w:p>
            <w:pPr>
              <w:spacing w:after="0"/>
              <w:rPr>
                <w:sz w:val="3"/>
                <w:szCs w:val="3"/>
                <w:color w:val="auto"/>
              </w:rPr>
            </w:pPr>
          </w:p>
        </w:tc>
        <w:tc>
          <w:tcPr>
            <w:tcW w:w="400" w:type="dxa"/>
            <w:vAlign w:val="bottom"/>
            <w:tcBorders>
              <w:bottom w:val="single" w:sz="8" w:color="005AFF"/>
            </w:tcBorders>
            <w:vMerge w:val="continue"/>
            <w:shd w:val="clear" w:color="auto" w:fill="F0F5FF"/>
          </w:tcPr>
          <w:p>
            <w:pPr>
              <w:spacing w:after="0"/>
              <w:rPr>
                <w:sz w:val="3"/>
                <w:szCs w:val="3"/>
                <w:color w:val="auto"/>
              </w:rPr>
            </w:pPr>
          </w:p>
        </w:tc>
        <w:tc>
          <w:tcPr>
            <w:tcW w:w="440" w:type="dxa"/>
            <w:vAlign w:val="bottom"/>
            <w:tcBorders>
              <w:bottom w:val="single" w:sz="8" w:color="005AFF"/>
            </w:tcBorders>
            <w:vMerge w:val="continue"/>
          </w:tcPr>
          <w:p>
            <w:pPr>
              <w:spacing w:after="0"/>
              <w:rPr>
                <w:sz w:val="3"/>
                <w:szCs w:val="3"/>
                <w:color w:val="auto"/>
              </w:rPr>
            </w:pPr>
          </w:p>
        </w:tc>
        <w:tc>
          <w:tcPr>
            <w:tcW w:w="380" w:type="dxa"/>
            <w:vAlign w:val="bottom"/>
            <w:tcBorders>
              <w:bottom w:val="single" w:sz="8" w:color="005AFF"/>
            </w:tcBorders>
            <w:vMerge w:val="continue"/>
          </w:tcPr>
          <w:p>
            <w:pPr>
              <w:spacing w:after="0"/>
              <w:rPr>
                <w:sz w:val="3"/>
                <w:szCs w:val="3"/>
                <w:color w:val="auto"/>
              </w:rPr>
            </w:pPr>
          </w:p>
        </w:tc>
        <w:tc>
          <w:tcPr>
            <w:tcW w:w="0" w:type="dxa"/>
            <w:vAlign w:val="bottom"/>
          </w:tcPr>
          <w:p>
            <w:pPr>
              <w:spacing w:after="0"/>
              <w:rPr>
                <w:sz w:val="1"/>
                <w:szCs w:val="1"/>
                <w:color w:val="auto"/>
              </w:rPr>
            </w:pPr>
          </w:p>
        </w:tc>
      </w:tr>
      <w:tr>
        <w:trPr>
          <w:trHeight w:val="96"/>
        </w:trPr>
        <w:tc>
          <w:tcPr>
            <w:tcW w:w="3640" w:type="dxa"/>
            <w:vAlign w:val="bottom"/>
            <w:vMerge w:val="continue"/>
          </w:tcPr>
          <w:p>
            <w:pPr>
              <w:spacing w:after="0"/>
              <w:rPr>
                <w:sz w:val="8"/>
                <w:szCs w:val="8"/>
                <w:color w:val="auto"/>
              </w:rPr>
            </w:pPr>
          </w:p>
        </w:tc>
        <w:tc>
          <w:tcPr>
            <w:tcW w:w="940" w:type="dxa"/>
            <w:vAlign w:val="bottom"/>
          </w:tcPr>
          <w:p>
            <w:pPr>
              <w:spacing w:after="0"/>
              <w:rPr>
                <w:sz w:val="8"/>
                <w:szCs w:val="8"/>
                <w:color w:val="auto"/>
              </w:rPr>
            </w:pPr>
          </w:p>
        </w:tc>
        <w:tc>
          <w:tcPr>
            <w:tcW w:w="680" w:type="dxa"/>
            <w:vAlign w:val="bottom"/>
            <w:vMerge w:val="continue"/>
            <w:shd w:val="clear" w:color="auto" w:fill="F0F5FF"/>
          </w:tcPr>
          <w:p>
            <w:pPr>
              <w:spacing w:after="0"/>
              <w:rPr>
                <w:sz w:val="8"/>
                <w:szCs w:val="8"/>
                <w:color w:val="auto"/>
              </w:rPr>
            </w:pPr>
          </w:p>
        </w:tc>
        <w:tc>
          <w:tcPr>
            <w:tcW w:w="840" w:type="dxa"/>
            <w:vAlign w:val="bottom"/>
            <w:vMerge w:val="continue"/>
          </w:tcPr>
          <w:p>
            <w:pPr>
              <w:spacing w:after="0"/>
              <w:rPr>
                <w:sz w:val="8"/>
                <w:szCs w:val="8"/>
                <w:color w:val="auto"/>
              </w:rPr>
            </w:pPr>
          </w:p>
        </w:tc>
        <w:tc>
          <w:tcPr>
            <w:tcW w:w="700" w:type="dxa"/>
            <w:vAlign w:val="bottom"/>
            <w:gridSpan w:val="2"/>
            <w:vMerge w:val="continue"/>
          </w:tcPr>
          <w:p>
            <w:pPr>
              <w:spacing w:after="0"/>
              <w:rPr>
                <w:sz w:val="8"/>
                <w:szCs w:val="8"/>
                <w:color w:val="auto"/>
              </w:rPr>
            </w:pPr>
          </w:p>
        </w:tc>
        <w:tc>
          <w:tcPr>
            <w:tcW w:w="2040" w:type="dxa"/>
            <w:vAlign w:val="bottom"/>
            <w:vMerge w:val="restart"/>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400" w:type="dxa"/>
            <w:vAlign w:val="bottom"/>
            <w:vMerge w:val="restart"/>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2 559</w:t>
            </w:r>
          </w:p>
        </w:tc>
        <w:tc>
          <w:tcPr>
            <w:tcW w:w="440" w:type="dxa"/>
            <w:vAlign w:val="bottom"/>
            <w:vMerge w:val="restart"/>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(446)</w:t>
            </w:r>
          </w:p>
        </w:tc>
        <w:tc>
          <w:tcPr>
            <w:tcW w:w="38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1 713</w:t>
            </w:r>
          </w:p>
        </w:tc>
        <w:tc>
          <w:tcPr>
            <w:tcW w:w="0" w:type="dxa"/>
            <w:vAlign w:val="bottom"/>
          </w:tcPr>
          <w:p>
            <w:pPr>
              <w:spacing w:after="0"/>
              <w:rPr>
                <w:sz w:val="1"/>
                <w:szCs w:val="1"/>
                <w:color w:val="auto"/>
              </w:rPr>
            </w:pPr>
          </w:p>
        </w:tc>
      </w:tr>
      <w:tr>
        <w:trPr>
          <w:trHeight w:val="51"/>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Purchase of interest-bearing financial investments</w:t>
            </w:r>
          </w:p>
        </w:tc>
        <w:tc>
          <w:tcPr>
            <w:tcW w:w="940" w:type="dxa"/>
            <w:vAlign w:val="bottom"/>
          </w:tcPr>
          <w:p>
            <w:pPr>
              <w:spacing w:after="0"/>
              <w:rPr>
                <w:sz w:val="3"/>
                <w:szCs w:val="3"/>
                <w:color w:val="auto"/>
              </w:rPr>
            </w:pPr>
          </w:p>
        </w:tc>
        <w:tc>
          <w:tcPr>
            <w:tcW w:w="680" w:type="dxa"/>
            <w:vAlign w:val="bottom"/>
            <w:tcBorders>
              <w:bottom w:val="single" w:sz="8" w:color="F0F5FF"/>
            </w:tcBorders>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(1 855)</w:t>
            </w:r>
          </w:p>
        </w:tc>
        <w:tc>
          <w:tcPr>
            <w:tcW w:w="840" w:type="dxa"/>
            <w:vAlign w:val="bottom"/>
            <w:vMerge w:val="restart"/>
          </w:tcPr>
          <w:p>
            <w:pPr>
              <w:jc w:val="right"/>
              <w:ind w:right="150"/>
              <w:spacing w:after="0"/>
              <w:rPr>
                <w:sz w:val="20"/>
                <w:szCs w:val="20"/>
                <w:color w:val="auto"/>
              </w:rPr>
            </w:pPr>
            <w:r>
              <w:rPr>
                <w:rFonts w:ascii="Times New Roman" w:cs="Times New Roman" w:eastAsia="Times New Roman" w:hAnsi="Times New Roman"/>
                <w:sz w:val="10"/>
                <w:szCs w:val="10"/>
                <w:color w:val="0D0D0D"/>
              </w:rPr>
              <w:t>(3 595)</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(1 845)</w:t>
            </w:r>
          </w:p>
        </w:tc>
        <w:tc>
          <w:tcPr>
            <w:tcW w:w="180" w:type="dxa"/>
            <w:vAlign w:val="bottom"/>
          </w:tcPr>
          <w:p>
            <w:pPr>
              <w:spacing w:after="0"/>
              <w:rPr>
                <w:sz w:val="3"/>
                <w:szCs w:val="3"/>
                <w:color w:val="auto"/>
              </w:rPr>
            </w:pPr>
          </w:p>
        </w:tc>
        <w:tc>
          <w:tcPr>
            <w:tcW w:w="2040" w:type="dxa"/>
            <w:vAlign w:val="bottom"/>
            <w:tcBorders>
              <w:bottom w:val="single" w:sz="8" w:color="005AFF"/>
            </w:tcBorders>
            <w:vMerge w:val="continue"/>
          </w:tcPr>
          <w:p>
            <w:pPr>
              <w:spacing w:after="0"/>
              <w:rPr>
                <w:sz w:val="3"/>
                <w:szCs w:val="3"/>
                <w:color w:val="auto"/>
              </w:rPr>
            </w:pPr>
          </w:p>
        </w:tc>
        <w:tc>
          <w:tcPr>
            <w:tcW w:w="400" w:type="dxa"/>
            <w:vAlign w:val="bottom"/>
            <w:tcBorders>
              <w:bottom w:val="single" w:sz="8" w:color="005AFF"/>
            </w:tcBorders>
            <w:vMerge w:val="continue"/>
            <w:shd w:val="clear" w:color="auto" w:fill="F0F5FF"/>
          </w:tcPr>
          <w:p>
            <w:pPr>
              <w:spacing w:after="0"/>
              <w:rPr>
                <w:sz w:val="3"/>
                <w:szCs w:val="3"/>
                <w:color w:val="auto"/>
              </w:rPr>
            </w:pPr>
          </w:p>
        </w:tc>
        <w:tc>
          <w:tcPr>
            <w:tcW w:w="440" w:type="dxa"/>
            <w:vAlign w:val="bottom"/>
            <w:tcBorders>
              <w:bottom w:val="single" w:sz="8" w:color="005AFF"/>
            </w:tcBorders>
            <w:vMerge w:val="continue"/>
          </w:tcPr>
          <w:p>
            <w:pPr>
              <w:spacing w:after="0"/>
              <w:rPr>
                <w:sz w:val="3"/>
                <w:szCs w:val="3"/>
                <w:color w:val="auto"/>
              </w:rPr>
            </w:pPr>
          </w:p>
        </w:tc>
        <w:tc>
          <w:tcPr>
            <w:tcW w:w="380" w:type="dxa"/>
            <w:vAlign w:val="bottom"/>
            <w:tcBorders>
              <w:bottom w:val="single" w:sz="8" w:color="005AFF"/>
            </w:tcBorders>
            <w:vMerge w:val="continue"/>
          </w:tcPr>
          <w:p>
            <w:pPr>
              <w:spacing w:after="0"/>
              <w:rPr>
                <w:sz w:val="3"/>
                <w:szCs w:val="3"/>
                <w:color w:val="auto"/>
              </w:rPr>
            </w:pPr>
          </w:p>
        </w:tc>
        <w:tc>
          <w:tcPr>
            <w:tcW w:w="0" w:type="dxa"/>
            <w:vAlign w:val="bottom"/>
          </w:tcPr>
          <w:p>
            <w:pPr>
              <w:spacing w:after="0"/>
              <w:rPr>
                <w:sz w:val="1"/>
                <w:szCs w:val="1"/>
                <w:color w:val="auto"/>
              </w:rPr>
            </w:pPr>
          </w:p>
        </w:tc>
      </w:tr>
      <w:tr>
        <w:trPr>
          <w:trHeight w:val="96"/>
        </w:trPr>
        <w:tc>
          <w:tcPr>
            <w:tcW w:w="3640" w:type="dxa"/>
            <w:vAlign w:val="bottom"/>
            <w:vMerge w:val="continue"/>
          </w:tcPr>
          <w:p>
            <w:pPr>
              <w:spacing w:after="0"/>
              <w:rPr>
                <w:sz w:val="8"/>
                <w:szCs w:val="8"/>
                <w:color w:val="auto"/>
              </w:rPr>
            </w:pPr>
          </w:p>
        </w:tc>
        <w:tc>
          <w:tcPr>
            <w:tcW w:w="940" w:type="dxa"/>
            <w:vAlign w:val="bottom"/>
          </w:tcPr>
          <w:p>
            <w:pPr>
              <w:spacing w:after="0"/>
              <w:rPr>
                <w:sz w:val="8"/>
                <w:szCs w:val="8"/>
                <w:color w:val="auto"/>
              </w:rPr>
            </w:pPr>
          </w:p>
        </w:tc>
        <w:tc>
          <w:tcPr>
            <w:tcW w:w="680" w:type="dxa"/>
            <w:vAlign w:val="bottom"/>
            <w:vMerge w:val="continue"/>
            <w:shd w:val="clear" w:color="auto" w:fill="F0F5FF"/>
          </w:tcPr>
          <w:p>
            <w:pPr>
              <w:spacing w:after="0"/>
              <w:rPr>
                <w:sz w:val="8"/>
                <w:szCs w:val="8"/>
                <w:color w:val="auto"/>
              </w:rPr>
            </w:pPr>
          </w:p>
        </w:tc>
        <w:tc>
          <w:tcPr>
            <w:tcW w:w="840" w:type="dxa"/>
            <w:vAlign w:val="bottom"/>
            <w:vMerge w:val="continue"/>
          </w:tcPr>
          <w:p>
            <w:pPr>
              <w:spacing w:after="0"/>
              <w:rPr>
                <w:sz w:val="8"/>
                <w:szCs w:val="8"/>
                <w:color w:val="auto"/>
              </w:rPr>
            </w:pPr>
          </w:p>
        </w:tc>
        <w:tc>
          <w:tcPr>
            <w:tcW w:w="520" w:type="dxa"/>
            <w:vAlign w:val="bottom"/>
            <w:vMerge w:val="continue"/>
          </w:tcPr>
          <w:p>
            <w:pPr>
              <w:spacing w:after="0"/>
              <w:rPr>
                <w:sz w:val="8"/>
                <w:szCs w:val="8"/>
                <w:color w:val="auto"/>
              </w:rPr>
            </w:pPr>
          </w:p>
        </w:tc>
        <w:tc>
          <w:tcPr>
            <w:tcW w:w="180" w:type="dxa"/>
            <w:vAlign w:val="bottom"/>
          </w:tcPr>
          <w:p>
            <w:pPr>
              <w:spacing w:after="0"/>
              <w:rPr>
                <w:sz w:val="8"/>
                <w:szCs w:val="8"/>
                <w:color w:val="auto"/>
              </w:rPr>
            </w:pPr>
          </w:p>
        </w:tc>
        <w:tc>
          <w:tcPr>
            <w:tcW w:w="2880" w:type="dxa"/>
            <w:vAlign w:val="bottom"/>
            <w:gridSpan w:val="3"/>
            <w:vMerge w:val="restart"/>
          </w:tcPr>
          <w:p>
            <w:pPr>
              <w:ind w:left="60"/>
              <w:spacing w:after="0"/>
              <w:rPr>
                <w:sz w:val="20"/>
                <w:szCs w:val="20"/>
                <w:color w:val="auto"/>
              </w:rPr>
            </w:pPr>
            <w:r>
              <w:rPr>
                <w:rFonts w:ascii="Times New Roman" w:cs="Times New Roman" w:eastAsia="Times New Roman" w:hAnsi="Times New Roman"/>
                <w:sz w:val="8"/>
                <w:szCs w:val="8"/>
                <w:color w:val="auto"/>
              </w:rPr>
              <w:t>Restructuring charges in adjustments represent the non-cash portion recognized in the</w:t>
            </w:r>
          </w:p>
        </w:tc>
        <w:tc>
          <w:tcPr>
            <w:tcW w:w="38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42"/>
        </w:trPr>
        <w:tc>
          <w:tcPr>
            <w:tcW w:w="36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Proceeds from interest-bearing financial investments</w:t>
            </w:r>
          </w:p>
        </w:tc>
        <w:tc>
          <w:tcPr>
            <w:tcW w:w="940" w:type="dxa"/>
            <w:vAlign w:val="bottom"/>
          </w:tcPr>
          <w:p>
            <w:pPr>
              <w:spacing w:after="0"/>
              <w:rPr>
                <w:sz w:val="3"/>
                <w:szCs w:val="3"/>
                <w:color w:val="auto"/>
              </w:rPr>
            </w:pPr>
          </w:p>
        </w:tc>
        <w:tc>
          <w:tcPr>
            <w:tcW w:w="6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3 382</w:t>
            </w:r>
          </w:p>
        </w:tc>
        <w:tc>
          <w:tcPr>
            <w:tcW w:w="840" w:type="dxa"/>
            <w:vAlign w:val="bottom"/>
            <w:vMerge w:val="restart"/>
          </w:tcPr>
          <w:p>
            <w:pPr>
              <w:jc w:val="right"/>
              <w:ind w:right="170"/>
              <w:spacing w:after="0"/>
              <w:rPr>
                <w:sz w:val="20"/>
                <w:szCs w:val="20"/>
                <w:color w:val="auto"/>
              </w:rPr>
            </w:pPr>
            <w:r>
              <w:rPr>
                <w:rFonts w:ascii="Times New Roman" w:cs="Times New Roman" w:eastAsia="Times New Roman" w:hAnsi="Times New Roman"/>
                <w:sz w:val="10"/>
                <w:szCs w:val="10"/>
                <w:color w:val="0D0D0D"/>
              </w:rPr>
              <w:t>2 397</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398</w:t>
            </w:r>
          </w:p>
        </w:tc>
        <w:tc>
          <w:tcPr>
            <w:tcW w:w="180" w:type="dxa"/>
            <w:vAlign w:val="bottom"/>
          </w:tcPr>
          <w:p>
            <w:pPr>
              <w:spacing w:after="0"/>
              <w:rPr>
                <w:sz w:val="3"/>
                <w:szCs w:val="3"/>
                <w:color w:val="auto"/>
              </w:rPr>
            </w:pPr>
          </w:p>
        </w:tc>
        <w:tc>
          <w:tcPr>
            <w:tcW w:w="2880" w:type="dxa"/>
            <w:vAlign w:val="bottom"/>
            <w:gridSpan w:val="3"/>
            <w:vMerge w:val="continue"/>
          </w:tcPr>
          <w:p>
            <w:pPr>
              <w:spacing w:after="0"/>
              <w:rPr>
                <w:sz w:val="3"/>
                <w:szCs w:val="3"/>
                <w:color w:val="auto"/>
              </w:rPr>
            </w:pPr>
          </w:p>
        </w:tc>
        <w:tc>
          <w:tcPr>
            <w:tcW w:w="3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120"/>
        </w:trPr>
        <w:tc>
          <w:tcPr>
            <w:tcW w:w="3640" w:type="dxa"/>
            <w:vAlign w:val="bottom"/>
            <w:vMerge w:val="continue"/>
          </w:tcPr>
          <w:p>
            <w:pPr>
              <w:spacing w:after="0"/>
              <w:rPr>
                <w:sz w:val="10"/>
                <w:szCs w:val="10"/>
                <w:color w:val="auto"/>
              </w:rPr>
            </w:pPr>
          </w:p>
        </w:tc>
        <w:tc>
          <w:tcPr>
            <w:tcW w:w="940" w:type="dxa"/>
            <w:vAlign w:val="bottom"/>
          </w:tcPr>
          <w:p>
            <w:pPr>
              <w:spacing w:after="0"/>
              <w:rPr>
                <w:sz w:val="10"/>
                <w:szCs w:val="10"/>
                <w:color w:val="auto"/>
              </w:rPr>
            </w:pPr>
          </w:p>
        </w:tc>
        <w:tc>
          <w:tcPr>
            <w:tcW w:w="680" w:type="dxa"/>
            <w:vAlign w:val="bottom"/>
            <w:vMerge w:val="continue"/>
            <w:shd w:val="clear" w:color="auto" w:fill="F0F5FF"/>
          </w:tcPr>
          <w:p>
            <w:pPr>
              <w:spacing w:after="0"/>
              <w:rPr>
                <w:sz w:val="10"/>
                <w:szCs w:val="10"/>
                <w:color w:val="auto"/>
              </w:rPr>
            </w:pPr>
          </w:p>
        </w:tc>
        <w:tc>
          <w:tcPr>
            <w:tcW w:w="840" w:type="dxa"/>
            <w:vAlign w:val="bottom"/>
            <w:vMerge w:val="continue"/>
          </w:tcPr>
          <w:p>
            <w:pPr>
              <w:spacing w:after="0"/>
              <w:rPr>
                <w:sz w:val="10"/>
                <w:szCs w:val="10"/>
                <w:color w:val="auto"/>
              </w:rPr>
            </w:pPr>
          </w:p>
        </w:tc>
        <w:tc>
          <w:tcPr>
            <w:tcW w:w="520" w:type="dxa"/>
            <w:vAlign w:val="bottom"/>
            <w:vMerge w:val="continue"/>
          </w:tcPr>
          <w:p>
            <w:pPr>
              <w:spacing w:after="0"/>
              <w:rPr>
                <w:sz w:val="10"/>
                <w:szCs w:val="10"/>
                <w:color w:val="auto"/>
              </w:rPr>
            </w:pPr>
          </w:p>
        </w:tc>
        <w:tc>
          <w:tcPr>
            <w:tcW w:w="180" w:type="dxa"/>
            <w:vAlign w:val="bottom"/>
          </w:tcPr>
          <w:p>
            <w:pPr>
              <w:spacing w:after="0"/>
              <w:rPr>
                <w:sz w:val="10"/>
                <w:szCs w:val="10"/>
                <w:color w:val="auto"/>
              </w:rPr>
            </w:pPr>
          </w:p>
        </w:tc>
        <w:tc>
          <w:tcPr>
            <w:tcW w:w="2040" w:type="dxa"/>
            <w:vAlign w:val="bottom"/>
          </w:tcPr>
          <w:p>
            <w:pPr>
              <w:ind w:left="60"/>
              <w:spacing w:after="0"/>
              <w:rPr>
                <w:sz w:val="20"/>
                <w:szCs w:val="20"/>
                <w:color w:val="auto"/>
              </w:rPr>
            </w:pPr>
            <w:r>
              <w:rPr>
                <w:rFonts w:ascii="Times New Roman" w:cs="Times New Roman" w:eastAsia="Times New Roman" w:hAnsi="Times New Roman"/>
                <w:sz w:val="8"/>
                <w:szCs w:val="8"/>
                <w:color w:val="auto"/>
              </w:rPr>
              <w:t>consolidated income statement.</w:t>
            </w:r>
          </w:p>
        </w:tc>
        <w:tc>
          <w:tcPr>
            <w:tcW w:w="400" w:type="dxa"/>
            <w:vAlign w:val="bottom"/>
          </w:tcPr>
          <w:p>
            <w:pPr>
              <w:spacing w:after="0"/>
              <w:rPr>
                <w:sz w:val="10"/>
                <w:szCs w:val="10"/>
                <w:color w:val="auto"/>
              </w:rPr>
            </w:pPr>
          </w:p>
        </w:tc>
        <w:tc>
          <w:tcPr>
            <w:tcW w:w="440" w:type="dxa"/>
            <w:vAlign w:val="bottom"/>
          </w:tcPr>
          <w:p>
            <w:pPr>
              <w:spacing w:after="0"/>
              <w:rPr>
                <w:sz w:val="10"/>
                <w:szCs w:val="10"/>
                <w:color w:val="auto"/>
              </w:rPr>
            </w:pPr>
          </w:p>
        </w:tc>
        <w:tc>
          <w:tcPr>
            <w:tcW w:w="38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of other non-current financial assets</w:t>
            </w:r>
          </w:p>
        </w:tc>
        <w:tc>
          <w:tcPr>
            <w:tcW w:w="940" w:type="dxa"/>
            <w:vAlign w:val="bottom"/>
          </w:tcPr>
          <w:p>
            <w:pPr>
              <w:spacing w:after="0"/>
              <w:rPr>
                <w:sz w:val="14"/>
                <w:szCs w:val="14"/>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(83)</w:t>
            </w:r>
          </w:p>
        </w:tc>
        <w:tc>
          <w:tcPr>
            <w:tcW w:w="84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(115)</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(77)</w:t>
            </w:r>
          </w:p>
        </w:tc>
        <w:tc>
          <w:tcPr>
            <w:tcW w:w="180" w:type="dxa"/>
            <w:vAlign w:val="bottom"/>
          </w:tcPr>
          <w:p>
            <w:pPr>
              <w:spacing w:after="0"/>
              <w:rPr>
                <w:sz w:val="14"/>
                <w:szCs w:val="14"/>
                <w:color w:val="auto"/>
              </w:rPr>
            </w:pPr>
          </w:p>
        </w:tc>
        <w:tc>
          <w:tcPr>
            <w:tcW w:w="2040" w:type="dxa"/>
            <w:vAlign w:val="bottom"/>
          </w:tcPr>
          <w:p>
            <w:pPr>
              <w:ind w:left="40"/>
              <w:spacing w:after="0"/>
              <w:rPr>
                <w:sz w:val="20"/>
                <w:szCs w:val="20"/>
                <w:color w:val="auto"/>
              </w:rPr>
            </w:pPr>
            <w:r>
              <w:rPr>
                <w:rFonts w:ascii="Times New Roman" w:cs="Times New Roman" w:eastAsia="Times New Roman" w:hAnsi="Times New Roman"/>
                <w:sz w:val="8"/>
                <w:szCs w:val="8"/>
                <w:color w:val="auto"/>
              </w:rPr>
              <w:t>(2) Change in net working capital</w:t>
            </w: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Proceeds from other non-current financial assets</w:t>
            </w:r>
          </w:p>
        </w:tc>
        <w:tc>
          <w:tcPr>
            <w:tcW w:w="940" w:type="dxa"/>
            <w:vAlign w:val="bottom"/>
          </w:tcPr>
          <w:p>
            <w:pPr>
              <w:spacing w:after="0"/>
              <w:rPr>
                <w:sz w:val="12"/>
                <w:szCs w:val="12"/>
                <w:color w:val="auto"/>
              </w:rPr>
            </w:pPr>
          </w:p>
        </w:tc>
        <w:tc>
          <w:tcPr>
            <w:tcW w:w="680" w:type="dxa"/>
            <w:vAlign w:val="bottom"/>
            <w:tcBorders>
              <w:bottom w:val="single" w:sz="8" w:color="F0F5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34</w:t>
            </w:r>
          </w:p>
        </w:tc>
        <w:tc>
          <w:tcPr>
            <w:tcW w:w="84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49</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277</w:t>
            </w:r>
          </w:p>
        </w:tc>
        <w:tc>
          <w:tcPr>
            <w:tcW w:w="180" w:type="dxa"/>
            <w:vAlign w:val="bottom"/>
          </w:tcPr>
          <w:p>
            <w:pPr>
              <w:spacing w:after="0"/>
              <w:rPr>
                <w:sz w:val="12"/>
                <w:szCs w:val="12"/>
                <w:color w:val="auto"/>
              </w:rPr>
            </w:pPr>
          </w:p>
        </w:tc>
        <w:tc>
          <w:tcPr>
            <w:tcW w:w="20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44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3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6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94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30</w:t>
            </w:r>
          </w:p>
        </w:tc>
        <w:tc>
          <w:tcPr>
            <w:tcW w:w="8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(28)</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(58)</w:t>
            </w:r>
          </w:p>
        </w:tc>
        <w:tc>
          <w:tcPr>
            <w:tcW w:w="180" w:type="dxa"/>
            <w:vAlign w:val="bottom"/>
          </w:tcPr>
          <w:p>
            <w:pPr>
              <w:spacing w:after="0"/>
              <w:rPr>
                <w:sz w:val="14"/>
                <w:szCs w:val="14"/>
                <w:color w:val="auto"/>
              </w:rPr>
            </w:pPr>
          </w:p>
        </w:tc>
        <w:tc>
          <w:tcPr>
            <w:tcW w:w="20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Decrease/(increase) in receivables</w:t>
            </w:r>
          </w:p>
        </w:tc>
        <w:tc>
          <w:tcPr>
            <w:tcW w:w="400" w:type="dxa"/>
            <w:vAlign w:val="bottom"/>
            <w:tcBorders>
              <w:bottom w:val="single" w:sz="8" w:color="F0F5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304</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(451)</w:t>
            </w:r>
          </w:p>
        </w:tc>
        <w:tc>
          <w:tcPr>
            <w:tcW w:w="3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239</w:t>
            </w:r>
          </w:p>
        </w:tc>
        <w:tc>
          <w:tcPr>
            <w:tcW w:w="0" w:type="dxa"/>
            <w:vAlign w:val="bottom"/>
          </w:tcPr>
          <w:p>
            <w:pPr>
              <w:spacing w:after="0"/>
              <w:rPr>
                <w:sz w:val="1"/>
                <w:szCs w:val="1"/>
                <w:color w:val="auto"/>
              </w:rPr>
            </w:pPr>
          </w:p>
        </w:tc>
      </w:tr>
      <w:tr>
        <w:trPr>
          <w:trHeight w:val="14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cash flows from/(used in) investing activities</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1 043</w:t>
            </w:r>
          </w:p>
        </w:tc>
        <w:tc>
          <w:tcPr>
            <w:tcW w:w="84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(1 880)</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(1 795)</w:t>
            </w:r>
          </w:p>
        </w:tc>
        <w:tc>
          <w:tcPr>
            <w:tcW w:w="180" w:type="dxa"/>
            <w:vAlign w:val="bottom"/>
          </w:tcPr>
          <w:p>
            <w:pPr>
              <w:spacing w:after="0"/>
              <w:rPr>
                <w:sz w:val="12"/>
                <w:szCs w:val="12"/>
                <w:color w:val="auto"/>
              </w:rPr>
            </w:pPr>
          </w:p>
        </w:tc>
        <w:tc>
          <w:tcPr>
            <w:tcW w:w="2040" w:type="dxa"/>
            <w:vAlign w:val="bottom"/>
          </w:tcPr>
          <w:p>
            <w:pPr>
              <w:ind w:left="40"/>
              <w:spacing w:after="0" w:line="111" w:lineRule="exact"/>
              <w:rPr>
                <w:sz w:val="20"/>
                <w:szCs w:val="20"/>
                <w:color w:val="auto"/>
              </w:rPr>
            </w:pPr>
            <w:r>
              <w:rPr>
                <w:rFonts w:ascii="Times New Roman" w:cs="Times New Roman" w:eastAsia="Times New Roman" w:hAnsi="Times New Roman"/>
                <w:sz w:val="10"/>
                <w:szCs w:val="10"/>
                <w:color w:val="0D0D0D"/>
              </w:rPr>
              <w:t>Decrease/(increase) in inventories</w:t>
            </w:r>
          </w:p>
        </w:tc>
        <w:tc>
          <w:tcPr>
            <w:tcW w:w="400" w:type="dxa"/>
            <w:vAlign w:val="bottom"/>
            <w:tcBorders>
              <w:bottom w:val="single" w:sz="8" w:color="F0F5FF"/>
            </w:tcBorders>
            <w:shd w:val="clear" w:color="auto" w:fill="F0F5FF"/>
          </w:tcPr>
          <w:p>
            <w:pPr>
              <w:jc w:val="right"/>
              <w:ind w:right="11"/>
              <w:spacing w:after="0" w:line="111" w:lineRule="exact"/>
              <w:rPr>
                <w:sz w:val="20"/>
                <w:szCs w:val="20"/>
                <w:color w:val="auto"/>
              </w:rPr>
            </w:pPr>
            <w:r>
              <w:rPr>
                <w:rFonts w:ascii="Times New Roman" w:cs="Times New Roman" w:eastAsia="Times New Roman" w:hAnsi="Times New Roman"/>
                <w:sz w:val="10"/>
                <w:szCs w:val="10"/>
                <w:color w:val="005AFF"/>
              </w:rPr>
              <w:t>443</w:t>
            </w:r>
          </w:p>
        </w:tc>
        <w:tc>
          <w:tcPr>
            <w:tcW w:w="440" w:type="dxa"/>
            <w:vAlign w:val="bottom"/>
          </w:tcPr>
          <w:p>
            <w:pPr>
              <w:jc w:val="right"/>
              <w:ind w:right="11"/>
              <w:spacing w:after="0" w:line="111" w:lineRule="exact"/>
              <w:rPr>
                <w:sz w:val="20"/>
                <w:szCs w:val="20"/>
                <w:color w:val="auto"/>
              </w:rPr>
            </w:pPr>
            <w:r>
              <w:rPr>
                <w:rFonts w:ascii="Times New Roman" w:cs="Times New Roman" w:eastAsia="Times New Roman" w:hAnsi="Times New Roman"/>
                <w:sz w:val="10"/>
                <w:szCs w:val="10"/>
                <w:color w:val="0D0D0D"/>
              </w:rPr>
              <w:t>(991)</w:t>
            </w:r>
          </w:p>
        </w:tc>
        <w:tc>
          <w:tcPr>
            <w:tcW w:w="380" w:type="dxa"/>
            <w:vAlign w:val="bottom"/>
          </w:tcPr>
          <w:p>
            <w:pPr>
              <w:jc w:val="right"/>
              <w:spacing w:after="0" w:line="111" w:lineRule="exact"/>
              <w:rPr>
                <w:sz w:val="20"/>
                <w:szCs w:val="20"/>
                <w:color w:val="auto"/>
              </w:rPr>
            </w:pPr>
            <w:r>
              <w:rPr>
                <w:rFonts w:ascii="Times New Roman" w:cs="Times New Roman" w:eastAsia="Times New Roman" w:hAnsi="Times New Roman"/>
                <w:sz w:val="10"/>
                <w:szCs w:val="10"/>
                <w:color w:val="0D0D0D"/>
              </w:rPr>
              <w:t>(48)</w:t>
            </w:r>
          </w:p>
        </w:tc>
        <w:tc>
          <w:tcPr>
            <w:tcW w:w="0" w:type="dxa"/>
            <w:vAlign w:val="bottom"/>
          </w:tcPr>
          <w:p>
            <w:pPr>
              <w:spacing w:after="0"/>
              <w:rPr>
                <w:sz w:val="1"/>
                <w:szCs w:val="1"/>
                <w:color w:val="auto"/>
              </w:rPr>
            </w:pPr>
          </w:p>
        </w:tc>
      </w:tr>
      <w:tr>
        <w:trPr>
          <w:trHeight w:val="121"/>
        </w:trPr>
        <w:tc>
          <w:tcPr>
            <w:tcW w:w="3640" w:type="dxa"/>
            <w:vAlign w:val="bottom"/>
          </w:tcPr>
          <w:p>
            <w:pPr>
              <w:ind w:left="40"/>
              <w:spacing w:after="0" w:line="102" w:lineRule="exact"/>
              <w:rPr>
                <w:sz w:val="20"/>
                <w:szCs w:val="20"/>
                <w:color w:val="auto"/>
              </w:rPr>
            </w:pPr>
            <w:r>
              <w:rPr>
                <w:rFonts w:ascii="Times New Roman" w:cs="Times New Roman" w:eastAsia="Times New Roman" w:hAnsi="Times New Roman"/>
                <w:sz w:val="10"/>
                <w:szCs w:val="10"/>
                <w:color w:val="0D0D0D"/>
              </w:rPr>
              <w:t>Acquisition of treasury shares</w:t>
            </w:r>
          </w:p>
        </w:tc>
        <w:tc>
          <w:tcPr>
            <w:tcW w:w="94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F0F5FF"/>
            </w:tcBorders>
            <w:shd w:val="clear" w:color="auto" w:fill="F0F5FF"/>
          </w:tcPr>
          <w:p>
            <w:pPr>
              <w:jc w:val="right"/>
              <w:spacing w:after="0" w:line="102" w:lineRule="exact"/>
              <w:rPr>
                <w:sz w:val="20"/>
                <w:szCs w:val="20"/>
                <w:color w:val="auto"/>
              </w:rPr>
            </w:pPr>
            <w:r>
              <w:rPr>
                <w:rFonts w:ascii="Times New Roman" w:cs="Times New Roman" w:eastAsia="Times New Roman" w:hAnsi="Times New Roman"/>
                <w:sz w:val="10"/>
                <w:szCs w:val="10"/>
                <w:color w:val="005AFF"/>
              </w:rPr>
              <w:t>(300)</w:t>
            </w:r>
          </w:p>
        </w:tc>
        <w:tc>
          <w:tcPr>
            <w:tcW w:w="840" w:type="dxa"/>
            <w:vAlign w:val="bottom"/>
          </w:tcPr>
          <w:p>
            <w:pPr>
              <w:jc w:val="right"/>
              <w:ind w:right="150"/>
              <w:spacing w:after="0" w:line="102" w:lineRule="exact"/>
              <w:rPr>
                <w:sz w:val="20"/>
                <w:szCs w:val="20"/>
                <w:color w:val="auto"/>
              </w:rPr>
            </w:pPr>
            <w:r>
              <w:rPr>
                <w:rFonts w:ascii="Times New Roman" w:cs="Times New Roman" w:eastAsia="Times New Roman" w:hAnsi="Times New Roman"/>
                <w:sz w:val="10"/>
                <w:szCs w:val="10"/>
                <w:color w:val="0D0D0D"/>
              </w:rPr>
              <w:t>(300)</w:t>
            </w:r>
          </w:p>
        </w:tc>
        <w:tc>
          <w:tcPr>
            <w:tcW w:w="700" w:type="dxa"/>
            <w:vAlign w:val="bottom"/>
            <w:gridSpan w:val="2"/>
          </w:tcPr>
          <w:p>
            <w:pPr>
              <w:jc w:val="right"/>
              <w:ind w:right="220"/>
              <w:spacing w:after="0" w:line="102" w:lineRule="exact"/>
              <w:rPr>
                <w:sz w:val="20"/>
                <w:szCs w:val="20"/>
                <w:color w:val="auto"/>
              </w:rPr>
            </w:pPr>
            <w:r>
              <w:rPr>
                <w:rFonts w:ascii="Times New Roman" w:cs="Times New Roman" w:eastAsia="Times New Roman" w:hAnsi="Times New Roman"/>
                <w:sz w:val="10"/>
                <w:szCs w:val="10"/>
                <w:color w:val="0D0D0D"/>
              </w:rPr>
              <w:t>—</w:t>
            </w:r>
          </w:p>
        </w:tc>
        <w:tc>
          <w:tcPr>
            <w:tcW w:w="2040" w:type="dxa"/>
            <w:vAlign w:val="bottom"/>
            <w:tcBorders>
              <w:bottom w:val="single" w:sz="8" w:color="005AFF"/>
            </w:tcBorders>
          </w:tcPr>
          <w:p>
            <w:pPr>
              <w:ind w:left="40"/>
              <w:spacing w:after="0" w:line="102" w:lineRule="exact"/>
              <w:rPr>
                <w:sz w:val="20"/>
                <w:szCs w:val="20"/>
                <w:color w:val="auto"/>
              </w:rPr>
            </w:pPr>
            <w:r>
              <w:rPr>
                <w:rFonts w:ascii="Times New Roman" w:cs="Times New Roman" w:eastAsia="Times New Roman" w:hAnsi="Times New Roman"/>
                <w:sz w:val="10"/>
                <w:szCs w:val="10"/>
                <w:color w:val="0D0D0D"/>
              </w:rPr>
              <w:t>Decrease in non-interest-bearing liabilities</w:t>
            </w:r>
          </w:p>
        </w:tc>
        <w:tc>
          <w:tcPr>
            <w:tcW w:w="400" w:type="dxa"/>
            <w:vAlign w:val="bottom"/>
            <w:tcBorders>
              <w:bottom w:val="single" w:sz="8" w:color="005AFF"/>
            </w:tcBorders>
            <w:shd w:val="clear" w:color="auto" w:fill="F0F5FF"/>
          </w:tcPr>
          <w:p>
            <w:pPr>
              <w:jc w:val="right"/>
              <w:spacing w:after="0" w:line="102" w:lineRule="exact"/>
              <w:rPr>
                <w:sz w:val="20"/>
                <w:szCs w:val="20"/>
                <w:color w:val="auto"/>
              </w:rPr>
            </w:pPr>
            <w:r>
              <w:rPr>
                <w:rFonts w:ascii="Times New Roman" w:cs="Times New Roman" w:eastAsia="Times New Roman" w:hAnsi="Times New Roman"/>
                <w:sz w:val="10"/>
                <w:szCs w:val="10"/>
                <w:color w:val="005AFF"/>
              </w:rPr>
              <w:t>(2 029)</w:t>
            </w:r>
          </w:p>
        </w:tc>
        <w:tc>
          <w:tcPr>
            <w:tcW w:w="440" w:type="dxa"/>
            <w:vAlign w:val="bottom"/>
            <w:tcBorders>
              <w:bottom w:val="single" w:sz="8" w:color="005AFF"/>
            </w:tcBorders>
          </w:tcPr>
          <w:p>
            <w:pPr>
              <w:jc w:val="right"/>
              <w:ind w:right="11"/>
              <w:spacing w:after="0" w:line="102" w:lineRule="exact"/>
              <w:rPr>
                <w:sz w:val="20"/>
                <w:szCs w:val="20"/>
                <w:color w:val="auto"/>
              </w:rPr>
            </w:pPr>
            <w:r>
              <w:rPr>
                <w:rFonts w:ascii="Times New Roman" w:cs="Times New Roman" w:eastAsia="Times New Roman" w:hAnsi="Times New Roman"/>
                <w:sz w:val="10"/>
                <w:szCs w:val="10"/>
                <w:color w:val="0D0D0D"/>
              </w:rPr>
              <w:t>(401)</w:t>
            </w:r>
          </w:p>
        </w:tc>
        <w:tc>
          <w:tcPr>
            <w:tcW w:w="380" w:type="dxa"/>
            <w:vAlign w:val="bottom"/>
            <w:tcBorders>
              <w:bottom w:val="single" w:sz="8" w:color="005AFF"/>
            </w:tcBorders>
          </w:tcPr>
          <w:p>
            <w:pPr>
              <w:jc w:val="right"/>
              <w:spacing w:after="0" w:line="102" w:lineRule="exact"/>
              <w:rPr>
                <w:sz w:val="20"/>
                <w:szCs w:val="20"/>
                <w:color w:val="auto"/>
              </w:rPr>
            </w:pPr>
            <w:r>
              <w:rPr>
                <w:rFonts w:ascii="Times New Roman" w:cs="Times New Roman" w:eastAsia="Times New Roman" w:hAnsi="Times New Roman"/>
                <w:sz w:val="10"/>
                <w:szCs w:val="10"/>
                <w:color w:val="0D0D0D"/>
              </w:rPr>
              <w:t>(459)</w:t>
            </w:r>
          </w:p>
        </w:tc>
        <w:tc>
          <w:tcPr>
            <w:tcW w:w="0" w:type="dxa"/>
            <w:vAlign w:val="bottom"/>
          </w:tcPr>
          <w:p>
            <w:pPr>
              <w:spacing w:after="0"/>
              <w:rPr>
                <w:sz w:val="1"/>
                <w:szCs w:val="1"/>
                <w:color w:val="auto"/>
              </w:rPr>
            </w:pPr>
          </w:p>
        </w:tc>
      </w:tr>
      <w:tr>
        <w:trPr>
          <w:trHeight w:val="14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Proceeds from long-term borrowings</w:t>
            </w:r>
          </w:p>
        </w:tc>
        <w:tc>
          <w:tcPr>
            <w:tcW w:w="94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5.4</w:t>
            </w:r>
          </w:p>
        </w:tc>
        <w:tc>
          <w:tcPr>
            <w:tcW w:w="680" w:type="dxa"/>
            <w:vAlign w:val="bottom"/>
            <w:tcBorders>
              <w:bottom w:val="single" w:sz="8" w:color="F0F5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496</w:t>
            </w:r>
          </w:p>
        </w:tc>
        <w:tc>
          <w:tcPr>
            <w:tcW w:w="84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8</w:t>
            </w: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17</w:t>
            </w:r>
          </w:p>
        </w:tc>
        <w:tc>
          <w:tcPr>
            <w:tcW w:w="180" w:type="dxa"/>
            <w:vAlign w:val="bottom"/>
          </w:tcPr>
          <w:p>
            <w:pPr>
              <w:spacing w:after="0"/>
              <w:rPr>
                <w:sz w:val="12"/>
                <w:szCs w:val="12"/>
                <w:color w:val="auto"/>
              </w:rPr>
            </w:pPr>
          </w:p>
        </w:tc>
        <w:tc>
          <w:tcPr>
            <w:tcW w:w="20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4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(1 282)</w:t>
            </w:r>
          </w:p>
        </w:tc>
        <w:tc>
          <w:tcPr>
            <w:tcW w:w="4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(1 843)</w:t>
            </w:r>
          </w:p>
        </w:tc>
        <w:tc>
          <w:tcPr>
            <w:tcW w:w="3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(268)</w:t>
            </w:r>
          </w:p>
        </w:tc>
        <w:tc>
          <w:tcPr>
            <w:tcW w:w="0" w:type="dxa"/>
            <w:vAlign w:val="bottom"/>
          </w:tcPr>
          <w:p>
            <w:pPr>
              <w:spacing w:after="0"/>
              <w:rPr>
                <w:sz w:val="1"/>
                <w:szCs w:val="1"/>
                <w:color w:val="auto"/>
              </w:rPr>
            </w:pPr>
          </w:p>
        </w:tc>
      </w:tr>
      <w:tr>
        <w:trPr>
          <w:trHeight w:val="166"/>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Repayment of long-term borrowings</w:t>
            </w:r>
          </w:p>
        </w:tc>
        <w:tc>
          <w:tcPr>
            <w:tcW w:w="94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5.4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(798)</w:t>
            </w:r>
          </w:p>
        </w:tc>
        <w:tc>
          <w:tcPr>
            <w:tcW w:w="84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(2)</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(927)</w:t>
            </w:r>
          </w:p>
        </w:tc>
        <w:tc>
          <w:tcPr>
            <w:tcW w:w="180" w:type="dxa"/>
            <w:vAlign w:val="bottom"/>
          </w:tcPr>
          <w:p>
            <w:pPr>
              <w:spacing w:after="0"/>
              <w:rPr>
                <w:sz w:val="14"/>
                <w:szCs w:val="14"/>
                <w:color w:val="auto"/>
              </w:rPr>
            </w:pPr>
          </w:p>
        </w:tc>
        <w:tc>
          <w:tcPr>
            <w:tcW w:w="2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(Repayment of)/proceeds from short-term borrowings</w:t>
            </w:r>
          </w:p>
        </w:tc>
        <w:tc>
          <w:tcPr>
            <w:tcW w:w="940" w:type="dxa"/>
            <w:vAlign w:val="bottom"/>
          </w:tcPr>
          <w:p>
            <w:pPr>
              <w:jc w:val="right"/>
              <w:spacing w:after="0"/>
              <w:rPr>
                <w:sz w:val="20"/>
                <w:szCs w:val="20"/>
                <w:color w:val="auto"/>
              </w:rPr>
            </w:pPr>
            <w:r>
              <w:rPr>
                <w:rFonts w:ascii="Times New Roman" w:cs="Times New Roman" w:eastAsia="Times New Roman" w:hAnsi="Times New Roman"/>
                <w:sz w:val="8"/>
                <w:szCs w:val="8"/>
                <w:color w:val="0D0D0D"/>
              </w:rPr>
              <w:t>5.4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(40)</w:t>
            </w:r>
          </w:p>
        </w:tc>
        <w:tc>
          <w:tcPr>
            <w:tcW w:w="840" w:type="dxa"/>
            <w:vAlign w:val="bottom"/>
          </w:tcPr>
          <w:p>
            <w:pPr>
              <w:jc w:val="right"/>
              <w:ind w:right="190"/>
              <w:spacing w:after="0"/>
              <w:rPr>
                <w:sz w:val="20"/>
                <w:szCs w:val="20"/>
                <w:color w:val="auto"/>
              </w:rPr>
            </w:pPr>
            <w:r>
              <w:rPr>
                <w:rFonts w:ascii="Times New Roman" w:cs="Times New Roman" w:eastAsia="Times New Roman" w:hAnsi="Times New Roman"/>
                <w:sz w:val="10"/>
                <w:szCs w:val="10"/>
                <w:color w:val="0D0D0D"/>
              </w:rPr>
              <w:t>27</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(67)</w:t>
            </w:r>
          </w:p>
        </w:tc>
        <w:tc>
          <w:tcPr>
            <w:tcW w:w="180" w:type="dxa"/>
            <w:vAlign w:val="bottom"/>
          </w:tcPr>
          <w:p>
            <w:pPr>
              <w:spacing w:after="0"/>
              <w:rPr>
                <w:sz w:val="14"/>
                <w:szCs w:val="14"/>
                <w:color w:val="auto"/>
              </w:rPr>
            </w:pPr>
          </w:p>
        </w:tc>
        <w:tc>
          <w:tcPr>
            <w:tcW w:w="2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Payment of principal portion of lease liabilities</w:t>
            </w:r>
          </w:p>
        </w:tc>
        <w:tc>
          <w:tcPr>
            <w:tcW w:w="940" w:type="dxa"/>
            <w:vAlign w:val="bottom"/>
          </w:tcPr>
          <w:p>
            <w:pPr>
              <w:jc w:val="right"/>
              <w:ind w:right="20"/>
              <w:spacing w:after="0"/>
              <w:rPr>
                <w:sz w:val="20"/>
                <w:szCs w:val="20"/>
                <w:color w:val="auto"/>
              </w:rPr>
            </w:pPr>
            <w:r>
              <w:rPr>
                <w:rFonts w:ascii="Times New Roman" w:cs="Times New Roman" w:eastAsia="Times New Roman" w:hAnsi="Times New Roman"/>
                <w:sz w:val="8"/>
                <w:szCs w:val="8"/>
                <w:color w:val="0D0D0D"/>
              </w:rPr>
              <w:t>4.3, 5.4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(239)</w:t>
            </w:r>
          </w:p>
        </w:tc>
        <w:tc>
          <w:tcPr>
            <w:tcW w:w="84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(217)</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(226)</w:t>
            </w:r>
          </w:p>
        </w:tc>
        <w:tc>
          <w:tcPr>
            <w:tcW w:w="180" w:type="dxa"/>
            <w:vAlign w:val="bottom"/>
          </w:tcPr>
          <w:p>
            <w:pPr>
              <w:spacing w:after="0"/>
              <w:rPr>
                <w:sz w:val="14"/>
                <w:szCs w:val="14"/>
                <w:color w:val="auto"/>
              </w:rPr>
            </w:pPr>
          </w:p>
        </w:tc>
        <w:tc>
          <w:tcPr>
            <w:tcW w:w="2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5"/>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Dividends paid</w:t>
            </w:r>
          </w:p>
        </w:tc>
        <w:tc>
          <w:tcPr>
            <w:tcW w:w="9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(621)</w:t>
            </w:r>
          </w:p>
        </w:tc>
        <w:tc>
          <w:tcPr>
            <w:tcW w:w="84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(353)</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w:t>
            </w:r>
          </w:p>
        </w:tc>
        <w:tc>
          <w:tcPr>
            <w:tcW w:w="180" w:type="dxa"/>
            <w:vAlign w:val="bottom"/>
          </w:tcPr>
          <w:p>
            <w:pPr>
              <w:spacing w:after="0"/>
              <w:rPr>
                <w:sz w:val="14"/>
                <w:szCs w:val="14"/>
                <w:color w:val="auto"/>
              </w:rPr>
            </w:pPr>
          </w:p>
        </w:tc>
        <w:tc>
          <w:tcPr>
            <w:tcW w:w="2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0"/>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cash flows used in financing activities</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(1 502)</w:t>
            </w:r>
          </w:p>
        </w:tc>
        <w:tc>
          <w:tcPr>
            <w:tcW w:w="84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(837)</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(1 212)</w:t>
            </w:r>
          </w:p>
        </w:tc>
        <w:tc>
          <w:tcPr>
            <w:tcW w:w="180" w:type="dxa"/>
            <w:vAlign w:val="bottom"/>
          </w:tcPr>
          <w:p>
            <w:pPr>
              <w:spacing w:after="0"/>
              <w:rPr>
                <w:sz w:val="12"/>
                <w:szCs w:val="12"/>
                <w:color w:val="auto"/>
              </w:rPr>
            </w:pPr>
          </w:p>
        </w:tc>
        <w:tc>
          <w:tcPr>
            <w:tcW w:w="20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(91)</w:t>
            </w:r>
          </w:p>
        </w:tc>
        <w:tc>
          <w:tcPr>
            <w:tcW w:w="84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19</w:t>
            </w:r>
          </w:p>
        </w:tc>
        <w:tc>
          <w:tcPr>
            <w:tcW w:w="52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133</w:t>
            </w:r>
          </w:p>
        </w:tc>
        <w:tc>
          <w:tcPr>
            <w:tcW w:w="180" w:type="dxa"/>
            <w:vAlign w:val="bottom"/>
          </w:tcPr>
          <w:p>
            <w:pPr>
              <w:spacing w:after="0"/>
              <w:rPr>
                <w:sz w:val="12"/>
                <w:szCs w:val="12"/>
                <w:color w:val="auto"/>
              </w:rPr>
            </w:pPr>
          </w:p>
        </w:tc>
        <w:tc>
          <w:tcPr>
            <w:tcW w:w="20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increase/(decrease) in cash and cash equivalents</w:t>
            </w:r>
          </w:p>
        </w:tc>
        <w:tc>
          <w:tcPr>
            <w:tcW w:w="94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767</w:t>
            </w:r>
          </w:p>
        </w:tc>
        <w:tc>
          <w:tcPr>
            <w:tcW w:w="84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b w:val="1"/>
                <w:bCs w:val="1"/>
                <w:color w:val="auto"/>
              </w:rPr>
              <w:t>(1 224)</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(249)</w:t>
            </w:r>
          </w:p>
        </w:tc>
        <w:tc>
          <w:tcPr>
            <w:tcW w:w="180" w:type="dxa"/>
            <w:vAlign w:val="bottom"/>
          </w:tcPr>
          <w:p>
            <w:pPr>
              <w:spacing w:after="0"/>
              <w:rPr>
                <w:sz w:val="12"/>
                <w:szCs w:val="12"/>
                <w:color w:val="auto"/>
              </w:rPr>
            </w:pPr>
          </w:p>
        </w:tc>
        <w:tc>
          <w:tcPr>
            <w:tcW w:w="20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4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7"/>
        </w:trPr>
        <w:tc>
          <w:tcPr>
            <w:tcW w:w="3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and cash equivalents at 1 January</w:t>
            </w:r>
          </w:p>
        </w:tc>
        <w:tc>
          <w:tcPr>
            <w:tcW w:w="940" w:type="dxa"/>
            <w:vAlign w:val="bottom"/>
          </w:tcPr>
          <w:p>
            <w:pPr>
              <w:spacing w:after="0"/>
              <w:rPr>
                <w:sz w:val="11"/>
                <w:szCs w:val="11"/>
                <w:color w:val="auto"/>
              </w:rPr>
            </w:pP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5 467</w:t>
            </w:r>
          </w:p>
        </w:tc>
        <w:tc>
          <w:tcPr>
            <w:tcW w:w="840" w:type="dxa"/>
            <w:vAlign w:val="bottom"/>
          </w:tcPr>
          <w:p>
            <w:pPr>
              <w:jc w:val="right"/>
              <w:ind w:right="210"/>
              <w:spacing w:after="0"/>
              <w:rPr>
                <w:sz w:val="20"/>
                <w:szCs w:val="20"/>
                <w:color w:val="auto"/>
              </w:rPr>
            </w:pPr>
            <w:r>
              <w:rPr>
                <w:rFonts w:ascii="Times New Roman" w:cs="Times New Roman" w:eastAsia="Times New Roman" w:hAnsi="Times New Roman"/>
                <w:sz w:val="10"/>
                <w:szCs w:val="10"/>
                <w:color w:val="0D0D0D"/>
              </w:rPr>
              <w:t>6 691</w:t>
            </w:r>
          </w:p>
        </w:tc>
        <w:tc>
          <w:tcPr>
            <w:tcW w:w="52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6 940</w:t>
            </w:r>
          </w:p>
        </w:tc>
        <w:tc>
          <w:tcPr>
            <w:tcW w:w="180" w:type="dxa"/>
            <w:vAlign w:val="bottom"/>
          </w:tcPr>
          <w:p>
            <w:pPr>
              <w:spacing w:after="0"/>
              <w:rPr>
                <w:sz w:val="11"/>
                <w:szCs w:val="11"/>
                <w:color w:val="auto"/>
              </w:rPr>
            </w:pPr>
          </w:p>
        </w:tc>
        <w:tc>
          <w:tcPr>
            <w:tcW w:w="2040" w:type="dxa"/>
            <w:vAlign w:val="bottom"/>
          </w:tcPr>
          <w:p>
            <w:pPr>
              <w:spacing w:after="0"/>
              <w:rPr>
                <w:sz w:val="11"/>
                <w:szCs w:val="11"/>
                <w:color w:val="auto"/>
              </w:rPr>
            </w:pPr>
          </w:p>
        </w:tc>
        <w:tc>
          <w:tcPr>
            <w:tcW w:w="400" w:type="dxa"/>
            <w:vAlign w:val="bottom"/>
          </w:tcPr>
          <w:p>
            <w:pPr>
              <w:spacing w:after="0"/>
              <w:rPr>
                <w:sz w:val="11"/>
                <w:szCs w:val="11"/>
                <w:color w:val="auto"/>
              </w:rPr>
            </w:pPr>
          </w:p>
        </w:tc>
        <w:tc>
          <w:tcPr>
            <w:tcW w:w="44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7"/>
        </w:trPr>
        <w:tc>
          <w:tcPr>
            <w:tcW w:w="3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Cash and cash equivalents at 31 December</w:t>
            </w:r>
          </w:p>
        </w:tc>
        <w:tc>
          <w:tcPr>
            <w:tcW w:w="94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6 234</w:t>
            </w:r>
          </w:p>
        </w:tc>
        <w:tc>
          <w:tcPr>
            <w:tcW w:w="84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b w:val="1"/>
                <w:bCs w:val="1"/>
                <w:color w:val="auto"/>
              </w:rPr>
              <w:t>5 467</w:t>
            </w:r>
          </w:p>
        </w:tc>
        <w:tc>
          <w:tcPr>
            <w:tcW w:w="52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6 691</w:t>
            </w:r>
          </w:p>
        </w:tc>
        <w:tc>
          <w:tcPr>
            <w:tcW w:w="180" w:type="dxa"/>
            <w:vAlign w:val="bottom"/>
          </w:tcPr>
          <w:p>
            <w:pPr>
              <w:spacing w:after="0"/>
              <w:rPr>
                <w:sz w:val="14"/>
                <w:szCs w:val="14"/>
                <w:color w:val="auto"/>
              </w:rPr>
            </w:pPr>
          </w:p>
        </w:tc>
        <w:tc>
          <w:tcPr>
            <w:tcW w:w="2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44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0" w:type="dxa"/>
            <w:vAlign w:val="bottom"/>
          </w:tcPr>
          <w:p>
            <w:pPr>
              <w:spacing w:after="0"/>
              <w:rPr>
                <w:sz w:val="1"/>
                <w:szCs w:val="1"/>
                <w:color w:val="auto"/>
              </w:rPr>
            </w:pPr>
          </w:p>
        </w:tc>
      </w:tr>
    </w:tbl>
    <w:p>
      <w:pPr>
        <w:spacing w:after="0" w:line="3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8"/>
          <w:szCs w:val="8"/>
          <w:color w:val="auto"/>
        </w:rPr>
        <w:t>The consolidated statement of cash flows combines cash flows from both continuing and discontinued operations.</w:t>
      </w:r>
    </w:p>
    <w:p>
      <w:pPr>
        <w:spacing w:after="0" w:line="100" w:lineRule="exact"/>
        <w:rPr>
          <w:sz w:val="20"/>
          <w:szCs w:val="20"/>
          <w:color w:val="auto"/>
        </w:rPr>
      </w:pPr>
    </w:p>
    <w:p>
      <w:pPr>
        <w:ind w:left="40"/>
        <w:spacing w:after="0"/>
        <w:rPr>
          <w:sz w:val="20"/>
          <w:szCs w:val="20"/>
          <w:color w:val="auto"/>
        </w:rPr>
      </w:pPr>
      <w:r>
        <w:rPr>
          <w:rFonts w:ascii="Times New Roman" w:cs="Times New Roman" w:eastAsia="Times New Roman" w:hAnsi="Times New Roman"/>
          <w:sz w:val="8"/>
          <w:szCs w:val="8"/>
          <w:color w:val="auto"/>
        </w:rPr>
        <w:t>The notes are an integral part of these consolidated financial statements.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60"/>
          </w:cols>
          <w:pgMar w:left="960" w:top="410" w:right="879" w:bottom="1440" w:gutter="0" w:footer="0" w:header="0"/>
        </w:sectPr>
      </w:pPr>
    </w:p>
    <w:bookmarkStart w:id="153" w:name="page154"/>
    <w:bookmarkEnd w:id="153"/>
    <w:tbl>
      <w:tblPr>
        <w:tblLayout w:type="fixed"/>
        <w:tblInd w:w="0" w:type="dxa"/>
        <w:tblCellMar>
          <w:top w:w="0" w:type="dxa"/>
          <w:left w:w="0" w:type="dxa"/>
          <w:bottom w:w="0" w:type="dxa"/>
          <w:right w:w="0" w:type="dxa"/>
        </w:tblCellMar>
      </w:tblPr>
      <w:tr>
        <w:trPr>
          <w:trHeight w:val="111"/>
        </w:trPr>
        <w:tc>
          <w:tcPr>
            <w:tcW w:w="88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480" w:type="dxa"/>
            <w:vAlign w:val="bottom"/>
          </w:tcPr>
          <w:p>
            <w:pPr>
              <w:ind w:left="40"/>
              <w:spacing w:after="0"/>
              <w:rPr>
                <w:sz w:val="20"/>
                <w:szCs w:val="20"/>
                <w:color w:val="auto"/>
              </w:rPr>
            </w:pPr>
            <w:r>
              <w:rPr>
                <w:rFonts w:ascii="Times New Roman" w:cs="Times New Roman" w:eastAsia="Times New Roman" w:hAnsi="Times New Roman"/>
                <w:sz w:val="9"/>
                <w:szCs w:val="9"/>
                <w:color w:val="auto"/>
              </w:rPr>
              <w:t>Corporate</w:t>
            </w:r>
          </w:p>
        </w:tc>
        <w:tc>
          <w:tcPr>
            <w:tcW w:w="500" w:type="dxa"/>
            <w:vAlign w:val="bottom"/>
          </w:tcPr>
          <w:p>
            <w:pPr>
              <w:spacing w:after="0"/>
              <w:rPr>
                <w:sz w:val="9"/>
                <w:szCs w:val="9"/>
                <w:color w:val="auto"/>
              </w:rPr>
            </w:pPr>
          </w:p>
        </w:tc>
        <w:tc>
          <w:tcPr>
            <w:tcW w:w="1120" w:type="dxa"/>
            <w:vAlign w:val="bottom"/>
          </w:tcPr>
          <w:p>
            <w:pPr>
              <w:ind w:left="80"/>
              <w:spacing w:after="0"/>
              <w:rPr>
                <w:sz w:val="20"/>
                <w:szCs w:val="20"/>
                <w:color w:val="auto"/>
              </w:rPr>
            </w:pPr>
            <w:r>
              <w:rPr>
                <w:rFonts w:ascii="Times New Roman" w:cs="Times New Roman" w:eastAsia="Times New Roman" w:hAnsi="Times New Roman"/>
                <w:sz w:val="9"/>
                <w:szCs w:val="9"/>
                <w:color w:val="auto"/>
              </w:rPr>
              <w:t>Operating and financial</w:t>
            </w:r>
          </w:p>
        </w:tc>
        <w:tc>
          <w:tcPr>
            <w:tcW w:w="380" w:type="dxa"/>
            <w:vAlign w:val="bottom"/>
          </w:tcPr>
          <w:p>
            <w:pPr>
              <w:spacing w:after="0"/>
              <w:rPr>
                <w:sz w:val="9"/>
                <w:szCs w:val="9"/>
                <w:color w:val="auto"/>
              </w:rPr>
            </w:pPr>
          </w:p>
        </w:tc>
        <w:tc>
          <w:tcPr>
            <w:tcW w:w="680" w:type="dxa"/>
            <w:vAlign w:val="bottom"/>
          </w:tcPr>
          <w:p>
            <w:pPr>
              <w:ind w:left="40"/>
              <w:spacing w:after="0"/>
              <w:rPr>
                <w:sz w:val="20"/>
                <w:szCs w:val="20"/>
                <w:color w:val="auto"/>
              </w:rPr>
            </w:pPr>
            <w:r>
              <w:rPr>
                <w:rFonts w:ascii="Times New Roman" w:cs="Times New Roman" w:eastAsia="Times New Roman" w:hAnsi="Times New Roman"/>
                <w:sz w:val="9"/>
                <w:szCs w:val="9"/>
                <w:color w:val="auto"/>
              </w:rPr>
              <w:t>General facts</w:t>
            </w:r>
          </w:p>
        </w:tc>
        <w:tc>
          <w:tcPr>
            <w:tcW w:w="420" w:type="dxa"/>
            <w:vAlign w:val="bottom"/>
          </w:tcPr>
          <w:p>
            <w:pPr>
              <w:spacing w:after="0"/>
              <w:rPr>
                <w:sz w:val="9"/>
                <w:szCs w:val="9"/>
                <w:color w:val="auto"/>
              </w:rPr>
            </w:pPr>
          </w:p>
        </w:tc>
        <w:tc>
          <w:tcPr>
            <w:tcW w:w="4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60" w:type="dxa"/>
            <w:vAlign w:val="bottom"/>
          </w:tcPr>
          <w:p>
            <w:pPr>
              <w:spacing w:after="0"/>
              <w:rPr>
                <w:sz w:val="9"/>
                <w:szCs w:val="9"/>
                <w:color w:val="auto"/>
              </w:rPr>
            </w:pPr>
          </w:p>
        </w:tc>
        <w:tc>
          <w:tcPr>
            <w:tcW w:w="360" w:type="dxa"/>
            <w:vAlign w:val="bottom"/>
          </w:tcPr>
          <w:p>
            <w:pPr>
              <w:spacing w:after="0"/>
              <w:rPr>
                <w:sz w:val="9"/>
                <w:szCs w:val="9"/>
                <w:color w:val="auto"/>
              </w:rPr>
            </w:pPr>
          </w:p>
        </w:tc>
        <w:tc>
          <w:tcPr>
            <w:tcW w:w="6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Other</w:t>
            </w:r>
          </w:p>
        </w:tc>
        <w:tc>
          <w:tcPr>
            <w:tcW w:w="660" w:type="dxa"/>
            <w:vAlign w:val="bottom"/>
          </w:tcPr>
          <w:p>
            <w:pPr>
              <w:spacing w:after="0"/>
              <w:rPr>
                <w:sz w:val="9"/>
                <w:szCs w:val="9"/>
                <w:color w:val="auto"/>
              </w:rPr>
            </w:pPr>
          </w:p>
        </w:tc>
        <w:tc>
          <w:tcPr>
            <w:tcW w:w="680" w:type="dxa"/>
            <w:vAlign w:val="bottom"/>
          </w:tcPr>
          <w:p>
            <w:pPr>
              <w:spacing w:after="0"/>
              <w:rPr>
                <w:sz w:val="9"/>
                <w:szCs w:val="9"/>
                <w:color w:val="auto"/>
              </w:rPr>
            </w:pPr>
          </w:p>
        </w:tc>
        <w:tc>
          <w:tcPr>
            <w:tcW w:w="660" w:type="dxa"/>
            <w:vAlign w:val="bottom"/>
          </w:tcPr>
          <w:p>
            <w:pPr>
              <w:spacing w:after="0"/>
              <w:rPr>
                <w:sz w:val="9"/>
                <w:szCs w:val="9"/>
                <w:color w:val="auto"/>
              </w:rPr>
            </w:pPr>
          </w:p>
        </w:tc>
        <w:tc>
          <w:tcPr>
            <w:tcW w:w="660" w:type="dxa"/>
            <w:vAlign w:val="bottom"/>
          </w:tcPr>
          <w:p>
            <w:pPr>
              <w:spacing w:after="0"/>
              <w:rPr>
                <w:sz w:val="9"/>
                <w:szCs w:val="9"/>
                <w:color w:val="auto"/>
              </w:rPr>
            </w:pPr>
          </w:p>
        </w:tc>
        <w:tc>
          <w:tcPr>
            <w:tcW w:w="40" w:type="dxa"/>
            <w:vAlign w:val="bottom"/>
          </w:tcPr>
          <w:p>
            <w:pPr>
              <w:spacing w:after="0"/>
              <w:rPr>
                <w:sz w:val="9"/>
                <w:szCs w:val="9"/>
                <w:color w:val="auto"/>
              </w:rPr>
            </w:pPr>
          </w:p>
        </w:tc>
        <w:tc>
          <w:tcPr>
            <w:tcW w:w="640" w:type="dxa"/>
            <w:vAlign w:val="bottom"/>
          </w:tcPr>
          <w:p>
            <w:pPr>
              <w:spacing w:after="0"/>
              <w:rPr>
                <w:sz w:val="9"/>
                <w:szCs w:val="9"/>
                <w:color w:val="auto"/>
              </w:rPr>
            </w:pPr>
          </w:p>
        </w:tc>
        <w:tc>
          <w:tcPr>
            <w:tcW w:w="660" w:type="dxa"/>
            <w:vAlign w:val="bottom"/>
            <w:vMerge w:val="restart"/>
          </w:tcPr>
          <w:p>
            <w:pPr>
              <w:jc w:val="right"/>
              <w:ind w:right="9"/>
              <w:spacing w:after="0"/>
              <w:rPr>
                <w:sz w:val="20"/>
                <w:szCs w:val="20"/>
                <w:color w:val="auto"/>
              </w:rPr>
            </w:pPr>
            <w:r>
              <w:rPr>
                <w:rFonts w:ascii="Times New Roman" w:cs="Times New Roman" w:eastAsia="Times New Roman" w:hAnsi="Times New Roman"/>
                <w:sz w:val="12"/>
                <w:szCs w:val="12"/>
                <w:color w:val="auto"/>
              </w:rPr>
              <w:t>146</w:t>
            </w:r>
          </w:p>
        </w:tc>
        <w:tc>
          <w:tcPr>
            <w:tcW w:w="0" w:type="dxa"/>
            <w:vAlign w:val="bottom"/>
          </w:tcPr>
          <w:p>
            <w:pPr>
              <w:spacing w:after="0"/>
              <w:rPr>
                <w:sz w:val="1"/>
                <w:szCs w:val="1"/>
                <w:color w:val="auto"/>
              </w:rPr>
            </w:pPr>
          </w:p>
        </w:tc>
      </w:tr>
      <w:tr>
        <w:trPr>
          <w:trHeight w:val="130"/>
        </w:trPr>
        <w:tc>
          <w:tcPr>
            <w:tcW w:w="88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480" w:type="dxa"/>
            <w:vAlign w:val="bottom"/>
          </w:tcPr>
          <w:p>
            <w:pPr>
              <w:ind w:left="40"/>
              <w:spacing w:after="0"/>
              <w:rPr>
                <w:sz w:val="20"/>
                <w:szCs w:val="20"/>
                <w:color w:val="auto"/>
              </w:rPr>
            </w:pPr>
            <w:r>
              <w:rPr>
                <w:rFonts w:ascii="Times New Roman" w:cs="Times New Roman" w:eastAsia="Times New Roman" w:hAnsi="Times New Roman"/>
                <w:sz w:val="9"/>
                <w:szCs w:val="9"/>
                <w:color w:val="auto"/>
              </w:rPr>
              <w:t>governance</w:t>
            </w:r>
          </w:p>
        </w:tc>
        <w:tc>
          <w:tcPr>
            <w:tcW w:w="500" w:type="dxa"/>
            <w:vAlign w:val="bottom"/>
          </w:tcPr>
          <w:p>
            <w:pPr>
              <w:spacing w:after="0"/>
              <w:rPr>
                <w:sz w:val="11"/>
                <w:szCs w:val="11"/>
                <w:color w:val="auto"/>
              </w:rPr>
            </w:pPr>
          </w:p>
        </w:tc>
        <w:tc>
          <w:tcPr>
            <w:tcW w:w="1120" w:type="dxa"/>
            <w:vAlign w:val="bottom"/>
          </w:tcPr>
          <w:p>
            <w:pPr>
              <w:ind w:left="80"/>
              <w:spacing w:after="0"/>
              <w:rPr>
                <w:sz w:val="20"/>
                <w:szCs w:val="20"/>
                <w:color w:val="auto"/>
              </w:rPr>
            </w:pPr>
            <w:r>
              <w:rPr>
                <w:rFonts w:ascii="Times New Roman" w:cs="Times New Roman" w:eastAsia="Times New Roman" w:hAnsi="Times New Roman"/>
                <w:sz w:val="9"/>
                <w:szCs w:val="9"/>
                <w:color w:val="auto"/>
              </w:rPr>
              <w:t>review and prospects</w:t>
            </w:r>
          </w:p>
        </w:tc>
        <w:tc>
          <w:tcPr>
            <w:tcW w:w="380" w:type="dxa"/>
            <w:vAlign w:val="bottom"/>
          </w:tcPr>
          <w:p>
            <w:pPr>
              <w:spacing w:after="0"/>
              <w:rPr>
                <w:sz w:val="11"/>
                <w:szCs w:val="11"/>
                <w:color w:val="auto"/>
              </w:rPr>
            </w:pPr>
          </w:p>
        </w:tc>
        <w:tc>
          <w:tcPr>
            <w:tcW w:w="680" w:type="dxa"/>
            <w:vAlign w:val="bottom"/>
          </w:tcPr>
          <w:p>
            <w:pPr>
              <w:ind w:left="40"/>
              <w:spacing w:after="0"/>
              <w:rPr>
                <w:sz w:val="20"/>
                <w:szCs w:val="20"/>
                <w:color w:val="auto"/>
              </w:rPr>
            </w:pPr>
            <w:r>
              <w:rPr>
                <w:rFonts w:ascii="Times New Roman" w:cs="Times New Roman" w:eastAsia="Times New Roman" w:hAnsi="Times New Roman"/>
                <w:sz w:val="9"/>
                <w:szCs w:val="9"/>
                <w:color w:val="auto"/>
              </w:rPr>
              <w:t>on Nokia</w:t>
            </w:r>
          </w:p>
        </w:tc>
        <w:tc>
          <w:tcPr>
            <w:tcW w:w="420" w:type="dxa"/>
            <w:vAlign w:val="bottom"/>
          </w:tcPr>
          <w:p>
            <w:pPr>
              <w:spacing w:after="0"/>
              <w:rPr>
                <w:sz w:val="11"/>
                <w:szCs w:val="11"/>
                <w:color w:val="auto"/>
              </w:rPr>
            </w:pPr>
          </w:p>
        </w:tc>
        <w:tc>
          <w:tcPr>
            <w:tcW w:w="4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information</w:t>
            </w:r>
          </w:p>
        </w:tc>
        <w:tc>
          <w:tcPr>
            <w:tcW w:w="6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66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3360" w:type="dxa"/>
            <w:vAlign w:val="bottom"/>
            <w:gridSpan w:val="5"/>
            <w:vMerge w:val="restart"/>
          </w:tcPr>
          <w:p>
            <w:pPr>
              <w:spacing w:after="0"/>
              <w:rPr>
                <w:sz w:val="20"/>
                <w:szCs w:val="20"/>
                <w:color w:val="auto"/>
              </w:rPr>
            </w:pPr>
            <w:r>
              <w:rPr>
                <w:rFonts w:ascii="Times New Roman" w:cs="Times New Roman" w:eastAsia="Times New Roman" w:hAnsi="Times New Roman"/>
                <w:sz w:val="13"/>
                <w:szCs w:val="13"/>
                <w:color w:val="005AFF"/>
              </w:rPr>
              <w:t>Consolidated statement of changes in shareholders’ equity</w:t>
            </w:r>
          </w:p>
        </w:tc>
        <w:tc>
          <w:tcPr>
            <w:tcW w:w="680" w:type="dxa"/>
            <w:vAlign w:val="bottom"/>
          </w:tcPr>
          <w:p>
            <w:pPr>
              <w:spacing w:after="0"/>
              <w:rPr>
                <w:sz w:val="3"/>
                <w:szCs w:val="3"/>
                <w:color w:val="auto"/>
              </w:rPr>
            </w:pPr>
          </w:p>
        </w:tc>
        <w:tc>
          <w:tcPr>
            <w:tcW w:w="420" w:type="dxa"/>
            <w:vAlign w:val="bottom"/>
          </w:tcPr>
          <w:p>
            <w:pPr>
              <w:spacing w:after="0"/>
              <w:rPr>
                <w:sz w:val="3"/>
                <w:szCs w:val="3"/>
                <w:color w:val="auto"/>
              </w:rPr>
            </w:pPr>
          </w:p>
        </w:tc>
        <w:tc>
          <w:tcPr>
            <w:tcW w:w="480" w:type="dxa"/>
            <w:vAlign w:val="bottom"/>
            <w:tcBorders>
              <w:bottom w:val="single" w:sz="8" w:color="005AFF"/>
            </w:tcBorders>
          </w:tcPr>
          <w:p>
            <w:pPr>
              <w:spacing w:after="0"/>
              <w:rPr>
                <w:sz w:val="3"/>
                <w:szCs w:val="3"/>
                <w:color w:val="auto"/>
              </w:rPr>
            </w:pPr>
          </w:p>
        </w:tc>
        <w:tc>
          <w:tcPr>
            <w:tcW w:w="60" w:type="dxa"/>
            <w:vAlign w:val="bottom"/>
            <w:tcBorders>
              <w:bottom w:val="single" w:sz="8" w:color="005AFF"/>
            </w:tcBorders>
          </w:tcPr>
          <w:p>
            <w:pPr>
              <w:spacing w:after="0"/>
              <w:rPr>
                <w:sz w:val="3"/>
                <w:szCs w:val="3"/>
                <w:color w:val="auto"/>
              </w:rPr>
            </w:pPr>
          </w:p>
        </w:tc>
        <w:tc>
          <w:tcPr>
            <w:tcW w:w="360" w:type="dxa"/>
            <w:vAlign w:val="bottom"/>
          </w:tcPr>
          <w:p>
            <w:pPr>
              <w:spacing w:after="0"/>
              <w:rPr>
                <w:sz w:val="3"/>
                <w:szCs w:val="3"/>
                <w:color w:val="auto"/>
              </w:rPr>
            </w:pPr>
          </w:p>
        </w:tc>
        <w:tc>
          <w:tcPr>
            <w:tcW w:w="680" w:type="dxa"/>
            <w:vAlign w:val="bottom"/>
          </w:tcPr>
          <w:p>
            <w:pPr>
              <w:spacing w:after="0"/>
              <w:rPr>
                <w:sz w:val="3"/>
                <w:szCs w:val="3"/>
                <w:color w:val="auto"/>
              </w:rPr>
            </w:pPr>
          </w:p>
        </w:tc>
        <w:tc>
          <w:tcPr>
            <w:tcW w:w="660" w:type="dxa"/>
            <w:vAlign w:val="bottom"/>
          </w:tcPr>
          <w:p>
            <w:pPr>
              <w:spacing w:after="0"/>
              <w:rPr>
                <w:sz w:val="3"/>
                <w:szCs w:val="3"/>
                <w:color w:val="auto"/>
              </w:rPr>
            </w:pPr>
          </w:p>
        </w:tc>
        <w:tc>
          <w:tcPr>
            <w:tcW w:w="680" w:type="dxa"/>
            <w:vAlign w:val="bottom"/>
          </w:tcPr>
          <w:p>
            <w:pPr>
              <w:spacing w:after="0"/>
              <w:rPr>
                <w:sz w:val="3"/>
                <w:szCs w:val="3"/>
                <w:color w:val="auto"/>
              </w:rPr>
            </w:pPr>
          </w:p>
        </w:tc>
        <w:tc>
          <w:tcPr>
            <w:tcW w:w="660" w:type="dxa"/>
            <w:vAlign w:val="bottom"/>
          </w:tcPr>
          <w:p>
            <w:pPr>
              <w:spacing w:after="0"/>
              <w:rPr>
                <w:sz w:val="3"/>
                <w:szCs w:val="3"/>
                <w:color w:val="auto"/>
              </w:rPr>
            </w:pPr>
          </w:p>
        </w:tc>
        <w:tc>
          <w:tcPr>
            <w:tcW w:w="660" w:type="dxa"/>
            <w:vAlign w:val="bottom"/>
          </w:tcPr>
          <w:p>
            <w:pPr>
              <w:spacing w:after="0"/>
              <w:rPr>
                <w:sz w:val="3"/>
                <w:szCs w:val="3"/>
                <w:color w:val="auto"/>
              </w:rPr>
            </w:pPr>
          </w:p>
        </w:tc>
        <w:tc>
          <w:tcPr>
            <w:tcW w:w="40" w:type="dxa"/>
            <w:vAlign w:val="bottom"/>
          </w:tcPr>
          <w:p>
            <w:pPr>
              <w:spacing w:after="0"/>
              <w:rPr>
                <w:sz w:val="3"/>
                <w:szCs w:val="3"/>
                <w:color w:val="auto"/>
              </w:rPr>
            </w:pPr>
          </w:p>
        </w:tc>
        <w:tc>
          <w:tcPr>
            <w:tcW w:w="640" w:type="dxa"/>
            <w:vAlign w:val="bottom"/>
          </w:tcPr>
          <w:p>
            <w:pPr>
              <w:spacing w:after="0"/>
              <w:rPr>
                <w:sz w:val="3"/>
                <w:szCs w:val="3"/>
                <w:color w:val="auto"/>
              </w:rPr>
            </w:pPr>
          </w:p>
        </w:tc>
        <w:tc>
          <w:tcPr>
            <w:tcW w:w="66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3360" w:type="dxa"/>
            <w:vAlign w:val="bottom"/>
            <w:gridSpan w:val="5"/>
            <w:vMerge w:val="continue"/>
          </w:tcPr>
          <w:p>
            <w:pPr>
              <w:spacing w:after="0"/>
              <w:rPr>
                <w:sz w:val="24"/>
                <w:szCs w:val="24"/>
                <w:color w:val="auto"/>
              </w:rPr>
            </w:pPr>
          </w:p>
        </w:tc>
        <w:tc>
          <w:tcPr>
            <w:tcW w:w="68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4"/>
        </w:trPr>
        <w:tc>
          <w:tcPr>
            <w:tcW w:w="88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1120" w:type="dxa"/>
            <w:vAlign w:val="bottom"/>
          </w:tcPr>
          <w:p>
            <w:pPr>
              <w:spacing w:after="0"/>
              <w:rPr>
                <w:sz w:val="24"/>
                <w:szCs w:val="24"/>
                <w:color w:val="auto"/>
              </w:rPr>
            </w:pPr>
          </w:p>
        </w:tc>
        <w:tc>
          <w:tcPr>
            <w:tcW w:w="38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68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Reserve for</w:t>
            </w:r>
          </w:p>
        </w:tc>
        <w:tc>
          <w:tcPr>
            <w:tcW w:w="66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Retained</w:t>
            </w:r>
          </w:p>
        </w:tc>
        <w:tc>
          <w:tcPr>
            <w:tcW w:w="6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01"/>
        </w:trPr>
        <w:tc>
          <w:tcPr>
            <w:tcW w:w="880" w:type="dxa"/>
            <w:vAlign w:val="bottom"/>
          </w:tcPr>
          <w:p>
            <w:pPr>
              <w:spacing w:after="0"/>
              <w:rPr>
                <w:sz w:val="8"/>
                <w:szCs w:val="8"/>
                <w:color w:val="auto"/>
              </w:rPr>
            </w:pPr>
          </w:p>
        </w:tc>
        <w:tc>
          <w:tcPr>
            <w:tcW w:w="480" w:type="dxa"/>
            <w:vAlign w:val="bottom"/>
          </w:tcPr>
          <w:p>
            <w:pPr>
              <w:spacing w:after="0"/>
              <w:rPr>
                <w:sz w:val="8"/>
                <w:szCs w:val="8"/>
                <w:color w:val="auto"/>
              </w:rPr>
            </w:pPr>
          </w:p>
        </w:tc>
        <w:tc>
          <w:tcPr>
            <w:tcW w:w="500" w:type="dxa"/>
            <w:vAlign w:val="bottom"/>
          </w:tcPr>
          <w:p>
            <w:pPr>
              <w:spacing w:after="0"/>
              <w:rPr>
                <w:sz w:val="8"/>
                <w:szCs w:val="8"/>
                <w:color w:val="auto"/>
              </w:rPr>
            </w:pPr>
          </w:p>
        </w:tc>
        <w:tc>
          <w:tcPr>
            <w:tcW w:w="1120" w:type="dxa"/>
            <w:vAlign w:val="bottom"/>
          </w:tcPr>
          <w:p>
            <w:pPr>
              <w:spacing w:after="0"/>
              <w:rPr>
                <w:sz w:val="8"/>
                <w:szCs w:val="8"/>
                <w:color w:val="auto"/>
              </w:rPr>
            </w:pPr>
          </w:p>
        </w:tc>
        <w:tc>
          <w:tcPr>
            <w:tcW w:w="380" w:type="dxa"/>
            <w:vAlign w:val="bottom"/>
          </w:tcPr>
          <w:p>
            <w:pPr>
              <w:spacing w:after="0"/>
              <w:rPr>
                <w:sz w:val="8"/>
                <w:szCs w:val="8"/>
                <w:color w:val="auto"/>
              </w:rPr>
            </w:pPr>
          </w:p>
        </w:tc>
        <w:tc>
          <w:tcPr>
            <w:tcW w:w="680" w:type="dxa"/>
            <w:vAlign w:val="bottom"/>
          </w:tcPr>
          <w:p>
            <w:pPr>
              <w:spacing w:after="0"/>
              <w:rPr>
                <w:sz w:val="8"/>
                <w:szCs w:val="8"/>
                <w:color w:val="auto"/>
              </w:rPr>
            </w:pPr>
          </w:p>
        </w:tc>
        <w:tc>
          <w:tcPr>
            <w:tcW w:w="420" w:type="dxa"/>
            <w:vAlign w:val="bottom"/>
          </w:tcPr>
          <w:p>
            <w:pPr>
              <w:spacing w:after="0"/>
              <w:rPr>
                <w:sz w:val="8"/>
                <w:szCs w:val="8"/>
                <w:color w:val="auto"/>
              </w:rPr>
            </w:pPr>
          </w:p>
        </w:tc>
        <w:tc>
          <w:tcPr>
            <w:tcW w:w="480" w:type="dxa"/>
            <w:vAlign w:val="bottom"/>
          </w:tcPr>
          <w:p>
            <w:pPr>
              <w:spacing w:after="0"/>
              <w:rPr>
                <w:sz w:val="8"/>
                <w:szCs w:val="8"/>
                <w:color w:val="auto"/>
              </w:rPr>
            </w:pPr>
          </w:p>
        </w:tc>
        <w:tc>
          <w:tcPr>
            <w:tcW w:w="60" w:type="dxa"/>
            <w:vAlign w:val="bottom"/>
          </w:tcPr>
          <w:p>
            <w:pPr>
              <w:spacing w:after="0"/>
              <w:rPr>
                <w:sz w:val="8"/>
                <w:szCs w:val="8"/>
                <w:color w:val="auto"/>
              </w:rPr>
            </w:pPr>
          </w:p>
        </w:tc>
        <w:tc>
          <w:tcPr>
            <w:tcW w:w="360" w:type="dxa"/>
            <w:vAlign w:val="bottom"/>
          </w:tcPr>
          <w:p>
            <w:pPr>
              <w:spacing w:after="0"/>
              <w:rPr>
                <w:sz w:val="8"/>
                <w:szCs w:val="8"/>
                <w:color w:val="auto"/>
              </w:rPr>
            </w:pPr>
          </w:p>
        </w:tc>
        <w:tc>
          <w:tcPr>
            <w:tcW w:w="680" w:type="dxa"/>
            <w:vAlign w:val="bottom"/>
          </w:tcPr>
          <w:p>
            <w:pPr>
              <w:spacing w:after="0"/>
              <w:rPr>
                <w:sz w:val="8"/>
                <w:szCs w:val="8"/>
                <w:color w:val="auto"/>
              </w:rPr>
            </w:pPr>
          </w:p>
        </w:tc>
        <w:tc>
          <w:tcPr>
            <w:tcW w:w="660" w:type="dxa"/>
            <w:vAlign w:val="bottom"/>
          </w:tcPr>
          <w:p>
            <w:pPr>
              <w:spacing w:after="0"/>
              <w:rPr>
                <w:sz w:val="8"/>
                <w:szCs w:val="8"/>
                <w:color w:val="auto"/>
              </w:rPr>
            </w:pPr>
          </w:p>
        </w:tc>
        <w:tc>
          <w:tcPr>
            <w:tcW w:w="68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invested</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earnings/</w:t>
            </w:r>
          </w:p>
        </w:tc>
        <w:tc>
          <w:tcPr>
            <w:tcW w:w="700" w:type="dxa"/>
            <w:vAlign w:val="bottom"/>
            <w:gridSpan w:val="2"/>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640" w:type="dxa"/>
            <w:vAlign w:val="bottom"/>
          </w:tcPr>
          <w:p>
            <w:pPr>
              <w:spacing w:after="0"/>
              <w:rPr>
                <w:sz w:val="8"/>
                <w:szCs w:val="8"/>
                <w:color w:val="auto"/>
              </w:rPr>
            </w:pPr>
          </w:p>
        </w:tc>
        <w:tc>
          <w:tcPr>
            <w:tcW w:w="66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01"/>
        </w:trPr>
        <w:tc>
          <w:tcPr>
            <w:tcW w:w="880" w:type="dxa"/>
            <w:vAlign w:val="bottom"/>
          </w:tcPr>
          <w:p>
            <w:pPr>
              <w:spacing w:after="0"/>
              <w:rPr>
                <w:sz w:val="8"/>
                <w:szCs w:val="8"/>
                <w:color w:val="auto"/>
              </w:rPr>
            </w:pPr>
          </w:p>
        </w:tc>
        <w:tc>
          <w:tcPr>
            <w:tcW w:w="480" w:type="dxa"/>
            <w:vAlign w:val="bottom"/>
          </w:tcPr>
          <w:p>
            <w:pPr>
              <w:spacing w:after="0"/>
              <w:rPr>
                <w:sz w:val="8"/>
                <w:szCs w:val="8"/>
                <w:color w:val="auto"/>
              </w:rPr>
            </w:pPr>
          </w:p>
        </w:tc>
        <w:tc>
          <w:tcPr>
            <w:tcW w:w="500" w:type="dxa"/>
            <w:vAlign w:val="bottom"/>
          </w:tcPr>
          <w:p>
            <w:pPr>
              <w:spacing w:after="0"/>
              <w:rPr>
                <w:sz w:val="8"/>
                <w:szCs w:val="8"/>
                <w:color w:val="auto"/>
              </w:rPr>
            </w:pPr>
          </w:p>
        </w:tc>
        <w:tc>
          <w:tcPr>
            <w:tcW w:w="1120" w:type="dxa"/>
            <w:vAlign w:val="bottom"/>
          </w:tcPr>
          <w:p>
            <w:pPr>
              <w:spacing w:after="0"/>
              <w:rPr>
                <w:sz w:val="8"/>
                <w:szCs w:val="8"/>
                <w:color w:val="auto"/>
              </w:rPr>
            </w:pPr>
          </w:p>
        </w:tc>
        <w:tc>
          <w:tcPr>
            <w:tcW w:w="380" w:type="dxa"/>
            <w:vAlign w:val="bottom"/>
          </w:tcPr>
          <w:p>
            <w:pPr>
              <w:spacing w:after="0"/>
              <w:rPr>
                <w:sz w:val="8"/>
                <w:szCs w:val="8"/>
                <w:color w:val="auto"/>
              </w:rPr>
            </w:pPr>
          </w:p>
        </w:tc>
        <w:tc>
          <w:tcPr>
            <w:tcW w:w="680" w:type="dxa"/>
            <w:vAlign w:val="bottom"/>
          </w:tcPr>
          <w:p>
            <w:pPr>
              <w:spacing w:after="0"/>
              <w:rPr>
                <w:sz w:val="8"/>
                <w:szCs w:val="8"/>
                <w:color w:val="auto"/>
              </w:rPr>
            </w:pPr>
          </w:p>
        </w:tc>
        <w:tc>
          <w:tcPr>
            <w:tcW w:w="420" w:type="dxa"/>
            <w:vAlign w:val="bottom"/>
          </w:tcPr>
          <w:p>
            <w:pPr>
              <w:spacing w:after="0"/>
              <w:rPr>
                <w:sz w:val="8"/>
                <w:szCs w:val="8"/>
                <w:color w:val="auto"/>
              </w:rPr>
            </w:pPr>
          </w:p>
        </w:tc>
        <w:tc>
          <w:tcPr>
            <w:tcW w:w="480" w:type="dxa"/>
            <w:vAlign w:val="bottom"/>
          </w:tcPr>
          <w:p>
            <w:pPr>
              <w:spacing w:after="0"/>
              <w:rPr>
                <w:sz w:val="8"/>
                <w:szCs w:val="8"/>
                <w:color w:val="auto"/>
              </w:rPr>
            </w:pPr>
          </w:p>
        </w:tc>
        <w:tc>
          <w:tcPr>
            <w:tcW w:w="420" w:type="dxa"/>
            <w:vAlign w:val="bottom"/>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Treasury</w:t>
            </w:r>
          </w:p>
        </w:tc>
        <w:tc>
          <w:tcPr>
            <w:tcW w:w="680" w:type="dxa"/>
            <w:vAlign w:val="bottom"/>
          </w:tcPr>
          <w:p>
            <w:pPr>
              <w:ind w:left="220"/>
              <w:spacing w:after="0"/>
              <w:rPr>
                <w:sz w:val="20"/>
                <w:szCs w:val="20"/>
                <w:color w:val="auto"/>
              </w:rPr>
            </w:pPr>
            <w:r>
              <w:rPr>
                <w:rFonts w:ascii="Times New Roman" w:cs="Times New Roman" w:eastAsia="Times New Roman" w:hAnsi="Times New Roman"/>
                <w:sz w:val="8"/>
                <w:szCs w:val="8"/>
                <w:b w:val="1"/>
                <w:bCs w:val="1"/>
                <w:color w:val="005AFF"/>
              </w:rPr>
              <w:t>Translation</w:t>
            </w:r>
          </w:p>
        </w:tc>
        <w:tc>
          <w:tcPr>
            <w:tcW w:w="6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 and</w:t>
            </w:r>
          </w:p>
        </w:tc>
        <w:tc>
          <w:tcPr>
            <w:tcW w:w="68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unrestricted</w:t>
            </w:r>
          </w:p>
        </w:tc>
        <w:tc>
          <w:tcPr>
            <w:tcW w:w="66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(Accumulated</w:t>
            </w:r>
          </w:p>
        </w:tc>
        <w:tc>
          <w:tcPr>
            <w:tcW w:w="700" w:type="dxa"/>
            <w:vAlign w:val="bottom"/>
            <w:gridSpan w:val="2"/>
          </w:tcPr>
          <w:p>
            <w:pPr>
              <w:ind w:left="120"/>
              <w:spacing w:after="0"/>
              <w:rPr>
                <w:sz w:val="20"/>
                <w:szCs w:val="20"/>
                <w:color w:val="auto"/>
              </w:rPr>
            </w:pPr>
            <w:r>
              <w:rPr>
                <w:rFonts w:ascii="Times New Roman" w:cs="Times New Roman" w:eastAsia="Times New Roman" w:hAnsi="Times New Roman"/>
                <w:sz w:val="8"/>
                <w:szCs w:val="8"/>
                <w:b w:val="1"/>
                <w:bCs w:val="1"/>
                <w:color w:val="005AFF"/>
              </w:rPr>
              <w:t>shareholders’</w:t>
            </w:r>
          </w:p>
        </w:tc>
        <w:tc>
          <w:tcPr>
            <w:tcW w:w="640" w:type="dxa"/>
            <w:vAlign w:val="bottom"/>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w w:val="99"/>
              </w:rPr>
              <w:t>Non-controlling</w:t>
            </w:r>
          </w:p>
        </w:tc>
        <w:tc>
          <w:tcPr>
            <w:tcW w:w="66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09"/>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80" w:type="dxa"/>
            <w:vAlign w:val="bottom"/>
            <w:tcBorders>
              <w:bottom w:val="single" w:sz="8" w:color="005AFF"/>
            </w:tcBorders>
          </w:tcPr>
          <w:p>
            <w:pPr>
              <w:spacing w:after="0"/>
              <w:rPr>
                <w:sz w:val="9"/>
                <w:szCs w:val="9"/>
                <w:color w:val="auto"/>
              </w:rPr>
            </w:pPr>
          </w:p>
        </w:tc>
        <w:tc>
          <w:tcPr>
            <w:tcW w:w="500" w:type="dxa"/>
            <w:vAlign w:val="bottom"/>
            <w:tcBorders>
              <w:bottom w:val="single" w:sz="8" w:color="005AFF"/>
            </w:tcBorders>
          </w:tcPr>
          <w:p>
            <w:pPr>
              <w:spacing w:after="0"/>
              <w:rPr>
                <w:sz w:val="9"/>
                <w:szCs w:val="9"/>
                <w:color w:val="auto"/>
              </w:rPr>
            </w:pPr>
          </w:p>
        </w:tc>
        <w:tc>
          <w:tcPr>
            <w:tcW w:w="1120" w:type="dxa"/>
            <w:vAlign w:val="bottom"/>
            <w:tcBorders>
              <w:bottom w:val="single" w:sz="8" w:color="005AFF"/>
            </w:tcBorders>
          </w:tcPr>
          <w:p>
            <w:pPr>
              <w:spacing w:after="0"/>
              <w:rPr>
                <w:sz w:val="9"/>
                <w:szCs w:val="9"/>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Note</w:t>
            </w:r>
          </w:p>
        </w:tc>
        <w:tc>
          <w:tcPr>
            <w:tcW w:w="68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8"/>
                <w:szCs w:val="8"/>
                <w:b w:val="1"/>
                <w:bCs w:val="1"/>
                <w:color w:val="005AFF"/>
              </w:rPr>
              <w:t>Share capital</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8"/>
                <w:szCs w:val="8"/>
                <w:b w:val="1"/>
                <w:bCs w:val="1"/>
                <w:color w:val="005AFF"/>
              </w:rPr>
              <w:t>Share premium</w:t>
            </w:r>
          </w:p>
        </w:tc>
        <w:tc>
          <w:tcPr>
            <w:tcW w:w="60" w:type="dxa"/>
            <w:vAlign w:val="bottom"/>
            <w:tcBorders>
              <w:bottom w:val="single" w:sz="8" w:color="005AFF"/>
            </w:tcBorders>
          </w:tcPr>
          <w:p>
            <w:pPr>
              <w:spacing w:after="0"/>
              <w:rPr>
                <w:sz w:val="9"/>
                <w:szCs w:val="9"/>
                <w:color w:val="auto"/>
              </w:rPr>
            </w:pPr>
          </w:p>
        </w:tc>
        <w:tc>
          <w:tcPr>
            <w:tcW w:w="3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shares</w:t>
            </w:r>
          </w:p>
        </w:tc>
        <w:tc>
          <w:tcPr>
            <w:tcW w:w="680" w:type="dxa"/>
            <w:vAlign w:val="bottom"/>
            <w:tcBorders>
              <w:bottom w:val="single" w:sz="8" w:color="005AFF"/>
            </w:tcBorders>
          </w:tcPr>
          <w:p>
            <w:pPr>
              <w:ind w:left="220"/>
              <w:spacing w:after="0"/>
              <w:rPr>
                <w:sz w:val="20"/>
                <w:szCs w:val="20"/>
                <w:color w:val="auto"/>
              </w:rPr>
            </w:pPr>
            <w:r>
              <w:rPr>
                <w:rFonts w:ascii="Times New Roman" w:cs="Times New Roman" w:eastAsia="Times New Roman" w:hAnsi="Times New Roman"/>
                <w:sz w:val="8"/>
                <w:szCs w:val="8"/>
                <w:b w:val="1"/>
                <w:bCs w:val="1"/>
                <w:color w:val="005AFF"/>
              </w:rPr>
              <w:t>differences</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other reserves</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equity</w:t>
            </w:r>
          </w:p>
        </w:tc>
        <w:tc>
          <w:tcPr>
            <w:tcW w:w="6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deficit)</w:t>
            </w:r>
          </w:p>
        </w:tc>
        <w:tc>
          <w:tcPr>
            <w:tcW w:w="700" w:type="dxa"/>
            <w:vAlign w:val="bottom"/>
            <w:tcBorders>
              <w:bottom w:val="single" w:sz="8" w:color="005AFF"/>
            </w:tcBorders>
            <w:gridSpan w:val="2"/>
          </w:tcPr>
          <w:p>
            <w:pPr>
              <w:jc w:val="right"/>
              <w:ind w:right="80"/>
              <w:spacing w:after="0"/>
              <w:rPr>
                <w:sz w:val="20"/>
                <w:szCs w:val="20"/>
                <w:color w:val="auto"/>
              </w:rPr>
            </w:pPr>
            <w:r>
              <w:rPr>
                <w:rFonts w:ascii="Times New Roman" w:cs="Times New Roman" w:eastAsia="Times New Roman" w:hAnsi="Times New Roman"/>
                <w:sz w:val="8"/>
                <w:szCs w:val="8"/>
                <w:b w:val="1"/>
                <w:bCs w:val="1"/>
                <w:color w:val="005AFF"/>
              </w:rPr>
              <w:t>equity</w:t>
            </w:r>
          </w:p>
        </w:tc>
        <w:tc>
          <w:tcPr>
            <w:tcW w:w="6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interests</w:t>
            </w:r>
          </w:p>
        </w:tc>
        <w:tc>
          <w:tcPr>
            <w:tcW w:w="66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Total equity</w:t>
            </w:r>
          </w:p>
        </w:tc>
        <w:tc>
          <w:tcPr>
            <w:tcW w:w="0" w:type="dxa"/>
            <w:vAlign w:val="bottom"/>
          </w:tcPr>
          <w:p>
            <w:pPr>
              <w:spacing w:after="0"/>
              <w:rPr>
                <w:sz w:val="1"/>
                <w:szCs w:val="1"/>
                <w:color w:val="auto"/>
              </w:rPr>
            </w:pPr>
          </w:p>
        </w:tc>
      </w:tr>
      <w:tr>
        <w:trPr>
          <w:trHeight w:val="140"/>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2021</w:t>
            </w:r>
          </w:p>
        </w:tc>
        <w:tc>
          <w:tcPr>
            <w:tcW w:w="48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460"/>
              <w:spacing w:after="0"/>
              <w:rPr>
                <w:sz w:val="20"/>
                <w:szCs w:val="20"/>
                <w:color w:val="auto"/>
              </w:rPr>
            </w:pPr>
            <w:r>
              <w:rPr>
                <w:rFonts w:ascii="Times New Roman" w:cs="Times New Roman" w:eastAsia="Times New Roman" w:hAnsi="Times New Roman"/>
                <w:sz w:val="10"/>
                <w:szCs w:val="10"/>
                <w:b w:val="1"/>
                <w:bCs w:val="1"/>
                <w:color w:val="auto"/>
              </w:rPr>
              <w:t>246</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10"/>
                <w:szCs w:val="10"/>
                <w:b w:val="1"/>
                <w:bCs w:val="1"/>
                <w:color w:val="auto"/>
              </w:rPr>
              <w:t>443</w:t>
            </w:r>
          </w:p>
        </w:tc>
        <w:tc>
          <w:tcPr>
            <w:tcW w:w="42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b w:val="1"/>
                <w:bCs w:val="1"/>
                <w:color w:val="auto"/>
              </w:rPr>
              <w:t>(352)</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(1 295)</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1 910</w:t>
            </w:r>
          </w:p>
        </w:tc>
        <w:tc>
          <w:tcPr>
            <w:tcW w:w="6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15 656</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(4 143)</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12 465</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80</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12 545</w:t>
            </w:r>
          </w:p>
        </w:tc>
        <w:tc>
          <w:tcPr>
            <w:tcW w:w="0" w:type="dxa"/>
            <w:vAlign w:val="bottom"/>
          </w:tcPr>
          <w:p>
            <w:pPr>
              <w:spacing w:after="0"/>
              <w:rPr>
                <w:sz w:val="1"/>
                <w:szCs w:val="1"/>
                <w:color w:val="auto"/>
              </w:rPr>
            </w:pPr>
          </w:p>
        </w:tc>
      </w:tr>
      <w:tr>
        <w:trPr>
          <w:trHeight w:val="137"/>
        </w:trPr>
        <w:tc>
          <w:tcPr>
            <w:tcW w:w="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480" w:type="dxa"/>
            <w:vAlign w:val="bottom"/>
          </w:tcPr>
          <w:p>
            <w:pPr>
              <w:spacing w:after="0"/>
              <w:rPr>
                <w:sz w:val="11"/>
                <w:szCs w:val="11"/>
                <w:color w:val="auto"/>
              </w:rPr>
            </w:pP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1 623</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1 623</w:t>
            </w:r>
          </w:p>
        </w:tc>
        <w:tc>
          <w:tcPr>
            <w:tcW w:w="40" w:type="dxa"/>
            <w:vAlign w:val="bottom"/>
          </w:tcPr>
          <w:p>
            <w:pPr>
              <w:spacing w:after="0"/>
              <w:rPr>
                <w:sz w:val="11"/>
                <w:szCs w:val="11"/>
                <w:color w:val="auto"/>
              </w:rPr>
            </w:pPr>
          </w:p>
        </w:tc>
        <w:tc>
          <w:tcPr>
            <w:tcW w:w="6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22</w:t>
            </w:r>
          </w:p>
        </w:tc>
        <w:tc>
          <w:tcPr>
            <w:tcW w:w="66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1 645</w:t>
            </w:r>
          </w:p>
        </w:tc>
        <w:tc>
          <w:tcPr>
            <w:tcW w:w="0" w:type="dxa"/>
            <w:vAlign w:val="bottom"/>
          </w:tcPr>
          <w:p>
            <w:pPr>
              <w:spacing w:after="0"/>
              <w:rPr>
                <w:sz w:val="1"/>
                <w:szCs w:val="1"/>
                <w:color w:val="auto"/>
              </w:rPr>
            </w:pPr>
          </w:p>
        </w:tc>
      </w:tr>
      <w:tr>
        <w:trPr>
          <w:trHeight w:val="169"/>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Other comprehensive income</w:t>
            </w:r>
          </w:p>
        </w:tc>
        <w:tc>
          <w:tcPr>
            <w:tcW w:w="500" w:type="dxa"/>
            <w:vAlign w:val="bottom"/>
            <w:tcBorders>
              <w:bottom w:val="single" w:sz="8" w:color="005AFF"/>
            </w:tcBorders>
          </w:tcPr>
          <w:p>
            <w:pPr>
              <w:spacing w:after="0"/>
              <w:rPr>
                <w:sz w:val="14"/>
                <w:szCs w:val="14"/>
                <w:color w:val="auto"/>
              </w:rPr>
            </w:pPr>
          </w:p>
        </w:tc>
        <w:tc>
          <w:tcPr>
            <w:tcW w:w="11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6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899</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2 309</w:t>
            </w:r>
          </w:p>
        </w:tc>
        <w:tc>
          <w:tcPr>
            <w:tcW w:w="68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(17)</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3 191</w:t>
            </w:r>
          </w:p>
        </w:tc>
        <w:tc>
          <w:tcPr>
            <w:tcW w:w="4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7</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3 198</w:t>
            </w:r>
          </w:p>
        </w:tc>
        <w:tc>
          <w:tcPr>
            <w:tcW w:w="0" w:type="dxa"/>
            <w:vAlign w:val="bottom"/>
          </w:tcPr>
          <w:p>
            <w:pPr>
              <w:spacing w:after="0"/>
              <w:rPr>
                <w:sz w:val="1"/>
                <w:szCs w:val="1"/>
                <w:color w:val="auto"/>
              </w:rPr>
            </w:pPr>
          </w:p>
        </w:tc>
      </w:tr>
      <w:tr>
        <w:trPr>
          <w:trHeight w:val="140"/>
        </w:trPr>
        <w:tc>
          <w:tcPr>
            <w:tcW w:w="186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comprehensive income for the year</w:t>
            </w: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b w:val="1"/>
                <w:bCs w:val="1"/>
                <w:color w:val="auto"/>
              </w:rPr>
              <w:t>—</w:t>
            </w:r>
          </w:p>
        </w:tc>
        <w:tc>
          <w:tcPr>
            <w:tcW w:w="42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jc w:val="center"/>
              <w:ind w:right="131"/>
              <w:spacing w:after="0"/>
              <w:rPr>
                <w:sz w:val="20"/>
                <w:szCs w:val="20"/>
                <w:color w:val="auto"/>
              </w:rPr>
            </w:pPr>
            <w:r>
              <w:rPr>
                <w:rFonts w:ascii="Times New Roman" w:cs="Times New Roman" w:eastAsia="Times New Roman" w:hAnsi="Times New Roman"/>
                <w:sz w:val="10"/>
                <w:szCs w:val="10"/>
                <w:b w:val="1"/>
                <w:bCs w:val="1"/>
                <w:color w:val="auto"/>
                <w:w w:val="99"/>
              </w:rPr>
              <w:t>—</w:t>
            </w:r>
          </w:p>
        </w:tc>
        <w:tc>
          <w:tcPr>
            <w:tcW w:w="6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899</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2 309</w:t>
            </w:r>
          </w:p>
        </w:tc>
        <w:tc>
          <w:tcPr>
            <w:tcW w:w="680" w:type="dxa"/>
            <w:vAlign w:val="bottom"/>
            <w:tcBorders>
              <w:bottom w:val="single" w:sz="8" w:color="005AFF"/>
            </w:tcBorders>
          </w:tcPr>
          <w:p>
            <w:pPr>
              <w:jc w:val="center"/>
              <w:ind w:left="451"/>
              <w:spacing w:after="0"/>
              <w:rPr>
                <w:sz w:val="20"/>
                <w:szCs w:val="20"/>
                <w:color w:val="auto"/>
              </w:rPr>
            </w:pPr>
            <w:r>
              <w:rPr>
                <w:rFonts w:ascii="Times New Roman" w:cs="Times New Roman" w:eastAsia="Times New Roman" w:hAnsi="Times New Roman"/>
                <w:sz w:val="10"/>
                <w:szCs w:val="10"/>
                <w:b w:val="1"/>
                <w:bCs w:val="1"/>
                <w:color w:val="auto"/>
                <w:w w:val="99"/>
              </w:rPr>
              <w:t>—</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1 606</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4 814</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29</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4 843</w:t>
            </w:r>
          </w:p>
        </w:tc>
        <w:tc>
          <w:tcPr>
            <w:tcW w:w="0" w:type="dxa"/>
            <w:vAlign w:val="bottom"/>
          </w:tcPr>
          <w:p>
            <w:pPr>
              <w:spacing w:after="0"/>
              <w:rPr>
                <w:sz w:val="1"/>
                <w:szCs w:val="1"/>
                <w:color w:val="auto"/>
              </w:rPr>
            </w:pPr>
          </w:p>
        </w:tc>
      </w:tr>
      <w:tr>
        <w:trPr>
          <w:trHeight w:val="137"/>
        </w:trPr>
        <w:tc>
          <w:tcPr>
            <w:tcW w:w="13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900" w:type="dxa"/>
            <w:vAlign w:val="bottom"/>
            <w:gridSpan w:val="2"/>
          </w:tcPr>
          <w:p>
            <w:pPr>
              <w:jc w:val="right"/>
              <w:ind w:right="251"/>
              <w:spacing w:after="0"/>
              <w:rPr>
                <w:sz w:val="20"/>
                <w:szCs w:val="20"/>
                <w:color w:val="auto"/>
              </w:rPr>
            </w:pPr>
            <w:r>
              <w:rPr>
                <w:rFonts w:ascii="Times New Roman" w:cs="Times New Roman" w:eastAsia="Times New Roman" w:hAnsi="Times New Roman"/>
                <w:sz w:val="10"/>
                <w:szCs w:val="10"/>
                <w:color w:val="0D0D0D"/>
              </w:rPr>
              <w:t>108</w:t>
            </w: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108</w:t>
            </w:r>
          </w:p>
        </w:tc>
        <w:tc>
          <w:tcPr>
            <w:tcW w:w="4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6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108</w:t>
            </w:r>
          </w:p>
        </w:tc>
        <w:tc>
          <w:tcPr>
            <w:tcW w:w="0" w:type="dxa"/>
            <w:vAlign w:val="bottom"/>
          </w:tcPr>
          <w:p>
            <w:pPr>
              <w:spacing w:after="0"/>
              <w:rPr>
                <w:sz w:val="1"/>
                <w:szCs w:val="1"/>
                <w:color w:val="auto"/>
              </w:rPr>
            </w:pPr>
          </w:p>
        </w:tc>
      </w:tr>
      <w:tr>
        <w:trPr>
          <w:trHeight w:val="162"/>
        </w:trPr>
        <w:tc>
          <w:tcPr>
            <w:tcW w:w="186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Settlement of share-based payments</w:t>
            </w:r>
          </w:p>
        </w:tc>
        <w:tc>
          <w:tcPr>
            <w:tcW w:w="112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680" w:type="dxa"/>
            <w:vAlign w:val="bottom"/>
          </w:tcPr>
          <w:p>
            <w:pPr>
              <w:spacing w:after="0"/>
              <w:rPr>
                <w:sz w:val="14"/>
                <w:szCs w:val="14"/>
                <w:color w:val="auto"/>
              </w:rPr>
            </w:pPr>
          </w:p>
        </w:tc>
        <w:tc>
          <w:tcPr>
            <w:tcW w:w="900" w:type="dxa"/>
            <w:vAlign w:val="bottom"/>
            <w:gridSpan w:val="2"/>
          </w:tcPr>
          <w:p>
            <w:pPr>
              <w:jc w:val="center"/>
              <w:ind w:left="170"/>
              <w:spacing w:after="0"/>
              <w:rPr>
                <w:sz w:val="20"/>
                <w:szCs w:val="20"/>
                <w:color w:val="auto"/>
              </w:rPr>
            </w:pPr>
            <w:r>
              <w:rPr>
                <w:rFonts w:ascii="Times New Roman" w:cs="Times New Roman" w:eastAsia="Times New Roman" w:hAnsi="Times New Roman"/>
                <w:sz w:val="10"/>
                <w:szCs w:val="10"/>
                <w:color w:val="0D0D0D"/>
                <w:w w:val="95"/>
              </w:rPr>
              <w:t>(97)</w:t>
            </w:r>
          </w:p>
        </w:tc>
        <w:tc>
          <w:tcPr>
            <w:tcW w:w="6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68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6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70</w:t>
            </w:r>
          </w:p>
        </w:tc>
        <w:tc>
          <w:tcPr>
            <w:tcW w:w="660" w:type="dxa"/>
            <w:vAlign w:val="bottom"/>
          </w:tcPr>
          <w:p>
            <w:pPr>
              <w:spacing w:after="0"/>
              <w:rPr>
                <w:sz w:val="14"/>
                <w:szCs w:val="14"/>
                <w:color w:val="auto"/>
              </w:rPr>
            </w:pP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w:t>
            </w:r>
          </w:p>
        </w:tc>
        <w:tc>
          <w:tcPr>
            <w:tcW w:w="4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w:t>
            </w:r>
          </w:p>
        </w:tc>
        <w:tc>
          <w:tcPr>
            <w:tcW w:w="0" w:type="dxa"/>
            <w:vAlign w:val="bottom"/>
          </w:tcPr>
          <w:p>
            <w:pPr>
              <w:spacing w:after="0"/>
              <w:rPr>
                <w:sz w:val="1"/>
                <w:szCs w:val="1"/>
                <w:color w:val="auto"/>
              </w:rPr>
            </w:pPr>
          </w:p>
        </w:tc>
      </w:tr>
      <w:tr>
        <w:trPr>
          <w:trHeight w:val="169"/>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Dividends</w:t>
            </w:r>
          </w:p>
        </w:tc>
        <w:tc>
          <w:tcPr>
            <w:tcW w:w="48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spacing w:after="0"/>
              <w:rPr>
                <w:sz w:val="14"/>
                <w:szCs w:val="14"/>
                <w:color w:val="auto"/>
              </w:rPr>
            </w:pPr>
          </w:p>
        </w:tc>
        <w:tc>
          <w:tcPr>
            <w:tcW w:w="11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6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tcPr>
          <w:p>
            <w:pPr>
              <w:spacing w:after="0"/>
              <w:rPr>
                <w:sz w:val="14"/>
                <w:szCs w:val="14"/>
                <w:color w:val="auto"/>
              </w:rPr>
            </w:pPr>
          </w:p>
        </w:tc>
        <w:tc>
          <w:tcPr>
            <w:tcW w:w="700" w:type="dxa"/>
            <w:vAlign w:val="bottom"/>
            <w:tcBorders>
              <w:bottom w:val="single" w:sz="8" w:color="005AFF"/>
            </w:tcBorders>
            <w:gridSpan w:val="2"/>
          </w:tcPr>
          <w:p>
            <w:pPr>
              <w:jc w:val="right"/>
              <w:ind w:right="60"/>
              <w:spacing w:after="0"/>
              <w:rPr>
                <w:sz w:val="20"/>
                <w:szCs w:val="20"/>
                <w:color w:val="auto"/>
              </w:rPr>
            </w:pPr>
            <w:r>
              <w:rPr>
                <w:rFonts w:ascii="Times New Roman" w:cs="Times New Roman" w:eastAsia="Times New Roman" w:hAnsi="Times New Roman"/>
                <w:sz w:val="10"/>
                <w:szCs w:val="10"/>
                <w:color w:val="0D0D0D"/>
              </w:rPr>
              <w:t>—</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(7)</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(7)</w:t>
            </w:r>
          </w:p>
        </w:tc>
        <w:tc>
          <w:tcPr>
            <w:tcW w:w="0" w:type="dxa"/>
            <w:vAlign w:val="bottom"/>
          </w:tcPr>
          <w:p>
            <w:pPr>
              <w:spacing w:after="0"/>
              <w:rPr>
                <w:sz w:val="1"/>
                <w:szCs w:val="1"/>
                <w:color w:val="auto"/>
              </w:rPr>
            </w:pPr>
          </w:p>
        </w:tc>
      </w:tr>
      <w:tr>
        <w:trPr>
          <w:trHeight w:val="140"/>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w w:val="98"/>
              </w:rPr>
              <w:t>Total transactions with owners</w:t>
            </w: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b w:val="1"/>
                <w:bCs w:val="1"/>
                <w:color w:val="auto"/>
              </w:rPr>
              <w:t>—</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10"/>
                <w:szCs w:val="10"/>
                <w:b w:val="1"/>
                <w:bCs w:val="1"/>
                <w:color w:val="auto"/>
              </w:rPr>
              <w:t>11</w:t>
            </w:r>
          </w:p>
        </w:tc>
        <w:tc>
          <w:tcPr>
            <w:tcW w:w="6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70</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81</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(7)</w:t>
            </w:r>
          </w:p>
        </w:tc>
        <w:tc>
          <w:tcPr>
            <w:tcW w:w="66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b w:val="1"/>
                <w:bCs w:val="1"/>
                <w:color w:val="auto"/>
              </w:rPr>
              <w:t>74</w:t>
            </w:r>
          </w:p>
        </w:tc>
        <w:tc>
          <w:tcPr>
            <w:tcW w:w="0" w:type="dxa"/>
            <w:vAlign w:val="bottom"/>
          </w:tcPr>
          <w:p>
            <w:pPr>
              <w:spacing w:after="0"/>
              <w:rPr>
                <w:sz w:val="1"/>
                <w:szCs w:val="1"/>
                <w:color w:val="auto"/>
              </w:rPr>
            </w:pPr>
          </w:p>
        </w:tc>
      </w:tr>
      <w:tr>
        <w:trPr>
          <w:trHeight w:val="142"/>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2021</w:t>
            </w:r>
          </w:p>
        </w:tc>
        <w:tc>
          <w:tcPr>
            <w:tcW w:w="48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460"/>
              <w:spacing w:after="0"/>
              <w:rPr>
                <w:sz w:val="20"/>
                <w:szCs w:val="20"/>
                <w:color w:val="auto"/>
              </w:rPr>
            </w:pPr>
            <w:r>
              <w:rPr>
                <w:rFonts w:ascii="Times New Roman" w:cs="Times New Roman" w:eastAsia="Times New Roman" w:hAnsi="Times New Roman"/>
                <w:sz w:val="10"/>
                <w:szCs w:val="10"/>
                <w:b w:val="1"/>
                <w:bCs w:val="1"/>
                <w:color w:val="auto"/>
              </w:rPr>
              <w:t>246</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10"/>
                <w:szCs w:val="10"/>
                <w:b w:val="1"/>
                <w:bCs w:val="1"/>
                <w:color w:val="auto"/>
              </w:rPr>
              <w:t>454</w:t>
            </w:r>
          </w:p>
        </w:tc>
        <w:tc>
          <w:tcPr>
            <w:tcW w:w="42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b w:val="1"/>
                <w:bCs w:val="1"/>
                <w:color w:val="auto"/>
              </w:rPr>
              <w:t>(352)</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(396)</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4 219</w:t>
            </w:r>
          </w:p>
        </w:tc>
        <w:tc>
          <w:tcPr>
            <w:tcW w:w="6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15 726</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(2 537)</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17 360</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102</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17 462</w:t>
            </w:r>
          </w:p>
        </w:tc>
        <w:tc>
          <w:tcPr>
            <w:tcW w:w="0" w:type="dxa"/>
            <w:vAlign w:val="bottom"/>
          </w:tcPr>
          <w:p>
            <w:pPr>
              <w:spacing w:after="0"/>
              <w:rPr>
                <w:sz w:val="1"/>
                <w:szCs w:val="1"/>
                <w:color w:val="auto"/>
              </w:rPr>
            </w:pPr>
          </w:p>
        </w:tc>
      </w:tr>
      <w:tr>
        <w:trPr>
          <w:trHeight w:val="137"/>
        </w:trPr>
        <w:tc>
          <w:tcPr>
            <w:tcW w:w="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480" w:type="dxa"/>
            <w:vAlign w:val="bottom"/>
          </w:tcPr>
          <w:p>
            <w:pPr>
              <w:spacing w:after="0"/>
              <w:rPr>
                <w:sz w:val="11"/>
                <w:szCs w:val="11"/>
                <w:color w:val="auto"/>
              </w:rPr>
            </w:pP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4 250</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4 250</w:t>
            </w:r>
          </w:p>
        </w:tc>
        <w:tc>
          <w:tcPr>
            <w:tcW w:w="40" w:type="dxa"/>
            <w:vAlign w:val="bottom"/>
          </w:tcPr>
          <w:p>
            <w:pPr>
              <w:spacing w:after="0"/>
              <w:rPr>
                <w:sz w:val="11"/>
                <w:szCs w:val="11"/>
                <w:color w:val="auto"/>
              </w:rPr>
            </w:pPr>
          </w:p>
        </w:tc>
        <w:tc>
          <w:tcPr>
            <w:tcW w:w="6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9</w:t>
            </w:r>
          </w:p>
        </w:tc>
        <w:tc>
          <w:tcPr>
            <w:tcW w:w="66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4 259</w:t>
            </w:r>
          </w:p>
        </w:tc>
        <w:tc>
          <w:tcPr>
            <w:tcW w:w="0" w:type="dxa"/>
            <w:vAlign w:val="bottom"/>
          </w:tcPr>
          <w:p>
            <w:pPr>
              <w:spacing w:after="0"/>
              <w:rPr>
                <w:sz w:val="1"/>
                <w:szCs w:val="1"/>
                <w:color w:val="auto"/>
              </w:rPr>
            </w:pPr>
          </w:p>
        </w:tc>
      </w:tr>
      <w:tr>
        <w:trPr>
          <w:trHeight w:val="169"/>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Other comprehensive income</w:t>
            </w:r>
          </w:p>
        </w:tc>
        <w:tc>
          <w:tcPr>
            <w:tcW w:w="500" w:type="dxa"/>
            <w:vAlign w:val="bottom"/>
            <w:tcBorders>
              <w:bottom w:val="single" w:sz="8" w:color="005AFF"/>
            </w:tcBorders>
          </w:tcPr>
          <w:p>
            <w:pPr>
              <w:spacing w:after="0"/>
              <w:rPr>
                <w:sz w:val="14"/>
                <w:szCs w:val="14"/>
                <w:color w:val="auto"/>
              </w:rPr>
            </w:pPr>
          </w:p>
        </w:tc>
        <w:tc>
          <w:tcPr>
            <w:tcW w:w="11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6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565</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(314)</w:t>
            </w:r>
          </w:p>
        </w:tc>
        <w:tc>
          <w:tcPr>
            <w:tcW w:w="68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250</w:t>
            </w:r>
          </w:p>
        </w:tc>
        <w:tc>
          <w:tcPr>
            <w:tcW w:w="4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66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249</w:t>
            </w:r>
          </w:p>
        </w:tc>
        <w:tc>
          <w:tcPr>
            <w:tcW w:w="0" w:type="dxa"/>
            <w:vAlign w:val="bottom"/>
          </w:tcPr>
          <w:p>
            <w:pPr>
              <w:spacing w:after="0"/>
              <w:rPr>
                <w:sz w:val="1"/>
                <w:szCs w:val="1"/>
                <w:color w:val="auto"/>
              </w:rPr>
            </w:pPr>
          </w:p>
        </w:tc>
      </w:tr>
      <w:tr>
        <w:trPr>
          <w:trHeight w:val="140"/>
        </w:trPr>
        <w:tc>
          <w:tcPr>
            <w:tcW w:w="186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comprehensive income for the year</w:t>
            </w: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b w:val="1"/>
                <w:bCs w:val="1"/>
                <w:color w:val="auto"/>
              </w:rPr>
              <w:t>—</w:t>
            </w:r>
          </w:p>
        </w:tc>
        <w:tc>
          <w:tcPr>
            <w:tcW w:w="42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jc w:val="center"/>
              <w:ind w:right="131"/>
              <w:spacing w:after="0"/>
              <w:rPr>
                <w:sz w:val="20"/>
                <w:szCs w:val="20"/>
                <w:color w:val="auto"/>
              </w:rPr>
            </w:pPr>
            <w:r>
              <w:rPr>
                <w:rFonts w:ascii="Times New Roman" w:cs="Times New Roman" w:eastAsia="Times New Roman" w:hAnsi="Times New Roman"/>
                <w:sz w:val="10"/>
                <w:szCs w:val="10"/>
                <w:b w:val="1"/>
                <w:bCs w:val="1"/>
                <w:color w:val="auto"/>
                <w:w w:val="99"/>
              </w:rPr>
              <w:t>—</w:t>
            </w:r>
          </w:p>
        </w:tc>
        <w:tc>
          <w:tcPr>
            <w:tcW w:w="6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565</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(314)</w:t>
            </w:r>
          </w:p>
        </w:tc>
        <w:tc>
          <w:tcPr>
            <w:tcW w:w="680" w:type="dxa"/>
            <w:vAlign w:val="bottom"/>
            <w:tcBorders>
              <w:bottom w:val="single" w:sz="8" w:color="005AFF"/>
            </w:tcBorders>
          </w:tcPr>
          <w:p>
            <w:pPr>
              <w:jc w:val="center"/>
              <w:ind w:left="451"/>
              <w:spacing w:after="0"/>
              <w:rPr>
                <w:sz w:val="20"/>
                <w:szCs w:val="20"/>
                <w:color w:val="auto"/>
              </w:rPr>
            </w:pPr>
            <w:r>
              <w:rPr>
                <w:rFonts w:ascii="Times New Roman" w:cs="Times New Roman" w:eastAsia="Times New Roman" w:hAnsi="Times New Roman"/>
                <w:sz w:val="10"/>
                <w:szCs w:val="10"/>
                <w:b w:val="1"/>
                <w:bCs w:val="1"/>
                <w:color w:val="auto"/>
                <w:w w:val="99"/>
              </w:rPr>
              <w:t>—</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4 249</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4 500</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8</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4 508</w:t>
            </w:r>
          </w:p>
        </w:tc>
        <w:tc>
          <w:tcPr>
            <w:tcW w:w="0" w:type="dxa"/>
            <w:vAlign w:val="bottom"/>
          </w:tcPr>
          <w:p>
            <w:pPr>
              <w:spacing w:after="0"/>
              <w:rPr>
                <w:sz w:val="1"/>
                <w:szCs w:val="1"/>
                <w:color w:val="auto"/>
              </w:rPr>
            </w:pPr>
          </w:p>
        </w:tc>
      </w:tr>
      <w:tr>
        <w:trPr>
          <w:trHeight w:val="137"/>
        </w:trPr>
        <w:tc>
          <w:tcPr>
            <w:tcW w:w="13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900" w:type="dxa"/>
            <w:vAlign w:val="bottom"/>
            <w:gridSpan w:val="2"/>
          </w:tcPr>
          <w:p>
            <w:pPr>
              <w:jc w:val="right"/>
              <w:ind w:right="251"/>
              <w:spacing w:after="0"/>
              <w:rPr>
                <w:sz w:val="20"/>
                <w:szCs w:val="20"/>
                <w:color w:val="auto"/>
              </w:rPr>
            </w:pPr>
            <w:r>
              <w:rPr>
                <w:rFonts w:ascii="Times New Roman" w:cs="Times New Roman" w:eastAsia="Times New Roman" w:hAnsi="Times New Roman"/>
                <w:sz w:val="10"/>
                <w:szCs w:val="10"/>
                <w:color w:val="0D0D0D"/>
              </w:rPr>
              <w:t>149</w:t>
            </w: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149</w:t>
            </w:r>
          </w:p>
        </w:tc>
        <w:tc>
          <w:tcPr>
            <w:tcW w:w="4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6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149</w:t>
            </w:r>
          </w:p>
        </w:tc>
        <w:tc>
          <w:tcPr>
            <w:tcW w:w="0" w:type="dxa"/>
            <w:vAlign w:val="bottom"/>
          </w:tcPr>
          <w:p>
            <w:pPr>
              <w:spacing w:after="0"/>
              <w:rPr>
                <w:sz w:val="1"/>
                <w:szCs w:val="1"/>
                <w:color w:val="auto"/>
              </w:rPr>
            </w:pPr>
          </w:p>
        </w:tc>
      </w:tr>
      <w:tr>
        <w:trPr>
          <w:trHeight w:val="162"/>
        </w:trPr>
        <w:tc>
          <w:tcPr>
            <w:tcW w:w="186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Settlement of share-based payments</w:t>
            </w:r>
          </w:p>
        </w:tc>
        <w:tc>
          <w:tcPr>
            <w:tcW w:w="1120" w:type="dxa"/>
            <w:vAlign w:val="bottom"/>
          </w:tcPr>
          <w:p>
            <w:pPr>
              <w:spacing w:after="0"/>
              <w:rPr>
                <w:sz w:val="14"/>
                <w:szCs w:val="14"/>
                <w:color w:val="auto"/>
              </w:rPr>
            </w:pPr>
          </w:p>
        </w:tc>
        <w:tc>
          <w:tcPr>
            <w:tcW w:w="380" w:type="dxa"/>
            <w:vAlign w:val="bottom"/>
            <w:vMerge w:val="restart"/>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Pr>
          <w:p>
            <w:pPr>
              <w:spacing w:after="0"/>
              <w:rPr>
                <w:sz w:val="14"/>
                <w:szCs w:val="14"/>
                <w:color w:val="auto"/>
              </w:rPr>
            </w:pPr>
          </w:p>
        </w:tc>
        <w:tc>
          <w:tcPr>
            <w:tcW w:w="900" w:type="dxa"/>
            <w:vAlign w:val="bottom"/>
            <w:gridSpan w:val="2"/>
          </w:tcPr>
          <w:p>
            <w:pPr>
              <w:jc w:val="right"/>
              <w:ind w:right="211"/>
              <w:spacing w:after="0"/>
              <w:rPr>
                <w:sz w:val="20"/>
                <w:szCs w:val="20"/>
                <w:color w:val="auto"/>
              </w:rPr>
            </w:pPr>
            <w:r>
              <w:rPr>
                <w:rFonts w:ascii="Times New Roman" w:cs="Times New Roman" w:eastAsia="Times New Roman" w:hAnsi="Times New Roman"/>
                <w:sz w:val="10"/>
                <w:szCs w:val="10"/>
                <w:color w:val="0D0D0D"/>
              </w:rPr>
              <w:t>(100)</w:t>
            </w:r>
          </w:p>
        </w:tc>
        <w:tc>
          <w:tcPr>
            <w:tcW w:w="420" w:type="dxa"/>
            <w:vAlign w:val="bottom"/>
            <w:gridSpan w:val="2"/>
            <w:vMerge w:val="restart"/>
          </w:tcPr>
          <w:p>
            <w:pPr>
              <w:jc w:val="right"/>
              <w:spacing w:after="0"/>
              <w:rPr>
                <w:sz w:val="20"/>
                <w:szCs w:val="20"/>
                <w:color w:val="auto"/>
              </w:rPr>
            </w:pPr>
            <w:r>
              <w:rPr>
                <w:rFonts w:ascii="Times New Roman" w:cs="Times New Roman" w:eastAsia="Times New Roman" w:hAnsi="Times New Roman"/>
                <w:sz w:val="10"/>
                <w:szCs w:val="10"/>
                <w:color w:val="0D0D0D"/>
              </w:rPr>
              <w:t>(300)</w:t>
            </w:r>
          </w:p>
        </w:tc>
        <w:tc>
          <w:tcPr>
            <w:tcW w:w="68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6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73</w:t>
            </w:r>
          </w:p>
        </w:tc>
        <w:tc>
          <w:tcPr>
            <w:tcW w:w="660" w:type="dxa"/>
            <w:vAlign w:val="bottom"/>
          </w:tcPr>
          <w:p>
            <w:pPr>
              <w:spacing w:after="0"/>
              <w:rPr>
                <w:sz w:val="14"/>
                <w:szCs w:val="14"/>
                <w:color w:val="auto"/>
              </w:rPr>
            </w:pP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w:t>
            </w:r>
          </w:p>
        </w:tc>
        <w:tc>
          <w:tcPr>
            <w:tcW w:w="4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w:t>
            </w:r>
          </w:p>
        </w:tc>
        <w:tc>
          <w:tcPr>
            <w:tcW w:w="0" w:type="dxa"/>
            <w:vAlign w:val="bottom"/>
          </w:tcPr>
          <w:p>
            <w:pPr>
              <w:spacing w:after="0"/>
              <w:rPr>
                <w:sz w:val="1"/>
                <w:szCs w:val="1"/>
                <w:color w:val="auto"/>
              </w:rPr>
            </w:pPr>
          </w:p>
        </w:tc>
      </w:tr>
      <w:tr>
        <w:trPr>
          <w:trHeight w:val="101"/>
        </w:trPr>
        <w:tc>
          <w:tcPr>
            <w:tcW w:w="1360" w:type="dxa"/>
            <w:vAlign w:val="bottom"/>
            <w:gridSpan w:val="2"/>
          </w:tcPr>
          <w:p>
            <w:pPr>
              <w:ind w:left="40"/>
              <w:spacing w:after="0" w:line="102" w:lineRule="exact"/>
              <w:rPr>
                <w:sz w:val="20"/>
                <w:szCs w:val="20"/>
                <w:color w:val="auto"/>
              </w:rPr>
            </w:pPr>
            <w:r>
              <w:rPr>
                <w:rFonts w:ascii="Times New Roman" w:cs="Times New Roman" w:eastAsia="Times New Roman" w:hAnsi="Times New Roman"/>
                <w:sz w:val="10"/>
                <w:szCs w:val="10"/>
                <w:color w:val="0D0D0D"/>
              </w:rPr>
              <w:t>Acquisition of treasury shares</w:t>
            </w:r>
          </w:p>
        </w:tc>
        <w:tc>
          <w:tcPr>
            <w:tcW w:w="500" w:type="dxa"/>
            <w:vAlign w:val="bottom"/>
            <w:vMerge w:val="restart"/>
          </w:tcPr>
          <w:p>
            <w:pPr>
              <w:jc w:val="right"/>
              <w:ind w:right="387"/>
              <w:spacing w:after="0"/>
              <w:rPr>
                <w:sz w:val="20"/>
                <w:szCs w:val="20"/>
                <w:color w:val="auto"/>
              </w:rPr>
            </w:pPr>
            <w:r>
              <w:rPr>
                <w:rFonts w:ascii="Times New Roman" w:cs="Times New Roman" w:eastAsia="Times New Roman" w:hAnsi="Times New Roman"/>
                <w:sz w:val="7"/>
                <w:szCs w:val="7"/>
                <w:color w:val="0D0D0D"/>
                <w:w w:val="72"/>
              </w:rPr>
              <w:t>(1)</w:t>
            </w:r>
          </w:p>
        </w:tc>
        <w:tc>
          <w:tcPr>
            <w:tcW w:w="1120" w:type="dxa"/>
            <w:vAlign w:val="bottom"/>
          </w:tcPr>
          <w:p>
            <w:pPr>
              <w:spacing w:after="0"/>
              <w:rPr>
                <w:sz w:val="8"/>
                <w:szCs w:val="8"/>
                <w:color w:val="auto"/>
              </w:rPr>
            </w:pPr>
          </w:p>
        </w:tc>
        <w:tc>
          <w:tcPr>
            <w:tcW w:w="380" w:type="dxa"/>
            <w:vAlign w:val="bottom"/>
            <w:vMerge w:val="continue"/>
          </w:tcPr>
          <w:p>
            <w:pPr>
              <w:spacing w:after="0"/>
              <w:rPr>
                <w:sz w:val="8"/>
                <w:szCs w:val="8"/>
                <w:color w:val="auto"/>
              </w:rPr>
            </w:pPr>
          </w:p>
        </w:tc>
        <w:tc>
          <w:tcPr>
            <w:tcW w:w="680" w:type="dxa"/>
            <w:vAlign w:val="bottom"/>
          </w:tcPr>
          <w:p>
            <w:pPr>
              <w:spacing w:after="0"/>
              <w:rPr>
                <w:sz w:val="8"/>
                <w:szCs w:val="8"/>
                <w:color w:val="auto"/>
              </w:rPr>
            </w:pPr>
          </w:p>
        </w:tc>
        <w:tc>
          <w:tcPr>
            <w:tcW w:w="420" w:type="dxa"/>
            <w:vAlign w:val="bottom"/>
          </w:tcPr>
          <w:p>
            <w:pPr>
              <w:spacing w:after="0"/>
              <w:rPr>
                <w:sz w:val="8"/>
                <w:szCs w:val="8"/>
                <w:color w:val="auto"/>
              </w:rPr>
            </w:pPr>
          </w:p>
        </w:tc>
        <w:tc>
          <w:tcPr>
            <w:tcW w:w="480" w:type="dxa"/>
            <w:vAlign w:val="bottom"/>
          </w:tcPr>
          <w:p>
            <w:pPr>
              <w:spacing w:after="0"/>
              <w:rPr>
                <w:sz w:val="8"/>
                <w:szCs w:val="8"/>
                <w:color w:val="auto"/>
              </w:rPr>
            </w:pPr>
          </w:p>
        </w:tc>
        <w:tc>
          <w:tcPr>
            <w:tcW w:w="420" w:type="dxa"/>
            <w:vAlign w:val="bottom"/>
            <w:gridSpan w:val="2"/>
            <w:vMerge w:val="continue"/>
          </w:tcPr>
          <w:p>
            <w:pPr>
              <w:spacing w:after="0"/>
              <w:rPr>
                <w:sz w:val="8"/>
                <w:szCs w:val="8"/>
                <w:color w:val="auto"/>
              </w:rPr>
            </w:pPr>
          </w:p>
        </w:tc>
        <w:tc>
          <w:tcPr>
            <w:tcW w:w="680" w:type="dxa"/>
            <w:vAlign w:val="bottom"/>
          </w:tcPr>
          <w:p>
            <w:pPr>
              <w:spacing w:after="0"/>
              <w:rPr>
                <w:sz w:val="8"/>
                <w:szCs w:val="8"/>
                <w:color w:val="auto"/>
              </w:rPr>
            </w:pPr>
          </w:p>
        </w:tc>
        <w:tc>
          <w:tcPr>
            <w:tcW w:w="660" w:type="dxa"/>
            <w:vAlign w:val="bottom"/>
          </w:tcPr>
          <w:p>
            <w:pPr>
              <w:spacing w:after="0"/>
              <w:rPr>
                <w:sz w:val="8"/>
                <w:szCs w:val="8"/>
                <w:color w:val="auto"/>
              </w:rPr>
            </w:pPr>
          </w:p>
        </w:tc>
        <w:tc>
          <w:tcPr>
            <w:tcW w:w="680" w:type="dxa"/>
            <w:vAlign w:val="bottom"/>
          </w:tcPr>
          <w:p>
            <w:pPr>
              <w:jc w:val="center"/>
              <w:ind w:left="411"/>
              <w:spacing w:after="0" w:line="102" w:lineRule="exact"/>
              <w:rPr>
                <w:sz w:val="20"/>
                <w:szCs w:val="20"/>
                <w:color w:val="auto"/>
              </w:rPr>
            </w:pPr>
            <w:r>
              <w:rPr>
                <w:rFonts w:ascii="Times New Roman" w:cs="Times New Roman" w:eastAsia="Times New Roman" w:hAnsi="Times New Roman"/>
                <w:sz w:val="10"/>
                <w:szCs w:val="10"/>
                <w:color w:val="0D0D0D"/>
              </w:rPr>
              <w:t>(12)</w:t>
            </w:r>
          </w:p>
        </w:tc>
        <w:tc>
          <w:tcPr>
            <w:tcW w:w="660" w:type="dxa"/>
            <w:vAlign w:val="bottom"/>
          </w:tcPr>
          <w:p>
            <w:pPr>
              <w:spacing w:after="0"/>
              <w:rPr>
                <w:sz w:val="8"/>
                <w:szCs w:val="8"/>
                <w:color w:val="auto"/>
              </w:rPr>
            </w:pPr>
          </w:p>
        </w:tc>
        <w:tc>
          <w:tcPr>
            <w:tcW w:w="660" w:type="dxa"/>
            <w:vAlign w:val="bottom"/>
          </w:tcPr>
          <w:p>
            <w:pPr>
              <w:jc w:val="right"/>
              <w:spacing w:after="0" w:line="102" w:lineRule="exact"/>
              <w:rPr>
                <w:sz w:val="20"/>
                <w:szCs w:val="20"/>
                <w:color w:val="auto"/>
              </w:rPr>
            </w:pPr>
            <w:r>
              <w:rPr>
                <w:rFonts w:ascii="Times New Roman" w:cs="Times New Roman" w:eastAsia="Times New Roman" w:hAnsi="Times New Roman"/>
                <w:sz w:val="10"/>
                <w:szCs w:val="10"/>
                <w:color w:val="0D0D0D"/>
              </w:rPr>
              <w:t>(312)</w:t>
            </w:r>
          </w:p>
        </w:tc>
        <w:tc>
          <w:tcPr>
            <w:tcW w:w="40" w:type="dxa"/>
            <w:vAlign w:val="bottom"/>
          </w:tcPr>
          <w:p>
            <w:pPr>
              <w:spacing w:after="0"/>
              <w:rPr>
                <w:sz w:val="8"/>
                <w:szCs w:val="8"/>
                <w:color w:val="auto"/>
              </w:rPr>
            </w:pPr>
          </w:p>
        </w:tc>
        <w:tc>
          <w:tcPr>
            <w:tcW w:w="640" w:type="dxa"/>
            <w:vAlign w:val="bottom"/>
          </w:tcPr>
          <w:p>
            <w:pPr>
              <w:spacing w:after="0"/>
              <w:rPr>
                <w:sz w:val="8"/>
                <w:szCs w:val="8"/>
                <w:color w:val="auto"/>
              </w:rPr>
            </w:pPr>
          </w:p>
        </w:tc>
        <w:tc>
          <w:tcPr>
            <w:tcW w:w="660" w:type="dxa"/>
            <w:vAlign w:val="bottom"/>
          </w:tcPr>
          <w:p>
            <w:pPr>
              <w:jc w:val="right"/>
              <w:spacing w:after="0" w:line="102" w:lineRule="exact"/>
              <w:rPr>
                <w:sz w:val="20"/>
                <w:szCs w:val="20"/>
                <w:color w:val="auto"/>
              </w:rPr>
            </w:pPr>
            <w:r>
              <w:rPr>
                <w:rFonts w:ascii="Times New Roman" w:cs="Times New Roman" w:eastAsia="Times New Roman" w:hAnsi="Times New Roman"/>
                <w:sz w:val="10"/>
                <w:szCs w:val="10"/>
                <w:color w:val="0D0D0D"/>
              </w:rPr>
              <w:t>(312)</w:t>
            </w:r>
          </w:p>
        </w:tc>
        <w:tc>
          <w:tcPr>
            <w:tcW w:w="0" w:type="dxa"/>
            <w:vAlign w:val="bottom"/>
          </w:tcPr>
          <w:p>
            <w:pPr>
              <w:spacing w:after="0"/>
              <w:rPr>
                <w:sz w:val="1"/>
                <w:szCs w:val="1"/>
                <w:color w:val="auto"/>
              </w:rPr>
            </w:pPr>
          </w:p>
        </w:tc>
      </w:tr>
      <w:tr>
        <w:trPr>
          <w:trHeight w:val="20"/>
        </w:trPr>
        <w:tc>
          <w:tcPr>
            <w:tcW w:w="13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Cancellation of treasury shares</w:t>
            </w:r>
          </w:p>
        </w:tc>
        <w:tc>
          <w:tcPr>
            <w:tcW w:w="500" w:type="dxa"/>
            <w:vAlign w:val="bottom"/>
            <w:vMerge w:val="continue"/>
          </w:tcPr>
          <w:p>
            <w:pPr>
              <w:spacing w:after="0" w:line="20" w:lineRule="exact"/>
              <w:rPr>
                <w:sz w:val="1"/>
                <w:szCs w:val="1"/>
                <w:color w:val="auto"/>
              </w:rPr>
            </w:pPr>
          </w:p>
        </w:tc>
        <w:tc>
          <w:tcPr>
            <w:tcW w:w="1120" w:type="dxa"/>
            <w:vAlign w:val="bottom"/>
          </w:tcPr>
          <w:p>
            <w:pPr>
              <w:spacing w:after="0" w:line="20" w:lineRule="exact"/>
              <w:rPr>
                <w:sz w:val="1"/>
                <w:szCs w:val="1"/>
                <w:color w:val="auto"/>
              </w:rPr>
            </w:pPr>
          </w:p>
        </w:tc>
        <w:tc>
          <w:tcPr>
            <w:tcW w:w="380" w:type="dxa"/>
            <w:vAlign w:val="bottom"/>
          </w:tcPr>
          <w:p>
            <w:pPr>
              <w:spacing w:after="0" w:line="20" w:lineRule="exact"/>
              <w:rPr>
                <w:sz w:val="1"/>
                <w:szCs w:val="1"/>
                <w:color w:val="auto"/>
              </w:rPr>
            </w:pPr>
          </w:p>
        </w:tc>
        <w:tc>
          <w:tcPr>
            <w:tcW w:w="680" w:type="dxa"/>
            <w:vAlign w:val="bottom"/>
          </w:tcPr>
          <w:p>
            <w:pPr>
              <w:spacing w:after="0" w:line="20" w:lineRule="exact"/>
              <w:rPr>
                <w:sz w:val="1"/>
                <w:szCs w:val="1"/>
                <w:color w:val="auto"/>
              </w:rPr>
            </w:pPr>
          </w:p>
        </w:tc>
        <w:tc>
          <w:tcPr>
            <w:tcW w:w="420" w:type="dxa"/>
            <w:vAlign w:val="bottom"/>
          </w:tcPr>
          <w:p>
            <w:pPr>
              <w:spacing w:after="0" w:line="20" w:lineRule="exact"/>
              <w:rPr>
                <w:sz w:val="1"/>
                <w:szCs w:val="1"/>
                <w:color w:val="auto"/>
              </w:rPr>
            </w:pPr>
          </w:p>
        </w:tc>
        <w:tc>
          <w:tcPr>
            <w:tcW w:w="480" w:type="dxa"/>
            <w:vAlign w:val="bottom"/>
          </w:tcPr>
          <w:p>
            <w:pPr>
              <w:spacing w:after="0" w:line="20" w:lineRule="exact"/>
              <w:rPr>
                <w:sz w:val="1"/>
                <w:szCs w:val="1"/>
                <w:color w:val="auto"/>
              </w:rPr>
            </w:pPr>
          </w:p>
        </w:tc>
        <w:tc>
          <w:tcPr>
            <w:tcW w:w="420" w:type="dxa"/>
            <w:vAlign w:val="bottom"/>
            <w:gridSpan w:val="2"/>
            <w:vMerge w:val="restart"/>
          </w:tcPr>
          <w:p>
            <w:pPr>
              <w:jc w:val="right"/>
              <w:spacing w:after="0"/>
              <w:rPr>
                <w:sz w:val="20"/>
                <w:szCs w:val="20"/>
                <w:color w:val="auto"/>
              </w:rPr>
            </w:pPr>
            <w:r>
              <w:rPr>
                <w:rFonts w:ascii="Times New Roman" w:cs="Times New Roman" w:eastAsia="Times New Roman" w:hAnsi="Times New Roman"/>
                <w:sz w:val="10"/>
                <w:szCs w:val="10"/>
                <w:color w:val="0D0D0D"/>
              </w:rPr>
              <w:t>300</w:t>
            </w:r>
          </w:p>
        </w:tc>
        <w:tc>
          <w:tcPr>
            <w:tcW w:w="680" w:type="dxa"/>
            <w:vAlign w:val="bottom"/>
          </w:tcPr>
          <w:p>
            <w:pPr>
              <w:spacing w:after="0" w:line="20" w:lineRule="exact"/>
              <w:rPr>
                <w:sz w:val="1"/>
                <w:szCs w:val="1"/>
                <w:color w:val="auto"/>
              </w:rPr>
            </w:pPr>
          </w:p>
        </w:tc>
        <w:tc>
          <w:tcPr>
            <w:tcW w:w="660" w:type="dxa"/>
            <w:vAlign w:val="bottom"/>
          </w:tcPr>
          <w:p>
            <w:pPr>
              <w:spacing w:after="0" w:line="20" w:lineRule="exact"/>
              <w:rPr>
                <w:sz w:val="1"/>
                <w:szCs w:val="1"/>
                <w:color w:val="auto"/>
              </w:rPr>
            </w:pPr>
          </w:p>
        </w:tc>
        <w:tc>
          <w:tcPr>
            <w:tcW w:w="68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(300)</w:t>
            </w:r>
          </w:p>
        </w:tc>
        <w:tc>
          <w:tcPr>
            <w:tcW w:w="660" w:type="dxa"/>
            <w:vAlign w:val="bottom"/>
          </w:tcPr>
          <w:p>
            <w:pPr>
              <w:spacing w:after="0" w:line="20" w:lineRule="exact"/>
              <w:rPr>
                <w:sz w:val="1"/>
                <w:szCs w:val="1"/>
                <w:color w:val="auto"/>
              </w:rPr>
            </w:pPr>
          </w:p>
        </w:tc>
        <w:tc>
          <w:tcPr>
            <w:tcW w:w="700" w:type="dxa"/>
            <w:vAlign w:val="bottom"/>
            <w:gridSpan w:val="2"/>
            <w:vMerge w:val="restart"/>
          </w:tcPr>
          <w:p>
            <w:pPr>
              <w:ind w:left="58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spacing w:after="0" w:line="20" w:lineRule="exact"/>
              <w:rPr>
                <w:sz w:val="1"/>
                <w:szCs w:val="1"/>
                <w:color w:val="auto"/>
              </w:rPr>
            </w:pPr>
          </w:p>
        </w:tc>
        <w:tc>
          <w:tcPr>
            <w:tcW w:w="66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line="20" w:lineRule="exact"/>
              <w:rPr>
                <w:sz w:val="1"/>
                <w:szCs w:val="1"/>
                <w:color w:val="auto"/>
              </w:rPr>
            </w:pPr>
          </w:p>
        </w:tc>
      </w:tr>
      <w:tr>
        <w:trPr>
          <w:trHeight w:val="142"/>
        </w:trPr>
        <w:tc>
          <w:tcPr>
            <w:tcW w:w="1360" w:type="dxa"/>
            <w:vAlign w:val="bottom"/>
            <w:gridSpan w:val="2"/>
            <w:vMerge w:val="continue"/>
          </w:tcPr>
          <w:p>
            <w:pPr>
              <w:spacing w:after="0"/>
              <w:rPr>
                <w:sz w:val="12"/>
                <w:szCs w:val="12"/>
                <w:color w:val="auto"/>
              </w:rPr>
            </w:pPr>
          </w:p>
        </w:tc>
        <w:tc>
          <w:tcPr>
            <w:tcW w:w="500" w:type="dxa"/>
            <w:vAlign w:val="bottom"/>
            <w:vMerge w:val="restart"/>
          </w:tcPr>
          <w:p>
            <w:pPr>
              <w:jc w:val="right"/>
              <w:ind w:right="327"/>
              <w:spacing w:after="0"/>
              <w:rPr>
                <w:sz w:val="20"/>
                <w:szCs w:val="20"/>
                <w:color w:val="auto"/>
              </w:rPr>
            </w:pPr>
            <w:r>
              <w:rPr>
                <w:rFonts w:ascii="Times New Roman" w:cs="Times New Roman" w:eastAsia="Times New Roman" w:hAnsi="Times New Roman"/>
                <w:sz w:val="7"/>
                <w:szCs w:val="7"/>
                <w:color w:val="0D0D0D"/>
              </w:rPr>
              <w:t>(1)</w:t>
            </w:r>
          </w:p>
        </w:tc>
        <w:tc>
          <w:tcPr>
            <w:tcW w:w="1120" w:type="dxa"/>
            <w:vAlign w:val="bottom"/>
          </w:tcPr>
          <w:p>
            <w:pPr>
              <w:spacing w:after="0"/>
              <w:rPr>
                <w:sz w:val="12"/>
                <w:szCs w:val="12"/>
                <w:color w:val="auto"/>
              </w:rPr>
            </w:pPr>
          </w:p>
        </w:tc>
        <w:tc>
          <w:tcPr>
            <w:tcW w:w="380" w:type="dxa"/>
            <w:vAlign w:val="bottom"/>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Pr>
          <w:p>
            <w:pPr>
              <w:spacing w:after="0"/>
              <w:rPr>
                <w:sz w:val="12"/>
                <w:szCs w:val="12"/>
                <w:color w:val="auto"/>
              </w:rPr>
            </w:pPr>
          </w:p>
        </w:tc>
        <w:tc>
          <w:tcPr>
            <w:tcW w:w="42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420" w:type="dxa"/>
            <w:vAlign w:val="bottom"/>
            <w:gridSpan w:val="2"/>
            <w:vMerge w:val="continue"/>
          </w:tcPr>
          <w:p>
            <w:pPr>
              <w:spacing w:after="0"/>
              <w:rPr>
                <w:sz w:val="12"/>
                <w:szCs w:val="12"/>
                <w:color w:val="auto"/>
              </w:rPr>
            </w:pPr>
          </w:p>
        </w:tc>
        <w:tc>
          <w:tcPr>
            <w:tcW w:w="680" w:type="dxa"/>
            <w:vAlign w:val="bottom"/>
          </w:tcPr>
          <w:p>
            <w:pPr>
              <w:spacing w:after="0"/>
              <w:rPr>
                <w:sz w:val="12"/>
                <w:szCs w:val="12"/>
                <w:color w:val="auto"/>
              </w:rPr>
            </w:pPr>
          </w:p>
        </w:tc>
        <w:tc>
          <w:tcPr>
            <w:tcW w:w="660" w:type="dxa"/>
            <w:vAlign w:val="bottom"/>
          </w:tcPr>
          <w:p>
            <w:pPr>
              <w:spacing w:after="0"/>
              <w:rPr>
                <w:sz w:val="12"/>
                <w:szCs w:val="12"/>
                <w:color w:val="auto"/>
              </w:rPr>
            </w:pPr>
          </w:p>
        </w:tc>
        <w:tc>
          <w:tcPr>
            <w:tcW w:w="680" w:type="dxa"/>
            <w:vAlign w:val="bottom"/>
            <w:vMerge w:val="continue"/>
          </w:tcPr>
          <w:p>
            <w:pPr>
              <w:spacing w:after="0"/>
              <w:rPr>
                <w:sz w:val="12"/>
                <w:szCs w:val="12"/>
                <w:color w:val="auto"/>
              </w:rPr>
            </w:pPr>
          </w:p>
        </w:tc>
        <w:tc>
          <w:tcPr>
            <w:tcW w:w="660" w:type="dxa"/>
            <w:vAlign w:val="bottom"/>
          </w:tcPr>
          <w:p>
            <w:pPr>
              <w:spacing w:after="0"/>
              <w:rPr>
                <w:sz w:val="12"/>
                <w:szCs w:val="12"/>
                <w:color w:val="auto"/>
              </w:rPr>
            </w:pPr>
          </w:p>
        </w:tc>
        <w:tc>
          <w:tcPr>
            <w:tcW w:w="700" w:type="dxa"/>
            <w:vAlign w:val="bottom"/>
            <w:gridSpan w:val="2"/>
            <w:vMerge w:val="continue"/>
          </w:tcPr>
          <w:p>
            <w:pPr>
              <w:spacing w:after="0"/>
              <w:rPr>
                <w:sz w:val="12"/>
                <w:szCs w:val="12"/>
                <w:color w:val="auto"/>
              </w:rPr>
            </w:pPr>
          </w:p>
        </w:tc>
        <w:tc>
          <w:tcPr>
            <w:tcW w:w="640" w:type="dxa"/>
            <w:vAlign w:val="bottom"/>
          </w:tcPr>
          <w:p>
            <w:pPr>
              <w:spacing w:after="0"/>
              <w:rPr>
                <w:sz w:val="12"/>
                <w:szCs w:val="12"/>
                <w:color w:val="auto"/>
              </w:rPr>
            </w:pPr>
          </w:p>
        </w:tc>
        <w:tc>
          <w:tcPr>
            <w:tcW w:w="660" w:type="dxa"/>
            <w:vAlign w:val="bottom"/>
            <w:vMerge w:val="continue"/>
          </w:tcPr>
          <w:p>
            <w:pPr>
              <w:spacing w:after="0"/>
              <w:rPr>
                <w:sz w:val="12"/>
                <w:szCs w:val="12"/>
                <w:color w:val="auto"/>
              </w:rPr>
            </w:pPr>
          </w:p>
        </w:tc>
        <w:tc>
          <w:tcPr>
            <w:tcW w:w="0" w:type="dxa"/>
            <w:vAlign w:val="bottom"/>
          </w:tcPr>
          <w:p>
            <w:pPr>
              <w:spacing w:after="0"/>
              <w:rPr>
                <w:sz w:val="1"/>
                <w:szCs w:val="1"/>
                <w:color w:val="auto"/>
              </w:rPr>
            </w:pPr>
          </w:p>
        </w:tc>
      </w:tr>
      <w:tr>
        <w:trPr>
          <w:trHeight w:val="20"/>
        </w:trPr>
        <w:tc>
          <w:tcPr>
            <w:tcW w:w="880" w:type="dxa"/>
            <w:vAlign w:val="bottom"/>
          </w:tcPr>
          <w:p>
            <w:pPr>
              <w:spacing w:after="0" w:line="20" w:lineRule="exact"/>
              <w:rPr>
                <w:sz w:val="1"/>
                <w:szCs w:val="1"/>
                <w:color w:val="auto"/>
              </w:rPr>
            </w:pPr>
          </w:p>
        </w:tc>
        <w:tc>
          <w:tcPr>
            <w:tcW w:w="480" w:type="dxa"/>
            <w:vAlign w:val="bottom"/>
          </w:tcPr>
          <w:p>
            <w:pPr>
              <w:spacing w:after="0" w:line="20" w:lineRule="exact"/>
              <w:rPr>
                <w:sz w:val="1"/>
                <w:szCs w:val="1"/>
                <w:color w:val="auto"/>
              </w:rPr>
            </w:pPr>
          </w:p>
        </w:tc>
        <w:tc>
          <w:tcPr>
            <w:tcW w:w="500" w:type="dxa"/>
            <w:vAlign w:val="bottom"/>
            <w:vMerge w:val="continue"/>
          </w:tcPr>
          <w:p>
            <w:pPr>
              <w:spacing w:after="0" w:line="20" w:lineRule="exact"/>
              <w:rPr>
                <w:sz w:val="1"/>
                <w:szCs w:val="1"/>
                <w:color w:val="auto"/>
              </w:rPr>
            </w:pPr>
          </w:p>
        </w:tc>
        <w:tc>
          <w:tcPr>
            <w:tcW w:w="1120" w:type="dxa"/>
            <w:vAlign w:val="bottom"/>
          </w:tcPr>
          <w:p>
            <w:pPr>
              <w:spacing w:after="0" w:line="20" w:lineRule="exact"/>
              <w:rPr>
                <w:sz w:val="1"/>
                <w:szCs w:val="1"/>
                <w:color w:val="auto"/>
              </w:rPr>
            </w:pPr>
          </w:p>
        </w:tc>
        <w:tc>
          <w:tcPr>
            <w:tcW w:w="380" w:type="dxa"/>
            <w:vAlign w:val="bottom"/>
          </w:tcPr>
          <w:p>
            <w:pPr>
              <w:spacing w:after="0" w:line="20" w:lineRule="exact"/>
              <w:rPr>
                <w:sz w:val="1"/>
                <w:szCs w:val="1"/>
                <w:color w:val="auto"/>
              </w:rPr>
            </w:pPr>
          </w:p>
        </w:tc>
        <w:tc>
          <w:tcPr>
            <w:tcW w:w="680" w:type="dxa"/>
            <w:vAlign w:val="bottom"/>
          </w:tcPr>
          <w:p>
            <w:pPr>
              <w:spacing w:after="0" w:line="20" w:lineRule="exact"/>
              <w:rPr>
                <w:sz w:val="1"/>
                <w:szCs w:val="1"/>
                <w:color w:val="auto"/>
              </w:rPr>
            </w:pPr>
          </w:p>
        </w:tc>
        <w:tc>
          <w:tcPr>
            <w:tcW w:w="420" w:type="dxa"/>
            <w:vAlign w:val="bottom"/>
          </w:tcPr>
          <w:p>
            <w:pPr>
              <w:spacing w:after="0" w:line="20" w:lineRule="exact"/>
              <w:rPr>
                <w:sz w:val="1"/>
                <w:szCs w:val="1"/>
                <w:color w:val="auto"/>
              </w:rPr>
            </w:pPr>
          </w:p>
        </w:tc>
        <w:tc>
          <w:tcPr>
            <w:tcW w:w="480" w:type="dxa"/>
            <w:vAlign w:val="bottom"/>
          </w:tcPr>
          <w:p>
            <w:pPr>
              <w:spacing w:after="0" w:line="20" w:lineRule="exact"/>
              <w:rPr>
                <w:sz w:val="1"/>
                <w:szCs w:val="1"/>
                <w:color w:val="auto"/>
              </w:rPr>
            </w:pPr>
          </w:p>
        </w:tc>
        <w:tc>
          <w:tcPr>
            <w:tcW w:w="60" w:type="dxa"/>
            <w:vAlign w:val="bottom"/>
          </w:tcPr>
          <w:p>
            <w:pPr>
              <w:spacing w:after="0" w:line="20" w:lineRule="exact"/>
              <w:rPr>
                <w:sz w:val="1"/>
                <w:szCs w:val="1"/>
                <w:color w:val="auto"/>
              </w:rPr>
            </w:pPr>
          </w:p>
        </w:tc>
        <w:tc>
          <w:tcPr>
            <w:tcW w:w="360" w:type="dxa"/>
            <w:vAlign w:val="bottom"/>
          </w:tcPr>
          <w:p>
            <w:pPr>
              <w:spacing w:after="0" w:line="20" w:lineRule="exact"/>
              <w:rPr>
                <w:sz w:val="1"/>
                <w:szCs w:val="1"/>
                <w:color w:val="auto"/>
              </w:rPr>
            </w:pPr>
          </w:p>
        </w:tc>
        <w:tc>
          <w:tcPr>
            <w:tcW w:w="680" w:type="dxa"/>
            <w:vAlign w:val="bottom"/>
          </w:tcPr>
          <w:p>
            <w:pPr>
              <w:spacing w:after="0" w:line="20" w:lineRule="exact"/>
              <w:rPr>
                <w:sz w:val="1"/>
                <w:szCs w:val="1"/>
                <w:color w:val="auto"/>
              </w:rPr>
            </w:pPr>
          </w:p>
        </w:tc>
        <w:tc>
          <w:tcPr>
            <w:tcW w:w="660" w:type="dxa"/>
            <w:vAlign w:val="bottom"/>
          </w:tcPr>
          <w:p>
            <w:pPr>
              <w:spacing w:after="0" w:line="20" w:lineRule="exact"/>
              <w:rPr>
                <w:sz w:val="1"/>
                <w:szCs w:val="1"/>
                <w:color w:val="auto"/>
              </w:rPr>
            </w:pPr>
          </w:p>
        </w:tc>
        <w:tc>
          <w:tcPr>
            <w:tcW w:w="680" w:type="dxa"/>
            <w:vAlign w:val="bottom"/>
          </w:tcPr>
          <w:p>
            <w:pPr>
              <w:spacing w:after="0" w:line="20" w:lineRule="exact"/>
              <w:rPr>
                <w:sz w:val="1"/>
                <w:szCs w:val="1"/>
                <w:color w:val="auto"/>
              </w:rPr>
            </w:pPr>
          </w:p>
        </w:tc>
        <w:tc>
          <w:tcPr>
            <w:tcW w:w="660" w:type="dxa"/>
            <w:vAlign w:val="bottom"/>
          </w:tcPr>
          <w:p>
            <w:pPr>
              <w:spacing w:after="0" w:line="20" w:lineRule="exact"/>
              <w:rPr>
                <w:sz w:val="1"/>
                <w:szCs w:val="1"/>
                <w:color w:val="auto"/>
              </w:rPr>
            </w:pPr>
          </w:p>
        </w:tc>
        <w:tc>
          <w:tcPr>
            <w:tcW w:w="660" w:type="dxa"/>
            <w:vAlign w:val="bottom"/>
          </w:tcPr>
          <w:p>
            <w:pPr>
              <w:spacing w:after="0" w:line="20" w:lineRule="exact"/>
              <w:rPr>
                <w:sz w:val="1"/>
                <w:szCs w:val="1"/>
                <w:color w:val="auto"/>
              </w:rPr>
            </w:pPr>
          </w:p>
        </w:tc>
        <w:tc>
          <w:tcPr>
            <w:tcW w:w="40" w:type="dxa"/>
            <w:vAlign w:val="bottom"/>
          </w:tcPr>
          <w:p>
            <w:pPr>
              <w:spacing w:after="0" w:line="20" w:lineRule="exact"/>
              <w:rPr>
                <w:sz w:val="1"/>
                <w:szCs w:val="1"/>
                <w:color w:val="auto"/>
              </w:rPr>
            </w:pPr>
          </w:p>
        </w:tc>
        <w:tc>
          <w:tcPr>
            <w:tcW w:w="640" w:type="dxa"/>
            <w:vAlign w:val="bottom"/>
          </w:tcPr>
          <w:p>
            <w:pPr>
              <w:spacing w:after="0" w:line="20" w:lineRule="exact"/>
              <w:rPr>
                <w:sz w:val="1"/>
                <w:szCs w:val="1"/>
                <w:color w:val="auto"/>
              </w:rPr>
            </w:pPr>
          </w:p>
        </w:tc>
        <w:tc>
          <w:tcPr>
            <w:tcW w:w="660" w:type="dxa"/>
            <w:vAlign w:val="bottom"/>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r>
        <w:trPr>
          <w:trHeight w:val="209"/>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Dividends</w:t>
            </w:r>
          </w:p>
        </w:tc>
        <w:tc>
          <w:tcPr>
            <w:tcW w:w="480" w:type="dxa"/>
            <w:vAlign w:val="bottom"/>
            <w:tcBorders>
              <w:bottom w:val="single" w:sz="8" w:color="005AFF"/>
            </w:tcBorders>
          </w:tcPr>
          <w:p>
            <w:pPr>
              <w:spacing w:after="0"/>
              <w:rPr>
                <w:sz w:val="18"/>
                <w:szCs w:val="18"/>
                <w:color w:val="auto"/>
              </w:rPr>
            </w:pPr>
          </w:p>
        </w:tc>
        <w:tc>
          <w:tcPr>
            <w:tcW w:w="500" w:type="dxa"/>
            <w:vAlign w:val="bottom"/>
            <w:tcBorders>
              <w:bottom w:val="single" w:sz="8" w:color="005AFF"/>
            </w:tcBorders>
          </w:tcPr>
          <w:p>
            <w:pPr>
              <w:spacing w:after="0"/>
              <w:rPr>
                <w:sz w:val="18"/>
                <w:szCs w:val="18"/>
                <w:color w:val="auto"/>
              </w:rPr>
            </w:pPr>
          </w:p>
        </w:tc>
        <w:tc>
          <w:tcPr>
            <w:tcW w:w="1120" w:type="dxa"/>
            <w:vAlign w:val="bottom"/>
            <w:tcBorders>
              <w:bottom w:val="single" w:sz="8" w:color="005AFF"/>
            </w:tcBorders>
          </w:tcPr>
          <w:p>
            <w:pPr>
              <w:spacing w:after="0"/>
              <w:rPr>
                <w:sz w:val="18"/>
                <w:szCs w:val="18"/>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tcPr>
          <w:p>
            <w:pPr>
              <w:spacing w:after="0"/>
              <w:rPr>
                <w:sz w:val="18"/>
                <w:szCs w:val="18"/>
                <w:color w:val="auto"/>
              </w:rPr>
            </w:pPr>
          </w:p>
        </w:tc>
        <w:tc>
          <w:tcPr>
            <w:tcW w:w="420" w:type="dxa"/>
            <w:vAlign w:val="bottom"/>
            <w:tcBorders>
              <w:bottom w:val="single" w:sz="8" w:color="005AFF"/>
            </w:tcBorders>
          </w:tcPr>
          <w:p>
            <w:pPr>
              <w:spacing w:after="0"/>
              <w:rPr>
                <w:sz w:val="18"/>
                <w:szCs w:val="18"/>
                <w:color w:val="auto"/>
              </w:rPr>
            </w:pPr>
          </w:p>
        </w:tc>
        <w:tc>
          <w:tcPr>
            <w:tcW w:w="480" w:type="dxa"/>
            <w:vAlign w:val="bottom"/>
            <w:tcBorders>
              <w:bottom w:val="single" w:sz="8" w:color="005AFF"/>
            </w:tcBorders>
          </w:tcPr>
          <w:p>
            <w:pPr>
              <w:spacing w:after="0"/>
              <w:rPr>
                <w:sz w:val="18"/>
                <w:szCs w:val="18"/>
                <w:color w:val="auto"/>
              </w:rPr>
            </w:pPr>
          </w:p>
        </w:tc>
        <w:tc>
          <w:tcPr>
            <w:tcW w:w="60" w:type="dxa"/>
            <w:vAlign w:val="bottom"/>
            <w:tcBorders>
              <w:bottom w:val="single" w:sz="8" w:color="005AFF"/>
            </w:tcBorders>
          </w:tcPr>
          <w:p>
            <w:pPr>
              <w:spacing w:after="0"/>
              <w:rPr>
                <w:sz w:val="18"/>
                <w:szCs w:val="18"/>
                <w:color w:val="auto"/>
              </w:rPr>
            </w:pPr>
          </w:p>
        </w:tc>
        <w:tc>
          <w:tcPr>
            <w:tcW w:w="360" w:type="dxa"/>
            <w:vAlign w:val="bottom"/>
            <w:tcBorders>
              <w:bottom w:val="single" w:sz="8" w:color="005AFF"/>
            </w:tcBorders>
          </w:tcPr>
          <w:p>
            <w:pPr>
              <w:spacing w:after="0"/>
              <w:rPr>
                <w:sz w:val="18"/>
                <w:szCs w:val="18"/>
                <w:color w:val="auto"/>
              </w:rPr>
            </w:pPr>
          </w:p>
        </w:tc>
        <w:tc>
          <w:tcPr>
            <w:tcW w:w="680" w:type="dxa"/>
            <w:vAlign w:val="bottom"/>
            <w:tcBorders>
              <w:bottom w:val="single" w:sz="8" w:color="005AFF"/>
            </w:tcBorders>
          </w:tcPr>
          <w:p>
            <w:pPr>
              <w:spacing w:after="0"/>
              <w:rPr>
                <w:sz w:val="18"/>
                <w:szCs w:val="18"/>
                <w:color w:val="auto"/>
              </w:rPr>
            </w:pPr>
          </w:p>
        </w:tc>
        <w:tc>
          <w:tcPr>
            <w:tcW w:w="660" w:type="dxa"/>
            <w:vAlign w:val="bottom"/>
            <w:tcBorders>
              <w:bottom w:val="single" w:sz="8" w:color="005AFF"/>
            </w:tcBorders>
          </w:tcPr>
          <w:p>
            <w:pPr>
              <w:spacing w:after="0"/>
              <w:rPr>
                <w:sz w:val="18"/>
                <w:szCs w:val="18"/>
                <w:color w:val="auto"/>
              </w:rPr>
            </w:pPr>
          </w:p>
        </w:tc>
        <w:tc>
          <w:tcPr>
            <w:tcW w:w="680" w:type="dxa"/>
            <w:vAlign w:val="bottom"/>
            <w:tcBorders>
              <w:bottom w:val="single" w:sz="8" w:color="005AFF"/>
            </w:tcBorders>
          </w:tcPr>
          <w:p>
            <w:pPr>
              <w:spacing w:after="0"/>
              <w:rPr>
                <w:sz w:val="18"/>
                <w:szCs w:val="18"/>
                <w:color w:val="auto"/>
              </w:rPr>
            </w:pP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(337)</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(337)</w:t>
            </w:r>
          </w:p>
        </w:tc>
        <w:tc>
          <w:tcPr>
            <w:tcW w:w="40" w:type="dxa"/>
            <w:vAlign w:val="bottom"/>
            <w:tcBorders>
              <w:bottom w:val="single" w:sz="8" w:color="005AFF"/>
            </w:tcBorders>
          </w:tcPr>
          <w:p>
            <w:pPr>
              <w:spacing w:after="0"/>
              <w:rPr>
                <w:sz w:val="18"/>
                <w:szCs w:val="18"/>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(17)</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(354)</w:t>
            </w:r>
          </w:p>
        </w:tc>
        <w:tc>
          <w:tcPr>
            <w:tcW w:w="0" w:type="dxa"/>
            <w:vAlign w:val="bottom"/>
          </w:tcPr>
          <w:p>
            <w:pPr>
              <w:spacing w:after="0"/>
              <w:rPr>
                <w:sz w:val="1"/>
                <w:szCs w:val="1"/>
                <w:color w:val="auto"/>
              </w:rPr>
            </w:pPr>
          </w:p>
        </w:tc>
      </w:tr>
      <w:tr>
        <w:trPr>
          <w:trHeight w:val="140"/>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w w:val="98"/>
              </w:rPr>
              <w:t>Total transactions with owners</w:t>
            </w: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b w:val="1"/>
                <w:bCs w:val="1"/>
                <w:color w:val="auto"/>
              </w:rPr>
              <w:t>—</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10"/>
                <w:szCs w:val="10"/>
                <w:b w:val="1"/>
                <w:bCs w:val="1"/>
                <w:color w:val="auto"/>
              </w:rPr>
              <w:t>49</w:t>
            </w:r>
          </w:p>
        </w:tc>
        <w:tc>
          <w:tcPr>
            <w:tcW w:w="6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(239)</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(337)</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(527)</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(17)</w:t>
            </w: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(544)</w:t>
            </w:r>
          </w:p>
        </w:tc>
        <w:tc>
          <w:tcPr>
            <w:tcW w:w="0" w:type="dxa"/>
            <w:vAlign w:val="bottom"/>
          </w:tcPr>
          <w:p>
            <w:pPr>
              <w:spacing w:after="0"/>
              <w:rPr>
                <w:sz w:val="1"/>
                <w:szCs w:val="1"/>
                <w:color w:val="auto"/>
              </w:rPr>
            </w:pPr>
          </w:p>
        </w:tc>
      </w:tr>
      <w:tr>
        <w:trPr>
          <w:trHeight w:val="142"/>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2022</w:t>
            </w:r>
          </w:p>
        </w:tc>
        <w:tc>
          <w:tcPr>
            <w:tcW w:w="48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ind w:left="460"/>
              <w:spacing w:after="0"/>
              <w:rPr>
                <w:sz w:val="20"/>
                <w:szCs w:val="20"/>
                <w:color w:val="auto"/>
              </w:rPr>
            </w:pPr>
            <w:r>
              <w:rPr>
                <w:rFonts w:ascii="Times New Roman" w:cs="Times New Roman" w:eastAsia="Times New Roman" w:hAnsi="Times New Roman"/>
                <w:sz w:val="10"/>
                <w:szCs w:val="10"/>
                <w:b w:val="1"/>
                <w:bCs w:val="1"/>
                <w:color w:val="auto"/>
              </w:rPr>
              <w:t>246</w:t>
            </w:r>
          </w:p>
        </w:tc>
        <w:tc>
          <w:tcPr>
            <w:tcW w:w="900" w:type="dxa"/>
            <w:vAlign w:val="bottom"/>
            <w:tcBorders>
              <w:bottom w:val="single" w:sz="8" w:color="005AFF"/>
            </w:tcBorders>
            <w:gridSpan w:val="2"/>
          </w:tcPr>
          <w:p>
            <w:pPr>
              <w:jc w:val="right"/>
              <w:ind w:right="251"/>
              <w:spacing w:after="0"/>
              <w:rPr>
                <w:sz w:val="20"/>
                <w:szCs w:val="20"/>
                <w:color w:val="auto"/>
              </w:rPr>
            </w:pPr>
            <w:r>
              <w:rPr>
                <w:rFonts w:ascii="Times New Roman" w:cs="Times New Roman" w:eastAsia="Times New Roman" w:hAnsi="Times New Roman"/>
                <w:sz w:val="10"/>
                <w:szCs w:val="10"/>
                <w:b w:val="1"/>
                <w:bCs w:val="1"/>
                <w:color w:val="auto"/>
              </w:rPr>
              <w:t>503</w:t>
            </w:r>
          </w:p>
        </w:tc>
        <w:tc>
          <w:tcPr>
            <w:tcW w:w="42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b w:val="1"/>
                <w:bCs w:val="1"/>
                <w:color w:val="auto"/>
              </w:rPr>
              <w:t>(352)</w:t>
            </w: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169</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3 905</w:t>
            </w:r>
          </w:p>
        </w:tc>
        <w:tc>
          <w:tcPr>
            <w:tcW w:w="6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15 487</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1 375</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21 333</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93</w:t>
            </w: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21 426</w:t>
            </w:r>
          </w:p>
        </w:tc>
        <w:tc>
          <w:tcPr>
            <w:tcW w:w="0" w:type="dxa"/>
            <w:vAlign w:val="bottom"/>
          </w:tcPr>
          <w:p>
            <w:pPr>
              <w:spacing w:after="0"/>
              <w:rPr>
                <w:sz w:val="1"/>
                <w:szCs w:val="1"/>
                <w:color w:val="auto"/>
              </w:rPr>
            </w:pPr>
          </w:p>
        </w:tc>
      </w:tr>
      <w:tr>
        <w:trPr>
          <w:trHeight w:val="137"/>
        </w:trPr>
        <w:tc>
          <w:tcPr>
            <w:tcW w:w="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480" w:type="dxa"/>
            <w:vAlign w:val="bottom"/>
          </w:tcPr>
          <w:p>
            <w:pPr>
              <w:spacing w:after="0"/>
              <w:rPr>
                <w:sz w:val="11"/>
                <w:szCs w:val="11"/>
                <w:color w:val="auto"/>
              </w:rPr>
            </w:pP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420" w:type="dxa"/>
            <w:vAlign w:val="bottom"/>
            <w:shd w:val="clear" w:color="auto" w:fill="F0F5FF"/>
          </w:tcPr>
          <w:p>
            <w:pPr>
              <w:spacing w:after="0"/>
              <w:rPr>
                <w:sz w:val="11"/>
                <w:szCs w:val="11"/>
                <w:color w:val="auto"/>
              </w:rPr>
            </w:pPr>
          </w:p>
        </w:tc>
        <w:tc>
          <w:tcPr>
            <w:tcW w:w="480" w:type="dxa"/>
            <w:vAlign w:val="bottom"/>
            <w:shd w:val="clear" w:color="auto" w:fill="F0F5FF"/>
          </w:tcPr>
          <w:p>
            <w:pPr>
              <w:spacing w:after="0"/>
              <w:rPr>
                <w:sz w:val="11"/>
                <w:szCs w:val="11"/>
                <w:color w:val="auto"/>
              </w:rPr>
            </w:pPr>
          </w:p>
        </w:tc>
        <w:tc>
          <w:tcPr>
            <w:tcW w:w="60" w:type="dxa"/>
            <w:vAlign w:val="bottom"/>
            <w:shd w:val="clear" w:color="auto" w:fill="F0F5FF"/>
          </w:tcPr>
          <w:p>
            <w:pPr>
              <w:spacing w:after="0"/>
              <w:rPr>
                <w:sz w:val="11"/>
                <w:szCs w:val="11"/>
                <w:color w:val="auto"/>
              </w:rPr>
            </w:pPr>
          </w:p>
        </w:tc>
        <w:tc>
          <w:tcPr>
            <w:tcW w:w="3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665</w:t>
            </w:r>
          </w:p>
        </w:tc>
        <w:tc>
          <w:tcPr>
            <w:tcW w:w="6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665</w:t>
            </w:r>
          </w:p>
        </w:tc>
        <w:tc>
          <w:tcPr>
            <w:tcW w:w="40" w:type="dxa"/>
            <w:vAlign w:val="bottom"/>
            <w:shd w:val="clear" w:color="auto" w:fill="F0F5FF"/>
          </w:tcPr>
          <w:p>
            <w:pPr>
              <w:spacing w:after="0"/>
              <w:rPr>
                <w:sz w:val="11"/>
                <w:szCs w:val="11"/>
                <w:color w:val="auto"/>
              </w:rPr>
            </w:pPr>
          </w:p>
        </w:tc>
        <w:tc>
          <w:tcPr>
            <w:tcW w:w="6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14</w:t>
            </w:r>
          </w:p>
        </w:tc>
        <w:tc>
          <w:tcPr>
            <w:tcW w:w="66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679</w:t>
            </w:r>
          </w:p>
        </w:tc>
        <w:tc>
          <w:tcPr>
            <w:tcW w:w="0" w:type="dxa"/>
            <w:vAlign w:val="bottom"/>
          </w:tcPr>
          <w:p>
            <w:pPr>
              <w:spacing w:after="0"/>
              <w:rPr>
                <w:sz w:val="1"/>
                <w:szCs w:val="1"/>
                <w:color w:val="auto"/>
              </w:rPr>
            </w:pPr>
          </w:p>
        </w:tc>
      </w:tr>
      <w:tr>
        <w:trPr>
          <w:trHeight w:val="169"/>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Other comprehensive loss</w:t>
            </w:r>
          </w:p>
        </w:tc>
        <w:tc>
          <w:tcPr>
            <w:tcW w:w="500" w:type="dxa"/>
            <w:vAlign w:val="bottom"/>
            <w:tcBorders>
              <w:bottom w:val="single" w:sz="8" w:color="005AFF"/>
            </w:tcBorders>
          </w:tcPr>
          <w:p>
            <w:pPr>
              <w:spacing w:after="0"/>
              <w:rPr>
                <w:sz w:val="14"/>
                <w:szCs w:val="14"/>
                <w:color w:val="auto"/>
              </w:rPr>
            </w:pPr>
          </w:p>
        </w:tc>
        <w:tc>
          <w:tcPr>
            <w:tcW w:w="11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shd w:val="clear" w:color="auto" w:fill="F0F5FF"/>
          </w:tcPr>
          <w:p>
            <w:pPr>
              <w:spacing w:after="0"/>
              <w:rPr>
                <w:sz w:val="14"/>
                <w:szCs w:val="14"/>
                <w:color w:val="auto"/>
              </w:rPr>
            </w:pPr>
          </w:p>
        </w:tc>
        <w:tc>
          <w:tcPr>
            <w:tcW w:w="420" w:type="dxa"/>
            <w:vAlign w:val="bottom"/>
            <w:tcBorders>
              <w:bottom w:val="single" w:sz="8" w:color="005AFF"/>
            </w:tcBorders>
            <w:shd w:val="clear" w:color="auto" w:fill="F0F5FF"/>
          </w:tcPr>
          <w:p>
            <w:pPr>
              <w:spacing w:after="0"/>
              <w:rPr>
                <w:sz w:val="14"/>
                <w:szCs w:val="14"/>
                <w:color w:val="auto"/>
              </w:rPr>
            </w:pPr>
          </w:p>
        </w:tc>
        <w:tc>
          <w:tcPr>
            <w:tcW w:w="480" w:type="dxa"/>
            <w:vAlign w:val="bottom"/>
            <w:tcBorders>
              <w:bottom w:val="single" w:sz="8" w:color="005AFF"/>
            </w:tcBorders>
            <w:shd w:val="clear" w:color="auto" w:fill="F0F5FF"/>
          </w:tcPr>
          <w:p>
            <w:pPr>
              <w:spacing w:after="0"/>
              <w:rPr>
                <w:sz w:val="14"/>
                <w:szCs w:val="14"/>
                <w:color w:val="auto"/>
              </w:rPr>
            </w:pPr>
          </w:p>
        </w:tc>
        <w:tc>
          <w:tcPr>
            <w:tcW w:w="60" w:type="dxa"/>
            <w:vAlign w:val="bottom"/>
            <w:tcBorders>
              <w:bottom w:val="single" w:sz="8" w:color="005AFF"/>
            </w:tcBorders>
            <w:shd w:val="clear" w:color="auto" w:fill="F0F5FF"/>
          </w:tcPr>
          <w:p>
            <w:pPr>
              <w:spacing w:after="0"/>
              <w:rPr>
                <w:sz w:val="14"/>
                <w:szCs w:val="14"/>
                <w:color w:val="auto"/>
              </w:rPr>
            </w:pPr>
          </w:p>
        </w:tc>
        <w:tc>
          <w:tcPr>
            <w:tcW w:w="360" w:type="dxa"/>
            <w:vAlign w:val="bottom"/>
            <w:tcBorders>
              <w:bottom w:val="single" w:sz="8" w:color="005AFF"/>
            </w:tcBorders>
            <w:shd w:val="clear" w:color="auto" w:fill="F0F5FF"/>
          </w:tcPr>
          <w:p>
            <w:pPr>
              <w:spacing w:after="0"/>
              <w:rPr>
                <w:sz w:val="14"/>
                <w:szCs w:val="14"/>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(418)</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(300)</w:t>
            </w:r>
          </w:p>
        </w:tc>
        <w:tc>
          <w:tcPr>
            <w:tcW w:w="680" w:type="dxa"/>
            <w:vAlign w:val="bottom"/>
            <w:tcBorders>
              <w:bottom w:val="single" w:sz="8" w:color="005AFF"/>
            </w:tcBorders>
            <w:shd w:val="clear" w:color="auto" w:fill="F0F5FF"/>
          </w:tcPr>
          <w:p>
            <w:pPr>
              <w:spacing w:after="0"/>
              <w:rPr>
                <w:sz w:val="14"/>
                <w:szCs w:val="14"/>
                <w:color w:val="auto"/>
              </w:rPr>
            </w:pP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(743)</w:t>
            </w:r>
          </w:p>
        </w:tc>
        <w:tc>
          <w:tcPr>
            <w:tcW w:w="40" w:type="dxa"/>
            <w:vAlign w:val="bottom"/>
            <w:tcBorders>
              <w:bottom w:val="single" w:sz="8" w:color="005AFF"/>
            </w:tcBorders>
            <w:shd w:val="clear" w:color="auto" w:fill="F0F5FF"/>
          </w:tcPr>
          <w:p>
            <w:pPr>
              <w:spacing w:after="0"/>
              <w:rPr>
                <w:sz w:val="14"/>
                <w:szCs w:val="14"/>
                <w:color w:val="auto"/>
              </w:rPr>
            </w:pPr>
          </w:p>
        </w:tc>
        <w:tc>
          <w:tcPr>
            <w:tcW w:w="6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(747)</w:t>
            </w:r>
          </w:p>
        </w:tc>
        <w:tc>
          <w:tcPr>
            <w:tcW w:w="0" w:type="dxa"/>
            <w:vAlign w:val="bottom"/>
          </w:tcPr>
          <w:p>
            <w:pPr>
              <w:spacing w:after="0"/>
              <w:rPr>
                <w:sz w:val="1"/>
                <w:szCs w:val="1"/>
                <w:color w:val="auto"/>
              </w:rPr>
            </w:pPr>
          </w:p>
        </w:tc>
      </w:tr>
      <w:tr>
        <w:trPr>
          <w:trHeight w:val="140"/>
        </w:trPr>
        <w:tc>
          <w:tcPr>
            <w:tcW w:w="186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Total comprehensive income for the year</w:t>
            </w: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ind w:left="540"/>
              <w:spacing w:after="0"/>
              <w:rPr>
                <w:sz w:val="20"/>
                <w:szCs w:val="20"/>
                <w:color w:val="auto"/>
              </w:rPr>
            </w:pPr>
            <w:r>
              <w:rPr>
                <w:rFonts w:ascii="Times New Roman" w:cs="Times New Roman" w:eastAsia="Times New Roman" w:hAnsi="Times New Roman"/>
                <w:sz w:val="10"/>
                <w:szCs w:val="10"/>
                <w:b w:val="1"/>
                <w:bCs w:val="1"/>
                <w:color w:val="005AFF"/>
              </w:rPr>
              <w:t>—</w:t>
            </w:r>
          </w:p>
        </w:tc>
        <w:tc>
          <w:tcPr>
            <w:tcW w:w="420" w:type="dxa"/>
            <w:vAlign w:val="bottom"/>
            <w:tcBorders>
              <w:bottom w:val="single" w:sz="8" w:color="005AFF"/>
            </w:tcBorders>
            <w:shd w:val="clear" w:color="auto" w:fill="F0F5FF"/>
          </w:tcPr>
          <w:p>
            <w:pPr>
              <w:spacing w:after="0"/>
              <w:rPr>
                <w:sz w:val="12"/>
                <w:szCs w:val="12"/>
                <w:color w:val="auto"/>
              </w:rPr>
            </w:pPr>
          </w:p>
        </w:tc>
        <w:tc>
          <w:tcPr>
            <w:tcW w:w="480" w:type="dxa"/>
            <w:vAlign w:val="bottom"/>
            <w:tcBorders>
              <w:bottom w:val="single" w:sz="8" w:color="005AFF"/>
            </w:tcBorders>
            <w:shd w:val="clear" w:color="auto" w:fill="F0F5FF"/>
          </w:tcPr>
          <w:p>
            <w:pPr>
              <w:jc w:val="center"/>
              <w:ind w:right="131"/>
              <w:spacing w:after="0"/>
              <w:rPr>
                <w:sz w:val="20"/>
                <w:szCs w:val="20"/>
                <w:color w:val="auto"/>
              </w:rPr>
            </w:pPr>
            <w:r>
              <w:rPr>
                <w:rFonts w:ascii="Times New Roman" w:cs="Times New Roman" w:eastAsia="Times New Roman" w:hAnsi="Times New Roman"/>
                <w:sz w:val="10"/>
                <w:szCs w:val="10"/>
                <w:b w:val="1"/>
                <w:bCs w:val="1"/>
                <w:color w:val="005AFF"/>
                <w:w w:val="99"/>
              </w:rPr>
              <w:t>—</w:t>
            </w:r>
          </w:p>
        </w:tc>
        <w:tc>
          <w:tcPr>
            <w:tcW w:w="60" w:type="dxa"/>
            <w:vAlign w:val="bottom"/>
            <w:tcBorders>
              <w:bottom w:val="single" w:sz="8" w:color="005AFF"/>
            </w:tcBorders>
            <w:shd w:val="clear" w:color="auto" w:fill="F0F5FF"/>
          </w:tcPr>
          <w:p>
            <w:pPr>
              <w:spacing w:after="0"/>
              <w:rPr>
                <w:sz w:val="12"/>
                <w:szCs w:val="12"/>
                <w:color w:val="auto"/>
              </w:rPr>
            </w:pPr>
          </w:p>
        </w:tc>
        <w:tc>
          <w:tcPr>
            <w:tcW w:w="3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(418)</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(300)</w:t>
            </w:r>
          </w:p>
        </w:tc>
        <w:tc>
          <w:tcPr>
            <w:tcW w:w="680" w:type="dxa"/>
            <w:vAlign w:val="bottom"/>
            <w:tcBorders>
              <w:bottom w:val="single" w:sz="8" w:color="005AFF"/>
            </w:tcBorders>
            <w:shd w:val="clear" w:color="auto" w:fill="F0F5FF"/>
          </w:tcPr>
          <w:p>
            <w:pPr>
              <w:jc w:val="center"/>
              <w:ind w:left="451"/>
              <w:spacing w:after="0"/>
              <w:rPr>
                <w:sz w:val="20"/>
                <w:szCs w:val="20"/>
                <w:color w:val="auto"/>
              </w:rPr>
            </w:pPr>
            <w:r>
              <w:rPr>
                <w:rFonts w:ascii="Times New Roman" w:cs="Times New Roman" w:eastAsia="Times New Roman" w:hAnsi="Times New Roman"/>
                <w:sz w:val="10"/>
                <w:szCs w:val="10"/>
                <w:b w:val="1"/>
                <w:bCs w:val="1"/>
                <w:color w:val="005AFF"/>
                <w:w w:val="99"/>
              </w:rPr>
              <w:t>—</w:t>
            </w:r>
          </w:p>
        </w:tc>
        <w:tc>
          <w:tcPr>
            <w:tcW w:w="66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640</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(78)</w:t>
            </w:r>
          </w:p>
        </w:tc>
        <w:tc>
          <w:tcPr>
            <w:tcW w:w="40" w:type="dxa"/>
            <w:vAlign w:val="bottom"/>
            <w:tcBorders>
              <w:bottom w:val="single" w:sz="8" w:color="005AFF"/>
            </w:tcBorders>
            <w:shd w:val="clear" w:color="auto" w:fill="F0F5FF"/>
          </w:tcPr>
          <w:p>
            <w:pPr>
              <w:spacing w:after="0"/>
              <w:rPr>
                <w:sz w:val="12"/>
                <w:szCs w:val="12"/>
                <w:color w:val="auto"/>
              </w:rPr>
            </w:pPr>
          </w:p>
        </w:tc>
        <w:tc>
          <w:tcPr>
            <w:tcW w:w="6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10</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(68)</w:t>
            </w:r>
          </w:p>
        </w:tc>
        <w:tc>
          <w:tcPr>
            <w:tcW w:w="0" w:type="dxa"/>
            <w:vAlign w:val="bottom"/>
          </w:tcPr>
          <w:p>
            <w:pPr>
              <w:spacing w:after="0"/>
              <w:rPr>
                <w:sz w:val="1"/>
                <w:szCs w:val="1"/>
                <w:color w:val="auto"/>
              </w:rPr>
            </w:pPr>
          </w:p>
        </w:tc>
      </w:tr>
      <w:tr>
        <w:trPr>
          <w:trHeight w:val="137"/>
        </w:trPr>
        <w:tc>
          <w:tcPr>
            <w:tcW w:w="13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500" w:type="dxa"/>
            <w:vAlign w:val="bottom"/>
          </w:tcPr>
          <w:p>
            <w:pPr>
              <w:spacing w:after="0"/>
              <w:rPr>
                <w:sz w:val="11"/>
                <w:szCs w:val="11"/>
                <w:color w:val="auto"/>
              </w:rPr>
            </w:pPr>
          </w:p>
        </w:tc>
        <w:tc>
          <w:tcPr>
            <w:tcW w:w="11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900" w:type="dxa"/>
            <w:vAlign w:val="bottom"/>
            <w:gridSpan w:val="2"/>
            <w:shd w:val="clear" w:color="auto" w:fill="F0F5FF"/>
          </w:tcPr>
          <w:p>
            <w:pPr>
              <w:jc w:val="right"/>
              <w:ind w:right="251"/>
              <w:spacing w:after="0"/>
              <w:rPr>
                <w:sz w:val="20"/>
                <w:szCs w:val="20"/>
                <w:color w:val="auto"/>
              </w:rPr>
            </w:pPr>
            <w:r>
              <w:rPr>
                <w:rFonts w:ascii="Times New Roman" w:cs="Times New Roman" w:eastAsia="Times New Roman" w:hAnsi="Times New Roman"/>
                <w:sz w:val="10"/>
                <w:szCs w:val="10"/>
                <w:color w:val="005AFF"/>
              </w:rPr>
              <w:t>202</w:t>
            </w:r>
          </w:p>
        </w:tc>
        <w:tc>
          <w:tcPr>
            <w:tcW w:w="60" w:type="dxa"/>
            <w:vAlign w:val="bottom"/>
            <w:shd w:val="clear" w:color="auto" w:fill="F0F5FF"/>
          </w:tcPr>
          <w:p>
            <w:pPr>
              <w:spacing w:after="0"/>
              <w:rPr>
                <w:sz w:val="11"/>
                <w:szCs w:val="11"/>
                <w:color w:val="auto"/>
              </w:rPr>
            </w:pPr>
          </w:p>
        </w:tc>
        <w:tc>
          <w:tcPr>
            <w:tcW w:w="3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60" w:type="dxa"/>
            <w:vAlign w:val="bottom"/>
            <w:shd w:val="clear" w:color="auto" w:fill="F0F5FF"/>
          </w:tcPr>
          <w:p>
            <w:pPr>
              <w:spacing w:after="0"/>
              <w:rPr>
                <w:sz w:val="11"/>
                <w:szCs w:val="11"/>
                <w:color w:val="auto"/>
              </w:rPr>
            </w:pPr>
          </w:p>
        </w:tc>
        <w:tc>
          <w:tcPr>
            <w:tcW w:w="6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202</w:t>
            </w:r>
          </w:p>
        </w:tc>
        <w:tc>
          <w:tcPr>
            <w:tcW w:w="40" w:type="dxa"/>
            <w:vAlign w:val="bottom"/>
            <w:shd w:val="clear" w:color="auto" w:fill="F0F5FF"/>
          </w:tcPr>
          <w:p>
            <w:pPr>
              <w:spacing w:after="0"/>
              <w:rPr>
                <w:sz w:val="11"/>
                <w:szCs w:val="11"/>
                <w:color w:val="auto"/>
              </w:rPr>
            </w:pPr>
          </w:p>
        </w:tc>
        <w:tc>
          <w:tcPr>
            <w:tcW w:w="640" w:type="dxa"/>
            <w:vAlign w:val="bottom"/>
            <w:shd w:val="clear" w:color="auto" w:fill="F0F5FF"/>
          </w:tcPr>
          <w:p>
            <w:pPr>
              <w:spacing w:after="0"/>
              <w:rPr>
                <w:sz w:val="11"/>
                <w:szCs w:val="11"/>
                <w:color w:val="auto"/>
              </w:rPr>
            </w:pPr>
          </w:p>
        </w:tc>
        <w:tc>
          <w:tcPr>
            <w:tcW w:w="66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202</w:t>
            </w:r>
          </w:p>
        </w:tc>
        <w:tc>
          <w:tcPr>
            <w:tcW w:w="0" w:type="dxa"/>
            <w:vAlign w:val="bottom"/>
          </w:tcPr>
          <w:p>
            <w:pPr>
              <w:spacing w:after="0"/>
              <w:rPr>
                <w:sz w:val="1"/>
                <w:szCs w:val="1"/>
                <w:color w:val="auto"/>
              </w:rPr>
            </w:pPr>
          </w:p>
        </w:tc>
      </w:tr>
      <w:tr>
        <w:trPr>
          <w:trHeight w:val="162"/>
        </w:trPr>
        <w:tc>
          <w:tcPr>
            <w:tcW w:w="186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Settlement of share-based payments</w:t>
            </w:r>
          </w:p>
        </w:tc>
        <w:tc>
          <w:tcPr>
            <w:tcW w:w="1120" w:type="dxa"/>
            <w:vAlign w:val="bottom"/>
          </w:tcPr>
          <w:p>
            <w:pPr>
              <w:spacing w:after="0"/>
              <w:rPr>
                <w:sz w:val="14"/>
                <w:szCs w:val="14"/>
                <w:color w:val="auto"/>
              </w:rPr>
            </w:pPr>
          </w:p>
        </w:tc>
        <w:tc>
          <w:tcPr>
            <w:tcW w:w="380" w:type="dxa"/>
            <w:vAlign w:val="bottom"/>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900" w:type="dxa"/>
            <w:vAlign w:val="bottom"/>
            <w:gridSpan w:val="2"/>
            <w:shd w:val="clear" w:color="auto" w:fill="F0F5FF"/>
          </w:tcPr>
          <w:p>
            <w:pPr>
              <w:jc w:val="center"/>
              <w:ind w:left="170"/>
              <w:spacing w:after="0"/>
              <w:rPr>
                <w:sz w:val="20"/>
                <w:szCs w:val="20"/>
                <w:color w:val="auto"/>
              </w:rPr>
            </w:pPr>
            <w:r>
              <w:rPr>
                <w:rFonts w:ascii="Times New Roman" w:cs="Times New Roman" w:eastAsia="Times New Roman" w:hAnsi="Times New Roman"/>
                <w:sz w:val="10"/>
                <w:szCs w:val="10"/>
                <w:color w:val="005AFF"/>
                <w:w w:val="95"/>
              </w:rPr>
              <w:t>(77)</w:t>
            </w:r>
          </w:p>
        </w:tc>
        <w:tc>
          <w:tcPr>
            <w:tcW w:w="60" w:type="dxa"/>
            <w:vAlign w:val="bottom"/>
            <w:shd w:val="clear" w:color="auto" w:fill="F0F5FF"/>
          </w:tcPr>
          <w:p>
            <w:pPr>
              <w:spacing w:after="0"/>
              <w:rPr>
                <w:sz w:val="14"/>
                <w:szCs w:val="14"/>
                <w:color w:val="auto"/>
              </w:rPr>
            </w:pPr>
          </w:p>
        </w:tc>
        <w:tc>
          <w:tcPr>
            <w:tcW w:w="360" w:type="dxa"/>
            <w:vAlign w:val="bottom"/>
            <w:shd w:val="clear" w:color="auto" w:fill="F0F5FF"/>
          </w:tcPr>
          <w:p>
            <w:pPr>
              <w:spacing w:after="0"/>
              <w:rPr>
                <w:sz w:val="14"/>
                <w:szCs w:val="14"/>
                <w:color w:val="auto"/>
              </w:rPr>
            </w:pPr>
          </w:p>
        </w:tc>
        <w:tc>
          <w:tcPr>
            <w:tcW w:w="680" w:type="dxa"/>
            <w:vAlign w:val="bottom"/>
            <w:shd w:val="clear" w:color="auto" w:fill="F0F5FF"/>
          </w:tcPr>
          <w:p>
            <w:pPr>
              <w:spacing w:after="0"/>
              <w:rPr>
                <w:sz w:val="14"/>
                <w:szCs w:val="14"/>
                <w:color w:val="auto"/>
              </w:rPr>
            </w:pPr>
          </w:p>
        </w:tc>
        <w:tc>
          <w:tcPr>
            <w:tcW w:w="660" w:type="dxa"/>
            <w:vAlign w:val="bottom"/>
            <w:shd w:val="clear" w:color="auto" w:fill="F0F5FF"/>
          </w:tcPr>
          <w:p>
            <w:pPr>
              <w:spacing w:after="0"/>
              <w:rPr>
                <w:sz w:val="14"/>
                <w:szCs w:val="14"/>
                <w:color w:val="auto"/>
              </w:rPr>
            </w:pP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59</w:t>
            </w:r>
          </w:p>
        </w:tc>
        <w:tc>
          <w:tcPr>
            <w:tcW w:w="660" w:type="dxa"/>
            <w:vAlign w:val="bottom"/>
            <w:shd w:val="clear" w:color="auto" w:fill="F0F5FF"/>
          </w:tcPr>
          <w:p>
            <w:pPr>
              <w:spacing w:after="0"/>
              <w:rPr>
                <w:sz w:val="14"/>
                <w:szCs w:val="14"/>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w:t>
            </w:r>
          </w:p>
        </w:tc>
        <w:tc>
          <w:tcPr>
            <w:tcW w:w="40" w:type="dxa"/>
            <w:vAlign w:val="bottom"/>
            <w:shd w:val="clear" w:color="auto" w:fill="F0F5FF"/>
          </w:tcPr>
          <w:p>
            <w:pPr>
              <w:spacing w:after="0"/>
              <w:rPr>
                <w:sz w:val="14"/>
                <w:szCs w:val="14"/>
                <w:color w:val="auto"/>
              </w:rPr>
            </w:pPr>
          </w:p>
        </w:tc>
        <w:tc>
          <w:tcPr>
            <w:tcW w:w="640" w:type="dxa"/>
            <w:vAlign w:val="bottom"/>
            <w:shd w:val="clear" w:color="auto" w:fill="F0F5FF"/>
          </w:tcPr>
          <w:p>
            <w:pPr>
              <w:spacing w:after="0"/>
              <w:rPr>
                <w:sz w:val="14"/>
                <w:szCs w:val="14"/>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w:t>
            </w:r>
          </w:p>
        </w:tc>
        <w:tc>
          <w:tcPr>
            <w:tcW w:w="0" w:type="dxa"/>
            <w:vAlign w:val="bottom"/>
          </w:tcPr>
          <w:p>
            <w:pPr>
              <w:spacing w:after="0"/>
              <w:rPr>
                <w:sz w:val="1"/>
                <w:szCs w:val="1"/>
                <w:color w:val="auto"/>
              </w:rPr>
            </w:pPr>
          </w:p>
        </w:tc>
      </w:tr>
      <w:tr>
        <w:trPr>
          <w:trHeight w:val="111"/>
        </w:trPr>
        <w:tc>
          <w:tcPr>
            <w:tcW w:w="13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Acquisition of treasury shares</w:t>
            </w:r>
          </w:p>
        </w:tc>
        <w:tc>
          <w:tcPr>
            <w:tcW w:w="500" w:type="dxa"/>
            <w:vAlign w:val="bottom"/>
          </w:tcPr>
          <w:p>
            <w:pPr>
              <w:jc w:val="right"/>
              <w:ind w:right="387"/>
              <w:spacing w:after="0"/>
              <w:rPr>
                <w:sz w:val="20"/>
                <w:szCs w:val="20"/>
                <w:color w:val="auto"/>
              </w:rPr>
            </w:pPr>
            <w:r>
              <w:rPr>
                <w:rFonts w:ascii="Times New Roman" w:cs="Times New Roman" w:eastAsia="Times New Roman" w:hAnsi="Times New Roman"/>
                <w:sz w:val="7"/>
                <w:szCs w:val="7"/>
                <w:color w:val="0D0D0D"/>
                <w:w w:val="72"/>
              </w:rPr>
              <w:t>(1)</w:t>
            </w:r>
          </w:p>
        </w:tc>
        <w:tc>
          <w:tcPr>
            <w:tcW w:w="1120" w:type="dxa"/>
            <w:vAlign w:val="bottom"/>
          </w:tcPr>
          <w:p>
            <w:pPr>
              <w:spacing w:after="0"/>
              <w:rPr>
                <w:sz w:val="9"/>
                <w:szCs w:val="9"/>
                <w:color w:val="auto"/>
              </w:rPr>
            </w:pPr>
          </w:p>
        </w:tc>
        <w:tc>
          <w:tcPr>
            <w:tcW w:w="380" w:type="dxa"/>
            <w:vAlign w:val="bottom"/>
            <w:vMerge w:val="restart"/>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shd w:val="clear" w:color="auto" w:fill="F0F5FF"/>
          </w:tcPr>
          <w:p>
            <w:pPr>
              <w:spacing w:after="0"/>
              <w:rPr>
                <w:sz w:val="9"/>
                <w:szCs w:val="9"/>
                <w:color w:val="auto"/>
              </w:rPr>
            </w:pPr>
          </w:p>
        </w:tc>
        <w:tc>
          <w:tcPr>
            <w:tcW w:w="420" w:type="dxa"/>
            <w:vAlign w:val="bottom"/>
            <w:shd w:val="clear" w:color="auto" w:fill="F0F5FF"/>
          </w:tcPr>
          <w:p>
            <w:pPr>
              <w:spacing w:after="0"/>
              <w:rPr>
                <w:sz w:val="9"/>
                <w:szCs w:val="9"/>
                <w:color w:val="auto"/>
              </w:rPr>
            </w:pPr>
          </w:p>
        </w:tc>
        <w:tc>
          <w:tcPr>
            <w:tcW w:w="480" w:type="dxa"/>
            <w:vAlign w:val="bottom"/>
            <w:shd w:val="clear" w:color="auto" w:fill="F0F5FF"/>
          </w:tcPr>
          <w:p>
            <w:pPr>
              <w:spacing w:after="0"/>
              <w:rPr>
                <w:sz w:val="9"/>
                <w:szCs w:val="9"/>
                <w:color w:val="auto"/>
              </w:rPr>
            </w:pPr>
          </w:p>
        </w:tc>
        <w:tc>
          <w:tcPr>
            <w:tcW w:w="420" w:type="dxa"/>
            <w:vAlign w:val="bottom"/>
            <w:gridSpan w:val="2"/>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(303)</w:t>
            </w:r>
          </w:p>
        </w:tc>
        <w:tc>
          <w:tcPr>
            <w:tcW w:w="680" w:type="dxa"/>
            <w:vAlign w:val="bottom"/>
            <w:shd w:val="clear" w:color="auto" w:fill="F0F5FF"/>
          </w:tcPr>
          <w:p>
            <w:pPr>
              <w:spacing w:after="0"/>
              <w:rPr>
                <w:sz w:val="9"/>
                <w:szCs w:val="9"/>
                <w:color w:val="auto"/>
              </w:rPr>
            </w:pPr>
          </w:p>
        </w:tc>
        <w:tc>
          <w:tcPr>
            <w:tcW w:w="660" w:type="dxa"/>
            <w:vAlign w:val="bottom"/>
            <w:shd w:val="clear" w:color="auto" w:fill="F0F5FF"/>
          </w:tcPr>
          <w:p>
            <w:pPr>
              <w:spacing w:after="0"/>
              <w:rPr>
                <w:sz w:val="9"/>
                <w:szCs w:val="9"/>
                <w:color w:val="auto"/>
              </w:rPr>
            </w:pPr>
          </w:p>
        </w:tc>
        <w:tc>
          <w:tcPr>
            <w:tcW w:w="68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12</w:t>
            </w:r>
          </w:p>
        </w:tc>
        <w:tc>
          <w:tcPr>
            <w:tcW w:w="660" w:type="dxa"/>
            <w:vAlign w:val="bottom"/>
            <w:shd w:val="clear" w:color="auto" w:fill="F0F5FF"/>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(291)</w:t>
            </w:r>
          </w:p>
        </w:tc>
        <w:tc>
          <w:tcPr>
            <w:tcW w:w="40" w:type="dxa"/>
            <w:vAlign w:val="bottom"/>
            <w:shd w:val="clear" w:color="auto" w:fill="F0F5FF"/>
          </w:tcPr>
          <w:p>
            <w:pPr>
              <w:spacing w:after="0"/>
              <w:rPr>
                <w:sz w:val="9"/>
                <w:szCs w:val="9"/>
                <w:color w:val="auto"/>
              </w:rPr>
            </w:pPr>
          </w:p>
        </w:tc>
        <w:tc>
          <w:tcPr>
            <w:tcW w:w="640" w:type="dxa"/>
            <w:vAlign w:val="bottom"/>
            <w:shd w:val="clear" w:color="auto" w:fill="F0F5FF"/>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(291)</w:t>
            </w:r>
          </w:p>
        </w:tc>
        <w:tc>
          <w:tcPr>
            <w:tcW w:w="0" w:type="dxa"/>
            <w:vAlign w:val="bottom"/>
          </w:tcPr>
          <w:p>
            <w:pPr>
              <w:spacing w:after="0"/>
              <w:rPr>
                <w:sz w:val="1"/>
                <w:szCs w:val="1"/>
                <w:color w:val="auto"/>
              </w:rPr>
            </w:pPr>
          </w:p>
        </w:tc>
      </w:tr>
      <w:tr>
        <w:trPr>
          <w:trHeight w:val="55"/>
        </w:trPr>
        <w:tc>
          <w:tcPr>
            <w:tcW w:w="1360" w:type="dxa"/>
            <w:vAlign w:val="bottom"/>
            <w:gridSpan w:val="2"/>
            <w:vMerge w:val="continue"/>
          </w:tcPr>
          <w:p>
            <w:pPr>
              <w:spacing w:after="0"/>
              <w:rPr>
                <w:sz w:val="4"/>
                <w:szCs w:val="4"/>
                <w:color w:val="auto"/>
              </w:rPr>
            </w:pPr>
          </w:p>
        </w:tc>
        <w:tc>
          <w:tcPr>
            <w:tcW w:w="500" w:type="dxa"/>
            <w:vAlign w:val="bottom"/>
          </w:tcPr>
          <w:p>
            <w:pPr>
              <w:spacing w:after="0"/>
              <w:rPr>
                <w:sz w:val="4"/>
                <w:szCs w:val="4"/>
                <w:color w:val="auto"/>
              </w:rPr>
            </w:pPr>
          </w:p>
        </w:tc>
        <w:tc>
          <w:tcPr>
            <w:tcW w:w="1120" w:type="dxa"/>
            <w:vAlign w:val="bottom"/>
          </w:tcPr>
          <w:p>
            <w:pPr>
              <w:spacing w:after="0"/>
              <w:rPr>
                <w:sz w:val="4"/>
                <w:szCs w:val="4"/>
                <w:color w:val="auto"/>
              </w:rPr>
            </w:pPr>
          </w:p>
        </w:tc>
        <w:tc>
          <w:tcPr>
            <w:tcW w:w="380" w:type="dxa"/>
            <w:vAlign w:val="bottom"/>
            <w:vMerge w:val="continue"/>
          </w:tcPr>
          <w:p>
            <w:pPr>
              <w:spacing w:after="0"/>
              <w:rPr>
                <w:sz w:val="4"/>
                <w:szCs w:val="4"/>
                <w:color w:val="auto"/>
              </w:rPr>
            </w:pPr>
          </w:p>
        </w:tc>
        <w:tc>
          <w:tcPr>
            <w:tcW w:w="680" w:type="dxa"/>
            <w:vAlign w:val="bottom"/>
            <w:shd w:val="clear" w:color="auto" w:fill="F0F5FF"/>
          </w:tcPr>
          <w:p>
            <w:pPr>
              <w:spacing w:after="0"/>
              <w:rPr>
                <w:sz w:val="4"/>
                <w:szCs w:val="4"/>
                <w:color w:val="auto"/>
              </w:rPr>
            </w:pPr>
          </w:p>
        </w:tc>
        <w:tc>
          <w:tcPr>
            <w:tcW w:w="420" w:type="dxa"/>
            <w:vAlign w:val="bottom"/>
            <w:shd w:val="clear" w:color="auto" w:fill="F0F5FF"/>
          </w:tcPr>
          <w:p>
            <w:pPr>
              <w:spacing w:after="0"/>
              <w:rPr>
                <w:sz w:val="4"/>
                <w:szCs w:val="4"/>
                <w:color w:val="auto"/>
              </w:rPr>
            </w:pPr>
          </w:p>
        </w:tc>
        <w:tc>
          <w:tcPr>
            <w:tcW w:w="480" w:type="dxa"/>
            <w:vAlign w:val="bottom"/>
            <w:shd w:val="clear" w:color="auto" w:fill="F0F5FF"/>
          </w:tcPr>
          <w:p>
            <w:pPr>
              <w:spacing w:after="0"/>
              <w:rPr>
                <w:sz w:val="4"/>
                <w:szCs w:val="4"/>
                <w:color w:val="auto"/>
              </w:rPr>
            </w:pPr>
          </w:p>
        </w:tc>
        <w:tc>
          <w:tcPr>
            <w:tcW w:w="420" w:type="dxa"/>
            <w:vAlign w:val="bottom"/>
            <w:gridSpan w:val="2"/>
            <w:vMerge w:val="continue"/>
            <w:shd w:val="clear" w:color="auto" w:fill="F0F5FF"/>
          </w:tcPr>
          <w:p>
            <w:pPr>
              <w:spacing w:after="0"/>
              <w:rPr>
                <w:sz w:val="4"/>
                <w:szCs w:val="4"/>
                <w:color w:val="auto"/>
              </w:rPr>
            </w:pPr>
          </w:p>
        </w:tc>
        <w:tc>
          <w:tcPr>
            <w:tcW w:w="680" w:type="dxa"/>
            <w:vAlign w:val="bottom"/>
            <w:shd w:val="clear" w:color="auto" w:fill="F0F5FF"/>
          </w:tcPr>
          <w:p>
            <w:pPr>
              <w:spacing w:after="0"/>
              <w:rPr>
                <w:sz w:val="4"/>
                <w:szCs w:val="4"/>
                <w:color w:val="auto"/>
              </w:rPr>
            </w:pPr>
          </w:p>
        </w:tc>
        <w:tc>
          <w:tcPr>
            <w:tcW w:w="660" w:type="dxa"/>
            <w:vAlign w:val="bottom"/>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60" w:type="dxa"/>
            <w:vAlign w:val="bottom"/>
            <w:shd w:val="clear" w:color="auto" w:fill="F0F5FF"/>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640" w:type="dxa"/>
            <w:vAlign w:val="bottom"/>
            <w:shd w:val="clear" w:color="auto" w:fill="F0F5FF"/>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07"/>
        </w:trPr>
        <w:tc>
          <w:tcPr>
            <w:tcW w:w="13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Cancellation of treasury shares</w:t>
            </w:r>
          </w:p>
        </w:tc>
        <w:tc>
          <w:tcPr>
            <w:tcW w:w="500" w:type="dxa"/>
            <w:vAlign w:val="bottom"/>
          </w:tcPr>
          <w:p>
            <w:pPr>
              <w:jc w:val="right"/>
              <w:ind w:right="327"/>
              <w:spacing w:after="0"/>
              <w:rPr>
                <w:sz w:val="20"/>
                <w:szCs w:val="20"/>
                <w:color w:val="auto"/>
              </w:rPr>
            </w:pPr>
            <w:r>
              <w:rPr>
                <w:rFonts w:ascii="Times New Roman" w:cs="Times New Roman" w:eastAsia="Times New Roman" w:hAnsi="Times New Roman"/>
                <w:sz w:val="7"/>
                <w:szCs w:val="7"/>
                <w:color w:val="0D0D0D"/>
              </w:rPr>
              <w:t>(1)</w:t>
            </w:r>
          </w:p>
        </w:tc>
        <w:tc>
          <w:tcPr>
            <w:tcW w:w="1120" w:type="dxa"/>
            <w:vAlign w:val="bottom"/>
          </w:tcPr>
          <w:p>
            <w:pPr>
              <w:spacing w:after="0"/>
              <w:rPr>
                <w:sz w:val="9"/>
                <w:szCs w:val="9"/>
                <w:color w:val="auto"/>
              </w:rPr>
            </w:pPr>
          </w:p>
        </w:tc>
        <w:tc>
          <w:tcPr>
            <w:tcW w:w="380" w:type="dxa"/>
            <w:vAlign w:val="bottom"/>
            <w:vMerge w:val="restart"/>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shd w:val="clear" w:color="auto" w:fill="F0F5FF"/>
          </w:tcPr>
          <w:p>
            <w:pPr>
              <w:spacing w:after="0"/>
              <w:rPr>
                <w:sz w:val="9"/>
                <w:szCs w:val="9"/>
                <w:color w:val="auto"/>
              </w:rPr>
            </w:pPr>
          </w:p>
        </w:tc>
        <w:tc>
          <w:tcPr>
            <w:tcW w:w="420" w:type="dxa"/>
            <w:vAlign w:val="bottom"/>
            <w:shd w:val="clear" w:color="auto" w:fill="F0F5FF"/>
          </w:tcPr>
          <w:p>
            <w:pPr>
              <w:spacing w:after="0"/>
              <w:rPr>
                <w:sz w:val="9"/>
                <w:szCs w:val="9"/>
                <w:color w:val="auto"/>
              </w:rPr>
            </w:pPr>
          </w:p>
        </w:tc>
        <w:tc>
          <w:tcPr>
            <w:tcW w:w="480" w:type="dxa"/>
            <w:vAlign w:val="bottom"/>
            <w:shd w:val="clear" w:color="auto" w:fill="F0F5FF"/>
          </w:tcPr>
          <w:p>
            <w:pPr>
              <w:spacing w:after="0"/>
              <w:rPr>
                <w:sz w:val="9"/>
                <w:szCs w:val="9"/>
                <w:color w:val="auto"/>
              </w:rPr>
            </w:pPr>
          </w:p>
        </w:tc>
        <w:tc>
          <w:tcPr>
            <w:tcW w:w="420" w:type="dxa"/>
            <w:vAlign w:val="bottom"/>
            <w:gridSpan w:val="2"/>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303</w:t>
            </w:r>
          </w:p>
        </w:tc>
        <w:tc>
          <w:tcPr>
            <w:tcW w:w="680" w:type="dxa"/>
            <w:vAlign w:val="bottom"/>
            <w:shd w:val="clear" w:color="auto" w:fill="F0F5FF"/>
          </w:tcPr>
          <w:p>
            <w:pPr>
              <w:spacing w:after="0"/>
              <w:rPr>
                <w:sz w:val="9"/>
                <w:szCs w:val="9"/>
                <w:color w:val="auto"/>
              </w:rPr>
            </w:pPr>
          </w:p>
        </w:tc>
        <w:tc>
          <w:tcPr>
            <w:tcW w:w="660" w:type="dxa"/>
            <w:vAlign w:val="bottom"/>
            <w:shd w:val="clear" w:color="auto" w:fill="F0F5FF"/>
          </w:tcPr>
          <w:p>
            <w:pPr>
              <w:spacing w:after="0"/>
              <w:rPr>
                <w:sz w:val="9"/>
                <w:szCs w:val="9"/>
                <w:color w:val="auto"/>
              </w:rPr>
            </w:pP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(303)</w:t>
            </w:r>
          </w:p>
        </w:tc>
        <w:tc>
          <w:tcPr>
            <w:tcW w:w="660" w:type="dxa"/>
            <w:vAlign w:val="bottom"/>
            <w:shd w:val="clear" w:color="auto" w:fill="F0F5FF"/>
          </w:tcPr>
          <w:p>
            <w:pPr>
              <w:spacing w:after="0"/>
              <w:rPr>
                <w:sz w:val="9"/>
                <w:szCs w:val="9"/>
                <w:color w:val="auto"/>
              </w:rPr>
            </w:pPr>
          </w:p>
        </w:tc>
        <w:tc>
          <w:tcPr>
            <w:tcW w:w="700" w:type="dxa"/>
            <w:vAlign w:val="bottom"/>
            <w:gridSpan w:val="2"/>
            <w:vMerge w:val="restart"/>
            <w:shd w:val="clear" w:color="auto" w:fill="F0F5FF"/>
          </w:tcPr>
          <w:p>
            <w:pPr>
              <w:jc w:val="right"/>
              <w:ind w:right="60"/>
              <w:spacing w:after="0"/>
              <w:rPr>
                <w:sz w:val="20"/>
                <w:szCs w:val="20"/>
                <w:color w:val="auto"/>
              </w:rPr>
            </w:pPr>
            <w:r>
              <w:rPr>
                <w:rFonts w:ascii="Times New Roman" w:cs="Times New Roman" w:eastAsia="Times New Roman" w:hAnsi="Times New Roman"/>
                <w:sz w:val="10"/>
                <w:szCs w:val="10"/>
                <w:color w:val="005AFF"/>
              </w:rPr>
              <w:t>—</w:t>
            </w:r>
          </w:p>
        </w:tc>
        <w:tc>
          <w:tcPr>
            <w:tcW w:w="640" w:type="dxa"/>
            <w:vAlign w:val="bottom"/>
            <w:shd w:val="clear" w:color="auto" w:fill="F0F5FF"/>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0" w:type="dxa"/>
            <w:vAlign w:val="bottom"/>
          </w:tcPr>
          <w:p>
            <w:pPr>
              <w:spacing w:after="0"/>
              <w:rPr>
                <w:sz w:val="1"/>
                <w:szCs w:val="1"/>
                <w:color w:val="auto"/>
              </w:rPr>
            </w:pPr>
          </w:p>
        </w:tc>
      </w:tr>
      <w:tr>
        <w:trPr>
          <w:trHeight w:val="55"/>
        </w:trPr>
        <w:tc>
          <w:tcPr>
            <w:tcW w:w="1360" w:type="dxa"/>
            <w:vAlign w:val="bottom"/>
            <w:gridSpan w:val="2"/>
            <w:vMerge w:val="continue"/>
          </w:tcPr>
          <w:p>
            <w:pPr>
              <w:spacing w:after="0"/>
              <w:rPr>
                <w:sz w:val="4"/>
                <w:szCs w:val="4"/>
                <w:color w:val="auto"/>
              </w:rPr>
            </w:pPr>
          </w:p>
        </w:tc>
        <w:tc>
          <w:tcPr>
            <w:tcW w:w="500" w:type="dxa"/>
            <w:vAlign w:val="bottom"/>
          </w:tcPr>
          <w:p>
            <w:pPr>
              <w:spacing w:after="0"/>
              <w:rPr>
                <w:sz w:val="4"/>
                <w:szCs w:val="4"/>
                <w:color w:val="auto"/>
              </w:rPr>
            </w:pPr>
          </w:p>
        </w:tc>
        <w:tc>
          <w:tcPr>
            <w:tcW w:w="1120" w:type="dxa"/>
            <w:vAlign w:val="bottom"/>
          </w:tcPr>
          <w:p>
            <w:pPr>
              <w:spacing w:after="0"/>
              <w:rPr>
                <w:sz w:val="4"/>
                <w:szCs w:val="4"/>
                <w:color w:val="auto"/>
              </w:rPr>
            </w:pPr>
          </w:p>
        </w:tc>
        <w:tc>
          <w:tcPr>
            <w:tcW w:w="380" w:type="dxa"/>
            <w:vAlign w:val="bottom"/>
            <w:vMerge w:val="continue"/>
          </w:tcPr>
          <w:p>
            <w:pPr>
              <w:spacing w:after="0"/>
              <w:rPr>
                <w:sz w:val="4"/>
                <w:szCs w:val="4"/>
                <w:color w:val="auto"/>
              </w:rPr>
            </w:pPr>
          </w:p>
        </w:tc>
        <w:tc>
          <w:tcPr>
            <w:tcW w:w="680" w:type="dxa"/>
            <w:vAlign w:val="bottom"/>
            <w:shd w:val="clear" w:color="auto" w:fill="F0F5FF"/>
          </w:tcPr>
          <w:p>
            <w:pPr>
              <w:spacing w:after="0"/>
              <w:rPr>
                <w:sz w:val="4"/>
                <w:szCs w:val="4"/>
                <w:color w:val="auto"/>
              </w:rPr>
            </w:pPr>
          </w:p>
        </w:tc>
        <w:tc>
          <w:tcPr>
            <w:tcW w:w="420" w:type="dxa"/>
            <w:vAlign w:val="bottom"/>
            <w:shd w:val="clear" w:color="auto" w:fill="F0F5FF"/>
          </w:tcPr>
          <w:p>
            <w:pPr>
              <w:spacing w:after="0"/>
              <w:rPr>
                <w:sz w:val="4"/>
                <w:szCs w:val="4"/>
                <w:color w:val="auto"/>
              </w:rPr>
            </w:pPr>
          </w:p>
        </w:tc>
        <w:tc>
          <w:tcPr>
            <w:tcW w:w="480" w:type="dxa"/>
            <w:vAlign w:val="bottom"/>
            <w:shd w:val="clear" w:color="auto" w:fill="F0F5FF"/>
          </w:tcPr>
          <w:p>
            <w:pPr>
              <w:spacing w:after="0"/>
              <w:rPr>
                <w:sz w:val="4"/>
                <w:szCs w:val="4"/>
                <w:color w:val="auto"/>
              </w:rPr>
            </w:pPr>
          </w:p>
        </w:tc>
        <w:tc>
          <w:tcPr>
            <w:tcW w:w="420" w:type="dxa"/>
            <w:vAlign w:val="bottom"/>
            <w:gridSpan w:val="2"/>
            <w:vMerge w:val="continue"/>
            <w:shd w:val="clear" w:color="auto" w:fill="F0F5FF"/>
          </w:tcPr>
          <w:p>
            <w:pPr>
              <w:spacing w:after="0"/>
              <w:rPr>
                <w:sz w:val="4"/>
                <w:szCs w:val="4"/>
                <w:color w:val="auto"/>
              </w:rPr>
            </w:pPr>
          </w:p>
        </w:tc>
        <w:tc>
          <w:tcPr>
            <w:tcW w:w="680" w:type="dxa"/>
            <w:vAlign w:val="bottom"/>
            <w:shd w:val="clear" w:color="auto" w:fill="F0F5FF"/>
          </w:tcPr>
          <w:p>
            <w:pPr>
              <w:spacing w:after="0"/>
              <w:rPr>
                <w:sz w:val="4"/>
                <w:szCs w:val="4"/>
                <w:color w:val="auto"/>
              </w:rPr>
            </w:pPr>
          </w:p>
        </w:tc>
        <w:tc>
          <w:tcPr>
            <w:tcW w:w="660" w:type="dxa"/>
            <w:vAlign w:val="bottom"/>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60" w:type="dxa"/>
            <w:vAlign w:val="bottom"/>
            <w:shd w:val="clear" w:color="auto" w:fill="F0F5FF"/>
          </w:tcPr>
          <w:p>
            <w:pPr>
              <w:spacing w:after="0"/>
              <w:rPr>
                <w:sz w:val="4"/>
                <w:szCs w:val="4"/>
                <w:color w:val="auto"/>
              </w:rPr>
            </w:pPr>
          </w:p>
        </w:tc>
        <w:tc>
          <w:tcPr>
            <w:tcW w:w="700" w:type="dxa"/>
            <w:vAlign w:val="bottom"/>
            <w:gridSpan w:val="2"/>
            <w:vMerge w:val="continue"/>
            <w:shd w:val="clear" w:color="auto" w:fill="F0F5FF"/>
          </w:tcPr>
          <w:p>
            <w:pPr>
              <w:spacing w:after="0"/>
              <w:rPr>
                <w:sz w:val="4"/>
                <w:szCs w:val="4"/>
                <w:color w:val="auto"/>
              </w:rPr>
            </w:pPr>
          </w:p>
        </w:tc>
        <w:tc>
          <w:tcPr>
            <w:tcW w:w="640" w:type="dxa"/>
            <w:vAlign w:val="bottom"/>
            <w:shd w:val="clear" w:color="auto" w:fill="F0F5FF"/>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58"/>
        </w:trPr>
        <w:tc>
          <w:tcPr>
            <w:tcW w:w="13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Disposal of subsidiaries</w:t>
            </w:r>
          </w:p>
        </w:tc>
        <w:tc>
          <w:tcPr>
            <w:tcW w:w="500" w:type="dxa"/>
            <w:vAlign w:val="bottom"/>
          </w:tcPr>
          <w:p>
            <w:pPr>
              <w:spacing w:after="0"/>
              <w:rPr>
                <w:sz w:val="13"/>
                <w:szCs w:val="13"/>
                <w:color w:val="auto"/>
              </w:rPr>
            </w:pPr>
          </w:p>
        </w:tc>
        <w:tc>
          <w:tcPr>
            <w:tcW w:w="1120" w:type="dxa"/>
            <w:vAlign w:val="bottom"/>
          </w:tcPr>
          <w:p>
            <w:pPr>
              <w:spacing w:after="0"/>
              <w:rPr>
                <w:sz w:val="13"/>
                <w:szCs w:val="13"/>
                <w:color w:val="auto"/>
              </w:rPr>
            </w:pPr>
          </w:p>
        </w:tc>
        <w:tc>
          <w:tcPr>
            <w:tcW w:w="380" w:type="dxa"/>
            <w:vAlign w:val="bottom"/>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420" w:type="dxa"/>
            <w:vAlign w:val="bottom"/>
            <w:shd w:val="clear" w:color="auto" w:fill="F0F5FF"/>
          </w:tcPr>
          <w:p>
            <w:pPr>
              <w:spacing w:after="0"/>
              <w:rPr>
                <w:sz w:val="13"/>
                <w:szCs w:val="13"/>
                <w:color w:val="auto"/>
              </w:rPr>
            </w:pPr>
          </w:p>
        </w:tc>
        <w:tc>
          <w:tcPr>
            <w:tcW w:w="480" w:type="dxa"/>
            <w:vAlign w:val="bottom"/>
            <w:shd w:val="clear" w:color="auto" w:fill="F0F5FF"/>
          </w:tcPr>
          <w:p>
            <w:pPr>
              <w:spacing w:after="0"/>
              <w:rPr>
                <w:sz w:val="13"/>
                <w:szCs w:val="13"/>
                <w:color w:val="auto"/>
              </w:rPr>
            </w:pPr>
          </w:p>
        </w:tc>
        <w:tc>
          <w:tcPr>
            <w:tcW w:w="60" w:type="dxa"/>
            <w:vAlign w:val="bottom"/>
            <w:shd w:val="clear" w:color="auto" w:fill="F0F5FF"/>
          </w:tcPr>
          <w:p>
            <w:pPr>
              <w:spacing w:after="0"/>
              <w:rPr>
                <w:sz w:val="13"/>
                <w:szCs w:val="13"/>
                <w:color w:val="auto"/>
              </w:rPr>
            </w:pPr>
          </w:p>
        </w:tc>
        <w:tc>
          <w:tcPr>
            <w:tcW w:w="3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6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660" w:type="dxa"/>
            <w:vAlign w:val="bottom"/>
            <w:shd w:val="clear" w:color="auto" w:fill="F0F5FF"/>
          </w:tcPr>
          <w:p>
            <w:pPr>
              <w:spacing w:after="0"/>
              <w:rPr>
                <w:sz w:val="13"/>
                <w:szCs w:val="13"/>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13"/>
                <w:szCs w:val="13"/>
                <w:color w:val="auto"/>
              </w:rPr>
            </w:pPr>
          </w:p>
        </w:tc>
        <w:tc>
          <w:tcPr>
            <w:tcW w:w="6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0" w:type="dxa"/>
            <w:vAlign w:val="bottom"/>
          </w:tcPr>
          <w:p>
            <w:pPr>
              <w:spacing w:after="0"/>
              <w:rPr>
                <w:sz w:val="1"/>
                <w:szCs w:val="1"/>
                <w:color w:val="auto"/>
              </w:rPr>
            </w:pPr>
          </w:p>
        </w:tc>
      </w:tr>
      <w:tr>
        <w:trPr>
          <w:trHeight w:val="169"/>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Dividends</w:t>
            </w:r>
          </w:p>
        </w:tc>
        <w:tc>
          <w:tcPr>
            <w:tcW w:w="48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spacing w:after="0"/>
              <w:rPr>
                <w:sz w:val="14"/>
                <w:szCs w:val="14"/>
                <w:color w:val="auto"/>
              </w:rPr>
            </w:pPr>
          </w:p>
        </w:tc>
        <w:tc>
          <w:tcPr>
            <w:tcW w:w="112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20"/>
              <w:spacing w:after="0"/>
              <w:rPr>
                <w:sz w:val="20"/>
                <w:szCs w:val="20"/>
                <w:color w:val="auto"/>
              </w:rPr>
            </w:pPr>
            <w:r>
              <w:rPr>
                <w:rFonts w:ascii="Times New Roman" w:cs="Times New Roman" w:eastAsia="Times New Roman" w:hAnsi="Times New Roman"/>
                <w:sz w:val="8"/>
                <w:szCs w:val="8"/>
                <w:color w:val="0D0D0D"/>
              </w:rPr>
              <w:t>5.1</w:t>
            </w:r>
          </w:p>
        </w:tc>
        <w:tc>
          <w:tcPr>
            <w:tcW w:w="680" w:type="dxa"/>
            <w:vAlign w:val="bottom"/>
            <w:tcBorders>
              <w:bottom w:val="single" w:sz="8" w:color="005AFF"/>
            </w:tcBorders>
            <w:shd w:val="clear" w:color="auto" w:fill="F0F5FF"/>
          </w:tcPr>
          <w:p>
            <w:pPr>
              <w:spacing w:after="0"/>
              <w:rPr>
                <w:sz w:val="14"/>
                <w:szCs w:val="14"/>
                <w:color w:val="auto"/>
              </w:rPr>
            </w:pPr>
          </w:p>
        </w:tc>
        <w:tc>
          <w:tcPr>
            <w:tcW w:w="420" w:type="dxa"/>
            <w:vAlign w:val="bottom"/>
            <w:tcBorders>
              <w:bottom w:val="single" w:sz="8" w:color="005AFF"/>
            </w:tcBorders>
            <w:shd w:val="clear" w:color="auto" w:fill="F0F5FF"/>
          </w:tcPr>
          <w:p>
            <w:pPr>
              <w:spacing w:after="0"/>
              <w:rPr>
                <w:sz w:val="14"/>
                <w:szCs w:val="14"/>
                <w:color w:val="auto"/>
              </w:rPr>
            </w:pPr>
          </w:p>
        </w:tc>
        <w:tc>
          <w:tcPr>
            <w:tcW w:w="480" w:type="dxa"/>
            <w:vAlign w:val="bottom"/>
            <w:tcBorders>
              <w:bottom w:val="single" w:sz="8" w:color="005AFF"/>
            </w:tcBorders>
            <w:shd w:val="clear" w:color="auto" w:fill="F0F5FF"/>
          </w:tcPr>
          <w:p>
            <w:pPr>
              <w:spacing w:after="0"/>
              <w:rPr>
                <w:sz w:val="14"/>
                <w:szCs w:val="14"/>
                <w:color w:val="auto"/>
              </w:rPr>
            </w:pPr>
          </w:p>
        </w:tc>
        <w:tc>
          <w:tcPr>
            <w:tcW w:w="60" w:type="dxa"/>
            <w:vAlign w:val="bottom"/>
            <w:tcBorders>
              <w:bottom w:val="single" w:sz="8" w:color="005AFF"/>
            </w:tcBorders>
            <w:shd w:val="clear" w:color="auto" w:fill="F0F5FF"/>
          </w:tcPr>
          <w:p>
            <w:pPr>
              <w:spacing w:after="0"/>
              <w:rPr>
                <w:sz w:val="14"/>
                <w:szCs w:val="14"/>
                <w:color w:val="auto"/>
              </w:rPr>
            </w:pPr>
          </w:p>
        </w:tc>
        <w:tc>
          <w:tcPr>
            <w:tcW w:w="360" w:type="dxa"/>
            <w:vAlign w:val="bottom"/>
            <w:tcBorders>
              <w:bottom w:val="single" w:sz="8" w:color="005AFF"/>
            </w:tcBorders>
            <w:shd w:val="clear" w:color="auto" w:fill="F0F5FF"/>
          </w:tcPr>
          <w:p>
            <w:pPr>
              <w:spacing w:after="0"/>
              <w:rPr>
                <w:sz w:val="14"/>
                <w:szCs w:val="14"/>
                <w:color w:val="auto"/>
              </w:rPr>
            </w:pPr>
          </w:p>
        </w:tc>
        <w:tc>
          <w:tcPr>
            <w:tcW w:w="680" w:type="dxa"/>
            <w:vAlign w:val="bottom"/>
            <w:tcBorders>
              <w:bottom w:val="single" w:sz="8" w:color="005AFF"/>
            </w:tcBorders>
            <w:shd w:val="clear" w:color="auto" w:fill="F0F5FF"/>
          </w:tcPr>
          <w:p>
            <w:pPr>
              <w:spacing w:after="0"/>
              <w:rPr>
                <w:sz w:val="14"/>
                <w:szCs w:val="14"/>
                <w:color w:val="auto"/>
              </w:rPr>
            </w:pPr>
          </w:p>
        </w:tc>
        <w:tc>
          <w:tcPr>
            <w:tcW w:w="660" w:type="dxa"/>
            <w:vAlign w:val="bottom"/>
            <w:tcBorders>
              <w:bottom w:val="single" w:sz="8" w:color="005AFF"/>
            </w:tcBorders>
            <w:shd w:val="clear" w:color="auto" w:fill="F0F5FF"/>
          </w:tcPr>
          <w:p>
            <w:pPr>
              <w:spacing w:after="0"/>
              <w:rPr>
                <w:sz w:val="14"/>
                <w:szCs w:val="14"/>
                <w:color w:val="auto"/>
              </w:rPr>
            </w:pPr>
          </w:p>
        </w:tc>
        <w:tc>
          <w:tcPr>
            <w:tcW w:w="680" w:type="dxa"/>
            <w:vAlign w:val="bottom"/>
            <w:tcBorders>
              <w:bottom w:val="single" w:sz="8" w:color="005AFF"/>
            </w:tcBorders>
            <w:shd w:val="clear" w:color="auto" w:fill="F0F5FF"/>
          </w:tcPr>
          <w:p>
            <w:pPr>
              <w:spacing w:after="0"/>
              <w:rPr>
                <w:sz w:val="14"/>
                <w:szCs w:val="14"/>
                <w:color w:val="auto"/>
              </w:rPr>
            </w:pP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(611)</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(611)</w:t>
            </w:r>
          </w:p>
        </w:tc>
        <w:tc>
          <w:tcPr>
            <w:tcW w:w="40" w:type="dxa"/>
            <w:vAlign w:val="bottom"/>
            <w:tcBorders>
              <w:bottom w:val="single" w:sz="8" w:color="005AFF"/>
            </w:tcBorders>
            <w:shd w:val="clear" w:color="auto" w:fill="F0F5FF"/>
          </w:tcPr>
          <w:p>
            <w:pPr>
              <w:spacing w:after="0"/>
              <w:rPr>
                <w:sz w:val="14"/>
                <w:szCs w:val="14"/>
                <w:color w:val="auto"/>
              </w:rPr>
            </w:pPr>
          </w:p>
        </w:tc>
        <w:tc>
          <w:tcPr>
            <w:tcW w:w="6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(621)</w:t>
            </w:r>
          </w:p>
        </w:tc>
        <w:tc>
          <w:tcPr>
            <w:tcW w:w="0" w:type="dxa"/>
            <w:vAlign w:val="bottom"/>
          </w:tcPr>
          <w:p>
            <w:pPr>
              <w:spacing w:after="0"/>
              <w:rPr>
                <w:sz w:val="1"/>
                <w:szCs w:val="1"/>
                <w:color w:val="auto"/>
              </w:rPr>
            </w:pPr>
          </w:p>
        </w:tc>
      </w:tr>
      <w:tr>
        <w:trPr>
          <w:trHeight w:val="140"/>
        </w:trPr>
        <w:tc>
          <w:tcPr>
            <w:tcW w:w="13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w w:val="98"/>
              </w:rPr>
              <w:t>Total transactions with owners</w:t>
            </w: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ind w:left="540"/>
              <w:spacing w:after="0"/>
              <w:rPr>
                <w:sz w:val="20"/>
                <w:szCs w:val="20"/>
                <w:color w:val="auto"/>
              </w:rPr>
            </w:pPr>
            <w:r>
              <w:rPr>
                <w:rFonts w:ascii="Times New Roman" w:cs="Times New Roman" w:eastAsia="Times New Roman" w:hAnsi="Times New Roman"/>
                <w:sz w:val="10"/>
                <w:szCs w:val="10"/>
                <w:b w:val="1"/>
                <w:bCs w:val="1"/>
                <w:color w:val="005AFF"/>
              </w:rPr>
              <w:t>—</w:t>
            </w:r>
          </w:p>
        </w:tc>
        <w:tc>
          <w:tcPr>
            <w:tcW w:w="900" w:type="dxa"/>
            <w:vAlign w:val="bottom"/>
            <w:tcBorders>
              <w:bottom w:val="single" w:sz="8" w:color="005AFF"/>
            </w:tcBorders>
            <w:gridSpan w:val="2"/>
            <w:shd w:val="clear" w:color="auto" w:fill="F0F5FF"/>
          </w:tcPr>
          <w:p>
            <w:pPr>
              <w:jc w:val="right"/>
              <w:ind w:right="251"/>
              <w:spacing w:after="0"/>
              <w:rPr>
                <w:sz w:val="20"/>
                <w:szCs w:val="20"/>
                <w:color w:val="auto"/>
              </w:rPr>
            </w:pPr>
            <w:r>
              <w:rPr>
                <w:rFonts w:ascii="Times New Roman" w:cs="Times New Roman" w:eastAsia="Times New Roman" w:hAnsi="Times New Roman"/>
                <w:sz w:val="10"/>
                <w:szCs w:val="10"/>
                <w:b w:val="1"/>
                <w:bCs w:val="1"/>
                <w:color w:val="005AFF"/>
              </w:rPr>
              <w:t>125</w:t>
            </w:r>
          </w:p>
        </w:tc>
        <w:tc>
          <w:tcPr>
            <w:tcW w:w="60" w:type="dxa"/>
            <w:vAlign w:val="bottom"/>
            <w:tcBorders>
              <w:bottom w:val="single" w:sz="8" w:color="005AFF"/>
            </w:tcBorders>
            <w:shd w:val="clear" w:color="auto" w:fill="F0F5FF"/>
          </w:tcPr>
          <w:p>
            <w:pPr>
              <w:spacing w:after="0"/>
              <w:rPr>
                <w:sz w:val="12"/>
                <w:szCs w:val="12"/>
                <w:color w:val="auto"/>
              </w:rPr>
            </w:pPr>
          </w:p>
        </w:tc>
        <w:tc>
          <w:tcPr>
            <w:tcW w:w="3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(232)</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(611)</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(718)</w:t>
            </w:r>
          </w:p>
        </w:tc>
        <w:tc>
          <w:tcPr>
            <w:tcW w:w="40" w:type="dxa"/>
            <w:vAlign w:val="bottom"/>
            <w:tcBorders>
              <w:bottom w:val="single" w:sz="8" w:color="005AFF"/>
            </w:tcBorders>
            <w:shd w:val="clear" w:color="auto" w:fill="F0F5FF"/>
          </w:tcPr>
          <w:p>
            <w:pPr>
              <w:spacing w:after="0"/>
              <w:rPr>
                <w:sz w:val="12"/>
                <w:szCs w:val="12"/>
                <w:color w:val="auto"/>
              </w:rPr>
            </w:pPr>
          </w:p>
        </w:tc>
        <w:tc>
          <w:tcPr>
            <w:tcW w:w="6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(12)</w:t>
            </w:r>
          </w:p>
        </w:tc>
        <w:tc>
          <w:tcPr>
            <w:tcW w:w="6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(730)</w:t>
            </w:r>
          </w:p>
        </w:tc>
        <w:tc>
          <w:tcPr>
            <w:tcW w:w="0" w:type="dxa"/>
            <w:vAlign w:val="bottom"/>
          </w:tcPr>
          <w:p>
            <w:pPr>
              <w:spacing w:after="0"/>
              <w:rPr>
                <w:sz w:val="1"/>
                <w:szCs w:val="1"/>
                <w:color w:val="auto"/>
              </w:rPr>
            </w:pPr>
          </w:p>
        </w:tc>
      </w:tr>
      <w:tr>
        <w:trPr>
          <w:trHeight w:val="142"/>
        </w:trPr>
        <w:tc>
          <w:tcPr>
            <w:tcW w:w="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2023</w:t>
            </w:r>
          </w:p>
        </w:tc>
        <w:tc>
          <w:tcPr>
            <w:tcW w:w="48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spacing w:after="0"/>
              <w:rPr>
                <w:sz w:val="12"/>
                <w:szCs w:val="12"/>
                <w:color w:val="auto"/>
              </w:rPr>
            </w:pPr>
          </w:p>
        </w:tc>
        <w:tc>
          <w:tcPr>
            <w:tcW w:w="112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ind w:left="460"/>
              <w:spacing w:after="0"/>
              <w:rPr>
                <w:sz w:val="20"/>
                <w:szCs w:val="20"/>
                <w:color w:val="auto"/>
              </w:rPr>
            </w:pPr>
            <w:r>
              <w:rPr>
                <w:rFonts w:ascii="Times New Roman" w:cs="Times New Roman" w:eastAsia="Times New Roman" w:hAnsi="Times New Roman"/>
                <w:sz w:val="10"/>
                <w:szCs w:val="10"/>
                <w:b w:val="1"/>
                <w:bCs w:val="1"/>
                <w:color w:val="005AFF"/>
              </w:rPr>
              <w:t>246</w:t>
            </w:r>
          </w:p>
        </w:tc>
        <w:tc>
          <w:tcPr>
            <w:tcW w:w="900" w:type="dxa"/>
            <w:vAlign w:val="bottom"/>
            <w:tcBorders>
              <w:bottom w:val="single" w:sz="8" w:color="005AFF"/>
            </w:tcBorders>
            <w:gridSpan w:val="2"/>
            <w:shd w:val="clear" w:color="auto" w:fill="F0F5FF"/>
          </w:tcPr>
          <w:p>
            <w:pPr>
              <w:jc w:val="right"/>
              <w:ind w:right="251"/>
              <w:spacing w:after="0"/>
              <w:rPr>
                <w:sz w:val="20"/>
                <w:szCs w:val="20"/>
                <w:color w:val="auto"/>
              </w:rPr>
            </w:pPr>
            <w:r>
              <w:rPr>
                <w:rFonts w:ascii="Times New Roman" w:cs="Times New Roman" w:eastAsia="Times New Roman" w:hAnsi="Times New Roman"/>
                <w:sz w:val="10"/>
                <w:szCs w:val="10"/>
                <w:b w:val="1"/>
                <w:bCs w:val="1"/>
                <w:color w:val="005AFF"/>
              </w:rPr>
              <w:t>628</w:t>
            </w:r>
          </w:p>
        </w:tc>
        <w:tc>
          <w:tcPr>
            <w:tcW w:w="42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(352)</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(249)</w:t>
            </w:r>
          </w:p>
        </w:tc>
        <w:tc>
          <w:tcPr>
            <w:tcW w:w="66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3 605</w:t>
            </w:r>
          </w:p>
        </w:tc>
        <w:tc>
          <w:tcPr>
            <w:tcW w:w="6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15 255</w:t>
            </w:r>
          </w:p>
        </w:tc>
        <w:tc>
          <w:tcPr>
            <w:tcW w:w="66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1 404</w:t>
            </w:r>
          </w:p>
        </w:tc>
        <w:tc>
          <w:tcPr>
            <w:tcW w:w="66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20 537</w:t>
            </w:r>
          </w:p>
        </w:tc>
        <w:tc>
          <w:tcPr>
            <w:tcW w:w="40" w:type="dxa"/>
            <w:vAlign w:val="bottom"/>
            <w:tcBorders>
              <w:bottom w:val="single" w:sz="8" w:color="005AFF"/>
            </w:tcBorders>
            <w:shd w:val="clear" w:color="auto" w:fill="F0F5FF"/>
          </w:tcPr>
          <w:p>
            <w:pPr>
              <w:spacing w:after="0"/>
              <w:rPr>
                <w:sz w:val="12"/>
                <w:szCs w:val="12"/>
                <w:color w:val="auto"/>
              </w:rPr>
            </w:pPr>
          </w:p>
        </w:tc>
        <w:tc>
          <w:tcPr>
            <w:tcW w:w="6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91</w:t>
            </w:r>
          </w:p>
        </w:tc>
        <w:tc>
          <w:tcPr>
            <w:tcW w:w="660" w:type="dxa"/>
            <w:vAlign w:val="bottom"/>
            <w:tcBorders>
              <w:bottom w:val="single" w:sz="8" w:color="005AFF"/>
            </w:tcBorders>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20 628</w:t>
            </w:r>
          </w:p>
        </w:tc>
        <w:tc>
          <w:tcPr>
            <w:tcW w:w="0" w:type="dxa"/>
            <w:vAlign w:val="bottom"/>
          </w:tcPr>
          <w:p>
            <w:pPr>
              <w:spacing w:after="0"/>
              <w:rPr>
                <w:sz w:val="1"/>
                <w:szCs w:val="1"/>
                <w:color w:val="auto"/>
              </w:rPr>
            </w:pPr>
          </w:p>
        </w:tc>
      </w:tr>
    </w:tbl>
    <w:p>
      <w:pPr>
        <w:spacing w:after="0" w:line="4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00" w:hanging="199"/>
        <w:spacing w:after="0"/>
        <w:tabs>
          <w:tab w:leader="none" w:pos="200" w:val="left"/>
        </w:tabs>
        <w:numPr>
          <w:ilvl w:val="0"/>
          <w:numId w:val="10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Treasury shares have been acquired as part of the share buyback program announced on 3 February 2022 using the reserve for invested unrestricted equity. The shares repurchased in the first phase of the program between 14 February and 11 November 2022 were</w:t>
      </w:r>
    </w:p>
    <w:p>
      <w:pPr>
        <w:spacing w:after="0" w:line="12" w:lineRule="exact"/>
        <w:rPr>
          <w:sz w:val="20"/>
          <w:szCs w:val="20"/>
          <w:color w:val="auto"/>
        </w:rPr>
      </w:pPr>
    </w:p>
    <w:p>
      <w:pPr>
        <w:ind w:left="200"/>
        <w:spacing w:after="0"/>
        <w:tabs>
          <w:tab w:leader="none" w:pos="7060" w:val="left"/>
        </w:tabs>
        <w:rPr>
          <w:sz w:val="20"/>
          <w:szCs w:val="20"/>
          <w:color w:val="auto"/>
        </w:rPr>
      </w:pPr>
      <w:r>
        <w:rPr>
          <w:rFonts w:ascii="Times New Roman" w:cs="Times New Roman" w:eastAsia="Times New Roman" w:hAnsi="Times New Roman"/>
          <w:sz w:val="8"/>
          <w:szCs w:val="8"/>
          <w:color w:val="auto"/>
        </w:rPr>
        <w:t>cancelled on 8 December 2022. The shares repurchased in the second phase of the program between 2 January and 10 November 2023 were cancelled on 30 November 2023. Refer to Note</w:t>
      </w:r>
      <w:r>
        <w:rPr>
          <w:sz w:val="20"/>
          <w:szCs w:val="20"/>
          <w:color w:val="auto"/>
        </w:rPr>
        <w:tab/>
      </w:r>
      <w:r>
        <w:rPr>
          <w:rFonts w:ascii="Times New Roman" w:cs="Times New Roman" w:eastAsia="Times New Roman" w:hAnsi="Times New Roman"/>
          <w:sz w:val="8"/>
          <w:szCs w:val="8"/>
          <w:color w:val="auto"/>
        </w:rPr>
        <w:t>5.1. Equity for more information.</w:t>
      </w:r>
    </w:p>
    <w:p>
      <w:pPr>
        <w:spacing w:after="0" w:line="77" w:lineRule="exact"/>
        <w:rPr>
          <w:sz w:val="20"/>
          <w:szCs w:val="20"/>
          <w:color w:val="auto"/>
        </w:rPr>
      </w:pPr>
    </w:p>
    <w:p>
      <w:pPr>
        <w:spacing w:after="0"/>
        <w:rPr>
          <w:sz w:val="20"/>
          <w:szCs w:val="20"/>
          <w:color w:val="auto"/>
        </w:rPr>
      </w:pPr>
      <w:r>
        <w:rPr>
          <w:rFonts w:ascii="Times New Roman" w:cs="Times New Roman" w:eastAsia="Times New Roman" w:hAnsi="Times New Roman"/>
          <w:sz w:val="8"/>
          <w:szCs w:val="8"/>
          <w:color w:val="auto"/>
        </w:rPr>
        <w:t>The notes are an integral part of these consolidated financial statements.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10" w:right="899" w:bottom="1440" w:gutter="0" w:footer="0" w:header="0"/>
        </w:sectPr>
      </w:pPr>
    </w:p>
    <w:bookmarkStart w:id="154" w:name="page155"/>
    <w:bookmarkEnd w:id="154"/>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147</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06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38" w:lineRule="exact"/>
        <w:rPr>
          <w:sz w:val="20"/>
          <w:szCs w:val="20"/>
          <w:color w:val="auto"/>
        </w:rPr>
      </w:pPr>
    </w:p>
    <w:p>
      <w:pPr>
        <w:sectPr>
          <w:pgSz w:w="11900" w:h="16838" w:orient="portrait"/>
          <w:cols w:equalWidth="0" w:num="2">
            <w:col w:w="2820" w:space="580"/>
            <w:col w:w="6580"/>
          </w:cols>
          <w:pgMar w:left="960" w:top="410" w:right="959" w:bottom="1440" w:gutter="0" w:footer="0" w:header="0"/>
        </w:sect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1</w:t>
      </w:r>
    </w:p>
    <w:p>
      <w:pPr>
        <w:spacing w:after="0" w:line="54" w:lineRule="exact"/>
        <w:rPr>
          <w:sz w:val="20"/>
          <w:szCs w:val="20"/>
          <w:color w:val="auto"/>
        </w:rPr>
      </w:pPr>
    </w:p>
    <w:p>
      <w:pPr>
        <w:ind w:right="820"/>
        <w:spacing w:after="0" w:line="249" w:lineRule="auto"/>
        <w:rPr>
          <w:sz w:val="20"/>
          <w:szCs w:val="20"/>
          <w:color w:val="auto"/>
        </w:rPr>
      </w:pPr>
      <w:r>
        <w:rPr>
          <w:rFonts w:ascii="Times New Roman" w:cs="Times New Roman" w:eastAsia="Times New Roman" w:hAnsi="Times New Roman"/>
          <w:sz w:val="45"/>
          <w:szCs w:val="45"/>
          <w:color w:val="auto"/>
        </w:rPr>
        <w:t>Basis of preparation</w:t>
      </w:r>
    </w:p>
    <w:p>
      <w:pPr>
        <w:spacing w:after="0" w:line="72" w:lineRule="exact"/>
        <w:rPr>
          <w:sz w:val="20"/>
          <w:szCs w:val="20"/>
          <w:color w:val="auto"/>
        </w:rPr>
      </w:pPr>
    </w:p>
    <w:p>
      <w:pPr>
        <w:jc w:val="both"/>
        <w:spacing w:after="0" w:line="266" w:lineRule="auto"/>
        <w:rPr>
          <w:sz w:val="20"/>
          <w:szCs w:val="20"/>
          <w:color w:val="auto"/>
        </w:rPr>
      </w:pPr>
      <w:r>
        <w:rPr>
          <w:rFonts w:ascii="Times New Roman" w:cs="Times New Roman" w:eastAsia="Times New Roman" w:hAnsi="Times New Roman"/>
          <w:sz w:val="13"/>
          <w:szCs w:val="13"/>
          <w:color w:val="auto"/>
        </w:rPr>
        <w:t>This section describes the general accounting policies applied in preparation of these consolidated financial statements, including the basis of presentation</w:t>
      </w:r>
    </w:p>
    <w:p>
      <w:pPr>
        <w:spacing w:after="0" w:line="1"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3"/>
          <w:szCs w:val="13"/>
          <w:color w:val="auto"/>
        </w:rPr>
        <w:t>and key consolidation principles. This section also summarizes the accounting matters that involve most judgment or estimation uncertainty. The specific accounting policies as well as details of key accounting estimates and judgments are provided in the related notes.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1.1. Corporate information</w:t>
      </w:r>
    </w:p>
    <w:p>
      <w:pPr>
        <w:spacing w:after="0" w:line="46" w:lineRule="exact"/>
        <w:rPr>
          <w:sz w:val="20"/>
          <w:szCs w:val="20"/>
          <w:color w:val="auto"/>
        </w:rPr>
      </w:pPr>
    </w:p>
    <w:p>
      <w:pPr>
        <w:ind w:right="40"/>
        <w:spacing w:after="0" w:line="265" w:lineRule="auto"/>
        <w:rPr>
          <w:sz w:val="20"/>
          <w:szCs w:val="20"/>
          <w:color w:val="auto"/>
        </w:rPr>
      </w:pPr>
      <w:r>
        <w:rPr>
          <w:rFonts w:ascii="Times New Roman" w:cs="Times New Roman" w:eastAsia="Times New Roman" w:hAnsi="Times New Roman"/>
          <w:sz w:val="11"/>
          <w:szCs w:val="11"/>
          <w:color w:val="auto"/>
        </w:rPr>
        <w:t>Nokia Corporation, a public limited liability company incorporated and domiciled in Helsinki, Finland, is the parent company (Parent Company or Parent) for all its subsidiaries (together Nokia or the Group). Nokia is a global provider of mobile, fixed and cloud network solutions combining hardware, software and services, as well as licensing of intellectual property, including patents, technologies and the Nokia brand. Nokia’s operational headquarters are located in Espoo, Finland. The shares of Nokia Corporation are listed on the Nasdaq Helsinki Stock Exchange, the New York Stock Exchange and the Euronext Paris Stock Exchange.</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These consolidated financial statements for the year ended</w:t>
      </w:r>
    </w:p>
    <w:p>
      <w:pPr>
        <w:spacing w:after="0" w:line="22" w:lineRule="exact"/>
        <w:rPr>
          <w:sz w:val="20"/>
          <w:szCs w:val="20"/>
          <w:color w:val="auto"/>
        </w:rPr>
      </w:pPr>
    </w:p>
    <w:p>
      <w:pPr>
        <w:ind w:right="180"/>
        <w:spacing w:after="0" w:line="278" w:lineRule="auto"/>
        <w:rPr>
          <w:sz w:val="20"/>
          <w:szCs w:val="20"/>
          <w:color w:val="auto"/>
        </w:rPr>
      </w:pPr>
      <w:r>
        <w:rPr>
          <w:rFonts w:ascii="Times New Roman" w:cs="Times New Roman" w:eastAsia="Times New Roman" w:hAnsi="Times New Roman"/>
          <w:sz w:val="11"/>
          <w:szCs w:val="11"/>
          <w:color w:val="auto"/>
        </w:rPr>
        <w:t>31 December 2023 were authorized for issuance and filing by the Board of Directors on 29 February 2024 .</w:t>
      </w:r>
    </w:p>
    <w:p>
      <w:pPr>
        <w:spacing w:after="0" w:line="12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1.2. General accounting policies</w:t>
      </w:r>
    </w:p>
    <w:p>
      <w:pPr>
        <w:spacing w:after="0" w:line="3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Basis of presentation and statement of compliance</w:t>
      </w:r>
    </w:p>
    <w:p>
      <w:pPr>
        <w:spacing w:after="0" w:line="32"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The consolidated financial statements are prepared in accordance with International Financial Reporting Standards (IFRS Accounting Standards) as issued by the International Accounting Standards Board (IASB) and as adopted by the European Union (EU). The consolidated financial statements also conform to Finnish accounting and company legislation.</w:t>
      </w:r>
    </w:p>
    <w:p>
      <w:pPr>
        <w:spacing w:after="0" w:line="60"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The consolidated financial statements are presented in millions of euros (EURm), except when otherwise noted, and are prepared under the historical cost convention, except when otherwise disclosed in the accounting policies in the specific notes.</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information</w:t>
      </w:r>
    </w:p>
    <w:p>
      <w:pPr>
        <w:spacing w:after="0" w:line="32"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This paragraph is included in connection with statutory reporting requirements in Germany. The fully consolidated German subsidiary, Nokia Solutions and Networks GmbH &amp; Co. KG, registered in the commercial register of Munich under HRA 88537, has made use of the exemption available under § 264b and § 291 of the German Commercial Code (HGB).</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Principles of consolidation</w:t>
      </w:r>
    </w:p>
    <w:p>
      <w:pPr>
        <w:spacing w:after="0" w:line="32" w:lineRule="exact"/>
        <w:rPr>
          <w:sz w:val="20"/>
          <w:szCs w:val="20"/>
          <w:color w:val="auto"/>
        </w:rPr>
      </w:pPr>
    </w:p>
    <w:p>
      <w:pPr>
        <w:ind w:right="320"/>
        <w:spacing w:after="0" w:line="264" w:lineRule="auto"/>
        <w:rPr>
          <w:sz w:val="20"/>
          <w:szCs w:val="20"/>
          <w:color w:val="auto"/>
        </w:rPr>
      </w:pPr>
      <w:r>
        <w:rPr>
          <w:rFonts w:ascii="Times New Roman" w:cs="Times New Roman" w:eastAsia="Times New Roman" w:hAnsi="Times New Roman"/>
          <w:sz w:val="11"/>
          <w:szCs w:val="11"/>
          <w:color w:val="auto"/>
        </w:rPr>
        <w:t>The consolidated financial statements comprise the financial statements of the Parent Company, and each of those companies over which it exercises control. Control over an entity exists when Nokia is exposed, or has rights, to variable returns from its involvement with the entity and has the ability to affect those returns through its power over the entity. Presumption is that a majority of voting rights results in control. To support this presumption, Nokia considers all relevant facts and circumstances in assessing whether it has power over the entity including voting rights and potential voting rights, rights to appoint key management personnel and rights arising from other contractual arrangements. Consolidation of a subsidiary begins when Nokia obtains control over the subsidiary and ceases when it loses control over the subsidiary.</w:t>
      </w:r>
    </w:p>
    <w:p>
      <w:pPr>
        <w:spacing w:after="0" w:line="196" w:lineRule="exact"/>
        <w:rPr>
          <w:sz w:val="20"/>
          <w:szCs w:val="20"/>
          <w:color w:val="auto"/>
        </w:rPr>
      </w:pPr>
    </w:p>
    <w:p>
      <w:pPr>
        <w:ind w:right="360"/>
        <w:spacing w:after="0" w:line="274" w:lineRule="auto"/>
        <w:rPr>
          <w:sz w:val="20"/>
          <w:szCs w:val="20"/>
          <w:color w:val="auto"/>
        </w:rPr>
      </w:pPr>
      <w:r>
        <w:rPr>
          <w:rFonts w:ascii="Times New Roman" w:cs="Times New Roman" w:eastAsia="Times New Roman" w:hAnsi="Times New Roman"/>
          <w:sz w:val="11"/>
          <w:szCs w:val="11"/>
          <w:color w:val="auto"/>
        </w:rPr>
        <w:t>All intercompany transactions are eliminated as part of the consolidation process. Non-controlling interest represents the proportion of net profit or loss, other comprehensive income and net assets in subsidiaries that is not attributable to the equity holders of the Parent.</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Investments in associates and joint ventures</w:t>
      </w:r>
    </w:p>
    <w:p>
      <w:pPr>
        <w:spacing w:after="0" w:line="32" w:lineRule="exact"/>
        <w:rPr>
          <w:sz w:val="20"/>
          <w:szCs w:val="20"/>
          <w:color w:val="auto"/>
        </w:rPr>
      </w:pPr>
    </w:p>
    <w:p>
      <w:pPr>
        <w:ind w:right="260"/>
        <w:spacing w:after="0" w:line="275" w:lineRule="auto"/>
        <w:rPr>
          <w:sz w:val="20"/>
          <w:szCs w:val="20"/>
          <w:color w:val="auto"/>
        </w:rPr>
      </w:pPr>
      <w:r>
        <w:rPr>
          <w:rFonts w:ascii="Times New Roman" w:cs="Times New Roman" w:eastAsia="Times New Roman" w:hAnsi="Times New Roman"/>
          <w:sz w:val="11"/>
          <w:szCs w:val="11"/>
          <w:color w:val="auto"/>
        </w:rPr>
        <w:t>An associate is an entity over which Nokia exercises significant influence. A joint venture is a type of joint arrangement whereby the parties that have joint control of the arrangement have rights to the net assets of the arrangement.</w:t>
      </w:r>
    </w:p>
    <w:p>
      <w:pPr>
        <w:spacing w:after="0" w:line="57" w:lineRule="exact"/>
        <w:rPr>
          <w:sz w:val="20"/>
          <w:szCs w:val="20"/>
          <w:color w:val="auto"/>
        </w:rPr>
      </w:pPr>
    </w:p>
    <w:p>
      <w:pPr>
        <w:ind w:right="360"/>
        <w:spacing w:after="0" w:line="265" w:lineRule="auto"/>
        <w:rPr>
          <w:sz w:val="20"/>
          <w:szCs w:val="20"/>
          <w:color w:val="auto"/>
        </w:rPr>
      </w:pPr>
      <w:r>
        <w:rPr>
          <w:rFonts w:ascii="Times New Roman" w:cs="Times New Roman" w:eastAsia="Times New Roman" w:hAnsi="Times New Roman"/>
          <w:sz w:val="11"/>
          <w:szCs w:val="11"/>
          <w:color w:val="auto"/>
        </w:rPr>
        <w:t>Nokia’s investments in associates and joint ventures are accounted for using the equity method. Under the equity method, the investment in an associate or joint venture is initially recognized at cost. The carrying amount of the investment is adjusted to recognize changes in Nokia’s share of net assets of the associate or joint venture since the acquisition date. Nokia’s share of profits and losses of associates and joint ventures is reflected in the consolidated income statement. Any change in other comprehensive income of associates and joint ventures is presented as part of Nokia’s other comprehensive income.</w:t>
      </w:r>
    </w:p>
    <w:p>
      <w:pPr>
        <w:sectPr>
          <w:pgSz w:w="11900" w:h="16838" w:orient="portrait"/>
          <w:cols w:equalWidth="0" w:num="3">
            <w:col w:w="2900" w:space="500"/>
            <w:col w:w="2980" w:space="420"/>
            <w:col w:w="3180"/>
          </w:cols>
          <w:pgMar w:left="960" w:top="410" w:right="959" w:bottom="1440" w:gutter="0" w:footer="0" w:header="0"/>
          <w:type w:val="continuous"/>
        </w:sectPr>
      </w:pPr>
    </w:p>
    <w:bookmarkStart w:id="155" w:name="page156"/>
    <w:bookmarkEnd w:id="155"/>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148</w:t>
      </w:r>
    </w:p>
    <w:p>
      <w:pPr>
        <w:spacing w:after="0" w:line="614" w:lineRule="exact"/>
        <w:rPr>
          <w:sz w:val="20"/>
          <w:szCs w:val="20"/>
          <w:color w:val="auto"/>
        </w:rPr>
      </w:pPr>
    </w:p>
    <w:p>
      <w:pPr>
        <w:sectPr>
          <w:pgSz w:w="11900" w:h="16838" w:orient="portrait"/>
          <w:cols w:equalWidth="0" w:num="2">
            <w:col w:w="9080" w:space="720"/>
            <w:col w:w="260"/>
          </w:cols>
          <w:pgMar w:left="960" w:top="410" w:right="879" w:bottom="1440" w:gutter="0" w:footer="0" w:header="0"/>
        </w:sectPr>
      </w:pPr>
    </w:p>
    <w:p>
      <w:pPr>
        <w:spacing w:after="0" w:line="126" w:lineRule="exact"/>
        <w:rPr>
          <w:sz w:val="20"/>
          <w:szCs w:val="20"/>
          <w:color w:val="auto"/>
        </w:rPr>
      </w:pPr>
    </w:p>
    <w:p>
      <w:pPr>
        <w:ind w:right="120"/>
        <w:spacing w:after="0" w:line="275" w:lineRule="auto"/>
        <w:rPr>
          <w:sz w:val="20"/>
          <w:szCs w:val="20"/>
          <w:color w:val="auto"/>
        </w:rPr>
      </w:pPr>
      <w:r>
        <w:rPr>
          <w:rFonts w:ascii="Times New Roman" w:cs="Times New Roman" w:eastAsia="Times New Roman" w:hAnsi="Times New Roman"/>
          <w:sz w:val="13"/>
          <w:szCs w:val="13"/>
          <w:color w:val="auto"/>
        </w:rPr>
        <w:t>Non-current assets (or disposal groups) held for sale and discontinued operations</w:t>
      </w:r>
    </w:p>
    <w:p>
      <w:pPr>
        <w:spacing w:after="0" w:line="1"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Non-current assets or disposal groups are classified as assets held for sale if their carrying amounts will be recovered principally through a sale transaction rather than through continuing use. Non-current assets classified as held for sale, or included in a disposal group classified as held for sale, are not depreciated or amortized.</w:t>
      </w:r>
    </w:p>
    <w:p>
      <w:pPr>
        <w:spacing w:after="0" w:line="60"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Discontinued operation is reported when a component of Nokia, comprising operations and cash flows that can be clearly distinguished both operationally and for financial reporting purposes from the rest of Nokia, has been disposed of or is classified as held for sale, and that component represents a major line of business or geographical area of operations or is part of a single coordinated plan to dispose of a separate major line of business or geographical area of operations. Profit or loss from discontinued operations is reported separately</w:t>
      </w:r>
    </w:p>
    <w:p>
      <w:pPr>
        <w:spacing w:after="0" w:line="3"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1"/>
          <w:szCs w:val="11"/>
          <w:color w:val="auto"/>
        </w:rPr>
        <w:t>from income and expenses from continuing operations in the consolidated income statement, with prior periods presented on a comparative basis. Intra-group revenues and expenses between continuing and discontinued operations are eliminated. Discontinued operations presented in these consolidated financial statements comprise the financial results related to the HERE digital mapping and location services business and the Devices &amp; Services business sold in 2015 and 2014, respectively.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Foreign currency translation</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Functional and presentation currency</w:t>
      </w:r>
    </w:p>
    <w:p>
      <w:pPr>
        <w:spacing w:after="0" w:line="24" w:lineRule="exact"/>
        <w:rPr>
          <w:sz w:val="20"/>
          <w:szCs w:val="20"/>
          <w:color w:val="auto"/>
        </w:rPr>
      </w:pPr>
    </w:p>
    <w:p>
      <w:pPr>
        <w:ind w:right="140"/>
        <w:spacing w:after="0" w:line="266" w:lineRule="auto"/>
        <w:rPr>
          <w:sz w:val="20"/>
          <w:szCs w:val="20"/>
          <w:color w:val="auto"/>
        </w:rPr>
      </w:pPr>
      <w:r>
        <w:rPr>
          <w:rFonts w:ascii="Times New Roman" w:cs="Times New Roman" w:eastAsia="Times New Roman" w:hAnsi="Times New Roman"/>
          <w:sz w:val="11"/>
          <w:szCs w:val="11"/>
          <w:color w:val="auto"/>
        </w:rPr>
        <w:t>The consolidated financial statements are presented in euro, the functional and presentation currency of the Parent Company. The financial statements of all Group companies are measured using the functional currency, which is the currency of the primary economic environment in which the entity operates.</w:t>
      </w:r>
    </w:p>
    <w:p>
      <w:pPr>
        <w:spacing w:after="0" w:line="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Transactions in foreign currencies</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Transactions in foreign currencies are recorded at exchange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rates prevailing at the date of the transactions. For practical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reasons, a rate that approximates the actual rate at the date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the transaction is often used. Monetary assets and liabilities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denominated in foreign currency are translated at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exchange rates prevailing at the end of the reporting period.</w:t>
      </w:r>
    </w:p>
    <w:p>
      <w:pPr>
        <w:spacing w:after="0" w:line="84"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Foreign exchange gains and losses arising from monetary assets and liabilities as well as fair value changes of related hedging instruments are recognized in financial income and expenses. Unrealized foreign exchange gains and losses related to non-monetary non-current financial investments are included in the fair value measurement of these investments and recognized in other operating income and expenses.</w:t>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Foreign Group companies</w:t>
      </w:r>
    </w:p>
    <w:p>
      <w:pPr>
        <w:spacing w:after="0" w:line="24" w:lineRule="exact"/>
        <w:rPr>
          <w:sz w:val="20"/>
          <w:szCs w:val="20"/>
          <w:color w:val="auto"/>
        </w:rPr>
      </w:pPr>
    </w:p>
    <w:p>
      <w:pPr>
        <w:ind w:right="120"/>
        <w:spacing w:after="0" w:line="263" w:lineRule="auto"/>
        <w:rPr>
          <w:sz w:val="20"/>
          <w:szCs w:val="20"/>
          <w:color w:val="auto"/>
        </w:rPr>
      </w:pPr>
      <w:r>
        <w:rPr>
          <w:rFonts w:ascii="Times New Roman" w:cs="Times New Roman" w:eastAsia="Times New Roman" w:hAnsi="Times New Roman"/>
          <w:sz w:val="11"/>
          <w:szCs w:val="11"/>
          <w:color w:val="auto"/>
        </w:rPr>
        <w:t>On consolidation, the assets and liabilities of foreign operations whose functional currency is other than euro are translated into euro at the exchange rates prevailing at the end of the reporting period. The income and expenses of these foreign operations are translated into euro at the average exchange rates for the reporting period. The exchange differences arising from translation for consolidation are recognized as translation differences in other comprehensive income. On disposal of a foreign operation the cumulative amount of translation differences relating to that foreign operation is reclassified to profit or loss.</w:t>
      </w:r>
    </w:p>
    <w:p>
      <w:pPr>
        <w:spacing w:after="0" w:line="20" w:lineRule="exact"/>
        <w:rPr>
          <w:sz w:val="20"/>
          <w:szCs w:val="20"/>
          <w:color w:val="auto"/>
        </w:rPr>
      </w:pPr>
      <w:r>
        <w:rPr>
          <w:sz w:val="20"/>
          <w:szCs w:val="20"/>
          <w:color w:val="auto"/>
        </w:rPr>
        <w:br w:type="column"/>
      </w:r>
    </w:p>
    <w:p>
      <w:pPr>
        <w:spacing w:after="0" w:line="128" w:lineRule="exact"/>
        <w:rPr>
          <w:sz w:val="20"/>
          <w:szCs w:val="20"/>
          <w:color w:val="auto"/>
        </w:rPr>
      </w:pPr>
    </w:p>
    <w:p>
      <w:pPr>
        <w:ind w:right="400"/>
        <w:spacing w:after="0" w:line="268" w:lineRule="auto"/>
        <w:rPr>
          <w:sz w:val="20"/>
          <w:szCs w:val="20"/>
          <w:color w:val="auto"/>
        </w:rPr>
      </w:pPr>
      <w:r>
        <w:rPr>
          <w:rFonts w:ascii="Times New Roman" w:cs="Times New Roman" w:eastAsia="Times New Roman" w:hAnsi="Times New Roman"/>
          <w:sz w:val="16"/>
          <w:szCs w:val="16"/>
          <w:color w:val="005AFF"/>
        </w:rPr>
        <w:t>1.3. Use of estimates and critical accounting judgments</w:t>
      </w:r>
    </w:p>
    <w:p>
      <w:pPr>
        <w:spacing w:after="0" w:line="1" w:lineRule="exact"/>
        <w:rPr>
          <w:sz w:val="20"/>
          <w:szCs w:val="20"/>
          <w:color w:val="auto"/>
        </w:rPr>
      </w:pPr>
    </w:p>
    <w:p>
      <w:pPr>
        <w:ind w:right="480"/>
        <w:spacing w:after="0" w:line="269" w:lineRule="auto"/>
        <w:rPr>
          <w:sz w:val="20"/>
          <w:szCs w:val="20"/>
          <w:color w:val="auto"/>
        </w:rPr>
      </w:pPr>
      <w:r>
        <w:rPr>
          <w:rFonts w:ascii="Times New Roman" w:cs="Times New Roman" w:eastAsia="Times New Roman" w:hAnsi="Times New Roman"/>
          <w:sz w:val="11"/>
          <w:szCs w:val="11"/>
          <w:color w:val="auto"/>
        </w:rPr>
        <w:t>The preparation of financial statements requires use of management judgment in selecting and applying accounting policies as well as making estimates and assumptions about the future. These judgments, estimates and assumptions may have a significant effect on the amounts recognized in the financial statements.</w:t>
      </w:r>
    </w:p>
    <w:p>
      <w:pPr>
        <w:spacing w:after="0" w:line="60" w:lineRule="exact"/>
        <w:rPr>
          <w:sz w:val="20"/>
          <w:szCs w:val="20"/>
          <w:color w:val="auto"/>
        </w:rPr>
      </w:pPr>
    </w:p>
    <w:p>
      <w:pPr>
        <w:ind w:right="440"/>
        <w:spacing w:after="0" w:line="261" w:lineRule="auto"/>
        <w:rPr>
          <w:sz w:val="20"/>
          <w:szCs w:val="20"/>
          <w:color w:val="auto"/>
        </w:rPr>
      </w:pPr>
      <w:r>
        <w:rPr>
          <w:rFonts w:ascii="Times New Roman" w:cs="Times New Roman" w:eastAsia="Times New Roman" w:hAnsi="Times New Roman"/>
          <w:sz w:val="11"/>
          <w:szCs w:val="11"/>
          <w:color w:val="auto"/>
        </w:rPr>
        <w:t>The estimates and assumptions used in determining the carrying amounts of assets and liabilities are based on historical experience, expected outcomes and various other factors that were available when these financial statements were prepared, and they are believed to be reasonable under the circumstances. The estimates and assumptions are reviewed continually and revised if changes in circumstances occur, or as a result of new information. As estimates</w:t>
      </w:r>
    </w:p>
    <w:p>
      <w:pPr>
        <w:spacing w:after="0" w:line="4" w:lineRule="exact"/>
        <w:rPr>
          <w:sz w:val="20"/>
          <w:szCs w:val="20"/>
          <w:color w:val="auto"/>
        </w:rPr>
      </w:pPr>
    </w:p>
    <w:p>
      <w:pPr>
        <w:ind w:right="520"/>
        <w:spacing w:after="0" w:line="268" w:lineRule="auto"/>
        <w:rPr>
          <w:sz w:val="20"/>
          <w:szCs w:val="20"/>
          <w:color w:val="auto"/>
        </w:rPr>
      </w:pPr>
      <w:r>
        <w:rPr>
          <w:rFonts w:ascii="Times New Roman" w:cs="Times New Roman" w:eastAsia="Times New Roman" w:hAnsi="Times New Roman"/>
          <w:sz w:val="11"/>
          <w:szCs w:val="11"/>
          <w:color w:val="auto"/>
        </w:rPr>
        <w:t>and assumptions inherently contain a varying degree of uncertainty, actual outcomes may differ resulting in adjustments to the carrying amounts of assets and liabilities in subsequent periods.</w:t>
      </w:r>
    </w:p>
    <w:p>
      <w:pPr>
        <w:spacing w:after="0" w:line="60" w:lineRule="exact"/>
        <w:rPr>
          <w:sz w:val="20"/>
          <w:szCs w:val="20"/>
          <w:color w:val="auto"/>
        </w:rPr>
      </w:pPr>
    </w:p>
    <w:p>
      <w:pPr>
        <w:ind w:right="220"/>
        <w:spacing w:after="0" w:line="266" w:lineRule="auto"/>
        <w:rPr>
          <w:sz w:val="20"/>
          <w:szCs w:val="20"/>
          <w:color w:val="auto"/>
        </w:rPr>
      </w:pPr>
      <w:r>
        <w:rPr>
          <w:rFonts w:ascii="Times New Roman" w:cs="Times New Roman" w:eastAsia="Times New Roman" w:hAnsi="Times New Roman"/>
          <w:sz w:val="11"/>
          <w:szCs w:val="11"/>
          <w:color w:val="auto"/>
        </w:rPr>
        <w:t>The accounting matters listed below are determined to involve the most difficult, subjective or complex judgments, or are considered as major sources of estimation uncertainty that</w:t>
      </w:r>
    </w:p>
    <w:p>
      <w:pPr>
        <w:spacing w:after="0" w:line="1" w:lineRule="exact"/>
        <w:rPr>
          <w:sz w:val="20"/>
          <w:szCs w:val="20"/>
          <w:color w:val="auto"/>
        </w:rPr>
      </w:pPr>
    </w:p>
    <w:p>
      <w:pPr>
        <w:ind w:right="340"/>
        <w:spacing w:after="0" w:line="265" w:lineRule="auto"/>
        <w:rPr>
          <w:sz w:val="20"/>
          <w:szCs w:val="20"/>
          <w:color w:val="auto"/>
        </w:rPr>
      </w:pPr>
      <w:r>
        <w:rPr>
          <w:rFonts w:ascii="Times New Roman" w:cs="Times New Roman" w:eastAsia="Times New Roman" w:hAnsi="Times New Roman"/>
          <w:sz w:val="11"/>
          <w:szCs w:val="11"/>
          <w:color w:val="auto"/>
        </w:rPr>
        <w:t>may have a significant risk of resulting in a material adjustment to the carrying amounts of assets and liabilities within the next financial year. Please refer to the specific notes for further information on the key accounting estimates and judgments.</w:t>
      </w:r>
    </w:p>
    <w:p>
      <w:pPr>
        <w:spacing w:after="0" w:line="100"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166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Key accounting estimates and</w:t>
            </w:r>
          </w:p>
        </w:tc>
        <w:tc>
          <w:tcPr>
            <w:tcW w:w="360" w:type="dxa"/>
            <w:vAlign w:val="bottom"/>
          </w:tcPr>
          <w:p>
            <w:pPr>
              <w:spacing w:after="0"/>
              <w:rPr>
                <w:sz w:val="12"/>
                <w:szCs w:val="12"/>
                <w:color w:val="auto"/>
              </w:rPr>
            </w:pPr>
          </w:p>
        </w:tc>
        <w:tc>
          <w:tcPr>
            <w:tcW w:w="1240" w:type="dxa"/>
            <w:vAlign w:val="bottom"/>
          </w:tcPr>
          <w:p>
            <w:pPr>
              <w:spacing w:after="0"/>
              <w:rPr>
                <w:sz w:val="12"/>
                <w:szCs w:val="12"/>
                <w:color w:val="auto"/>
              </w:rPr>
            </w:pPr>
          </w:p>
        </w:tc>
      </w:tr>
      <w:tr>
        <w:trPr>
          <w:trHeight w:val="153"/>
        </w:trPr>
        <w:tc>
          <w:tcPr>
            <w:tcW w:w="16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1"/>
                <w:szCs w:val="11"/>
                <w:b w:val="1"/>
                <w:bCs w:val="1"/>
                <w:color w:val="auto"/>
              </w:rPr>
              <w:t>judgments</w:t>
            </w:r>
          </w:p>
        </w:tc>
        <w:tc>
          <w:tcPr>
            <w:tcW w:w="1600" w:type="dxa"/>
            <w:vAlign w:val="bottom"/>
            <w:tcBorders>
              <w:bottom w:val="single" w:sz="8" w:color="005AFF"/>
            </w:tcBorders>
            <w:gridSpan w:val="2"/>
          </w:tcPr>
          <w:p>
            <w:pPr>
              <w:ind w:left="160"/>
              <w:spacing w:after="0"/>
              <w:rPr>
                <w:sz w:val="20"/>
                <w:szCs w:val="20"/>
                <w:color w:val="auto"/>
              </w:rPr>
            </w:pPr>
            <w:r>
              <w:rPr>
                <w:rFonts w:ascii="Times New Roman" w:cs="Times New Roman" w:eastAsia="Times New Roman" w:hAnsi="Times New Roman"/>
                <w:sz w:val="11"/>
                <w:szCs w:val="11"/>
                <w:b w:val="1"/>
                <w:bCs w:val="1"/>
                <w:color w:val="auto"/>
              </w:rPr>
              <w:t>Note</w:t>
            </w:r>
          </w:p>
        </w:tc>
      </w:tr>
      <w:tr>
        <w:trPr>
          <w:trHeight w:val="142"/>
        </w:trPr>
        <w:tc>
          <w:tcPr>
            <w:tcW w:w="16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Judgment related to recognition</w:t>
            </w:r>
          </w:p>
        </w:tc>
        <w:tc>
          <w:tcPr>
            <w:tcW w:w="360" w:type="dxa"/>
            <w:vAlign w:val="bottom"/>
          </w:tcPr>
          <w:p>
            <w:pPr>
              <w:spacing w:after="0"/>
              <w:rPr>
                <w:sz w:val="12"/>
                <w:szCs w:val="12"/>
                <w:color w:val="auto"/>
              </w:rPr>
            </w:pPr>
          </w:p>
        </w:tc>
        <w:tc>
          <w:tcPr>
            <w:tcW w:w="1240" w:type="dxa"/>
            <w:vAlign w:val="bottom"/>
          </w:tcPr>
          <w:p>
            <w:pPr>
              <w:spacing w:after="0"/>
              <w:rPr>
                <w:sz w:val="12"/>
                <w:szCs w:val="12"/>
                <w:color w:val="auto"/>
              </w:rPr>
            </w:pPr>
          </w:p>
        </w:tc>
      </w:tr>
      <w:tr>
        <w:trPr>
          <w:trHeight w:val="148"/>
        </w:trPr>
        <w:tc>
          <w:tcPr>
            <w:tcW w:w="16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of deferred tax assets</w:t>
            </w:r>
          </w:p>
        </w:tc>
        <w:tc>
          <w:tcPr>
            <w:tcW w:w="3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2.5.</w:t>
            </w:r>
          </w:p>
        </w:tc>
        <w:tc>
          <w:tcPr>
            <w:tcW w:w="1240" w:type="dxa"/>
            <w:vAlign w:val="bottom"/>
          </w:tcPr>
          <w:p>
            <w:pPr>
              <w:spacing w:after="0"/>
              <w:rPr>
                <w:sz w:val="20"/>
                <w:szCs w:val="20"/>
                <w:color w:val="auto"/>
              </w:rPr>
            </w:pPr>
            <w:r>
              <w:rPr>
                <w:rFonts w:ascii="Times New Roman" w:cs="Times New Roman" w:eastAsia="Times New Roman" w:hAnsi="Times New Roman"/>
                <w:sz w:val="11"/>
                <w:szCs w:val="11"/>
                <w:color w:val="auto"/>
              </w:rPr>
              <w:t>Income taxes</w:t>
            </w:r>
          </w:p>
        </w:tc>
      </w:tr>
      <w:tr>
        <w:trPr>
          <w:trHeight w:val="165"/>
        </w:trPr>
        <w:tc>
          <w:tcPr>
            <w:tcW w:w="16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Estimate of pension and other</w:t>
            </w:r>
          </w:p>
        </w:tc>
        <w:tc>
          <w:tcPr>
            <w:tcW w:w="360" w:type="dxa"/>
            <w:vAlign w:val="bottom"/>
          </w:tcPr>
          <w:p>
            <w:pPr>
              <w:spacing w:after="0"/>
              <w:rPr>
                <w:sz w:val="14"/>
                <w:szCs w:val="14"/>
                <w:color w:val="auto"/>
              </w:rPr>
            </w:pPr>
          </w:p>
        </w:tc>
        <w:tc>
          <w:tcPr>
            <w:tcW w:w="1240" w:type="dxa"/>
            <w:vAlign w:val="bottom"/>
          </w:tcPr>
          <w:p>
            <w:pPr>
              <w:spacing w:after="0"/>
              <w:rPr>
                <w:sz w:val="14"/>
                <w:szCs w:val="14"/>
                <w:color w:val="auto"/>
              </w:rPr>
            </w:pPr>
          </w:p>
        </w:tc>
      </w:tr>
      <w:tr>
        <w:trPr>
          <w:trHeight w:val="142"/>
        </w:trPr>
        <w:tc>
          <w:tcPr>
            <w:tcW w:w="16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post-employment benefit</w:t>
            </w:r>
          </w:p>
        </w:tc>
        <w:tc>
          <w:tcPr>
            <w:tcW w:w="36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3.4.</w:t>
            </w:r>
          </w:p>
        </w:tc>
        <w:tc>
          <w:tcPr>
            <w:tcW w:w="1240" w:type="dxa"/>
            <w:vAlign w:val="bottom"/>
          </w:tcPr>
          <w:p>
            <w:pPr>
              <w:spacing w:after="0"/>
              <w:rPr>
                <w:sz w:val="20"/>
                <w:szCs w:val="20"/>
                <w:color w:val="auto"/>
              </w:rPr>
            </w:pPr>
            <w:r>
              <w:rPr>
                <w:rFonts w:ascii="Times New Roman" w:cs="Times New Roman" w:eastAsia="Times New Roman" w:hAnsi="Times New Roman"/>
                <w:sz w:val="11"/>
                <w:szCs w:val="11"/>
                <w:color w:val="auto"/>
              </w:rPr>
              <w:t>Pensions and other</w:t>
            </w:r>
          </w:p>
        </w:tc>
      </w:tr>
      <w:tr>
        <w:trPr>
          <w:trHeight w:val="151"/>
        </w:trPr>
        <w:tc>
          <w:tcPr>
            <w:tcW w:w="16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1"/>
                <w:szCs w:val="11"/>
                <w:color w:val="auto"/>
              </w:rPr>
              <w:t>obligations</w:t>
            </w:r>
          </w:p>
        </w:tc>
        <w:tc>
          <w:tcPr>
            <w:tcW w:w="1600" w:type="dxa"/>
            <w:vAlign w:val="bottom"/>
            <w:tcBorders>
              <w:bottom w:val="single" w:sz="8" w:color="005AFF"/>
            </w:tcBorders>
            <w:gridSpan w:val="2"/>
          </w:tcPr>
          <w:p>
            <w:pPr>
              <w:ind w:left="160"/>
              <w:spacing w:after="0"/>
              <w:rPr>
                <w:sz w:val="20"/>
                <w:szCs w:val="20"/>
                <w:color w:val="auto"/>
              </w:rPr>
            </w:pPr>
            <w:r>
              <w:rPr>
                <w:rFonts w:ascii="Times New Roman" w:cs="Times New Roman" w:eastAsia="Times New Roman" w:hAnsi="Times New Roman"/>
                <w:sz w:val="11"/>
                <w:szCs w:val="11"/>
                <w:color w:val="auto"/>
              </w:rPr>
              <w:t>post-employment benefits</w:t>
            </w:r>
          </w:p>
        </w:tc>
      </w:tr>
    </w:tbl>
    <w:p>
      <w:pPr>
        <w:sectPr>
          <w:pgSz w:w="11900" w:h="16838" w:orient="portrait"/>
          <w:cols w:equalWidth="0" w:num="3">
            <w:col w:w="2940" w:space="460"/>
            <w:col w:w="2900" w:space="500"/>
            <w:col w:w="3260"/>
          </w:cols>
          <w:pgMar w:left="960" w:top="410" w:right="879" w:bottom="1440" w:gutter="0" w:footer="0" w:header="0"/>
          <w:type w:val="continuous"/>
        </w:sectPr>
      </w:pPr>
    </w:p>
    <w:bookmarkStart w:id="156" w:name="page157"/>
    <w:bookmarkEnd w:id="156"/>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149</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9980"/>
          </w:cols>
          <w:pgMar w:left="960" w:top="410" w:right="959" w:bottom="1440" w:gutter="0" w:footer="0" w:header="0"/>
        </w:sectPr>
      </w:pPr>
    </w:p>
    <w:p>
      <w:pPr>
        <w:spacing w:after="0" w:line="93" w:lineRule="exact"/>
        <w:rPr>
          <w:sz w:val="20"/>
          <w:szCs w:val="20"/>
          <w:color w:val="auto"/>
        </w:rPr>
      </w:pPr>
    </w:p>
    <w:p>
      <w:pPr>
        <w:ind w:right="620"/>
        <w:spacing w:after="0" w:line="275" w:lineRule="auto"/>
        <w:rPr>
          <w:sz w:val="20"/>
          <w:szCs w:val="20"/>
          <w:color w:val="auto"/>
        </w:rPr>
      </w:pPr>
      <w:r>
        <w:rPr>
          <w:rFonts w:ascii="Times New Roman" w:cs="Times New Roman" w:eastAsia="Times New Roman" w:hAnsi="Times New Roman"/>
          <w:sz w:val="16"/>
          <w:szCs w:val="16"/>
          <w:color w:val="005AFF"/>
        </w:rPr>
        <w:t>1.4. New and amended standards and interpretations</w:t>
      </w:r>
    </w:p>
    <w:p>
      <w:pPr>
        <w:spacing w:after="0" w:line="1" w:lineRule="exact"/>
        <w:rPr>
          <w:sz w:val="20"/>
          <w:szCs w:val="20"/>
          <w:color w:val="auto"/>
        </w:rPr>
      </w:pPr>
    </w:p>
    <w:p>
      <w:pPr>
        <w:ind w:right="80"/>
        <w:spacing w:after="0" w:line="279" w:lineRule="auto"/>
        <w:rPr>
          <w:sz w:val="20"/>
          <w:szCs w:val="20"/>
          <w:color w:val="auto"/>
        </w:rPr>
      </w:pPr>
      <w:r>
        <w:rPr>
          <w:rFonts w:ascii="Times New Roman" w:cs="Times New Roman" w:eastAsia="Times New Roman" w:hAnsi="Times New Roman"/>
          <w:sz w:val="11"/>
          <w:szCs w:val="11"/>
          <w:color w:val="auto"/>
        </w:rPr>
        <w:t>On 1 January 2023 , Nokia adopted the following amendments to the accounting standards issued by the IASB and endorsed by the EU:</w:t>
      </w:r>
    </w:p>
    <w:p>
      <w:pPr>
        <w:spacing w:after="0" w:line="54" w:lineRule="exact"/>
        <w:rPr>
          <w:sz w:val="20"/>
          <w:szCs w:val="20"/>
          <w:color w:val="auto"/>
        </w:rPr>
      </w:pPr>
    </w:p>
    <w:p>
      <w:pPr>
        <w:ind w:left="180" w:right="180" w:hanging="171"/>
        <w:spacing w:after="0" w:line="290" w:lineRule="auto"/>
        <w:tabs>
          <w:tab w:leader="none" w:pos="180" w:val="left"/>
        </w:tabs>
        <w:numPr>
          <w:ilvl w:val="0"/>
          <w:numId w:val="10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IFRS 17 Insurance Contracts (including the June 2020 and December 2021 Amendments to IFRS 17);</w:t>
      </w:r>
    </w:p>
    <w:p>
      <w:pPr>
        <w:spacing w:after="0" w:line="48" w:lineRule="exact"/>
        <w:rPr>
          <w:rFonts w:ascii="Times New Roman" w:cs="Times New Roman" w:eastAsia="Times New Roman" w:hAnsi="Times New Roman"/>
          <w:sz w:val="11"/>
          <w:szCs w:val="11"/>
          <w:color w:val="005AFF"/>
        </w:rPr>
      </w:pPr>
    </w:p>
    <w:p>
      <w:pPr>
        <w:ind w:left="180" w:right="140" w:hanging="171"/>
        <w:spacing w:after="0" w:line="279" w:lineRule="auto"/>
        <w:tabs>
          <w:tab w:leader="none" w:pos="180" w:val="left"/>
        </w:tabs>
        <w:numPr>
          <w:ilvl w:val="0"/>
          <w:numId w:val="10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Amendments to IAS 8 Accounting Policies, Changes in Accounting Estimates and Errors: Definition of Accounting Estimates;</w:t>
      </w:r>
    </w:p>
    <w:p>
      <w:pPr>
        <w:spacing w:after="0" w:line="54" w:lineRule="exact"/>
        <w:rPr>
          <w:rFonts w:ascii="Times New Roman" w:cs="Times New Roman" w:eastAsia="Times New Roman" w:hAnsi="Times New Roman"/>
          <w:sz w:val="11"/>
          <w:szCs w:val="11"/>
          <w:color w:val="005AFF"/>
        </w:rPr>
      </w:pPr>
    </w:p>
    <w:p>
      <w:pPr>
        <w:ind w:left="180" w:right="140" w:hanging="171"/>
        <w:spacing w:after="0" w:line="279" w:lineRule="auto"/>
        <w:tabs>
          <w:tab w:leader="none" w:pos="180" w:val="left"/>
        </w:tabs>
        <w:numPr>
          <w:ilvl w:val="0"/>
          <w:numId w:val="10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Amendments to IAS 1 Presentation of Financial Statements and IFRS Practice Statement 2 Making Materiality Judgements: Disclosure of Accounting Policies;</w:t>
      </w:r>
    </w:p>
    <w:p>
      <w:pPr>
        <w:spacing w:after="0" w:line="44" w:lineRule="exact"/>
        <w:rPr>
          <w:rFonts w:ascii="Times New Roman" w:cs="Times New Roman" w:eastAsia="Times New Roman" w:hAnsi="Times New Roman"/>
          <w:sz w:val="11"/>
          <w:szCs w:val="11"/>
          <w:color w:val="005AFF"/>
        </w:rPr>
      </w:pPr>
    </w:p>
    <w:p>
      <w:pPr>
        <w:ind w:left="180" w:right="100" w:hanging="171"/>
        <w:spacing w:after="0" w:line="289" w:lineRule="auto"/>
        <w:tabs>
          <w:tab w:leader="none" w:pos="180" w:val="left"/>
        </w:tabs>
        <w:numPr>
          <w:ilvl w:val="0"/>
          <w:numId w:val="10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Amendments to IAS 12 Income Taxes: Deferred Tax related to Assets and Liabilities arising from a Single Transaction; and</w:t>
      </w:r>
    </w:p>
    <w:p>
      <w:pPr>
        <w:spacing w:after="0" w:line="38" w:lineRule="exact"/>
        <w:rPr>
          <w:rFonts w:ascii="Times New Roman" w:cs="Times New Roman" w:eastAsia="Times New Roman" w:hAnsi="Times New Roman"/>
          <w:sz w:val="11"/>
          <w:szCs w:val="11"/>
          <w:color w:val="005AFF"/>
        </w:rPr>
      </w:pPr>
    </w:p>
    <w:p>
      <w:pPr>
        <w:ind w:left="180" w:right="280" w:hanging="171"/>
        <w:spacing w:after="0" w:line="309" w:lineRule="auto"/>
        <w:tabs>
          <w:tab w:leader="none" w:pos="180" w:val="left"/>
        </w:tabs>
        <w:numPr>
          <w:ilvl w:val="0"/>
          <w:numId w:val="109"/>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Amendments to IAS 12 Income Taxes: International Tax Reform—Pillar Two Model Rules.</w:t>
      </w:r>
    </w:p>
    <w:p>
      <w:pPr>
        <w:spacing w:after="0" w:line="28" w:lineRule="exact"/>
        <w:rPr>
          <w:sz w:val="20"/>
          <w:szCs w:val="20"/>
          <w:color w:val="auto"/>
        </w:rPr>
      </w:pPr>
    </w:p>
    <w:p>
      <w:pPr>
        <w:ind w:right="200"/>
        <w:spacing w:after="0" w:line="274" w:lineRule="auto"/>
        <w:rPr>
          <w:sz w:val="20"/>
          <w:szCs w:val="20"/>
          <w:color w:val="auto"/>
        </w:rPr>
      </w:pPr>
      <w:r>
        <w:rPr>
          <w:rFonts w:ascii="Times New Roman" w:cs="Times New Roman" w:eastAsia="Times New Roman" w:hAnsi="Times New Roman"/>
          <w:sz w:val="11"/>
          <w:szCs w:val="11"/>
          <w:color w:val="auto"/>
        </w:rPr>
        <w:t>The amendments had no material impact on the measurement, recognition or presentation of any items in Nokia’s</w:t>
      </w:r>
    </w:p>
    <w:p>
      <w:pPr>
        <w:spacing w:after="0" w:line="1" w:lineRule="exact"/>
        <w:rPr>
          <w:sz w:val="20"/>
          <w:szCs w:val="20"/>
          <w:color w:val="auto"/>
        </w:rPr>
      </w:pPr>
    </w:p>
    <w:p>
      <w:pPr>
        <w:spacing w:after="0" w:line="278" w:lineRule="auto"/>
        <w:rPr>
          <w:sz w:val="20"/>
          <w:szCs w:val="20"/>
          <w:color w:val="auto"/>
        </w:rPr>
      </w:pPr>
      <w:r>
        <w:rPr>
          <w:rFonts w:ascii="Times New Roman" w:cs="Times New Roman" w:eastAsia="Times New Roman" w:hAnsi="Times New Roman"/>
          <w:sz w:val="11"/>
          <w:szCs w:val="11"/>
          <w:color w:val="auto"/>
        </w:rPr>
        <w:t>consolidated financial statements for 2023 . The amendments affecting the disclosures are explained below.</w:t>
      </w:r>
    </w:p>
    <w:p>
      <w:pPr>
        <w:spacing w:after="0" w:line="54" w:lineRule="exact"/>
        <w:rPr>
          <w:sz w:val="20"/>
          <w:szCs w:val="20"/>
          <w:color w:val="auto"/>
        </w:rPr>
      </w:pPr>
    </w:p>
    <w:p>
      <w:pPr>
        <w:ind w:right="80"/>
        <w:spacing w:after="0" w:line="264" w:lineRule="auto"/>
        <w:rPr>
          <w:sz w:val="20"/>
          <w:szCs w:val="20"/>
          <w:color w:val="auto"/>
        </w:rPr>
      </w:pPr>
      <w:r>
        <w:rPr>
          <w:rFonts w:ascii="Times New Roman" w:cs="Times New Roman" w:eastAsia="Times New Roman" w:hAnsi="Times New Roman"/>
          <w:sz w:val="11"/>
          <w:szCs w:val="11"/>
          <w:color w:val="auto"/>
        </w:rPr>
        <w:t>The amendments to IAS 1 and IFRS Practice Statement 2 related to disclosure of accounting policies aim to help entities provide accounting policies disclosures that are more useful by replacing the requirement to disclose ‘significant’ accounting policies with a requirement to disclose ‘material’ accounting policies and adding guidance to help entities determine when accounting policies information is material and, therefore, needs to be disclosed. These amendments are reflected in the accounting policies disclosures in Nokia’s consolidated financial statements for 2023 .</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amendments to IAS 12 related to Pillar Two Model Rules</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have been introduced in response to the OECD’s BEPS Pillar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Two rules and include a mandatory temporary exception to</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recognition and disclosure of deferred taxes arising from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jurisdictional implementation of the Pillar Two model rules,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disclosure requirements for affected entities to help</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users of the financial statements better understand an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entity’s exposure to Pillar Two income taxes arising from that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legislation, particularly before its effective date. Information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on the impact of Pillar Two legislation on Nokia is disclosed in</w:t>
      </w:r>
    </w:p>
    <w:p>
      <w:pPr>
        <w:spacing w:after="0" w:line="10" w:lineRule="exact"/>
        <w:rPr>
          <w:sz w:val="20"/>
          <w:szCs w:val="20"/>
          <w:color w:val="auto"/>
        </w:rPr>
      </w:pPr>
    </w:p>
    <w:p>
      <w:pPr>
        <w:spacing w:after="0"/>
        <w:tabs>
          <w:tab w:leader="none" w:pos="1160" w:val="left"/>
        </w:tabs>
        <w:rPr>
          <w:sz w:val="20"/>
          <w:szCs w:val="20"/>
          <w:color w:val="auto"/>
        </w:rPr>
      </w:pPr>
      <w:r>
        <w:rPr>
          <w:rFonts w:ascii="Times New Roman" w:cs="Times New Roman" w:eastAsia="Times New Roman" w:hAnsi="Times New Roman"/>
          <w:sz w:val="11"/>
          <w:szCs w:val="11"/>
          <w:color w:val="auto"/>
        </w:rPr>
        <w:t>Note 2.5. Income taxes</w:t>
      </w:r>
      <w:r>
        <w:rPr>
          <w:sz w:val="20"/>
          <w:szCs w:val="20"/>
          <w:color w:val="auto"/>
        </w:rPr>
        <w:tab/>
      </w:r>
      <w:r>
        <w:rPr>
          <w:rFonts w:ascii="Times New Roman" w:cs="Times New Roman" w:eastAsia="Times New Roman" w:hAnsi="Times New Roman"/>
          <w:sz w:val="8"/>
          <w:szCs w:val="8"/>
          <w:color w:val="auto"/>
        </w:rPr>
        <w:t>.</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has not early adopted any new or amended standards or</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interpretations that have been issued but are not yet effective.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new and amended standards and interpretations issued by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IASB that are effective in future periods are not expected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have a material impact on the consolidated financial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statements of Nokia when adopted. Nokia intends to adopt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these new and amended standards and interpretations, if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applicable, when they become effective and are endorsed by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EU.</w:t>
      </w:r>
    </w:p>
    <w:p>
      <w:pPr>
        <w:sectPr>
          <w:pgSz w:w="11900" w:h="16838" w:orient="portrait"/>
          <w:cols w:equalWidth="0" w:num="2">
            <w:col w:w="3040" w:space="360"/>
            <w:col w:w="6580"/>
          </w:cols>
          <w:pgMar w:left="960" w:top="410" w:right="959" w:bottom="1440" w:gutter="0" w:footer="0" w:header="0"/>
          <w:type w:val="continuous"/>
        </w:sectPr>
      </w:pPr>
    </w:p>
    <w:bookmarkStart w:id="157" w:name="page158"/>
    <w:bookmarkEnd w:id="157"/>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0" w:lineRule="exact"/>
        <w:rPr>
          <w:sz w:val="20"/>
          <w:szCs w:val="20"/>
          <w:color w:val="auto"/>
        </w:r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2</w:t>
      </w:r>
    </w:p>
    <w:p>
      <w:pPr>
        <w:spacing w:after="0" w:line="54" w:lineRule="exact"/>
        <w:rPr>
          <w:sz w:val="20"/>
          <w:szCs w:val="20"/>
          <w:color w:val="auto"/>
        </w:rPr>
      </w:pPr>
    </w:p>
    <w:p>
      <w:pPr>
        <w:ind w:right="1120"/>
        <w:spacing w:after="0" w:line="249" w:lineRule="auto"/>
        <w:rPr>
          <w:sz w:val="20"/>
          <w:szCs w:val="20"/>
          <w:color w:val="auto"/>
        </w:rPr>
      </w:pPr>
      <w:r>
        <w:rPr>
          <w:rFonts w:ascii="Times New Roman" w:cs="Times New Roman" w:eastAsia="Times New Roman" w:hAnsi="Times New Roman"/>
          <w:sz w:val="45"/>
          <w:szCs w:val="45"/>
          <w:color w:val="auto"/>
        </w:rPr>
        <w:t>Results for the year</w:t>
      </w:r>
    </w:p>
    <w:p>
      <w:pPr>
        <w:spacing w:after="0" w:line="72" w:lineRule="exact"/>
        <w:rPr>
          <w:sz w:val="20"/>
          <w:szCs w:val="20"/>
          <w:color w:val="auto"/>
        </w:rPr>
      </w:pPr>
    </w:p>
    <w:p>
      <w:pPr>
        <w:ind w:right="280"/>
        <w:spacing w:after="0" w:line="265" w:lineRule="auto"/>
        <w:rPr>
          <w:sz w:val="20"/>
          <w:szCs w:val="20"/>
          <w:color w:val="auto"/>
        </w:rPr>
      </w:pPr>
      <w:r>
        <w:rPr>
          <w:rFonts w:ascii="Times New Roman" w:cs="Times New Roman" w:eastAsia="Times New Roman" w:hAnsi="Times New Roman"/>
          <w:sz w:val="13"/>
          <w:szCs w:val="13"/>
          <w:color w:val="auto"/>
        </w:rPr>
        <w:t>This section provides details of items presented in the income statement including disaggregation of net sales by region and customer type, results of Nokia’s operating segments, as well as information on operating expenses and other operating income. Furthermore, this section contains information about financial income and expenses and income taxes, as well as earnings per share.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106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3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2.1. Net sales</w:t>
      </w:r>
    </w:p>
    <w:p>
      <w:pPr>
        <w:spacing w:after="0" w:line="15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spacing w:after="0" w:line="264" w:lineRule="auto"/>
        <w:rPr>
          <w:sz w:val="20"/>
          <w:szCs w:val="20"/>
          <w:color w:val="auto"/>
        </w:rPr>
      </w:pPr>
      <w:r>
        <w:rPr>
          <w:rFonts w:ascii="Times New Roman" w:cs="Times New Roman" w:eastAsia="Times New Roman" w:hAnsi="Times New Roman"/>
          <w:sz w:val="11"/>
          <w:szCs w:val="11"/>
          <w:color w:val="auto"/>
        </w:rPr>
        <w:t>Nokia accounts for a contract with a customer when the contract has been approved in writing, which is generally when both parties are committed to perform their respective obligations, the rights, including payment terms, regarding the goods and services to be transferred can be identified, the contract has commercial substance, and collection of the consideration to which Nokia expects to be entitled is probable. Management considers only legally enforceable rights in evaluating the accounting for contracts with customers. As such, frame agreements that do not create legally enforceable rights and obligations are accounted for based on the issuance of subsequent legally binding purchase orders under the frame agreements.</w:t>
      </w:r>
    </w:p>
    <w:p>
      <w:pPr>
        <w:spacing w:after="0" w:line="62" w:lineRule="exact"/>
        <w:rPr>
          <w:sz w:val="20"/>
          <w:szCs w:val="20"/>
          <w:color w:val="auto"/>
        </w:rPr>
      </w:pPr>
    </w:p>
    <w:p>
      <w:pPr>
        <w:ind w:left="160" w:right="120"/>
        <w:spacing w:after="0" w:line="265" w:lineRule="auto"/>
        <w:rPr>
          <w:sz w:val="20"/>
          <w:szCs w:val="20"/>
          <w:color w:val="auto"/>
        </w:rPr>
      </w:pPr>
      <w:r>
        <w:rPr>
          <w:rFonts w:ascii="Times New Roman" w:cs="Times New Roman" w:eastAsia="Times New Roman" w:hAnsi="Times New Roman"/>
          <w:sz w:val="11"/>
          <w:szCs w:val="11"/>
          <w:color w:val="auto"/>
        </w:rPr>
        <w:t>A contract modification or a purchase order is accounted for as a separate contract if the scope of the contract increases by additional distinct goods or services, and the price of the contract increases by an amount that reflects the standalone selling price of those additional goods or services. In cases where the additional goods or services are distinct but not sold at a standalone selling price, the contract modification is accounted for prospectively. In cases where the additional goods or services are not distinct, the modification is accounted for through a cumulative catch-up adjustment.</w:t>
      </w:r>
    </w:p>
    <w:p>
      <w:pPr>
        <w:spacing w:after="0" w:line="51" w:lineRule="exact"/>
        <w:rPr>
          <w:sz w:val="20"/>
          <w:szCs w:val="20"/>
          <w:color w:val="auto"/>
        </w:rPr>
      </w:pPr>
    </w:p>
    <w:p>
      <w:pPr>
        <w:ind w:left="160"/>
        <w:spacing w:after="0" w:line="265" w:lineRule="auto"/>
        <w:rPr>
          <w:sz w:val="20"/>
          <w:szCs w:val="20"/>
          <w:color w:val="auto"/>
        </w:rPr>
      </w:pPr>
      <w:r>
        <w:rPr>
          <w:rFonts w:ascii="Times New Roman" w:cs="Times New Roman" w:eastAsia="Times New Roman" w:hAnsi="Times New Roman"/>
          <w:sz w:val="11"/>
          <w:szCs w:val="11"/>
          <w:color w:val="auto"/>
        </w:rPr>
        <w:t>Nokia recognizes revenue from contracts with customers to reflect the transfer of promised goods and services to customers for amounts that reflect the consideration to which Nokia expects to be entitled in exchange for those goods and services. The consideration may include a variable amount, which Nokia estimates based on the most likely amount. Items causing variability include volume discounts and sales-based or usage-based royalties. Nokia includes variable consideration into the transaction price only to the extent that it is highly probable that a significant revenue reversal will not occur. The transaction price also excludes amounts collected on behalf of third parties.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150</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6" w:lineRule="exact"/>
        <w:rPr>
          <w:sz w:val="20"/>
          <w:szCs w:val="20"/>
          <w:color w:val="auto"/>
        </w:rPr>
      </w:pPr>
    </w:p>
    <w:p>
      <w:pPr>
        <w:jc w:val="both"/>
        <w:ind w:right="540"/>
        <w:spacing w:after="0" w:line="266" w:lineRule="auto"/>
        <w:rPr>
          <w:sz w:val="20"/>
          <w:szCs w:val="20"/>
          <w:color w:val="auto"/>
        </w:rPr>
      </w:pPr>
      <w:r>
        <w:rPr>
          <w:rFonts w:ascii="Times New Roman" w:cs="Times New Roman" w:eastAsia="Times New Roman" w:hAnsi="Times New Roman"/>
          <w:sz w:val="11"/>
          <w:szCs w:val="11"/>
          <w:color w:val="auto"/>
        </w:rPr>
        <w:t>In cases where the timing of payments provides either the customer or Nokia with a significant benefit of financing, the transaction price is adjusted for the effect of financing and the related interest revenue or interest expense</w:t>
      </w:r>
    </w:p>
    <w:p>
      <w:pPr>
        <w:spacing w:after="0" w:line="2" w:lineRule="exact"/>
        <w:rPr>
          <w:sz w:val="20"/>
          <w:szCs w:val="20"/>
          <w:color w:val="auto"/>
        </w:rPr>
      </w:pPr>
    </w:p>
    <w:p>
      <w:pPr>
        <w:ind w:right="500"/>
        <w:spacing w:after="0" w:line="266" w:lineRule="auto"/>
        <w:rPr>
          <w:sz w:val="20"/>
          <w:szCs w:val="20"/>
          <w:color w:val="auto"/>
        </w:rPr>
      </w:pPr>
      <w:r>
        <w:rPr>
          <w:rFonts w:ascii="Times New Roman" w:cs="Times New Roman" w:eastAsia="Times New Roman" w:hAnsi="Times New Roman"/>
          <w:sz w:val="11"/>
          <w:szCs w:val="11"/>
          <w:color w:val="auto"/>
        </w:rPr>
        <w:t>is presented separately from revenue. As a practical expedient, Nokia does not account for financing components if, at contract inception, the consideration is expected to be received within one year before or after the goods or services have been transferred to the customer.</w:t>
      </w:r>
    </w:p>
    <w:p>
      <w:pPr>
        <w:spacing w:after="0" w:line="61" w:lineRule="exact"/>
        <w:rPr>
          <w:sz w:val="20"/>
          <w:szCs w:val="20"/>
          <w:color w:val="auto"/>
        </w:rPr>
      </w:pPr>
    </w:p>
    <w:p>
      <w:pPr>
        <w:ind w:right="420"/>
        <w:spacing w:after="0" w:line="264" w:lineRule="auto"/>
        <w:rPr>
          <w:sz w:val="20"/>
          <w:szCs w:val="20"/>
          <w:color w:val="auto"/>
        </w:rPr>
      </w:pPr>
      <w:r>
        <w:rPr>
          <w:rFonts w:ascii="Times New Roman" w:cs="Times New Roman" w:eastAsia="Times New Roman" w:hAnsi="Times New Roman"/>
          <w:sz w:val="11"/>
          <w:szCs w:val="11"/>
          <w:color w:val="auto"/>
        </w:rPr>
        <w:t>Nokia enters into contracts with customers consisting of any combination of hardware, services and intellectual property. Hardware and software sold by Nokia includes warranty, which can either be assurance-type for repair of defects and replacement of hardware recognized as a centralized warranty provision, or service-type for scope beyond the repair of defects or for a time period beyond the standard assurance-type warranty period and considered a separate performance obligation within the context of the contract.</w:t>
      </w:r>
    </w:p>
    <w:p>
      <w:pPr>
        <w:spacing w:after="0" w:line="62" w:lineRule="exact"/>
        <w:rPr>
          <w:sz w:val="20"/>
          <w:szCs w:val="20"/>
          <w:color w:val="auto"/>
        </w:rPr>
      </w:pPr>
    </w:p>
    <w:p>
      <w:pPr>
        <w:ind w:right="460"/>
        <w:spacing w:after="0" w:line="264" w:lineRule="auto"/>
        <w:rPr>
          <w:sz w:val="20"/>
          <w:szCs w:val="20"/>
          <w:color w:val="auto"/>
        </w:rPr>
      </w:pPr>
      <w:r>
        <w:rPr>
          <w:rFonts w:ascii="Times New Roman" w:cs="Times New Roman" w:eastAsia="Times New Roman" w:hAnsi="Times New Roman"/>
          <w:sz w:val="11"/>
          <w:szCs w:val="11"/>
          <w:color w:val="auto"/>
        </w:rPr>
        <w:t>The associated revenue recognized for such contracts depends on the nature of the underlying goods and services provided. The promised goods or services in the contract might include sale of goods, license of intellectual property and grant of options to purchase additional goods or services that may provide the customer with a material right. Nokia conducts an assessment at contract inception to determine which promised goods and services in a customer contract are distinct and accordingly identified as performance obligations.</w:t>
      </w:r>
    </w:p>
    <w:p>
      <w:pPr>
        <w:spacing w:after="0" w:line="65" w:lineRule="exact"/>
        <w:rPr>
          <w:sz w:val="20"/>
          <w:szCs w:val="20"/>
          <w:color w:val="auto"/>
        </w:rPr>
      </w:pPr>
    </w:p>
    <w:p>
      <w:pPr>
        <w:ind w:right="420"/>
        <w:spacing w:after="0" w:line="266" w:lineRule="auto"/>
        <w:rPr>
          <w:sz w:val="20"/>
          <w:szCs w:val="20"/>
          <w:color w:val="auto"/>
        </w:rPr>
      </w:pPr>
      <w:r>
        <w:rPr>
          <w:rFonts w:ascii="Times New Roman" w:cs="Times New Roman" w:eastAsia="Times New Roman" w:hAnsi="Times New Roman"/>
          <w:sz w:val="11"/>
          <w:szCs w:val="11"/>
          <w:color w:val="auto"/>
        </w:rPr>
        <w:t>The standalone selling price of each performance obligation is determined by considering factors such as the price of the performance obligation if sold on a standalone basis and the expected cost of the performance obligation plus a reasonable margin when price references are not available. The portion of the transaction price allocated to each performance obligation is then recognized when the revenue recognition criteria for that performance obligation have been met.</w:t>
      </w:r>
    </w:p>
    <w:p>
      <w:pPr>
        <w:sectPr>
          <w:pgSz w:w="11900" w:h="16838" w:orient="portrait"/>
          <w:cols w:equalWidth="0" w:num="3">
            <w:col w:w="3120" w:space="280"/>
            <w:col w:w="2900" w:space="500"/>
            <w:col w:w="3180"/>
          </w:cols>
          <w:pgMar w:left="960" w:top="410" w:right="959" w:bottom="1440" w:gutter="0" w:footer="0" w:header="0"/>
        </w:sectPr>
      </w:pPr>
    </w:p>
    <w:bookmarkStart w:id="158" w:name="page159"/>
    <w:bookmarkEnd w:id="158"/>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8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820" w:type="dxa"/>
            <w:vAlign w:val="bottom"/>
            <w:gridSpan w:val="2"/>
          </w:tcPr>
          <w:p>
            <w:pPr>
              <w:ind w:left="50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15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3440" w:type="dxa"/>
            <w:vAlign w:val="bottom"/>
            <w:vMerge w:val="restart"/>
          </w:tcPr>
          <w:p>
            <w:pPr>
              <w:ind w:left="3260"/>
              <w:spacing w:after="0"/>
              <w:rPr>
                <w:sz w:val="20"/>
                <w:szCs w:val="20"/>
                <w:color w:val="auto"/>
              </w:rPr>
            </w:pPr>
            <w:r>
              <w:rPr>
                <w:rFonts w:ascii="Times New Roman" w:cs="Times New Roman" w:eastAsia="Times New Roman" w:hAnsi="Times New Roman"/>
                <w:sz w:val="12"/>
                <w:szCs w:val="12"/>
                <w:color w:val="auto"/>
                <w:w w:val="88"/>
              </w:rPr>
              <w:t>151</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8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820" w:type="dxa"/>
            <w:vAlign w:val="bottom"/>
            <w:gridSpan w:val="2"/>
          </w:tcPr>
          <w:p>
            <w:pPr>
              <w:ind w:left="50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15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34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60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660" w:type="dxa"/>
            <w:vAlign w:val="bottom"/>
            <w:vMerge w:val="restart"/>
          </w:tcPr>
          <w:p>
            <w:pPr>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1540" w:type="dxa"/>
            <w:vAlign w:val="bottom"/>
          </w:tcPr>
          <w:p>
            <w:pPr>
              <w:spacing w:after="0"/>
              <w:rPr>
                <w:sz w:val="3"/>
                <w:szCs w:val="3"/>
                <w:color w:val="auto"/>
              </w:rPr>
            </w:pPr>
          </w:p>
        </w:tc>
        <w:tc>
          <w:tcPr>
            <w:tcW w:w="344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600" w:type="dxa"/>
            <w:vAlign w:val="bottom"/>
            <w:gridSpan w:val="3"/>
            <w:vMerge w:val="continue"/>
          </w:tcPr>
          <w:p>
            <w:pPr>
              <w:spacing w:after="0"/>
              <w:rPr>
                <w:sz w:val="24"/>
                <w:szCs w:val="24"/>
                <w:color w:val="auto"/>
              </w:rPr>
            </w:pPr>
          </w:p>
        </w:tc>
        <w:tc>
          <w:tcPr>
            <w:tcW w:w="66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1540" w:type="dxa"/>
            <w:vAlign w:val="bottom"/>
          </w:tcPr>
          <w:p>
            <w:pPr>
              <w:spacing w:after="0"/>
              <w:rPr>
                <w:sz w:val="24"/>
                <w:szCs w:val="24"/>
                <w:color w:val="auto"/>
              </w:rPr>
            </w:pPr>
          </w:p>
        </w:tc>
        <w:tc>
          <w:tcPr>
            <w:tcW w:w="344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544"/>
        </w:trPr>
        <w:tc>
          <w:tcPr>
            <w:tcW w:w="260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Nokia allocates the transaction price to each distinct</w:t>
            </w:r>
          </w:p>
        </w:tc>
        <w:tc>
          <w:tcPr>
            <w:tcW w:w="660" w:type="dxa"/>
            <w:vAlign w:val="bottom"/>
          </w:tcPr>
          <w:p>
            <w:pPr>
              <w:spacing w:after="0"/>
              <w:rPr>
                <w:sz w:val="24"/>
                <w:szCs w:val="24"/>
                <w:color w:val="auto"/>
              </w:rPr>
            </w:pP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In some arrangements, mainly within the Submarine Networks</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When Nokia grants customers a license to use IP owned by</w:t>
            </w:r>
          </w:p>
        </w:tc>
        <w:tc>
          <w:tcPr>
            <w:tcW w:w="0" w:type="dxa"/>
            <w:vAlign w:val="bottom"/>
          </w:tcPr>
          <w:p>
            <w:pPr>
              <w:spacing w:after="0"/>
              <w:rPr>
                <w:sz w:val="1"/>
                <w:szCs w:val="1"/>
                <w:color w:val="auto"/>
              </w:rPr>
            </w:pPr>
          </w:p>
        </w:tc>
      </w:tr>
      <w:tr>
        <w:trPr>
          <w:trHeight w:val="131"/>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performance obligation on the basis of their standalone</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business, Nokia’s performance does not create an asset with an</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Nokia, the associated license fee revenue is recognized in</w:t>
            </w:r>
          </w:p>
        </w:tc>
        <w:tc>
          <w:tcPr>
            <w:tcW w:w="0" w:type="dxa"/>
            <w:vAlign w:val="bottom"/>
          </w:tcPr>
          <w:p>
            <w:pPr>
              <w:spacing w:after="0"/>
              <w:rPr>
                <w:sz w:val="1"/>
                <w:szCs w:val="1"/>
                <w:color w:val="auto"/>
              </w:rPr>
            </w:pPr>
          </w:p>
        </w:tc>
      </w:tr>
      <w:tr>
        <w:trPr>
          <w:trHeight w:val="142"/>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selling prices, relative to the overall transaction price. If a</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alternative use and Nokia recognizes revenue over time using</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accordance with the substance of the relevant agreements.</w:t>
            </w:r>
          </w:p>
        </w:tc>
        <w:tc>
          <w:tcPr>
            <w:tcW w:w="0" w:type="dxa"/>
            <w:vAlign w:val="bottom"/>
          </w:tcPr>
          <w:p>
            <w:pPr>
              <w:spacing w:after="0"/>
              <w:rPr>
                <w:sz w:val="1"/>
                <w:szCs w:val="1"/>
                <w:color w:val="auto"/>
              </w:rPr>
            </w:pPr>
          </w:p>
        </w:tc>
      </w:tr>
      <w:tr>
        <w:trPr>
          <w:trHeight w:val="131"/>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standalone selling price is not observable, it is estimated.</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the output method, which faithfully depicts the manner in</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In the majority of cases, Nokia retains obligations to</w:t>
            </w:r>
          </w:p>
        </w:tc>
        <w:tc>
          <w:tcPr>
            <w:tcW w:w="0" w:type="dxa"/>
            <w:vAlign w:val="bottom"/>
          </w:tcPr>
          <w:p>
            <w:pPr>
              <w:spacing w:after="0"/>
              <w:rPr>
                <w:sz w:val="1"/>
                <w:szCs w:val="1"/>
                <w:color w:val="auto"/>
              </w:rPr>
            </w:pPr>
          </w:p>
        </w:tc>
      </w:tr>
      <w:tr>
        <w:trPr>
          <w:trHeight w:val="142"/>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The transaction price may include a discount or a variable</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which the asset is transferred to the customer as well as</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continue to develop and make available to the customer</w:t>
            </w:r>
          </w:p>
        </w:tc>
        <w:tc>
          <w:tcPr>
            <w:tcW w:w="0" w:type="dxa"/>
            <w:vAlign w:val="bottom"/>
          </w:tcPr>
          <w:p>
            <w:pPr>
              <w:spacing w:after="0"/>
              <w:rPr>
                <w:sz w:val="1"/>
                <w:szCs w:val="1"/>
                <w:color w:val="auto"/>
              </w:rPr>
            </w:pPr>
          </w:p>
        </w:tc>
      </w:tr>
      <w:tr>
        <w:trPr>
          <w:trHeight w:val="142"/>
        </w:trPr>
        <w:tc>
          <w:tcPr>
            <w:tcW w:w="260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amount of consideration that is generally allocated</w:t>
            </w:r>
          </w:p>
        </w:tc>
        <w:tc>
          <w:tcPr>
            <w:tcW w:w="660" w:type="dxa"/>
            <w:vAlign w:val="bottom"/>
          </w:tcPr>
          <w:p>
            <w:pPr>
              <w:spacing w:after="0"/>
              <w:rPr>
                <w:sz w:val="12"/>
                <w:szCs w:val="12"/>
                <w:color w:val="auto"/>
              </w:rPr>
            </w:pP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Nokia’s enforceable rights to payment for the work completed</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the latest IP in the licensed assets during the contract term,</w:t>
            </w:r>
          </w:p>
        </w:tc>
        <w:tc>
          <w:tcPr>
            <w:tcW w:w="0" w:type="dxa"/>
            <w:vAlign w:val="bottom"/>
          </w:tcPr>
          <w:p>
            <w:pPr>
              <w:spacing w:after="0"/>
              <w:rPr>
                <w:sz w:val="1"/>
                <w:szCs w:val="1"/>
                <w:color w:val="auto"/>
              </w:rPr>
            </w:pPr>
          </w:p>
        </w:tc>
      </w:tr>
      <w:tr>
        <w:trPr>
          <w:trHeight w:val="131"/>
        </w:trPr>
        <w:tc>
          <w:tcPr>
            <w:tcW w:w="2600" w:type="dxa"/>
            <w:vAlign w:val="bottom"/>
            <w:gridSpan w:val="3"/>
          </w:tcPr>
          <w:p>
            <w:pPr>
              <w:ind w:left="160"/>
              <w:spacing w:after="0"/>
              <w:rPr>
                <w:sz w:val="20"/>
                <w:szCs w:val="20"/>
                <w:color w:val="auto"/>
              </w:rPr>
            </w:pPr>
            <w:r>
              <w:rPr>
                <w:rFonts w:ascii="Times New Roman" w:cs="Times New Roman" w:eastAsia="Times New Roman" w:hAnsi="Times New Roman"/>
                <w:sz w:val="11"/>
                <w:szCs w:val="11"/>
                <w:color w:val="auto"/>
              </w:rPr>
              <w:t>proportionately to all performance obligations in the</w:t>
            </w:r>
          </w:p>
        </w:tc>
        <w:tc>
          <w:tcPr>
            <w:tcW w:w="660" w:type="dxa"/>
            <w:vAlign w:val="bottom"/>
          </w:tcPr>
          <w:p>
            <w:pPr>
              <w:spacing w:after="0"/>
              <w:rPr>
                <w:sz w:val="11"/>
                <w:szCs w:val="11"/>
                <w:color w:val="auto"/>
              </w:rPr>
            </w:pP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to date, including margin. The output measure selected by</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and therefore revenue is recognized pro rata over the</w:t>
            </w:r>
          </w:p>
        </w:tc>
        <w:tc>
          <w:tcPr>
            <w:tcW w:w="0" w:type="dxa"/>
            <w:vAlign w:val="bottom"/>
          </w:tcPr>
          <w:p>
            <w:pPr>
              <w:spacing w:after="0"/>
              <w:rPr>
                <w:sz w:val="1"/>
                <w:szCs w:val="1"/>
                <w:color w:val="auto"/>
              </w:rPr>
            </w:pPr>
          </w:p>
        </w:tc>
      </w:tr>
      <w:tr>
        <w:trPr>
          <w:trHeight w:val="142"/>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contract unless Nokia has observable evidence that the</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Nokia for each contract may vary depending on the nature</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period during which Nokia is expected to perform.</w:t>
            </w:r>
          </w:p>
        </w:tc>
        <w:tc>
          <w:tcPr>
            <w:tcW w:w="0" w:type="dxa"/>
            <w:vAlign w:val="bottom"/>
          </w:tcPr>
          <w:p>
            <w:pPr>
              <w:spacing w:after="0"/>
              <w:rPr>
                <w:sz w:val="1"/>
                <w:szCs w:val="1"/>
                <w:color w:val="auto"/>
              </w:rPr>
            </w:pPr>
          </w:p>
        </w:tc>
      </w:tr>
      <w:tr>
        <w:trPr>
          <w:trHeight w:val="131"/>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entire discount relates to only one or more, but not all,</w:t>
            </w:r>
          </w:p>
        </w:tc>
        <w:tc>
          <w:tcPr>
            <w:tcW w:w="120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of the contract.</w:t>
            </w:r>
          </w:p>
        </w:tc>
        <w:tc>
          <w:tcPr>
            <w:tcW w:w="540" w:type="dxa"/>
            <w:vAlign w:val="bottom"/>
          </w:tcPr>
          <w:p>
            <w:pPr>
              <w:spacing w:after="0"/>
              <w:rPr>
                <w:sz w:val="11"/>
                <w:szCs w:val="11"/>
                <w:color w:val="auto"/>
              </w:rPr>
            </w:pPr>
          </w:p>
        </w:tc>
        <w:tc>
          <w:tcPr>
            <w:tcW w:w="1540" w:type="dxa"/>
            <w:vAlign w:val="bottom"/>
          </w:tcPr>
          <w:p>
            <w:pPr>
              <w:spacing w:after="0"/>
              <w:rPr>
                <w:sz w:val="11"/>
                <w:szCs w:val="11"/>
                <w:color w:val="auto"/>
              </w:rPr>
            </w:pP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Recognition of the revenue as pro rata over the term of the</w:t>
            </w:r>
          </w:p>
        </w:tc>
        <w:tc>
          <w:tcPr>
            <w:tcW w:w="0" w:type="dxa"/>
            <w:vAlign w:val="bottom"/>
          </w:tcPr>
          <w:p>
            <w:pPr>
              <w:spacing w:after="0"/>
              <w:rPr>
                <w:sz w:val="1"/>
                <w:szCs w:val="1"/>
                <w:color w:val="auto"/>
              </w:rPr>
            </w:pPr>
          </w:p>
        </w:tc>
      </w:tr>
      <w:tr>
        <w:trPr>
          <w:trHeight w:val="81"/>
        </w:trPr>
        <w:tc>
          <w:tcPr>
            <w:tcW w:w="260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auto"/>
              </w:rPr>
              <w:t>performance obligations in a contract. The amount of</w:t>
            </w:r>
          </w:p>
        </w:tc>
        <w:tc>
          <w:tcPr>
            <w:tcW w:w="660" w:type="dxa"/>
            <w:vAlign w:val="bottom"/>
          </w:tcPr>
          <w:p>
            <w:pPr>
              <w:spacing w:after="0"/>
              <w:rPr>
                <w:sz w:val="7"/>
                <w:szCs w:val="7"/>
                <w:color w:val="auto"/>
              </w:rPr>
            </w:pPr>
          </w:p>
        </w:tc>
        <w:tc>
          <w:tcPr>
            <w:tcW w:w="1200" w:type="dxa"/>
            <w:vAlign w:val="bottom"/>
            <w:vMerge w:val="restart"/>
          </w:tcPr>
          <w:p>
            <w:pPr>
              <w:ind w:left="140"/>
              <w:spacing w:after="0"/>
              <w:rPr>
                <w:sz w:val="20"/>
                <w:szCs w:val="20"/>
                <w:color w:val="auto"/>
              </w:rPr>
            </w:pPr>
            <w:r>
              <w:rPr>
                <w:rFonts w:ascii="Times New Roman" w:cs="Times New Roman" w:eastAsia="Times New Roman" w:hAnsi="Times New Roman"/>
                <w:sz w:val="11"/>
                <w:szCs w:val="11"/>
                <w:b w:val="1"/>
                <w:bCs w:val="1"/>
                <w:color w:val="auto"/>
              </w:rPr>
              <w:t>Sale of services</w:t>
            </w:r>
          </w:p>
        </w:tc>
        <w:tc>
          <w:tcPr>
            <w:tcW w:w="540" w:type="dxa"/>
            <w:vAlign w:val="bottom"/>
          </w:tcPr>
          <w:p>
            <w:pPr>
              <w:spacing w:after="0"/>
              <w:rPr>
                <w:sz w:val="7"/>
                <w:szCs w:val="7"/>
                <w:color w:val="auto"/>
              </w:rPr>
            </w:pPr>
          </w:p>
        </w:tc>
        <w:tc>
          <w:tcPr>
            <w:tcW w:w="1540" w:type="dxa"/>
            <w:vAlign w:val="bottom"/>
          </w:tcPr>
          <w:p>
            <w:pPr>
              <w:spacing w:after="0"/>
              <w:rPr>
                <w:sz w:val="7"/>
                <w:szCs w:val="7"/>
                <w:color w:val="auto"/>
              </w:rPr>
            </w:pPr>
          </w:p>
        </w:tc>
        <w:tc>
          <w:tcPr>
            <w:tcW w:w="344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2600" w:type="dxa"/>
            <w:vAlign w:val="bottom"/>
            <w:gridSpan w:val="3"/>
            <w:vMerge w:val="continue"/>
          </w:tcPr>
          <w:p>
            <w:pPr>
              <w:spacing w:after="0"/>
              <w:rPr>
                <w:sz w:val="5"/>
                <w:szCs w:val="5"/>
                <w:color w:val="auto"/>
              </w:rPr>
            </w:pPr>
          </w:p>
        </w:tc>
        <w:tc>
          <w:tcPr>
            <w:tcW w:w="660" w:type="dxa"/>
            <w:vAlign w:val="bottom"/>
          </w:tcPr>
          <w:p>
            <w:pPr>
              <w:spacing w:after="0"/>
              <w:rPr>
                <w:sz w:val="5"/>
                <w:szCs w:val="5"/>
                <w:color w:val="auto"/>
              </w:rPr>
            </w:pPr>
          </w:p>
        </w:tc>
        <w:tc>
          <w:tcPr>
            <w:tcW w:w="1200" w:type="dxa"/>
            <w:vAlign w:val="bottom"/>
            <w:vMerge w:val="continue"/>
          </w:tcPr>
          <w:p>
            <w:pPr>
              <w:spacing w:after="0"/>
              <w:rPr>
                <w:sz w:val="5"/>
                <w:szCs w:val="5"/>
                <w:color w:val="auto"/>
              </w:rPr>
            </w:pPr>
          </w:p>
        </w:tc>
        <w:tc>
          <w:tcPr>
            <w:tcW w:w="540" w:type="dxa"/>
            <w:vAlign w:val="bottom"/>
          </w:tcPr>
          <w:p>
            <w:pPr>
              <w:spacing w:after="0"/>
              <w:rPr>
                <w:sz w:val="5"/>
                <w:szCs w:val="5"/>
                <w:color w:val="auto"/>
              </w:rPr>
            </w:pPr>
          </w:p>
        </w:tc>
        <w:tc>
          <w:tcPr>
            <w:tcW w:w="1540" w:type="dxa"/>
            <w:vAlign w:val="bottom"/>
          </w:tcPr>
          <w:p>
            <w:pPr>
              <w:spacing w:after="0"/>
              <w:rPr>
                <w:sz w:val="5"/>
                <w:szCs w:val="5"/>
                <w:color w:val="auto"/>
              </w:rPr>
            </w:pP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license is considered the most faithful depiction of Nokia’s</w:t>
            </w:r>
          </w:p>
        </w:tc>
        <w:tc>
          <w:tcPr>
            <w:tcW w:w="0" w:type="dxa"/>
            <w:vAlign w:val="bottom"/>
          </w:tcPr>
          <w:p>
            <w:pPr>
              <w:spacing w:after="0"/>
              <w:rPr>
                <w:sz w:val="1"/>
                <w:szCs w:val="1"/>
                <w:color w:val="auto"/>
              </w:rPr>
            </w:pPr>
          </w:p>
        </w:tc>
      </w:tr>
      <w:tr>
        <w:trPr>
          <w:trHeight w:val="81"/>
        </w:trPr>
        <w:tc>
          <w:tcPr>
            <w:tcW w:w="3260" w:type="dxa"/>
            <w:vAlign w:val="bottom"/>
            <w:gridSpan w:val="4"/>
            <w:vMerge w:val="restart"/>
          </w:tcPr>
          <w:p>
            <w:pPr>
              <w:ind w:left="160"/>
              <w:spacing w:after="0"/>
              <w:rPr>
                <w:sz w:val="20"/>
                <w:szCs w:val="20"/>
                <w:color w:val="auto"/>
              </w:rPr>
            </w:pPr>
            <w:r>
              <w:rPr>
                <w:rFonts w:ascii="Times New Roman" w:cs="Times New Roman" w:eastAsia="Times New Roman" w:hAnsi="Times New Roman"/>
                <w:sz w:val="11"/>
                <w:szCs w:val="11"/>
                <w:color w:val="auto"/>
              </w:rPr>
              <w:t>revenue recognized is the amount allocated to the satisfied</w:t>
            </w:r>
          </w:p>
        </w:tc>
        <w:tc>
          <w:tcPr>
            <w:tcW w:w="1200" w:type="dxa"/>
            <w:vAlign w:val="bottom"/>
            <w:vMerge w:val="continue"/>
          </w:tcPr>
          <w:p>
            <w:pPr>
              <w:spacing w:after="0"/>
              <w:rPr>
                <w:sz w:val="7"/>
                <w:szCs w:val="7"/>
                <w:color w:val="auto"/>
              </w:rPr>
            </w:pPr>
          </w:p>
        </w:tc>
        <w:tc>
          <w:tcPr>
            <w:tcW w:w="540" w:type="dxa"/>
            <w:vAlign w:val="bottom"/>
          </w:tcPr>
          <w:p>
            <w:pPr>
              <w:spacing w:after="0"/>
              <w:rPr>
                <w:sz w:val="7"/>
                <w:szCs w:val="7"/>
                <w:color w:val="auto"/>
              </w:rPr>
            </w:pPr>
          </w:p>
        </w:tc>
        <w:tc>
          <w:tcPr>
            <w:tcW w:w="1540" w:type="dxa"/>
            <w:vAlign w:val="bottom"/>
          </w:tcPr>
          <w:p>
            <w:pPr>
              <w:spacing w:after="0"/>
              <w:rPr>
                <w:sz w:val="7"/>
                <w:szCs w:val="7"/>
                <w:color w:val="auto"/>
              </w:rPr>
            </w:pPr>
          </w:p>
        </w:tc>
        <w:tc>
          <w:tcPr>
            <w:tcW w:w="344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260" w:type="dxa"/>
            <w:vAlign w:val="bottom"/>
            <w:gridSpan w:val="4"/>
            <w:vMerge w:val="continue"/>
          </w:tcPr>
          <w:p>
            <w:pPr>
              <w:spacing w:after="0"/>
              <w:rPr>
                <w:sz w:val="5"/>
                <w:szCs w:val="5"/>
                <w:color w:val="auto"/>
              </w:rPr>
            </w:pPr>
          </w:p>
        </w:tc>
        <w:tc>
          <w:tcPr>
            <w:tcW w:w="3280" w:type="dxa"/>
            <w:vAlign w:val="bottom"/>
            <w:gridSpan w:val="3"/>
            <w:vMerge w:val="restart"/>
          </w:tcPr>
          <w:p>
            <w:pPr>
              <w:ind w:left="140"/>
              <w:spacing w:after="0"/>
              <w:rPr>
                <w:sz w:val="20"/>
                <w:szCs w:val="20"/>
                <w:color w:val="auto"/>
              </w:rPr>
            </w:pPr>
            <w:r>
              <w:rPr>
                <w:rFonts w:ascii="Times New Roman" w:cs="Times New Roman" w:eastAsia="Times New Roman" w:hAnsi="Times New Roman"/>
                <w:sz w:val="11"/>
                <w:szCs w:val="11"/>
                <w:color w:val="auto"/>
              </w:rPr>
              <w:t>Nokia provides services related to the provision of networking</w:t>
            </w: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satisfaction of the performance obligation as the IP being</w:t>
            </w:r>
          </w:p>
        </w:tc>
        <w:tc>
          <w:tcPr>
            <w:tcW w:w="0" w:type="dxa"/>
            <w:vAlign w:val="bottom"/>
          </w:tcPr>
          <w:p>
            <w:pPr>
              <w:spacing w:after="0"/>
              <w:rPr>
                <w:sz w:val="1"/>
                <w:szCs w:val="1"/>
                <w:color w:val="auto"/>
              </w:rPr>
            </w:pPr>
          </w:p>
        </w:tc>
      </w:tr>
      <w:tr>
        <w:trPr>
          <w:trHeight w:val="81"/>
        </w:trPr>
        <w:tc>
          <w:tcPr>
            <w:tcW w:w="3260" w:type="dxa"/>
            <w:vAlign w:val="bottom"/>
            <w:gridSpan w:val="4"/>
            <w:vMerge w:val="restart"/>
          </w:tcPr>
          <w:p>
            <w:pPr>
              <w:ind w:left="160"/>
              <w:spacing w:after="0"/>
              <w:rPr>
                <w:sz w:val="20"/>
                <w:szCs w:val="20"/>
                <w:color w:val="auto"/>
              </w:rPr>
            </w:pPr>
            <w:r>
              <w:rPr>
                <w:rFonts w:ascii="Times New Roman" w:cs="Times New Roman" w:eastAsia="Times New Roman" w:hAnsi="Times New Roman"/>
                <w:sz w:val="11"/>
                <w:szCs w:val="11"/>
                <w:color w:val="auto"/>
              </w:rPr>
              <w:t>performance obligation based on the relative standalone</w:t>
            </w:r>
          </w:p>
        </w:tc>
        <w:tc>
          <w:tcPr>
            <w:tcW w:w="3280" w:type="dxa"/>
            <w:vAlign w:val="bottom"/>
            <w:gridSpan w:val="3"/>
            <w:vMerge w:val="continue"/>
          </w:tcPr>
          <w:p>
            <w:pPr>
              <w:spacing w:after="0"/>
              <w:rPr>
                <w:sz w:val="7"/>
                <w:szCs w:val="7"/>
                <w:color w:val="auto"/>
              </w:rPr>
            </w:pPr>
          </w:p>
        </w:tc>
        <w:tc>
          <w:tcPr>
            <w:tcW w:w="344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260" w:type="dxa"/>
            <w:vAlign w:val="bottom"/>
            <w:gridSpan w:val="4"/>
            <w:vMerge w:val="continue"/>
          </w:tcPr>
          <w:p>
            <w:pPr>
              <w:spacing w:after="0"/>
              <w:rPr>
                <w:sz w:val="4"/>
                <w:szCs w:val="4"/>
                <w:color w:val="auto"/>
              </w:rPr>
            </w:pPr>
          </w:p>
        </w:tc>
        <w:tc>
          <w:tcPr>
            <w:tcW w:w="3280" w:type="dxa"/>
            <w:vAlign w:val="bottom"/>
            <w:gridSpan w:val="3"/>
            <w:vMerge w:val="restart"/>
          </w:tcPr>
          <w:p>
            <w:pPr>
              <w:ind w:left="140"/>
              <w:spacing w:after="0"/>
              <w:rPr>
                <w:sz w:val="20"/>
                <w:szCs w:val="20"/>
                <w:color w:val="auto"/>
              </w:rPr>
            </w:pPr>
            <w:r>
              <w:rPr>
                <w:rFonts w:ascii="Times New Roman" w:cs="Times New Roman" w:eastAsia="Times New Roman" w:hAnsi="Times New Roman"/>
                <w:sz w:val="11"/>
                <w:szCs w:val="11"/>
                <w:color w:val="auto"/>
              </w:rPr>
              <w:t>equipment, ranging from managing a customer’s network</w:t>
            </w: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licensed towards the customer includes new inventions</w:t>
            </w:r>
          </w:p>
        </w:tc>
        <w:tc>
          <w:tcPr>
            <w:tcW w:w="0" w:type="dxa"/>
            <w:vAlign w:val="bottom"/>
          </w:tcPr>
          <w:p>
            <w:pPr>
              <w:spacing w:after="0"/>
              <w:rPr>
                <w:sz w:val="1"/>
                <w:szCs w:val="1"/>
                <w:color w:val="auto"/>
              </w:rPr>
            </w:pPr>
          </w:p>
        </w:tc>
      </w:tr>
      <w:tr>
        <w:trPr>
          <w:trHeight w:val="81"/>
        </w:trPr>
        <w:tc>
          <w:tcPr>
            <w:tcW w:w="3260" w:type="dxa"/>
            <w:vAlign w:val="bottom"/>
            <w:gridSpan w:val="4"/>
            <w:vMerge w:val="restart"/>
          </w:tcPr>
          <w:p>
            <w:pPr>
              <w:ind w:left="160"/>
              <w:spacing w:after="0"/>
              <w:rPr>
                <w:sz w:val="20"/>
                <w:szCs w:val="20"/>
                <w:color w:val="auto"/>
              </w:rPr>
            </w:pPr>
            <w:r>
              <w:rPr>
                <w:rFonts w:ascii="Times New Roman" w:cs="Times New Roman" w:eastAsia="Times New Roman" w:hAnsi="Times New Roman"/>
                <w:sz w:val="11"/>
                <w:szCs w:val="11"/>
                <w:color w:val="auto"/>
              </w:rPr>
              <w:t>selling prices. A performance obligation may be satisfied</w:t>
            </w:r>
          </w:p>
        </w:tc>
        <w:tc>
          <w:tcPr>
            <w:tcW w:w="3280" w:type="dxa"/>
            <w:vAlign w:val="bottom"/>
            <w:gridSpan w:val="3"/>
            <w:vMerge w:val="continue"/>
          </w:tcPr>
          <w:p>
            <w:pPr>
              <w:spacing w:after="0"/>
              <w:rPr>
                <w:sz w:val="7"/>
                <w:szCs w:val="7"/>
                <w:color w:val="auto"/>
              </w:rPr>
            </w:pPr>
          </w:p>
        </w:tc>
        <w:tc>
          <w:tcPr>
            <w:tcW w:w="344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1"/>
        </w:trPr>
        <w:tc>
          <w:tcPr>
            <w:tcW w:w="3260" w:type="dxa"/>
            <w:vAlign w:val="bottom"/>
            <w:gridSpan w:val="4"/>
            <w:vMerge w:val="continue"/>
          </w:tcPr>
          <w:p>
            <w:pPr>
              <w:spacing w:after="0"/>
              <w:rPr>
                <w:sz w:val="5"/>
                <w:szCs w:val="5"/>
                <w:color w:val="auto"/>
              </w:rPr>
            </w:pPr>
          </w:p>
        </w:tc>
        <w:tc>
          <w:tcPr>
            <w:tcW w:w="3280" w:type="dxa"/>
            <w:vAlign w:val="bottom"/>
            <w:gridSpan w:val="3"/>
            <w:vMerge w:val="restart"/>
          </w:tcPr>
          <w:p>
            <w:pPr>
              <w:ind w:left="140"/>
              <w:spacing w:after="0"/>
              <w:rPr>
                <w:sz w:val="20"/>
                <w:szCs w:val="20"/>
                <w:color w:val="auto"/>
              </w:rPr>
            </w:pPr>
            <w:r>
              <w:rPr>
                <w:rFonts w:ascii="Times New Roman" w:cs="Times New Roman" w:eastAsia="Times New Roman" w:hAnsi="Times New Roman"/>
                <w:sz w:val="11"/>
                <w:szCs w:val="11"/>
                <w:color w:val="auto"/>
              </w:rPr>
              <w:t>and product maintenance services to network installation,</w:t>
            </w: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patented by Nokia that are highly interdependent and</w:t>
            </w:r>
          </w:p>
        </w:tc>
        <w:tc>
          <w:tcPr>
            <w:tcW w:w="0" w:type="dxa"/>
            <w:vAlign w:val="bottom"/>
          </w:tcPr>
          <w:p>
            <w:pPr>
              <w:spacing w:after="0"/>
              <w:rPr>
                <w:sz w:val="1"/>
                <w:szCs w:val="1"/>
                <w:color w:val="auto"/>
              </w:rPr>
            </w:pPr>
          </w:p>
        </w:tc>
      </w:tr>
      <w:tr>
        <w:trPr>
          <w:trHeight w:val="81"/>
        </w:trPr>
        <w:tc>
          <w:tcPr>
            <w:tcW w:w="2600" w:type="dxa"/>
            <w:vAlign w:val="bottom"/>
            <w:gridSpan w:val="3"/>
            <w:vMerge w:val="restart"/>
          </w:tcPr>
          <w:p>
            <w:pPr>
              <w:ind w:left="160"/>
              <w:spacing w:after="0"/>
              <w:rPr>
                <w:sz w:val="20"/>
                <w:szCs w:val="20"/>
                <w:color w:val="auto"/>
              </w:rPr>
            </w:pPr>
            <w:r>
              <w:rPr>
                <w:rFonts w:ascii="Times New Roman" w:cs="Times New Roman" w:eastAsia="Times New Roman" w:hAnsi="Times New Roman"/>
                <w:sz w:val="11"/>
                <w:szCs w:val="11"/>
                <w:color w:val="auto"/>
              </w:rPr>
              <w:t>at a point in time or over time.</w:t>
            </w:r>
          </w:p>
        </w:tc>
        <w:tc>
          <w:tcPr>
            <w:tcW w:w="660" w:type="dxa"/>
            <w:vAlign w:val="bottom"/>
          </w:tcPr>
          <w:p>
            <w:pPr>
              <w:spacing w:after="0"/>
              <w:rPr>
                <w:sz w:val="7"/>
                <w:szCs w:val="7"/>
                <w:color w:val="auto"/>
              </w:rPr>
            </w:pPr>
          </w:p>
        </w:tc>
        <w:tc>
          <w:tcPr>
            <w:tcW w:w="3280" w:type="dxa"/>
            <w:vAlign w:val="bottom"/>
            <w:gridSpan w:val="3"/>
            <w:vMerge w:val="continue"/>
          </w:tcPr>
          <w:p>
            <w:pPr>
              <w:spacing w:after="0"/>
              <w:rPr>
                <w:sz w:val="7"/>
                <w:szCs w:val="7"/>
                <w:color w:val="auto"/>
              </w:rPr>
            </w:pPr>
          </w:p>
        </w:tc>
        <w:tc>
          <w:tcPr>
            <w:tcW w:w="344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67"/>
        </w:trPr>
        <w:tc>
          <w:tcPr>
            <w:tcW w:w="2600" w:type="dxa"/>
            <w:vAlign w:val="bottom"/>
            <w:gridSpan w:val="3"/>
            <w:vMerge w:val="continue"/>
          </w:tcPr>
          <w:p>
            <w:pPr>
              <w:spacing w:after="0"/>
              <w:rPr>
                <w:sz w:val="5"/>
                <w:szCs w:val="5"/>
                <w:color w:val="auto"/>
              </w:rPr>
            </w:pPr>
          </w:p>
        </w:tc>
        <w:tc>
          <w:tcPr>
            <w:tcW w:w="660" w:type="dxa"/>
            <w:vAlign w:val="bottom"/>
          </w:tcPr>
          <w:p>
            <w:pPr>
              <w:spacing w:after="0"/>
              <w:rPr>
                <w:sz w:val="5"/>
                <w:szCs w:val="5"/>
                <w:color w:val="auto"/>
              </w:rPr>
            </w:pPr>
          </w:p>
        </w:tc>
        <w:tc>
          <w:tcPr>
            <w:tcW w:w="3280" w:type="dxa"/>
            <w:vAlign w:val="bottom"/>
            <w:gridSpan w:val="3"/>
            <w:vMerge w:val="restart"/>
          </w:tcPr>
          <w:p>
            <w:pPr>
              <w:ind w:left="140"/>
              <w:spacing w:after="0"/>
              <w:rPr>
                <w:sz w:val="20"/>
                <w:szCs w:val="20"/>
                <w:color w:val="auto"/>
              </w:rPr>
            </w:pPr>
            <w:r>
              <w:rPr>
                <w:rFonts w:ascii="Times New Roman" w:cs="Times New Roman" w:eastAsia="Times New Roman" w:hAnsi="Times New Roman"/>
                <w:sz w:val="11"/>
                <w:szCs w:val="11"/>
                <w:color w:val="auto"/>
              </w:rPr>
              <w:t>integration and optimization. Revenue for each separate</w:t>
            </w:r>
          </w:p>
        </w:tc>
        <w:tc>
          <w:tcPr>
            <w:tcW w:w="344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interrelated and created through the course of continuous</w:t>
            </w:r>
          </w:p>
        </w:tc>
        <w:tc>
          <w:tcPr>
            <w:tcW w:w="0" w:type="dxa"/>
            <w:vAlign w:val="bottom"/>
          </w:tcPr>
          <w:p>
            <w:pPr>
              <w:spacing w:after="0"/>
              <w:rPr>
                <w:sz w:val="1"/>
                <w:szCs w:val="1"/>
                <w:color w:val="auto"/>
              </w:rPr>
            </w:pPr>
          </w:p>
        </w:tc>
      </w:tr>
      <w:tr>
        <w:trPr>
          <w:trHeight w:val="64"/>
        </w:trPr>
        <w:tc>
          <w:tcPr>
            <w:tcW w:w="640" w:type="dxa"/>
            <w:vAlign w:val="bottom"/>
          </w:tcPr>
          <w:p>
            <w:pPr>
              <w:spacing w:after="0"/>
              <w:rPr>
                <w:sz w:val="5"/>
                <w:szCs w:val="5"/>
                <w:color w:val="auto"/>
              </w:rPr>
            </w:pPr>
          </w:p>
        </w:tc>
        <w:tc>
          <w:tcPr>
            <w:tcW w:w="800" w:type="dxa"/>
            <w:vAlign w:val="bottom"/>
          </w:tcPr>
          <w:p>
            <w:pPr>
              <w:spacing w:after="0"/>
              <w:rPr>
                <w:sz w:val="5"/>
                <w:szCs w:val="5"/>
                <w:color w:val="auto"/>
              </w:rPr>
            </w:pPr>
          </w:p>
        </w:tc>
        <w:tc>
          <w:tcPr>
            <w:tcW w:w="1160" w:type="dxa"/>
            <w:vAlign w:val="bottom"/>
          </w:tcPr>
          <w:p>
            <w:pPr>
              <w:spacing w:after="0"/>
              <w:rPr>
                <w:sz w:val="5"/>
                <w:szCs w:val="5"/>
                <w:color w:val="auto"/>
              </w:rPr>
            </w:pPr>
          </w:p>
        </w:tc>
        <w:tc>
          <w:tcPr>
            <w:tcW w:w="660" w:type="dxa"/>
            <w:vAlign w:val="bottom"/>
          </w:tcPr>
          <w:p>
            <w:pPr>
              <w:spacing w:after="0"/>
              <w:rPr>
                <w:sz w:val="5"/>
                <w:szCs w:val="5"/>
                <w:color w:val="auto"/>
              </w:rPr>
            </w:pPr>
          </w:p>
        </w:tc>
        <w:tc>
          <w:tcPr>
            <w:tcW w:w="3280" w:type="dxa"/>
            <w:vAlign w:val="bottom"/>
            <w:gridSpan w:val="3"/>
            <w:vMerge w:val="continue"/>
          </w:tcPr>
          <w:p>
            <w:pPr>
              <w:spacing w:after="0"/>
              <w:rPr>
                <w:sz w:val="5"/>
                <w:szCs w:val="5"/>
                <w:color w:val="auto"/>
              </w:rPr>
            </w:pPr>
          </w:p>
        </w:tc>
        <w:tc>
          <w:tcPr>
            <w:tcW w:w="3440" w:type="dxa"/>
            <w:vAlign w:val="bottom"/>
            <w:vMerge w:val="continue"/>
          </w:tcPr>
          <w:p>
            <w:pPr>
              <w:spacing w:after="0"/>
              <w:rPr>
                <w:sz w:val="5"/>
                <w:szCs w:val="5"/>
                <w:color w:val="auto"/>
              </w:rPr>
            </w:pPr>
          </w:p>
        </w:tc>
        <w:tc>
          <w:tcPr>
            <w:tcW w:w="0" w:type="dxa"/>
            <w:vAlign w:val="bottom"/>
          </w:tcPr>
          <w:p>
            <w:pPr>
              <w:spacing w:after="0"/>
              <w:rPr>
                <w:sz w:val="1"/>
                <w:szCs w:val="1"/>
                <w:color w:val="auto"/>
              </w:rPr>
            </w:pPr>
          </w:p>
        </w:tc>
      </w:tr>
      <w:tr>
        <w:trPr>
          <w:trHeight w:val="142"/>
        </w:trPr>
        <w:tc>
          <w:tcPr>
            <w:tcW w:w="3260" w:type="dxa"/>
            <w:vAlign w:val="bottom"/>
            <w:gridSpan w:val="4"/>
          </w:tcPr>
          <w:p>
            <w:pPr>
              <w:ind w:left="160"/>
              <w:spacing w:after="0"/>
              <w:rPr>
                <w:sz w:val="20"/>
                <w:szCs w:val="20"/>
                <w:color w:val="auto"/>
              </w:rPr>
            </w:pPr>
            <w:r>
              <w:rPr>
                <w:rFonts w:ascii="Times New Roman" w:cs="Times New Roman" w:eastAsia="Times New Roman" w:hAnsi="Times New Roman"/>
                <w:sz w:val="11"/>
                <w:szCs w:val="11"/>
                <w:color w:val="auto"/>
              </w:rPr>
              <w:t>As described in Note  4.5. Trade receivables and other</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service performance obligation is recognized as or when the</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research and development (R&amp;D) efforts that are relatively</w:t>
            </w:r>
          </w:p>
        </w:tc>
        <w:tc>
          <w:tcPr>
            <w:tcW w:w="0" w:type="dxa"/>
            <w:vAlign w:val="bottom"/>
          </w:tcPr>
          <w:p>
            <w:pPr>
              <w:spacing w:after="0"/>
              <w:rPr>
                <w:sz w:val="1"/>
                <w:szCs w:val="1"/>
                <w:color w:val="auto"/>
              </w:rPr>
            </w:pPr>
          </w:p>
        </w:tc>
      </w:tr>
      <w:tr>
        <w:trPr>
          <w:trHeight w:val="148"/>
        </w:trPr>
        <w:tc>
          <w:tcPr>
            <w:tcW w:w="1440" w:type="dxa"/>
            <w:vAlign w:val="bottom"/>
            <w:gridSpan w:val="2"/>
          </w:tcPr>
          <w:p>
            <w:pPr>
              <w:ind w:left="160"/>
              <w:spacing w:after="0"/>
              <w:rPr>
                <w:sz w:val="20"/>
                <w:szCs w:val="20"/>
                <w:color w:val="auto"/>
              </w:rPr>
            </w:pPr>
            <w:r>
              <w:rPr>
                <w:rFonts w:ascii="Times New Roman" w:cs="Times New Roman" w:eastAsia="Times New Roman" w:hAnsi="Times New Roman"/>
                <w:sz w:val="11"/>
                <w:szCs w:val="11"/>
                <w:color w:val="auto"/>
              </w:rPr>
              <w:t>customer-related balances</w:t>
            </w:r>
          </w:p>
        </w:tc>
        <w:tc>
          <w:tcPr>
            <w:tcW w:w="1820" w:type="dxa"/>
            <w:vAlign w:val="bottom"/>
            <w:gridSpan w:val="2"/>
          </w:tcPr>
          <w:p>
            <w:pPr>
              <w:ind w:left="80"/>
              <w:spacing w:after="0"/>
              <w:rPr>
                <w:sz w:val="20"/>
                <w:szCs w:val="20"/>
                <w:color w:val="auto"/>
              </w:rPr>
            </w:pPr>
            <w:r>
              <w:rPr>
                <w:rFonts w:ascii="Times New Roman" w:cs="Times New Roman" w:eastAsia="Times New Roman" w:hAnsi="Times New Roman"/>
                <w:sz w:val="11"/>
                <w:szCs w:val="11"/>
                <w:color w:val="auto"/>
              </w:rPr>
              <w:t>, Nokia presents its customer</w:t>
            </w:r>
          </w:p>
        </w:tc>
        <w:tc>
          <w:tcPr>
            <w:tcW w:w="328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customer obtains the benefits of Nokia’s performance. Service</w:t>
            </w:r>
          </w:p>
        </w:tc>
        <w:tc>
          <w:tcPr>
            <w:tcW w:w="3440" w:type="dxa"/>
            <w:vAlign w:val="bottom"/>
          </w:tcPr>
          <w:p>
            <w:pPr>
              <w:ind w:left="260"/>
              <w:spacing w:after="0"/>
              <w:rPr>
                <w:sz w:val="20"/>
                <w:szCs w:val="20"/>
                <w:color w:val="auto"/>
              </w:rPr>
            </w:pPr>
            <w:r>
              <w:rPr>
                <w:rFonts w:ascii="Times New Roman" w:cs="Times New Roman" w:eastAsia="Times New Roman" w:hAnsi="Times New Roman"/>
                <w:sz w:val="11"/>
                <w:szCs w:val="11"/>
                <w:color w:val="auto"/>
              </w:rPr>
              <w:t>stable throughout the year. In some contracts, Nokia has</w:t>
            </w: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160"/>
        <w:spacing w:after="0" w:line="265" w:lineRule="auto"/>
        <w:rPr>
          <w:sz w:val="20"/>
          <w:szCs w:val="20"/>
          <w:color w:val="auto"/>
        </w:rPr>
      </w:pPr>
      <w:r>
        <w:rPr>
          <w:rFonts w:ascii="Times New Roman" w:cs="Times New Roman" w:eastAsia="Times New Roman" w:hAnsi="Times New Roman"/>
          <w:sz w:val="11"/>
          <w:szCs w:val="11"/>
          <w:color w:val="auto"/>
        </w:rPr>
        <w:t>contracts in the statement of financial position as either a contract asset or a contract liability, depending on the relationship between Nokia’s performance and the customer’s payment for each individual contract.</w:t>
      </w:r>
    </w:p>
    <w:p>
      <w:pPr>
        <w:spacing w:after="0" w:line="60" w:lineRule="exact"/>
        <w:rPr>
          <w:sz w:val="20"/>
          <w:szCs w:val="20"/>
          <w:color w:val="auto"/>
        </w:rPr>
      </w:pPr>
    </w:p>
    <w:p>
      <w:pPr>
        <w:ind w:left="180"/>
        <w:spacing w:after="0"/>
        <w:rPr>
          <w:sz w:val="20"/>
          <w:szCs w:val="20"/>
          <w:color w:val="auto"/>
        </w:rPr>
      </w:pPr>
      <w:r>
        <w:rPr>
          <w:rFonts w:ascii="Times New Roman" w:cs="Times New Roman" w:eastAsia="Times New Roman" w:hAnsi="Times New Roman"/>
          <w:sz w:val="11"/>
          <w:szCs w:val="11"/>
          <w:b w:val="1"/>
          <w:bCs w:val="1"/>
          <w:color w:val="auto"/>
        </w:rPr>
        <w:t>Sale of products</w:t>
      </w:r>
    </w:p>
    <w:p>
      <w:pPr>
        <w:spacing w:after="0" w:line="24" w:lineRule="exact"/>
        <w:rPr>
          <w:sz w:val="20"/>
          <w:szCs w:val="20"/>
          <w:color w:val="auto"/>
        </w:rPr>
      </w:pPr>
    </w:p>
    <w:p>
      <w:pPr>
        <w:ind w:left="160" w:right="140"/>
        <w:spacing w:after="0" w:line="259" w:lineRule="auto"/>
        <w:rPr>
          <w:sz w:val="20"/>
          <w:szCs w:val="20"/>
          <w:color w:val="auto"/>
        </w:rPr>
      </w:pPr>
      <w:r>
        <w:rPr>
          <w:rFonts w:ascii="Times New Roman" w:cs="Times New Roman" w:eastAsia="Times New Roman" w:hAnsi="Times New Roman"/>
          <w:sz w:val="11"/>
          <w:szCs w:val="11"/>
          <w:color w:val="auto"/>
        </w:rPr>
        <w:t>Nokia manufactures and sells a range of networking equipment, covering the requirements of network</w:t>
      </w:r>
    </w:p>
    <w:p>
      <w:pPr>
        <w:spacing w:after="0" w:line="20" w:lineRule="exact"/>
        <w:rPr>
          <w:sz w:val="20"/>
          <w:szCs w:val="20"/>
          <w:color w:val="auto"/>
        </w:rPr>
      </w:pPr>
      <w:r>
        <w:rPr>
          <w:sz w:val="20"/>
          <w:szCs w:val="20"/>
          <w:color w:val="auto"/>
        </w:rPr>
        <w:br w:type="column"/>
      </w:r>
    </w:p>
    <w:p>
      <w:pPr>
        <w:spacing w:after="0" w:line="264" w:lineRule="auto"/>
        <w:rPr>
          <w:sz w:val="20"/>
          <w:szCs w:val="20"/>
          <w:color w:val="auto"/>
        </w:rPr>
      </w:pPr>
      <w:r>
        <w:rPr>
          <w:rFonts w:ascii="Times New Roman" w:cs="Times New Roman" w:eastAsia="Times New Roman" w:hAnsi="Times New Roman"/>
          <w:sz w:val="11"/>
          <w:szCs w:val="11"/>
          <w:color w:val="auto"/>
        </w:rPr>
        <w:t>revenue is recognized over time for managed and maintenance services, as in these cases Nokia performs throughout a fixed contract term and the customer simultaneously receives and consumes the benefits as Nokia performs. In some cases, Nokia performs services that are subject to customer acceptance where revenue is recognized when the customer acceptance is received.</w:t>
      </w:r>
    </w:p>
    <w:p>
      <w:pPr>
        <w:spacing w:after="0" w:line="20" w:lineRule="exact"/>
        <w:rPr>
          <w:sz w:val="20"/>
          <w:szCs w:val="20"/>
          <w:color w:val="auto"/>
        </w:rPr>
      </w:pPr>
      <w:r>
        <w:rPr>
          <w:sz w:val="20"/>
          <w:szCs w:val="20"/>
          <w:color w:val="auto"/>
        </w:rPr>
        <w:br w:type="column"/>
      </w:r>
    </w:p>
    <w:p>
      <w:pPr>
        <w:ind w:right="440"/>
        <w:spacing w:after="0" w:line="265" w:lineRule="auto"/>
        <w:rPr>
          <w:sz w:val="20"/>
          <w:szCs w:val="20"/>
          <w:color w:val="auto"/>
        </w:rPr>
      </w:pPr>
      <w:r>
        <w:rPr>
          <w:rFonts w:ascii="Times New Roman" w:cs="Times New Roman" w:eastAsia="Times New Roman" w:hAnsi="Times New Roman"/>
          <w:sz w:val="11"/>
          <w:szCs w:val="11"/>
          <w:color w:val="auto"/>
        </w:rPr>
        <w:t>no remaining obligations to perform after granting a license to the initial IP, and licensing fees are non-refundable. In these cases, revenue is recognized at the beginning of the license term.</w:t>
      </w:r>
    </w:p>
    <w:p>
      <w:pPr>
        <w:spacing w:after="0" w:line="483" w:lineRule="exact"/>
        <w:rPr>
          <w:sz w:val="20"/>
          <w:szCs w:val="20"/>
          <w:color w:val="auto"/>
        </w:rPr>
      </w:pPr>
    </w:p>
    <w:p>
      <w:pPr>
        <w:sectPr>
          <w:pgSz w:w="11900" w:h="16838" w:orient="portrait"/>
          <w:cols w:equalWidth="0" w:num="3">
            <w:col w:w="2680" w:space="720"/>
            <w:col w:w="2880" w:space="520"/>
            <w:col w:w="3180"/>
          </w:cols>
          <w:pgMar w:left="960" w:top="410" w:right="959" w:bottom="1440" w:gutter="0" w:footer="0" w:header="0"/>
          <w:type w:val="continuous"/>
        </w:sectPr>
      </w:pPr>
    </w:p>
    <w:p>
      <w:pPr>
        <w:ind w:left="160"/>
        <w:spacing w:after="0" w:line="266" w:lineRule="auto"/>
        <w:rPr>
          <w:sz w:val="20"/>
          <w:szCs w:val="20"/>
          <w:color w:val="auto"/>
        </w:rPr>
      </w:pPr>
      <w:r>
        <w:rPr>
          <w:rFonts w:ascii="Times New Roman" w:cs="Times New Roman" w:eastAsia="Times New Roman" w:hAnsi="Times New Roman"/>
          <w:sz w:val="11"/>
          <w:szCs w:val="11"/>
          <w:color w:val="auto"/>
        </w:rPr>
        <w:t>operators. Revenue for these products is recognized when control of the products has transferred, the determination of which may require judgment. Typically, for standard equipment sales, control transfers upon delivery. For more complex solutions, control generally transfers upon acceptance.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b w:val="1"/>
          <w:bCs w:val="1"/>
          <w:color w:val="auto"/>
        </w:rPr>
        <w:t>Sale of intellectual property licenses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provides its customers with licenses to intellectual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property (IP) owned by Nokia by granting software licenses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rights to benefit from Nokia’s IP in their products.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When a software license is sold, revenue is recognized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upon delivery or acceptance of the software, as Nokia has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determined that each software release is distinct and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license is granted for software as it exists when the control</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transfers to the customer.</w:t>
      </w:r>
    </w:p>
    <w:p>
      <w:pPr>
        <w:spacing w:after="0" w:line="200" w:lineRule="exact"/>
        <w:rPr>
          <w:sz w:val="20"/>
          <w:szCs w:val="20"/>
          <w:color w:val="auto"/>
        </w:rPr>
      </w:pPr>
    </w:p>
    <w:p>
      <w:pPr>
        <w:sectPr>
          <w:pgSz w:w="11900" w:h="16838" w:orient="portrait"/>
          <w:cols w:equalWidth="0" w:num="2">
            <w:col w:w="2800" w:space="600"/>
            <w:col w:w="6580"/>
          </w:cols>
          <w:pgMar w:left="960" w:top="410"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159" w:name="page160"/>
    <w:bookmarkEnd w:id="159"/>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152</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Revenue disaggregation</w:t>
      </w:r>
    </w:p>
    <w:p>
      <w:pPr>
        <w:spacing w:after="0" w:line="32" w:lineRule="exact"/>
        <w:rPr>
          <w:sz w:val="20"/>
          <w:szCs w:val="20"/>
          <w:color w:val="auto"/>
        </w:rPr>
      </w:pPr>
    </w:p>
    <w:p>
      <w:pPr>
        <w:ind w:right="200"/>
        <w:spacing w:after="0" w:line="265" w:lineRule="auto"/>
        <w:rPr>
          <w:sz w:val="20"/>
          <w:szCs w:val="20"/>
          <w:color w:val="auto"/>
        </w:rPr>
      </w:pPr>
      <w:r>
        <w:rPr>
          <w:rFonts w:ascii="Times New Roman" w:cs="Times New Roman" w:eastAsia="Times New Roman" w:hAnsi="Times New Roman"/>
          <w:sz w:val="11"/>
          <w:szCs w:val="11"/>
          <w:color w:val="auto"/>
        </w:rPr>
        <w:t>Management has determined that Nokia’s geographic areas are considered as the primary determinants to depict how the nature, amount, timing and uncertainty of revenue and cash flows are affected by economic factors. Nokia’s primary customer base consists of companies that operate on</w:t>
      </w:r>
    </w:p>
    <w:p>
      <w:pPr>
        <w:spacing w:after="0" w:line="1" w:lineRule="exact"/>
        <w:rPr>
          <w:sz w:val="20"/>
          <w:szCs w:val="20"/>
          <w:color w:val="auto"/>
        </w:rPr>
      </w:pPr>
    </w:p>
    <w:p>
      <w:pPr>
        <w:ind w:right="80"/>
        <w:spacing w:after="0" w:line="260" w:lineRule="auto"/>
        <w:rPr>
          <w:sz w:val="20"/>
          <w:szCs w:val="20"/>
          <w:color w:val="auto"/>
        </w:rPr>
      </w:pPr>
      <w:r>
        <w:rPr>
          <w:rFonts w:ascii="Times New Roman" w:cs="Times New Roman" w:eastAsia="Times New Roman" w:hAnsi="Times New Roman"/>
          <w:sz w:val="11"/>
          <w:szCs w:val="11"/>
          <w:color w:val="auto"/>
        </w:rPr>
        <w:t>a country-specific or a regional basis. Although Nokia’s technology cycle is similar around the world, different countries and regions are inherently in a different stage of that cycle, often influenced by macroeconomic conditions specific to those countries and regions. In addition to Net sales to external</w:t>
      </w:r>
    </w:p>
    <w:p>
      <w:pPr>
        <w:spacing w:after="0" w:line="3" w:lineRule="exact"/>
        <w:rPr>
          <w:sz w:val="20"/>
          <w:szCs w:val="20"/>
          <w:color w:val="auto"/>
        </w:rPr>
      </w:pPr>
    </w:p>
    <w:p>
      <w:pPr>
        <w:spacing w:after="0"/>
        <w:tabs>
          <w:tab w:leader="none" w:pos="1080" w:val="left"/>
        </w:tabs>
        <w:rPr>
          <w:sz w:val="20"/>
          <w:szCs w:val="20"/>
          <w:color w:val="auto"/>
        </w:rPr>
      </w:pPr>
      <w:r>
        <w:rPr>
          <w:rFonts w:ascii="Times New Roman" w:cs="Times New Roman" w:eastAsia="Times New Roman" w:hAnsi="Times New Roman"/>
          <w:sz w:val="11"/>
          <w:szCs w:val="11"/>
          <w:color w:val="auto"/>
        </w:rPr>
        <w:t>customers by region,</w:t>
        <w:tab/>
        <w:t>the chief operating decision-maker,</w:t>
      </w:r>
    </w:p>
    <w:p>
      <w:pPr>
        <w:spacing w:after="0" w:line="10" w:lineRule="exact"/>
        <w:rPr>
          <w:sz w:val="20"/>
          <w:szCs w:val="20"/>
          <w:color w:val="auto"/>
        </w:rPr>
      </w:pPr>
    </w:p>
    <w:p>
      <w:pPr>
        <w:spacing w:after="0"/>
        <w:tabs>
          <w:tab w:leader="none" w:pos="1040" w:val="left"/>
          <w:tab w:leader="none" w:pos="2360" w:val="left"/>
        </w:tabs>
        <w:rPr>
          <w:sz w:val="20"/>
          <w:szCs w:val="20"/>
          <w:color w:val="auto"/>
        </w:rPr>
      </w:pPr>
      <w:r>
        <w:rPr>
          <w:rFonts w:ascii="Times New Roman" w:cs="Times New Roman" w:eastAsia="Times New Roman" w:hAnsi="Times New Roman"/>
          <w:sz w:val="11"/>
          <w:szCs w:val="11"/>
          <w:color w:val="auto"/>
        </w:rPr>
        <w:t>as described in Note</w:t>
        <w:tab/>
        <w:t>2.2. Segment information</w:t>
        <w:tab/>
        <w:t>, also reviews</w:t>
      </w:r>
    </w:p>
    <w:p>
      <w:pPr>
        <w:spacing w:after="0" w:line="15" w:lineRule="exact"/>
        <w:rPr>
          <w:sz w:val="20"/>
          <w:szCs w:val="20"/>
          <w:color w:val="auto"/>
        </w:rPr>
      </w:pPr>
    </w:p>
    <w:p>
      <w:pPr>
        <w:spacing w:after="0"/>
        <w:tabs>
          <w:tab w:leader="none" w:pos="1400" w:val="left"/>
        </w:tabs>
        <w:rPr>
          <w:sz w:val="20"/>
          <w:szCs w:val="20"/>
          <w:color w:val="auto"/>
        </w:rPr>
      </w:pPr>
      <w:r>
        <w:rPr>
          <w:rFonts w:ascii="Times New Roman" w:cs="Times New Roman" w:eastAsia="Times New Roman" w:hAnsi="Times New Roman"/>
          <w:sz w:val="11"/>
          <w:szCs w:val="11"/>
          <w:color w:val="auto"/>
        </w:rPr>
        <w:t>Net sales by customer type</w:t>
      </w:r>
      <w:r>
        <w:rPr>
          <w:sz w:val="20"/>
          <w:szCs w:val="20"/>
          <w:color w:val="auto"/>
        </w:rPr>
        <w:tab/>
      </w:r>
      <w:r>
        <w:rPr>
          <w:rFonts w:ascii="Times New Roman" w:cs="Times New Roman" w:eastAsia="Times New Roman" w:hAnsi="Times New Roman"/>
          <w:sz w:val="11"/>
          <w:szCs w:val="11"/>
          <w:color w:val="auto"/>
        </w:rPr>
        <w:t>disclosed in this note.</w:t>
      </w:r>
    </w:p>
    <w:p>
      <w:pPr>
        <w:spacing w:after="0" w:line="79"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1"/>
          <w:szCs w:val="11"/>
          <w:color w:val="auto"/>
        </w:rPr>
        <w:t>Each reportable segment, as described in Note</w:t>
      </w:r>
      <w:r>
        <w:rPr>
          <w:sz w:val="20"/>
          <w:szCs w:val="20"/>
          <w:color w:val="auto"/>
        </w:rPr>
        <w:tab/>
      </w:r>
      <w:r>
        <w:rPr>
          <w:rFonts w:ascii="Times New Roman" w:cs="Times New Roman" w:eastAsia="Times New Roman" w:hAnsi="Times New Roman"/>
          <w:sz w:val="11"/>
          <w:szCs w:val="11"/>
          <w:color w:val="auto"/>
        </w:rPr>
        <w:t>2.2. Segment</w:t>
      </w:r>
    </w:p>
    <w:p>
      <w:pPr>
        <w:spacing w:after="0" w:line="22" w:lineRule="exact"/>
        <w:rPr>
          <w:sz w:val="20"/>
          <w:szCs w:val="20"/>
          <w:color w:val="auto"/>
        </w:rPr>
      </w:pPr>
    </w:p>
    <w:p>
      <w:pPr>
        <w:jc w:val="both"/>
        <w:ind w:right="440"/>
        <w:spacing w:after="0" w:line="271" w:lineRule="auto"/>
        <w:rPr>
          <w:sz w:val="20"/>
          <w:szCs w:val="20"/>
          <w:color w:val="auto"/>
        </w:rPr>
      </w:pPr>
      <w:r>
        <w:rPr>
          <w:rFonts w:ascii="Times New Roman" w:cs="Times New Roman" w:eastAsia="Times New Roman" w:hAnsi="Times New Roman"/>
          <w:sz w:val="11"/>
          <w:szCs w:val="11"/>
          <w:color w:val="auto"/>
        </w:rPr>
        <w:t>information , consists of customers that operate in all geographic areas. No reportable segment has a specific revenue concentration in any geographic area other than Nokia Technologies, which is included within Europe.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 sales to external customers by region</w:t>
      </w:r>
    </w:p>
    <w:p>
      <w:pPr>
        <w:spacing w:after="0" w:line="32" w:lineRule="exact"/>
        <w:rPr>
          <w:sz w:val="20"/>
          <w:szCs w:val="20"/>
          <w:color w:val="auto"/>
        </w:rPr>
      </w:pPr>
    </w:p>
    <w:p>
      <w:pPr>
        <w:ind w:right="480"/>
        <w:spacing w:after="0" w:line="289" w:lineRule="auto"/>
        <w:rPr>
          <w:sz w:val="20"/>
          <w:szCs w:val="20"/>
          <w:color w:val="auto"/>
        </w:rPr>
      </w:pPr>
      <w:r>
        <w:rPr>
          <w:rFonts w:ascii="Times New Roman" w:cs="Times New Roman" w:eastAsia="Times New Roman" w:hAnsi="Times New Roman"/>
          <w:sz w:val="11"/>
          <w:szCs w:val="11"/>
          <w:color w:val="auto"/>
        </w:rPr>
        <w:t>Net sales to external customers by region are based on the location of the customer, except for Nokia Technologies IPR and licensing net sales which are allocated to Europe.</w:t>
      </w:r>
    </w:p>
    <w:p>
      <w:pPr>
        <w:spacing w:after="0" w:line="9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2022</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Asia Pacific</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2 291</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2 648</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2 472</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Europe</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5 873</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6 662</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6 313</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Greater China</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1 303</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1 581</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1 512</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India</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2 842</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1 290</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1 035</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Latin America</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1 046</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1 223</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983</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Middle East &amp; Africa</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2 050</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1 969</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1 771</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North America</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5 733</w:t>
            </w:r>
          </w:p>
        </w:tc>
        <w:tc>
          <w:tcPr>
            <w:tcW w:w="58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8 388</w:t>
            </w:r>
          </w:p>
        </w:tc>
        <w:tc>
          <w:tcPr>
            <w:tcW w:w="5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7 187</w:t>
            </w:r>
          </w:p>
        </w:tc>
      </w:tr>
      <w:tr>
        <w:trPr>
          <w:trHeight w:val="167"/>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Submarine Networks</w:t>
            </w: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1 120</w:t>
            </w:r>
          </w:p>
        </w:tc>
        <w:tc>
          <w:tcPr>
            <w:tcW w:w="58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1 150</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929</w:t>
            </w:r>
          </w:p>
        </w:tc>
      </w:tr>
      <w:tr>
        <w:trPr>
          <w:trHeight w:val="142"/>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58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50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22 202</w:t>
            </w:r>
          </w:p>
        </w:tc>
      </w:tr>
    </w:tbl>
    <w:p>
      <w:pPr>
        <w:spacing w:after="0" w:line="12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 sales by customer type</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Communications service providers</w:t>
            </w:r>
          </w:p>
        </w:tc>
        <w:tc>
          <w:tcPr>
            <w:tcW w:w="5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17 652</w:t>
            </w:r>
          </w:p>
        </w:tc>
        <w:tc>
          <w:tcPr>
            <w:tcW w:w="5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19 921</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17 977</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Enterprise</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2 282</w:t>
            </w:r>
          </w:p>
        </w:tc>
        <w:tc>
          <w:tcPr>
            <w:tcW w:w="5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1 997</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1 575</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Licensees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1 085</w:t>
            </w:r>
          </w:p>
        </w:tc>
        <w:tc>
          <w:tcPr>
            <w:tcW w:w="5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1 595</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1 502</w:t>
            </w:r>
          </w:p>
        </w:tc>
      </w:tr>
      <w:tr>
        <w:trPr>
          <w:trHeight w:val="172"/>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Other </w:t>
            </w:r>
            <w:r>
              <w:rPr>
                <w:rFonts w:ascii="Times New Roman" w:cs="Times New Roman" w:eastAsia="Times New Roman" w:hAnsi="Times New Roman"/>
                <w:sz w:val="13"/>
                <w:szCs w:val="13"/>
                <w:color w:val="0D0D0D"/>
                <w:vertAlign w:val="superscript"/>
              </w:rPr>
              <w:t>(1)</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1 239</w:t>
            </w:r>
          </w:p>
        </w:tc>
        <w:tc>
          <w:tcPr>
            <w:tcW w:w="5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1 398</w:t>
            </w:r>
          </w:p>
        </w:tc>
        <w:tc>
          <w:tcPr>
            <w:tcW w:w="5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1 148</w:t>
            </w:r>
          </w:p>
        </w:tc>
      </w:tr>
      <w:tr>
        <w:trPr>
          <w:trHeight w:val="137"/>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5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5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22 202</w:t>
            </w:r>
          </w:p>
        </w:tc>
      </w:tr>
    </w:tbl>
    <w:p>
      <w:pPr>
        <w:spacing w:after="0" w:line="41" w:lineRule="exact"/>
        <w:rPr>
          <w:sz w:val="20"/>
          <w:szCs w:val="20"/>
          <w:color w:val="auto"/>
        </w:rPr>
      </w:pPr>
    </w:p>
    <w:p>
      <w:pPr>
        <w:ind w:left="200" w:right="360" w:hanging="199"/>
        <w:spacing w:after="0" w:line="265" w:lineRule="auto"/>
        <w:tabs>
          <w:tab w:leader="none" w:pos="200" w:val="left"/>
        </w:tabs>
        <w:numPr>
          <w:ilvl w:val="0"/>
          <w:numId w:val="11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net sales of Submarine Networks which operates in a different market, and Radio Frequency Systems (RFS), which is being managed as a separate entity, and certain other items, such as eliminations of inter-segment revenues. Submarine Networks and RFS net sales also include revenue from communications service providers and enterprise customers.</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Order backlog</w:t>
      </w:r>
    </w:p>
    <w:p>
      <w:pPr>
        <w:spacing w:after="0" w:line="32"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color w:val="auto"/>
        </w:rPr>
        <w:t>At 31 December 2023 , the aggregate amount of the transaction price allocated to partially or wholly unsatisfied performance obligations arising from fixed contractual commitments amounted to EUR 22.0 billion (EUR19.5 billion in 2022 ). Management has estimated that these unsatisfied performance obligations will be recognized as revenue as follows:</w:t>
      </w:r>
    </w:p>
    <w:p>
      <w:pPr>
        <w:spacing w:after="0" w:line="112"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18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Within 1 year</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51%</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75%</w:t>
            </w:r>
          </w:p>
        </w:tc>
      </w:tr>
      <w:tr>
        <w:trPr>
          <w:trHeight w:val="162"/>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2-3 years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30%</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w:t>
            </w:r>
          </w:p>
        </w:tc>
      </w:tr>
      <w:tr>
        <w:trPr>
          <w:trHeight w:val="167"/>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More than 3 years</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19%</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4%</w:t>
            </w:r>
          </w:p>
        </w:tc>
      </w:tr>
      <w:tr>
        <w:trPr>
          <w:trHeight w:val="142"/>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100%</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100%</w:t>
            </w:r>
          </w:p>
        </w:tc>
      </w:tr>
    </w:tbl>
    <w:p>
      <w:pPr>
        <w:spacing w:after="0" w:line="119" w:lineRule="exact"/>
        <w:rPr>
          <w:sz w:val="20"/>
          <w:szCs w:val="20"/>
          <w:color w:val="auto"/>
        </w:rPr>
      </w:pPr>
    </w:p>
    <w:p>
      <w:pPr>
        <w:ind w:right="420"/>
        <w:spacing w:after="0" w:line="276" w:lineRule="auto"/>
        <w:rPr>
          <w:sz w:val="20"/>
          <w:szCs w:val="20"/>
          <w:color w:val="auto"/>
        </w:rPr>
      </w:pPr>
      <w:r>
        <w:rPr>
          <w:rFonts w:ascii="Times New Roman" w:cs="Times New Roman" w:eastAsia="Times New Roman" w:hAnsi="Times New Roman"/>
          <w:sz w:val="11"/>
          <w:szCs w:val="11"/>
          <w:color w:val="auto"/>
        </w:rPr>
        <w:t>The estimated timing of the satisfaction of these performance obligations is subject to change owing to factors beyond Nokia’s control such as customer and network demand, market conditions and, in some cases, restrictions imposed by the weather or other factors impacting project logistics. Revenue recognized in the reporting period from performance obligations satisfied (or partially satisfied) in previous periods (for example, due to changes in transaction price) was not material.</w:t>
      </w:r>
    </w:p>
    <w:p>
      <w:pPr>
        <w:sectPr>
          <w:pgSz w:w="11900" w:h="16838" w:orient="portrait"/>
          <w:cols w:equalWidth="0" w:num="3">
            <w:col w:w="3020" w:space="380"/>
            <w:col w:w="3260" w:space="140"/>
            <w:col w:w="3260"/>
          </w:cols>
          <w:pgMar w:left="960" w:top="410" w:right="879" w:bottom="1440" w:gutter="0" w:footer="0" w:header="0"/>
          <w:type w:val="continuous"/>
        </w:sectPr>
      </w:pPr>
    </w:p>
    <w:bookmarkStart w:id="160" w:name="page161"/>
    <w:bookmarkEnd w:id="160"/>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2.2. Segment information</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160"/>
        <w:spacing w:after="0" w:line="265" w:lineRule="auto"/>
        <w:rPr>
          <w:sz w:val="20"/>
          <w:szCs w:val="20"/>
          <w:color w:val="auto"/>
        </w:rPr>
      </w:pPr>
      <w:r>
        <w:rPr>
          <w:rFonts w:ascii="Times New Roman" w:cs="Times New Roman" w:eastAsia="Times New Roman" w:hAnsi="Times New Roman"/>
          <w:sz w:val="11"/>
          <w:szCs w:val="11"/>
          <w:color w:val="auto"/>
        </w:rPr>
        <w:t>Nokia has four operating and reportable segments for financial reporting purposes: (1) Network Infrastructure,</w:t>
      </w:r>
    </w:p>
    <w:p>
      <w:pPr>
        <w:ind w:left="160" w:right="60" w:hanging="6"/>
        <w:spacing w:after="0" w:line="261" w:lineRule="auto"/>
        <w:tabs>
          <w:tab w:leader="none" w:pos="322" w:val="left"/>
        </w:tabs>
        <w:numPr>
          <w:ilvl w:val="0"/>
          <w:numId w:val="11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Mobile Networks, (3) Cloud and Network Services and (4) Nokia Technologies. In addition, Nokia provides net sales disclosure for the following business divisions within the Network Infrastructure segment:</w:t>
      </w:r>
    </w:p>
    <w:p>
      <w:pPr>
        <w:spacing w:after="0" w:line="1" w:lineRule="exact"/>
        <w:rPr>
          <w:rFonts w:ascii="Times New Roman" w:cs="Times New Roman" w:eastAsia="Times New Roman" w:hAnsi="Times New Roman"/>
          <w:sz w:val="11"/>
          <w:szCs w:val="11"/>
          <w:color w:val="auto"/>
        </w:rPr>
      </w:pPr>
    </w:p>
    <w:p>
      <w:pPr>
        <w:ind w:left="160"/>
        <w:spacing w:after="0" w:line="286" w:lineRule="auto"/>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(i) IP Networks, (ii) Optical Networks, (iii) Fixed Networks and (iv) Submarine Networks.</w:t>
      </w:r>
    </w:p>
    <w:p>
      <w:pPr>
        <w:spacing w:after="0" w:line="40" w:lineRule="exact"/>
        <w:rPr>
          <w:sz w:val="20"/>
          <w:szCs w:val="20"/>
          <w:color w:val="auto"/>
        </w:rPr>
      </w:pPr>
    </w:p>
    <w:p>
      <w:pPr>
        <w:ind w:left="160" w:right="220"/>
        <w:spacing w:after="0" w:line="264" w:lineRule="auto"/>
        <w:rPr>
          <w:sz w:val="20"/>
          <w:szCs w:val="20"/>
          <w:color w:val="auto"/>
        </w:rPr>
      </w:pPr>
      <w:r>
        <w:rPr>
          <w:rFonts w:ascii="Times New Roman" w:cs="Times New Roman" w:eastAsia="Times New Roman" w:hAnsi="Times New Roman"/>
          <w:sz w:val="11"/>
          <w:szCs w:val="11"/>
          <w:color w:val="auto"/>
        </w:rPr>
        <w:t>The President and CEO is the chief operating decision-maker monitoring the operating results of segments for the purpose of assessing performance and making decisions about resource allocation. Key financial performance measures of the segments comprise primarily net sales and segment operating profit.</w:t>
      </w:r>
    </w:p>
    <w:p>
      <w:pPr>
        <w:spacing w:after="0" w:line="1" w:lineRule="exact"/>
        <w:rPr>
          <w:sz w:val="20"/>
          <w:szCs w:val="20"/>
          <w:color w:val="auto"/>
        </w:rPr>
      </w:pPr>
    </w:p>
    <w:p>
      <w:pPr>
        <w:ind w:left="160" w:right="240"/>
        <w:spacing w:after="0" w:line="265" w:lineRule="auto"/>
        <w:rPr>
          <w:sz w:val="20"/>
          <w:szCs w:val="20"/>
          <w:color w:val="auto"/>
        </w:rPr>
      </w:pPr>
      <w:r>
        <w:rPr>
          <w:rFonts w:ascii="Times New Roman" w:cs="Times New Roman" w:eastAsia="Times New Roman" w:hAnsi="Times New Roman"/>
          <w:sz w:val="11"/>
          <w:szCs w:val="11"/>
          <w:color w:val="auto"/>
        </w:rPr>
        <w:t>The evaluation of segment performance and allocation of resources is primarily based on segment operating profit which the management believes is the most relevant measure for this purpose. Segment operating profit excludes intangible asset amortization and other purchase price fair value adjustments, goodwill impairments, restructuring-related charges and certain other items of income and expenses that may not be indicative of the business operating results.</w:t>
      </w:r>
    </w:p>
    <w:p>
      <w:pPr>
        <w:spacing w:after="0" w:line="51" w:lineRule="exact"/>
        <w:rPr>
          <w:sz w:val="20"/>
          <w:szCs w:val="20"/>
          <w:color w:val="auto"/>
        </w:rPr>
      </w:pPr>
    </w:p>
    <w:p>
      <w:pPr>
        <w:ind w:left="160" w:right="240"/>
        <w:spacing w:after="0" w:line="269" w:lineRule="auto"/>
        <w:rPr>
          <w:sz w:val="20"/>
          <w:szCs w:val="20"/>
          <w:color w:val="auto"/>
        </w:rPr>
      </w:pPr>
      <w:r>
        <w:rPr>
          <w:rFonts w:ascii="Times New Roman" w:cs="Times New Roman" w:eastAsia="Times New Roman" w:hAnsi="Times New Roman"/>
          <w:sz w:val="11"/>
          <w:szCs w:val="11"/>
          <w:color w:val="auto"/>
        </w:rPr>
        <w:t>Accounting policies of the segments are the same as those for the Group except for the aforementioned items of income and expenses that are not allocated to the segments. Inter-segment revenues and transfers are accounted for as if the revenues were to third parties, that is, at current market prices.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3"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49"/>
        </w:trPr>
        <w:tc>
          <w:tcPr>
            <w:tcW w:w="1640" w:type="dxa"/>
            <w:vAlign w:val="bottom"/>
          </w:tcPr>
          <w:p>
            <w:pPr>
              <w:spacing w:after="0"/>
              <w:rPr>
                <w:sz w:val="20"/>
                <w:szCs w:val="20"/>
                <w:color w:val="auto"/>
              </w:rPr>
            </w:pPr>
            <w:r>
              <w:rPr>
                <w:rFonts w:ascii="Times New Roman" w:cs="Times New Roman" w:eastAsia="Times New Roman" w:hAnsi="Times New Roman"/>
                <w:sz w:val="13"/>
                <w:szCs w:val="13"/>
                <w:color w:val="auto"/>
              </w:rPr>
              <w:t>Segment descriptions</w:t>
            </w:r>
          </w:p>
        </w:tc>
        <w:tc>
          <w:tcPr>
            <w:tcW w:w="142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2260" w:type="dxa"/>
            <w:vAlign w:val="bottom"/>
          </w:tcPr>
          <w:p>
            <w:pPr>
              <w:ind w:left="120"/>
              <w:spacing w:after="0"/>
              <w:rPr>
                <w:sz w:val="20"/>
                <w:szCs w:val="20"/>
                <w:color w:val="auto"/>
              </w:rPr>
            </w:pPr>
            <w:r>
              <w:rPr>
                <w:rFonts w:ascii="Times New Roman" w:cs="Times New Roman" w:eastAsia="Times New Roman" w:hAnsi="Times New Roman"/>
                <w:sz w:val="11"/>
                <w:szCs w:val="11"/>
                <w:b w:val="1"/>
                <w:bCs w:val="1"/>
                <w:color w:val="auto"/>
              </w:rPr>
              <w:t>Nokia Technologies</w:t>
            </w:r>
          </w:p>
        </w:tc>
        <w:tc>
          <w:tcPr>
            <w:tcW w:w="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1640" w:type="dxa"/>
            <w:vAlign w:val="bottom"/>
            <w:vMerge w:val="restart"/>
          </w:tcPr>
          <w:p>
            <w:pPr>
              <w:spacing w:after="0"/>
              <w:rPr>
                <w:sz w:val="20"/>
                <w:szCs w:val="20"/>
                <w:color w:val="auto"/>
              </w:rPr>
            </w:pPr>
            <w:r>
              <w:rPr>
                <w:rFonts w:ascii="Times New Roman" w:cs="Times New Roman" w:eastAsia="Times New Roman" w:hAnsi="Times New Roman"/>
                <w:sz w:val="11"/>
                <w:szCs w:val="11"/>
                <w:b w:val="1"/>
                <w:bCs w:val="1"/>
                <w:color w:val="auto"/>
              </w:rPr>
              <w:t>Network Infrastructure</w:t>
            </w:r>
          </w:p>
        </w:tc>
        <w:tc>
          <w:tcPr>
            <w:tcW w:w="142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3240" w:type="dxa"/>
            <w:vAlign w:val="bottom"/>
            <w:gridSpan w:val="2"/>
          </w:tcPr>
          <w:p>
            <w:pPr>
              <w:ind w:left="120"/>
              <w:spacing w:after="0"/>
              <w:rPr>
                <w:sz w:val="20"/>
                <w:szCs w:val="20"/>
                <w:color w:val="auto"/>
              </w:rPr>
            </w:pPr>
            <w:r>
              <w:rPr>
                <w:rFonts w:ascii="Times New Roman" w:cs="Times New Roman" w:eastAsia="Times New Roman" w:hAnsi="Times New Roman"/>
                <w:sz w:val="11"/>
                <w:szCs w:val="11"/>
                <w:color w:val="auto"/>
              </w:rPr>
              <w:t>Nokia Technologies segment monetizes Nokia’s intellectual</w:t>
            </w:r>
          </w:p>
        </w:tc>
        <w:tc>
          <w:tcPr>
            <w:tcW w:w="0" w:type="dxa"/>
            <w:vAlign w:val="bottom"/>
          </w:tcPr>
          <w:p>
            <w:pPr>
              <w:spacing w:after="0"/>
              <w:rPr>
                <w:sz w:val="1"/>
                <w:szCs w:val="1"/>
                <w:color w:val="auto"/>
              </w:rPr>
            </w:pPr>
          </w:p>
        </w:tc>
      </w:tr>
      <w:tr>
        <w:trPr>
          <w:trHeight w:val="40"/>
        </w:trPr>
        <w:tc>
          <w:tcPr>
            <w:tcW w:w="1640" w:type="dxa"/>
            <w:vAlign w:val="bottom"/>
            <w:vMerge w:val="continue"/>
          </w:tcPr>
          <w:p>
            <w:pPr>
              <w:spacing w:after="0"/>
              <w:rPr>
                <w:sz w:val="3"/>
                <w:szCs w:val="3"/>
                <w:color w:val="auto"/>
              </w:rPr>
            </w:pPr>
          </w:p>
        </w:tc>
        <w:tc>
          <w:tcPr>
            <w:tcW w:w="1420" w:type="dxa"/>
            <w:vAlign w:val="bottom"/>
          </w:tcPr>
          <w:p>
            <w:pPr>
              <w:spacing w:after="0"/>
              <w:rPr>
                <w:sz w:val="3"/>
                <w:szCs w:val="3"/>
                <w:color w:val="auto"/>
              </w:rPr>
            </w:pPr>
          </w:p>
        </w:tc>
        <w:tc>
          <w:tcPr>
            <w:tcW w:w="220" w:type="dxa"/>
            <w:vAlign w:val="bottom"/>
          </w:tcPr>
          <w:p>
            <w:pPr>
              <w:spacing w:after="0"/>
              <w:rPr>
                <w:sz w:val="3"/>
                <w:szCs w:val="3"/>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property, including patents, technologies and the Nokia brand,</w:t>
            </w:r>
          </w:p>
        </w:tc>
        <w:tc>
          <w:tcPr>
            <w:tcW w:w="0" w:type="dxa"/>
            <w:vAlign w:val="bottom"/>
          </w:tcPr>
          <w:p>
            <w:pPr>
              <w:spacing w:after="0"/>
              <w:rPr>
                <w:sz w:val="1"/>
                <w:szCs w:val="1"/>
                <w:color w:val="auto"/>
              </w:rPr>
            </w:pPr>
          </w:p>
        </w:tc>
      </w:tr>
      <w:tr>
        <w:trPr>
          <w:trHeight w:val="9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The Network Infrastructure segment serves communications</w:t>
            </w:r>
          </w:p>
        </w:tc>
        <w:tc>
          <w:tcPr>
            <w:tcW w:w="220" w:type="dxa"/>
            <w:vAlign w:val="bottom"/>
          </w:tcPr>
          <w:p>
            <w:pPr>
              <w:spacing w:after="0"/>
              <w:rPr>
                <w:sz w:val="7"/>
                <w:szCs w:val="7"/>
                <w:color w:val="auto"/>
              </w:rPr>
            </w:pPr>
          </w:p>
        </w:tc>
        <w:tc>
          <w:tcPr>
            <w:tcW w:w="324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60" w:type="dxa"/>
            <w:vAlign w:val="bottom"/>
            <w:gridSpan w:val="2"/>
            <w:vMerge w:val="continue"/>
          </w:tcPr>
          <w:p>
            <w:pPr>
              <w:spacing w:after="0"/>
              <w:rPr>
                <w:sz w:val="4"/>
                <w:szCs w:val="4"/>
                <w:color w:val="auto"/>
              </w:rPr>
            </w:pPr>
          </w:p>
        </w:tc>
        <w:tc>
          <w:tcPr>
            <w:tcW w:w="220" w:type="dxa"/>
            <w:vAlign w:val="bottom"/>
          </w:tcPr>
          <w:p>
            <w:pPr>
              <w:spacing w:after="0"/>
              <w:rPr>
                <w:sz w:val="4"/>
                <w:szCs w:val="4"/>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building on Nokia’s continued innovation leadership, long-term</w:t>
            </w:r>
          </w:p>
        </w:tc>
        <w:tc>
          <w:tcPr>
            <w:tcW w:w="0" w:type="dxa"/>
            <w:vAlign w:val="bottom"/>
          </w:tcPr>
          <w:p>
            <w:pPr>
              <w:spacing w:after="0"/>
              <w:rPr>
                <w:sz w:val="1"/>
                <w:szCs w:val="1"/>
                <w:color w:val="auto"/>
              </w:rPr>
            </w:pPr>
          </w:p>
        </w:tc>
      </w:tr>
      <w:tr>
        <w:trPr>
          <w:trHeight w:val="9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service providers, enterprises, webscales and public sector</w:t>
            </w:r>
          </w:p>
        </w:tc>
        <w:tc>
          <w:tcPr>
            <w:tcW w:w="220" w:type="dxa"/>
            <w:vAlign w:val="bottom"/>
          </w:tcPr>
          <w:p>
            <w:pPr>
              <w:spacing w:after="0"/>
              <w:rPr>
                <w:sz w:val="7"/>
                <w:szCs w:val="7"/>
                <w:color w:val="auto"/>
              </w:rPr>
            </w:pPr>
          </w:p>
        </w:tc>
        <w:tc>
          <w:tcPr>
            <w:tcW w:w="324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060" w:type="dxa"/>
            <w:vAlign w:val="bottom"/>
            <w:gridSpan w:val="2"/>
            <w:vMerge w:val="continue"/>
          </w:tcPr>
          <w:p>
            <w:pPr>
              <w:spacing w:after="0"/>
              <w:rPr>
                <w:sz w:val="3"/>
                <w:szCs w:val="3"/>
                <w:color w:val="auto"/>
              </w:rPr>
            </w:pPr>
          </w:p>
        </w:tc>
        <w:tc>
          <w:tcPr>
            <w:tcW w:w="220" w:type="dxa"/>
            <w:vAlign w:val="bottom"/>
          </w:tcPr>
          <w:p>
            <w:pPr>
              <w:spacing w:after="0"/>
              <w:rPr>
                <w:sz w:val="3"/>
                <w:szCs w:val="3"/>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investment into research and development, and decades of</w:t>
            </w:r>
          </w:p>
        </w:tc>
        <w:tc>
          <w:tcPr>
            <w:tcW w:w="0" w:type="dxa"/>
            <w:vAlign w:val="bottom"/>
          </w:tcPr>
          <w:p>
            <w:pPr>
              <w:spacing w:after="0"/>
              <w:rPr>
                <w:sz w:val="1"/>
                <w:szCs w:val="1"/>
                <w:color w:val="auto"/>
              </w:rPr>
            </w:pPr>
          </w:p>
        </w:tc>
      </w:tr>
      <w:tr>
        <w:trPr>
          <w:trHeight w:val="9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customers. It comprises the following business divisions:</w:t>
            </w:r>
          </w:p>
        </w:tc>
        <w:tc>
          <w:tcPr>
            <w:tcW w:w="220" w:type="dxa"/>
            <w:vAlign w:val="bottom"/>
          </w:tcPr>
          <w:p>
            <w:pPr>
              <w:spacing w:after="0"/>
              <w:rPr>
                <w:sz w:val="7"/>
                <w:szCs w:val="7"/>
                <w:color w:val="auto"/>
              </w:rPr>
            </w:pPr>
          </w:p>
        </w:tc>
        <w:tc>
          <w:tcPr>
            <w:tcW w:w="324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60" w:type="dxa"/>
            <w:vAlign w:val="bottom"/>
            <w:gridSpan w:val="2"/>
            <w:vMerge w:val="continue"/>
          </w:tcPr>
          <w:p>
            <w:pPr>
              <w:spacing w:after="0"/>
              <w:rPr>
                <w:sz w:val="4"/>
                <w:szCs w:val="4"/>
                <w:color w:val="auto"/>
              </w:rPr>
            </w:pPr>
          </w:p>
        </w:tc>
        <w:tc>
          <w:tcPr>
            <w:tcW w:w="220" w:type="dxa"/>
            <w:vAlign w:val="bottom"/>
          </w:tcPr>
          <w:p>
            <w:pPr>
              <w:spacing w:after="0"/>
              <w:rPr>
                <w:sz w:val="4"/>
                <w:szCs w:val="4"/>
                <w:color w:val="auto"/>
              </w:rPr>
            </w:pPr>
          </w:p>
        </w:tc>
        <w:tc>
          <w:tcPr>
            <w:tcW w:w="2260" w:type="dxa"/>
            <w:vAlign w:val="bottom"/>
            <w:vMerge w:val="restart"/>
          </w:tcPr>
          <w:p>
            <w:pPr>
              <w:ind w:left="120"/>
              <w:spacing w:after="0"/>
              <w:rPr>
                <w:sz w:val="20"/>
                <w:szCs w:val="20"/>
                <w:color w:val="auto"/>
              </w:rPr>
            </w:pPr>
            <w:r>
              <w:rPr>
                <w:rFonts w:ascii="Times New Roman" w:cs="Times New Roman" w:eastAsia="Times New Roman" w:hAnsi="Times New Roman"/>
                <w:sz w:val="11"/>
                <w:szCs w:val="11"/>
                <w:color w:val="auto"/>
              </w:rPr>
              <w:t>driving technology standards development.</w:t>
            </w:r>
          </w:p>
        </w:tc>
        <w:tc>
          <w:tcPr>
            <w:tcW w:w="98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The majority of net</w:t>
            </w:r>
          </w:p>
        </w:tc>
        <w:tc>
          <w:tcPr>
            <w:tcW w:w="0" w:type="dxa"/>
            <w:vAlign w:val="bottom"/>
          </w:tcPr>
          <w:p>
            <w:pPr>
              <w:spacing w:after="0"/>
              <w:rPr>
                <w:sz w:val="1"/>
                <w:szCs w:val="1"/>
                <w:color w:val="auto"/>
              </w:rPr>
            </w:pPr>
          </w:p>
        </w:tc>
      </w:tr>
      <w:tr>
        <w:trPr>
          <w:trHeight w:val="9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(i) IP Networks, which provides IP networks and services</w:t>
            </w:r>
          </w:p>
        </w:tc>
        <w:tc>
          <w:tcPr>
            <w:tcW w:w="220" w:type="dxa"/>
            <w:vAlign w:val="bottom"/>
          </w:tcPr>
          <w:p>
            <w:pPr>
              <w:spacing w:after="0"/>
              <w:rPr>
                <w:sz w:val="7"/>
                <w:szCs w:val="7"/>
                <w:color w:val="auto"/>
              </w:rPr>
            </w:pPr>
          </w:p>
        </w:tc>
        <w:tc>
          <w:tcPr>
            <w:tcW w:w="2260" w:type="dxa"/>
            <w:vAlign w:val="bottom"/>
            <w:vMerge w:val="continue"/>
          </w:tcPr>
          <w:p>
            <w:pPr>
              <w:spacing w:after="0"/>
              <w:rPr>
                <w:sz w:val="7"/>
                <w:szCs w:val="7"/>
                <w:color w:val="auto"/>
              </w:rPr>
            </w:pPr>
          </w:p>
        </w:tc>
        <w:tc>
          <w:tcPr>
            <w:tcW w:w="98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060" w:type="dxa"/>
            <w:vAlign w:val="bottom"/>
            <w:gridSpan w:val="2"/>
            <w:vMerge w:val="continue"/>
          </w:tcPr>
          <w:p>
            <w:pPr>
              <w:spacing w:after="0"/>
              <w:rPr>
                <w:sz w:val="3"/>
                <w:szCs w:val="3"/>
                <w:color w:val="auto"/>
              </w:rPr>
            </w:pPr>
          </w:p>
        </w:tc>
        <w:tc>
          <w:tcPr>
            <w:tcW w:w="220" w:type="dxa"/>
            <w:vAlign w:val="bottom"/>
          </w:tcPr>
          <w:p>
            <w:pPr>
              <w:spacing w:after="0"/>
              <w:rPr>
                <w:sz w:val="3"/>
                <w:szCs w:val="3"/>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sales and related costs and expenses attributable to licensing</w:t>
            </w:r>
          </w:p>
        </w:tc>
        <w:tc>
          <w:tcPr>
            <w:tcW w:w="0" w:type="dxa"/>
            <w:vAlign w:val="bottom"/>
          </w:tcPr>
          <w:p>
            <w:pPr>
              <w:spacing w:after="0"/>
              <w:rPr>
                <w:sz w:val="1"/>
                <w:szCs w:val="1"/>
                <w:color w:val="auto"/>
              </w:rPr>
            </w:pPr>
          </w:p>
        </w:tc>
      </w:tr>
      <w:tr>
        <w:trPr>
          <w:trHeight w:val="10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for residential, mobile, enterprise and cloud applications;</w:t>
            </w:r>
          </w:p>
        </w:tc>
        <w:tc>
          <w:tcPr>
            <w:tcW w:w="220" w:type="dxa"/>
            <w:vAlign w:val="bottom"/>
          </w:tcPr>
          <w:p>
            <w:pPr>
              <w:spacing w:after="0"/>
              <w:rPr>
                <w:sz w:val="8"/>
                <w:szCs w:val="8"/>
                <w:color w:val="auto"/>
              </w:rPr>
            </w:pPr>
          </w:p>
        </w:tc>
        <w:tc>
          <w:tcPr>
            <w:tcW w:w="3240" w:type="dxa"/>
            <w:vAlign w:val="bottom"/>
            <w:gridSpan w:val="2"/>
            <w:vMerge w:val="continue"/>
          </w:tcPr>
          <w:p>
            <w:pPr>
              <w:spacing w:after="0"/>
              <w:rPr>
                <w:sz w:val="8"/>
                <w:szCs w:val="8"/>
                <w:color w:val="auto"/>
              </w:rPr>
            </w:pPr>
          </w:p>
        </w:tc>
        <w:tc>
          <w:tcPr>
            <w:tcW w:w="0" w:type="dxa"/>
            <w:vAlign w:val="bottom"/>
          </w:tcPr>
          <w:p>
            <w:pPr>
              <w:spacing w:after="0"/>
              <w:rPr>
                <w:sz w:val="1"/>
                <w:szCs w:val="1"/>
                <w:color w:val="auto"/>
              </w:rPr>
            </w:pPr>
          </w:p>
        </w:tc>
      </w:tr>
      <w:tr>
        <w:trPr>
          <w:trHeight w:val="40"/>
        </w:trPr>
        <w:tc>
          <w:tcPr>
            <w:tcW w:w="3060" w:type="dxa"/>
            <w:vAlign w:val="bottom"/>
            <w:gridSpan w:val="2"/>
            <w:vMerge w:val="continue"/>
          </w:tcPr>
          <w:p>
            <w:pPr>
              <w:spacing w:after="0"/>
              <w:rPr>
                <w:sz w:val="3"/>
                <w:szCs w:val="3"/>
                <w:color w:val="auto"/>
              </w:rPr>
            </w:pPr>
          </w:p>
        </w:tc>
        <w:tc>
          <w:tcPr>
            <w:tcW w:w="220" w:type="dxa"/>
            <w:vAlign w:val="bottom"/>
          </w:tcPr>
          <w:p>
            <w:pPr>
              <w:spacing w:after="0"/>
              <w:rPr>
                <w:sz w:val="3"/>
                <w:szCs w:val="3"/>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and patenting the patent portfolio of Nokia is recorded in</w:t>
            </w:r>
          </w:p>
        </w:tc>
        <w:tc>
          <w:tcPr>
            <w:tcW w:w="0" w:type="dxa"/>
            <w:vAlign w:val="bottom"/>
          </w:tcPr>
          <w:p>
            <w:pPr>
              <w:spacing w:after="0"/>
              <w:rPr>
                <w:sz w:val="1"/>
                <w:szCs w:val="1"/>
                <w:color w:val="auto"/>
              </w:rPr>
            </w:pPr>
          </w:p>
        </w:tc>
      </w:tr>
      <w:tr>
        <w:trPr>
          <w:trHeight w:val="91"/>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(ii) Optical Networks, which provides optical transport</w:t>
            </w:r>
          </w:p>
        </w:tc>
        <w:tc>
          <w:tcPr>
            <w:tcW w:w="220" w:type="dxa"/>
            <w:vAlign w:val="bottom"/>
          </w:tcPr>
          <w:p>
            <w:pPr>
              <w:spacing w:after="0"/>
              <w:rPr>
                <w:sz w:val="7"/>
                <w:szCs w:val="7"/>
                <w:color w:val="auto"/>
              </w:rPr>
            </w:pPr>
          </w:p>
        </w:tc>
        <w:tc>
          <w:tcPr>
            <w:tcW w:w="324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060" w:type="dxa"/>
            <w:vAlign w:val="bottom"/>
            <w:gridSpan w:val="2"/>
            <w:vMerge w:val="continue"/>
          </w:tcPr>
          <w:p>
            <w:pPr>
              <w:spacing w:after="0"/>
              <w:rPr>
                <w:sz w:val="4"/>
                <w:szCs w:val="4"/>
                <w:color w:val="auto"/>
              </w:rPr>
            </w:pPr>
          </w:p>
        </w:tc>
        <w:tc>
          <w:tcPr>
            <w:tcW w:w="220" w:type="dxa"/>
            <w:vAlign w:val="bottom"/>
          </w:tcPr>
          <w:p>
            <w:pPr>
              <w:spacing w:after="0"/>
              <w:rPr>
                <w:sz w:val="4"/>
                <w:szCs w:val="4"/>
                <w:color w:val="auto"/>
              </w:rPr>
            </w:pPr>
          </w:p>
        </w:tc>
        <w:tc>
          <w:tcPr>
            <w:tcW w:w="3240" w:type="dxa"/>
            <w:vAlign w:val="bottom"/>
            <w:gridSpan w:val="2"/>
            <w:vMerge w:val="restart"/>
          </w:tcPr>
          <w:p>
            <w:pPr>
              <w:ind w:left="120"/>
              <w:spacing w:after="0"/>
              <w:rPr>
                <w:sz w:val="20"/>
                <w:szCs w:val="20"/>
                <w:color w:val="auto"/>
              </w:rPr>
            </w:pPr>
            <w:r>
              <w:rPr>
                <w:rFonts w:ascii="Times New Roman" w:cs="Times New Roman" w:eastAsia="Times New Roman" w:hAnsi="Times New Roman"/>
                <w:sz w:val="11"/>
                <w:szCs w:val="11"/>
                <w:color w:val="auto"/>
              </w:rPr>
              <w:t>Nokia Technologies, while each segment separately records</w:t>
            </w:r>
          </w:p>
        </w:tc>
        <w:tc>
          <w:tcPr>
            <w:tcW w:w="0" w:type="dxa"/>
            <w:vAlign w:val="bottom"/>
          </w:tcPr>
          <w:p>
            <w:pPr>
              <w:spacing w:after="0"/>
              <w:rPr>
                <w:sz w:val="1"/>
                <w:szCs w:val="1"/>
                <w:color w:val="auto"/>
              </w:rPr>
            </w:pPr>
          </w:p>
        </w:tc>
      </w:tr>
      <w:tr>
        <w:trPr>
          <w:trHeight w:val="91"/>
        </w:trPr>
        <w:tc>
          <w:tcPr>
            <w:tcW w:w="16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networks for metro, regional, and</w:t>
            </w:r>
          </w:p>
        </w:tc>
        <w:tc>
          <w:tcPr>
            <w:tcW w:w="1420" w:type="dxa"/>
            <w:vAlign w:val="bottom"/>
            <w:vMerge w:val="restart"/>
          </w:tcPr>
          <w:p>
            <w:pPr>
              <w:ind w:left="100"/>
              <w:spacing w:after="0"/>
              <w:rPr>
                <w:sz w:val="20"/>
                <w:szCs w:val="20"/>
                <w:color w:val="auto"/>
              </w:rPr>
            </w:pPr>
            <w:r>
              <w:rPr>
                <w:rFonts w:ascii="Times New Roman" w:cs="Times New Roman" w:eastAsia="Times New Roman" w:hAnsi="Times New Roman"/>
                <w:sz w:val="11"/>
                <w:szCs w:val="11"/>
                <w:color w:val="auto"/>
              </w:rPr>
              <w:t>long-haul applications, and</w:t>
            </w:r>
          </w:p>
        </w:tc>
        <w:tc>
          <w:tcPr>
            <w:tcW w:w="220" w:type="dxa"/>
            <w:vAlign w:val="bottom"/>
          </w:tcPr>
          <w:p>
            <w:pPr>
              <w:spacing w:after="0"/>
              <w:rPr>
                <w:sz w:val="7"/>
                <w:szCs w:val="7"/>
                <w:color w:val="auto"/>
              </w:rPr>
            </w:pPr>
          </w:p>
        </w:tc>
        <w:tc>
          <w:tcPr>
            <w:tcW w:w="3240" w:type="dxa"/>
            <w:vAlign w:val="bottom"/>
            <w:gridSpan w:val="2"/>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1640" w:type="dxa"/>
            <w:vAlign w:val="bottom"/>
            <w:vMerge w:val="continue"/>
          </w:tcPr>
          <w:p>
            <w:pPr>
              <w:spacing w:after="0"/>
              <w:rPr>
                <w:sz w:val="3"/>
                <w:szCs w:val="3"/>
                <w:color w:val="auto"/>
              </w:rPr>
            </w:pPr>
          </w:p>
        </w:tc>
        <w:tc>
          <w:tcPr>
            <w:tcW w:w="1420" w:type="dxa"/>
            <w:vAlign w:val="bottom"/>
            <w:vMerge w:val="continue"/>
          </w:tcPr>
          <w:p>
            <w:pPr>
              <w:spacing w:after="0"/>
              <w:rPr>
                <w:sz w:val="3"/>
                <w:szCs w:val="3"/>
                <w:color w:val="auto"/>
              </w:rPr>
            </w:pPr>
          </w:p>
        </w:tc>
        <w:tc>
          <w:tcPr>
            <w:tcW w:w="220" w:type="dxa"/>
            <w:vAlign w:val="bottom"/>
          </w:tcPr>
          <w:p>
            <w:pPr>
              <w:spacing w:after="0"/>
              <w:rPr>
                <w:sz w:val="3"/>
                <w:szCs w:val="3"/>
                <w:color w:val="auto"/>
              </w:rPr>
            </w:pPr>
          </w:p>
        </w:tc>
        <w:tc>
          <w:tcPr>
            <w:tcW w:w="2260" w:type="dxa"/>
            <w:vAlign w:val="bottom"/>
            <w:vMerge w:val="restart"/>
          </w:tcPr>
          <w:p>
            <w:pPr>
              <w:ind w:left="120"/>
              <w:spacing w:after="0"/>
              <w:rPr>
                <w:sz w:val="20"/>
                <w:szCs w:val="20"/>
                <w:color w:val="auto"/>
              </w:rPr>
            </w:pPr>
            <w:r>
              <w:rPr>
                <w:rFonts w:ascii="Times New Roman" w:cs="Times New Roman" w:eastAsia="Times New Roman" w:hAnsi="Times New Roman"/>
                <w:sz w:val="11"/>
                <w:szCs w:val="11"/>
                <w:color w:val="auto"/>
              </w:rPr>
              <w:t>its own research and development expenses.</w:t>
            </w:r>
          </w:p>
        </w:tc>
        <w:tc>
          <w:tcPr>
            <w:tcW w:w="9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108"/>
        </w:trPr>
        <w:tc>
          <w:tcPr>
            <w:tcW w:w="3060" w:type="dxa"/>
            <w:vAlign w:val="bottom"/>
            <w:gridSpan w:val="2"/>
            <w:vMerge w:val="restart"/>
          </w:tcPr>
          <w:p>
            <w:pPr>
              <w:spacing w:after="0"/>
              <w:rPr>
                <w:sz w:val="20"/>
                <w:szCs w:val="20"/>
                <w:color w:val="auto"/>
              </w:rPr>
            </w:pPr>
            <w:r>
              <w:rPr>
                <w:rFonts w:ascii="Times New Roman" w:cs="Times New Roman" w:eastAsia="Times New Roman" w:hAnsi="Times New Roman"/>
                <w:sz w:val="11"/>
                <w:szCs w:val="11"/>
                <w:color w:val="auto"/>
              </w:rPr>
              <w:t>collaborates with Submarine Networks on subsea applications</w:t>
            </w:r>
          </w:p>
        </w:tc>
        <w:tc>
          <w:tcPr>
            <w:tcW w:w="220" w:type="dxa"/>
            <w:vAlign w:val="bottom"/>
            <w:vMerge w:val="restart"/>
          </w:tcPr>
          <w:p>
            <w:pPr>
              <w:jc w:val="right"/>
              <w:ind w:right="43"/>
              <w:spacing w:after="0"/>
              <w:rPr>
                <w:sz w:val="20"/>
                <w:szCs w:val="20"/>
                <w:color w:val="auto"/>
              </w:rPr>
            </w:pPr>
            <w:r>
              <w:rPr>
                <w:rFonts w:ascii="Times New Roman" w:cs="Times New Roman" w:eastAsia="Times New Roman" w:hAnsi="Times New Roman"/>
                <w:sz w:val="11"/>
                <w:szCs w:val="11"/>
                <w:color w:val="auto"/>
              </w:rPr>
              <w:t>;</w:t>
            </w:r>
          </w:p>
        </w:tc>
        <w:tc>
          <w:tcPr>
            <w:tcW w:w="2260" w:type="dxa"/>
            <w:vAlign w:val="bottom"/>
            <w:vMerge w:val="continue"/>
          </w:tcPr>
          <w:p>
            <w:pPr>
              <w:spacing w:after="0"/>
              <w:rPr>
                <w:sz w:val="9"/>
                <w:szCs w:val="9"/>
                <w:color w:val="auto"/>
              </w:rPr>
            </w:pPr>
          </w:p>
        </w:tc>
        <w:tc>
          <w:tcPr>
            <w:tcW w:w="9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40"/>
        </w:trPr>
        <w:tc>
          <w:tcPr>
            <w:tcW w:w="3060" w:type="dxa"/>
            <w:vAlign w:val="bottom"/>
            <w:gridSpan w:val="2"/>
            <w:vMerge w:val="continue"/>
          </w:tcPr>
          <w:p>
            <w:pPr>
              <w:spacing w:after="0"/>
              <w:rPr>
                <w:sz w:val="3"/>
                <w:szCs w:val="3"/>
                <w:color w:val="auto"/>
              </w:rPr>
            </w:pPr>
          </w:p>
        </w:tc>
        <w:tc>
          <w:tcPr>
            <w:tcW w:w="220" w:type="dxa"/>
            <w:vAlign w:val="bottom"/>
            <w:vMerge w:val="continue"/>
          </w:tcPr>
          <w:p>
            <w:pPr>
              <w:spacing w:after="0"/>
              <w:rPr>
                <w:sz w:val="3"/>
                <w:szCs w:val="3"/>
                <w:color w:val="auto"/>
              </w:rPr>
            </w:pPr>
          </w:p>
        </w:tc>
        <w:tc>
          <w:tcPr>
            <w:tcW w:w="2260" w:type="dxa"/>
            <w:vAlign w:val="bottom"/>
          </w:tcPr>
          <w:p>
            <w:pPr>
              <w:spacing w:after="0"/>
              <w:rPr>
                <w:sz w:val="3"/>
                <w:szCs w:val="3"/>
                <w:color w:val="auto"/>
              </w:rPr>
            </w:pPr>
          </w:p>
        </w:tc>
        <w:tc>
          <w:tcPr>
            <w:tcW w:w="98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38"/>
        </w:trPr>
        <w:tc>
          <w:tcPr>
            <w:tcW w:w="3180" w:type="dxa"/>
            <w:vAlign w:val="bottom"/>
          </w:tcPr>
          <w:p>
            <w:pPr>
              <w:spacing w:after="0"/>
              <w:rPr>
                <w:sz w:val="20"/>
                <w:szCs w:val="20"/>
                <w:color w:val="auto"/>
              </w:rPr>
            </w:pPr>
            <w:r>
              <w:rPr>
                <w:rFonts w:ascii="Times New Roman" w:cs="Times New Roman" w:eastAsia="Times New Roman" w:hAnsi="Times New Roman"/>
                <w:sz w:val="11"/>
                <w:szCs w:val="11"/>
                <w:color w:val="auto"/>
              </w:rPr>
              <w:t>(iii) Fixed Networks, which provides fiber, fixed wireless access</w:t>
            </w:r>
          </w:p>
        </w:tc>
        <w:tc>
          <w:tcPr>
            <w:tcW w:w="1960" w:type="dxa"/>
            <w:vAlign w:val="bottom"/>
          </w:tcPr>
          <w:p>
            <w:pPr>
              <w:ind w:left="220"/>
              <w:spacing w:after="0"/>
              <w:rPr>
                <w:sz w:val="20"/>
                <w:szCs w:val="20"/>
                <w:color w:val="auto"/>
              </w:rPr>
            </w:pPr>
            <w:r>
              <w:rPr>
                <w:rFonts w:ascii="Times New Roman" w:cs="Times New Roman" w:eastAsia="Times New Roman" w:hAnsi="Times New Roman"/>
                <w:sz w:val="11"/>
                <w:szCs w:val="11"/>
                <w:b w:val="1"/>
                <w:bCs w:val="1"/>
                <w:color w:val="auto"/>
              </w:rPr>
              <w:t>Group Common and Other</w:t>
            </w:r>
          </w:p>
        </w:tc>
        <w:tc>
          <w:tcPr>
            <w:tcW w:w="12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29"/>
        </w:trPr>
        <w:tc>
          <w:tcPr>
            <w:tcW w:w="3180" w:type="dxa"/>
            <w:vAlign w:val="bottom"/>
          </w:tcPr>
          <w:p>
            <w:pPr>
              <w:spacing w:after="0"/>
              <w:rPr>
                <w:sz w:val="20"/>
                <w:szCs w:val="20"/>
                <w:color w:val="auto"/>
              </w:rPr>
            </w:pPr>
            <w:r>
              <w:rPr>
                <w:rFonts w:ascii="Times New Roman" w:cs="Times New Roman" w:eastAsia="Times New Roman" w:hAnsi="Times New Roman"/>
                <w:sz w:val="11"/>
                <w:szCs w:val="11"/>
                <w:color w:val="auto"/>
              </w:rPr>
              <w:t>and copper technologies; and (iv) Submarine Networks,</w:t>
            </w:r>
          </w:p>
        </w:tc>
        <w:tc>
          <w:tcPr>
            <w:tcW w:w="3240" w:type="dxa"/>
            <w:vAlign w:val="bottom"/>
            <w:gridSpan w:val="2"/>
            <w:vMerge w:val="restart"/>
          </w:tcPr>
          <w:p>
            <w:pPr>
              <w:ind w:left="220"/>
              <w:spacing w:after="0"/>
              <w:rPr>
                <w:sz w:val="20"/>
                <w:szCs w:val="20"/>
                <w:color w:val="auto"/>
              </w:rPr>
            </w:pPr>
            <w:r>
              <w:rPr>
                <w:rFonts w:ascii="Times New Roman" w:cs="Times New Roman" w:eastAsia="Times New Roman" w:hAnsi="Times New Roman"/>
                <w:sz w:val="11"/>
                <w:szCs w:val="11"/>
                <w:color w:val="auto"/>
              </w:rPr>
              <w:t>Despite not being a reportable segment, Nokia also provides</w:t>
            </w:r>
          </w:p>
        </w:tc>
        <w:tc>
          <w:tcPr>
            <w:tcW w:w="0" w:type="dxa"/>
            <w:vAlign w:val="bottom"/>
          </w:tcPr>
          <w:p>
            <w:pPr>
              <w:spacing w:after="0"/>
              <w:rPr>
                <w:sz w:val="1"/>
                <w:szCs w:val="1"/>
                <w:color w:val="auto"/>
              </w:rPr>
            </w:pPr>
          </w:p>
        </w:tc>
      </w:tr>
      <w:tr>
        <w:trPr>
          <w:trHeight w:val="40"/>
        </w:trPr>
        <w:tc>
          <w:tcPr>
            <w:tcW w:w="318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which offers undersea cable transmission.</w:t>
            </w:r>
          </w:p>
        </w:tc>
        <w:tc>
          <w:tcPr>
            <w:tcW w:w="3240" w:type="dxa"/>
            <w:vAlign w:val="bottom"/>
            <w:gridSpan w:val="2"/>
            <w:vMerge w:val="continue"/>
          </w:tcPr>
          <w:p>
            <w:pPr>
              <w:spacing w:after="0"/>
              <w:rPr>
                <w:sz w:val="3"/>
                <w:szCs w:val="3"/>
                <w:color w:val="auto"/>
              </w:rPr>
            </w:pPr>
          </w:p>
        </w:tc>
        <w:tc>
          <w:tcPr>
            <w:tcW w:w="0" w:type="dxa"/>
            <w:vAlign w:val="bottom"/>
          </w:tcPr>
          <w:p>
            <w:pPr>
              <w:spacing w:after="0"/>
              <w:rPr>
                <w:sz w:val="1"/>
                <w:szCs w:val="1"/>
                <w:color w:val="auto"/>
              </w:rPr>
            </w:pPr>
          </w:p>
        </w:tc>
      </w:tr>
      <w:tr>
        <w:trPr>
          <w:trHeight w:val="131"/>
        </w:trPr>
        <w:tc>
          <w:tcPr>
            <w:tcW w:w="3180" w:type="dxa"/>
            <w:vAlign w:val="bottom"/>
            <w:vMerge w:val="continue"/>
          </w:tcPr>
          <w:p>
            <w:pPr>
              <w:spacing w:after="0"/>
              <w:rPr>
                <w:sz w:val="11"/>
                <w:szCs w:val="11"/>
                <w:color w:val="auto"/>
              </w:rPr>
            </w:pPr>
          </w:p>
        </w:tc>
        <w:tc>
          <w:tcPr>
            <w:tcW w:w="3240" w:type="dxa"/>
            <w:vAlign w:val="bottom"/>
            <w:gridSpan w:val="2"/>
          </w:tcPr>
          <w:p>
            <w:pPr>
              <w:ind w:left="220"/>
              <w:spacing w:after="0"/>
              <w:rPr>
                <w:sz w:val="20"/>
                <w:szCs w:val="20"/>
                <w:color w:val="auto"/>
              </w:rPr>
            </w:pPr>
            <w:r>
              <w:rPr>
                <w:rFonts w:ascii="Times New Roman" w:cs="Times New Roman" w:eastAsia="Times New Roman" w:hAnsi="Times New Roman"/>
                <w:sz w:val="11"/>
                <w:szCs w:val="11"/>
                <w:color w:val="auto"/>
              </w:rPr>
              <w:t>segment-level information for Group Common and Other.</w:t>
            </w:r>
          </w:p>
        </w:tc>
        <w:tc>
          <w:tcPr>
            <w:tcW w:w="0" w:type="dxa"/>
            <w:vAlign w:val="bottom"/>
          </w:tcPr>
          <w:p>
            <w:pPr>
              <w:spacing w:after="0"/>
              <w:rPr>
                <w:sz w:val="1"/>
                <w:szCs w:val="1"/>
                <w:color w:val="auto"/>
              </w:rPr>
            </w:pPr>
          </w:p>
        </w:tc>
      </w:tr>
      <w:tr>
        <w:trPr>
          <w:trHeight w:val="154"/>
        </w:trPr>
        <w:tc>
          <w:tcPr>
            <w:tcW w:w="31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Mobile Networks</w:t>
            </w:r>
          </w:p>
        </w:tc>
        <w:tc>
          <w:tcPr>
            <w:tcW w:w="1960" w:type="dxa"/>
            <w:vAlign w:val="bottom"/>
          </w:tcPr>
          <w:p>
            <w:pPr>
              <w:ind w:left="220"/>
              <w:spacing w:after="0"/>
              <w:rPr>
                <w:sz w:val="20"/>
                <w:szCs w:val="20"/>
                <w:color w:val="auto"/>
              </w:rPr>
            </w:pPr>
            <w:r>
              <w:rPr>
                <w:rFonts w:ascii="Times New Roman" w:cs="Times New Roman" w:eastAsia="Times New Roman" w:hAnsi="Times New Roman"/>
                <w:sz w:val="11"/>
                <w:szCs w:val="11"/>
                <w:color w:val="auto"/>
              </w:rPr>
              <w:t>Group Common and Other includes</w:t>
            </w:r>
          </w:p>
        </w:tc>
        <w:tc>
          <w:tcPr>
            <w:tcW w:w="128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Radio Frequency Systems</w:t>
            </w:r>
          </w:p>
        </w:tc>
        <w:tc>
          <w:tcPr>
            <w:tcW w:w="0" w:type="dxa"/>
            <w:vAlign w:val="bottom"/>
          </w:tcPr>
          <w:p>
            <w:pPr>
              <w:spacing w:after="0"/>
              <w:rPr>
                <w:sz w:val="1"/>
                <w:szCs w:val="1"/>
                <w:color w:val="auto"/>
              </w:rPr>
            </w:pP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19"/>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The Mobile Networks segment creates products and services</w:t>
            </w:r>
          </w:p>
        </w:tc>
        <w:tc>
          <w:tcPr>
            <w:tcW w:w="2980" w:type="dxa"/>
            <w:vAlign w:val="bottom"/>
          </w:tcPr>
          <w:p>
            <w:pPr>
              <w:ind w:left="260"/>
              <w:spacing w:after="0" w:line="120" w:lineRule="exact"/>
              <w:rPr>
                <w:sz w:val="20"/>
                <w:szCs w:val="20"/>
                <w:color w:val="auto"/>
              </w:rPr>
            </w:pPr>
            <w:r>
              <w:rPr>
                <w:rFonts w:ascii="Times New Roman" w:cs="Times New Roman" w:eastAsia="Times New Roman" w:hAnsi="Times New Roman"/>
                <w:sz w:val="11"/>
                <w:szCs w:val="11"/>
                <w:color w:val="auto"/>
              </w:rPr>
              <w:t>which is managed as a separate entity. In addition, Group</w:t>
            </w:r>
          </w:p>
        </w:tc>
        <w:tc>
          <w:tcPr>
            <w:tcW w:w="0" w:type="dxa"/>
            <w:vAlign w:val="bottom"/>
          </w:tcPr>
          <w:p>
            <w:pPr>
              <w:spacing w:after="0"/>
              <w:rPr>
                <w:sz w:val="1"/>
                <w:szCs w:val="1"/>
                <w:color w:val="auto"/>
              </w:rPr>
            </w:pPr>
          </w:p>
        </w:tc>
      </w:tr>
      <w:tr>
        <w:trPr>
          <w:trHeight w:val="51"/>
        </w:trPr>
        <w:tc>
          <w:tcPr>
            <w:tcW w:w="3140" w:type="dxa"/>
            <w:vAlign w:val="bottom"/>
            <w:vMerge w:val="continue"/>
          </w:tcPr>
          <w:p>
            <w:pPr>
              <w:spacing w:after="0"/>
              <w:rPr>
                <w:sz w:val="4"/>
                <w:szCs w:val="4"/>
                <w:color w:val="auto"/>
              </w:rPr>
            </w:pPr>
          </w:p>
        </w:tc>
        <w:tc>
          <w:tcPr>
            <w:tcW w:w="298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Common and Other includes certain corporate-level and</w:t>
            </w:r>
          </w:p>
        </w:tc>
        <w:tc>
          <w:tcPr>
            <w:tcW w:w="0" w:type="dxa"/>
            <w:vAlign w:val="bottom"/>
          </w:tcPr>
          <w:p>
            <w:pPr>
              <w:spacing w:after="0"/>
              <w:rPr>
                <w:sz w:val="1"/>
                <w:szCs w:val="1"/>
                <w:color w:val="auto"/>
              </w:rPr>
            </w:pPr>
          </w:p>
        </w:tc>
      </w:tr>
      <w:tr>
        <w:trPr>
          <w:trHeight w:val="9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covering all mobile technology generations. Its portfolio</w:t>
            </w:r>
          </w:p>
        </w:tc>
        <w:tc>
          <w:tcPr>
            <w:tcW w:w="298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40"/>
        </w:trPr>
        <w:tc>
          <w:tcPr>
            <w:tcW w:w="3140" w:type="dxa"/>
            <w:vAlign w:val="bottom"/>
            <w:vMerge w:val="continue"/>
          </w:tcPr>
          <w:p>
            <w:pPr>
              <w:spacing w:after="0"/>
              <w:rPr>
                <w:sz w:val="3"/>
                <w:szCs w:val="3"/>
                <w:color w:val="auto"/>
              </w:rPr>
            </w:pPr>
          </w:p>
        </w:tc>
        <w:tc>
          <w:tcPr>
            <w:tcW w:w="298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centrally managed operating expenses, as well as fair value</w:t>
            </w:r>
          </w:p>
        </w:tc>
        <w:tc>
          <w:tcPr>
            <w:tcW w:w="0" w:type="dxa"/>
            <w:vAlign w:val="bottom"/>
          </w:tcPr>
          <w:p>
            <w:pPr>
              <w:spacing w:after="0"/>
              <w:rPr>
                <w:sz w:val="1"/>
                <w:szCs w:val="1"/>
                <w:color w:val="auto"/>
              </w:rPr>
            </w:pPr>
          </w:p>
        </w:tc>
      </w:tr>
      <w:tr>
        <w:trPr>
          <w:trHeight w:val="10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includes products for radio access networks (RAN) and</w:t>
            </w:r>
          </w:p>
        </w:tc>
        <w:tc>
          <w:tcPr>
            <w:tcW w:w="2980" w:type="dxa"/>
            <w:vAlign w:val="bottom"/>
            <w:vMerge w:val="continue"/>
          </w:tcPr>
          <w:p>
            <w:pPr>
              <w:spacing w:after="0"/>
              <w:rPr>
                <w:sz w:val="8"/>
                <w:szCs w:val="8"/>
                <w:color w:val="auto"/>
              </w:rPr>
            </w:pPr>
          </w:p>
        </w:tc>
        <w:tc>
          <w:tcPr>
            <w:tcW w:w="0" w:type="dxa"/>
            <w:vAlign w:val="bottom"/>
          </w:tcPr>
          <w:p>
            <w:pPr>
              <w:spacing w:after="0"/>
              <w:rPr>
                <w:sz w:val="1"/>
                <w:szCs w:val="1"/>
                <w:color w:val="auto"/>
              </w:rPr>
            </w:pPr>
          </w:p>
        </w:tc>
      </w:tr>
      <w:tr>
        <w:trPr>
          <w:trHeight w:val="40"/>
        </w:trPr>
        <w:tc>
          <w:tcPr>
            <w:tcW w:w="3140" w:type="dxa"/>
            <w:vAlign w:val="bottom"/>
            <w:vMerge w:val="continue"/>
          </w:tcPr>
          <w:p>
            <w:pPr>
              <w:spacing w:after="0"/>
              <w:rPr>
                <w:sz w:val="3"/>
                <w:szCs w:val="3"/>
                <w:color w:val="auto"/>
              </w:rPr>
            </w:pPr>
          </w:p>
        </w:tc>
        <w:tc>
          <w:tcPr>
            <w:tcW w:w="298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gains and losses on investments in venture funds, including</w:t>
            </w:r>
          </w:p>
        </w:tc>
        <w:tc>
          <w:tcPr>
            <w:tcW w:w="0" w:type="dxa"/>
            <w:vAlign w:val="bottom"/>
          </w:tcPr>
          <w:p>
            <w:pPr>
              <w:spacing w:after="0"/>
              <w:rPr>
                <w:sz w:val="1"/>
                <w:szCs w:val="1"/>
                <w:color w:val="auto"/>
              </w:rPr>
            </w:pPr>
          </w:p>
        </w:tc>
      </w:tr>
      <w:tr>
        <w:trPr>
          <w:trHeight w:val="91"/>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microwave radio (MWR) links for transport networks, and</w:t>
            </w:r>
          </w:p>
        </w:tc>
        <w:tc>
          <w:tcPr>
            <w:tcW w:w="2980" w:type="dxa"/>
            <w:vAlign w:val="bottom"/>
            <w:vMerge w:val="continue"/>
          </w:tcPr>
          <w:p>
            <w:pPr>
              <w:spacing w:after="0"/>
              <w:rPr>
                <w:sz w:val="7"/>
                <w:szCs w:val="7"/>
                <w:color w:val="auto"/>
              </w:rPr>
            </w:pPr>
          </w:p>
        </w:tc>
        <w:tc>
          <w:tcPr>
            <w:tcW w:w="0" w:type="dxa"/>
            <w:vAlign w:val="bottom"/>
          </w:tcPr>
          <w:p>
            <w:pPr>
              <w:spacing w:after="0"/>
              <w:rPr>
                <w:sz w:val="1"/>
                <w:szCs w:val="1"/>
                <w:color w:val="auto"/>
              </w:rPr>
            </w:pPr>
          </w:p>
        </w:tc>
      </w:tr>
      <w:tr>
        <w:trPr>
          <w:trHeight w:val="51"/>
        </w:trPr>
        <w:tc>
          <w:tcPr>
            <w:tcW w:w="3140" w:type="dxa"/>
            <w:vAlign w:val="bottom"/>
            <w:vMerge w:val="continue"/>
          </w:tcPr>
          <w:p>
            <w:pPr>
              <w:spacing w:after="0"/>
              <w:rPr>
                <w:sz w:val="4"/>
                <w:szCs w:val="4"/>
                <w:color w:val="auto"/>
              </w:rPr>
            </w:pPr>
          </w:p>
        </w:tc>
        <w:tc>
          <w:tcPr>
            <w:tcW w:w="2980" w:type="dxa"/>
            <w:vAlign w:val="bottom"/>
            <w:vMerge w:val="restart"/>
          </w:tcPr>
          <w:p>
            <w:pPr>
              <w:ind w:left="260"/>
              <w:spacing w:after="0"/>
              <w:rPr>
                <w:sz w:val="20"/>
                <w:szCs w:val="20"/>
                <w:color w:val="auto"/>
              </w:rPr>
            </w:pPr>
            <w:r>
              <w:rPr>
                <w:rFonts w:ascii="Times New Roman" w:cs="Times New Roman" w:eastAsia="Times New Roman" w:hAnsi="Times New Roman"/>
                <w:sz w:val="11"/>
                <w:szCs w:val="11"/>
                <w:color w:val="auto"/>
              </w:rPr>
              <w:t>investments managed by NGP Capital.</w:t>
            </w:r>
          </w:p>
        </w:tc>
        <w:tc>
          <w:tcPr>
            <w:tcW w:w="0" w:type="dxa"/>
            <w:vAlign w:val="bottom"/>
          </w:tcPr>
          <w:p>
            <w:pPr>
              <w:spacing w:after="0"/>
              <w:rPr>
                <w:sz w:val="1"/>
                <w:szCs w:val="1"/>
                <w:color w:val="auto"/>
              </w:rPr>
            </w:pPr>
          </w:p>
        </w:tc>
      </w:tr>
      <w:tr>
        <w:trPr>
          <w:trHeight w:val="98"/>
        </w:trPr>
        <w:tc>
          <w:tcPr>
            <w:tcW w:w="3140" w:type="dxa"/>
            <w:vAlign w:val="bottom"/>
            <w:vMerge w:val="restart"/>
          </w:tcPr>
          <w:p>
            <w:pPr>
              <w:spacing w:after="0"/>
              <w:rPr>
                <w:sz w:val="20"/>
                <w:szCs w:val="20"/>
                <w:color w:val="auto"/>
              </w:rPr>
            </w:pPr>
            <w:r>
              <w:rPr>
                <w:rFonts w:ascii="Times New Roman" w:cs="Times New Roman" w:eastAsia="Times New Roman" w:hAnsi="Times New Roman"/>
                <w:sz w:val="11"/>
                <w:szCs w:val="11"/>
                <w:color w:val="auto"/>
              </w:rPr>
              <w:t>solutions for network management, as well as network</w:t>
            </w:r>
          </w:p>
        </w:tc>
        <w:tc>
          <w:tcPr>
            <w:tcW w:w="2980" w:type="dxa"/>
            <w:vAlign w:val="bottom"/>
            <w:vMerge w:val="continue"/>
          </w:tcPr>
          <w:p>
            <w:pPr>
              <w:spacing w:after="0"/>
              <w:rPr>
                <w:sz w:val="8"/>
                <w:szCs w:val="8"/>
                <w:color w:val="auto"/>
              </w:rPr>
            </w:pPr>
          </w:p>
        </w:tc>
        <w:tc>
          <w:tcPr>
            <w:tcW w:w="0" w:type="dxa"/>
            <w:vAlign w:val="bottom"/>
          </w:tcPr>
          <w:p>
            <w:pPr>
              <w:spacing w:after="0"/>
              <w:rPr>
                <w:sz w:val="1"/>
                <w:szCs w:val="1"/>
                <w:color w:val="auto"/>
              </w:rPr>
            </w:pPr>
          </w:p>
        </w:tc>
      </w:tr>
      <w:tr>
        <w:trPr>
          <w:trHeight w:val="34"/>
        </w:trPr>
        <w:tc>
          <w:tcPr>
            <w:tcW w:w="3140" w:type="dxa"/>
            <w:vAlign w:val="bottom"/>
            <w:vMerge w:val="continue"/>
          </w:tcPr>
          <w:p>
            <w:pPr>
              <w:spacing w:after="0"/>
              <w:rPr>
                <w:sz w:val="2"/>
                <w:szCs w:val="2"/>
                <w:color w:val="auto"/>
              </w:rPr>
            </w:pPr>
          </w:p>
        </w:tc>
        <w:tc>
          <w:tcPr>
            <w:tcW w:w="2980" w:type="dxa"/>
            <w:vAlign w:val="bottom"/>
          </w:tcPr>
          <w:p>
            <w:pPr>
              <w:spacing w:after="0"/>
              <w:rPr>
                <w:sz w:val="2"/>
                <w:szCs w:val="2"/>
                <w:color w:val="auto"/>
              </w:rPr>
            </w:pPr>
          </w:p>
        </w:tc>
        <w:tc>
          <w:tcPr>
            <w:tcW w:w="0" w:type="dxa"/>
            <w:vAlign w:val="bottom"/>
          </w:tcPr>
          <w:p>
            <w:pPr>
              <w:spacing w:after="0" w:line="20" w:lineRule="exact"/>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planning, optimization, network deployment and technical</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8"/>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support services.</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96"/>
        </w:trPr>
        <w:tc>
          <w:tcPr>
            <w:tcW w:w="314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Cloud and Network Services</w:t>
            </w:r>
          </w:p>
        </w:tc>
        <w:tc>
          <w:tcPr>
            <w:tcW w:w="2980" w:type="dxa"/>
            <w:vAlign w:val="bottom"/>
          </w:tcPr>
          <w:p>
            <w:pPr>
              <w:spacing w:after="0"/>
              <w:rPr>
                <w:sz w:val="17"/>
                <w:szCs w:val="17"/>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The Cloud and Network Services segment is built around</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software and the cloud and is focused on driving leadership</w:t>
            </w:r>
          </w:p>
        </w:tc>
        <w:tc>
          <w:tcPr>
            <w:tcW w:w="29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in cloud-native software and as-a-service delivery models,</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as demand for critical networks accelerates; and has strong</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market positions in communications software, private wireless</w:t>
            </w:r>
          </w:p>
        </w:tc>
        <w:tc>
          <w:tcPr>
            <w:tcW w:w="29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networks, and cognitive (or intelligent) services. The Cloud</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and Network Services portfolio encompasses core network</w:t>
            </w:r>
          </w:p>
        </w:tc>
        <w:tc>
          <w:tcPr>
            <w:tcW w:w="29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solutions, including both voice and packet core; business</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applications covering areas like security, automation, and</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monetization; cloud and cognitive services; and enterprise</w:t>
            </w:r>
          </w:p>
        </w:tc>
        <w:tc>
          <w:tcPr>
            <w:tcW w:w="29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8"/>
        </w:trPr>
        <w:tc>
          <w:tcPr>
            <w:tcW w:w="3140" w:type="dxa"/>
            <w:vAlign w:val="bottom"/>
          </w:tcPr>
          <w:p>
            <w:pPr>
              <w:spacing w:after="0"/>
              <w:rPr>
                <w:sz w:val="20"/>
                <w:szCs w:val="20"/>
                <w:color w:val="auto"/>
              </w:rPr>
            </w:pPr>
            <w:r>
              <w:rPr>
                <w:rFonts w:ascii="Times New Roman" w:cs="Times New Roman" w:eastAsia="Times New Roman" w:hAnsi="Times New Roman"/>
                <w:sz w:val="11"/>
                <w:szCs w:val="11"/>
                <w:color w:val="auto"/>
              </w:rPr>
              <w:t>solutions covering private wireless and industrial automation.</w:t>
            </w:r>
          </w:p>
        </w:tc>
        <w:tc>
          <w:tcPr>
            <w:tcW w:w="298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ectPr>
          <w:pgSz w:w="11900" w:h="16838" w:orient="portrait"/>
          <w:cols w:equalWidth="0" w:num="2">
            <w:col w:w="2900" w:space="500"/>
            <w:col w:w="6580"/>
          </w:cols>
          <w:pgMar w:left="960" w:top="410" w:right="959" w:bottom="1440" w:gutter="0" w:footer="0" w:header="0"/>
          <w:type w:val="continuous"/>
        </w:sectPr>
      </w:pPr>
    </w:p>
    <w:bookmarkStart w:id="161" w:name="page162"/>
    <w:bookmarkEnd w:id="161"/>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154</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10060"/>
          </w:cols>
          <w:pgMar w:left="960" w:top="410" w:right="879" w:bottom="1440" w:gutter="0" w:footer="0" w:header="0"/>
        </w:sectPr>
      </w:pPr>
    </w:p>
    <w:p>
      <w:pPr>
        <w:spacing w:after="0" w:line="1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Segment results</w:t>
      </w:r>
    </w:p>
    <w:p>
      <w:pPr>
        <w:spacing w:after="0" w:line="63" w:lineRule="exact"/>
        <w:rPr>
          <w:sz w:val="20"/>
          <w:szCs w:val="20"/>
          <w:color w:val="auto"/>
        </w:rPr>
      </w:pPr>
    </w:p>
    <w:tbl>
      <w:tblPr>
        <w:tblLayout w:type="fixed"/>
        <w:tblInd w:w="0" w:type="dxa"/>
        <w:tblCellMar>
          <w:top w:w="0" w:type="dxa"/>
          <w:left w:w="0" w:type="dxa"/>
          <w:bottom w:w="0" w:type="dxa"/>
          <w:right w:w="0" w:type="dxa"/>
        </w:tblCellMar>
      </w:tblPr>
      <w:tr>
        <w:trPr>
          <w:trHeight w:val="92"/>
        </w:trPr>
        <w:tc>
          <w:tcPr>
            <w:tcW w:w="1540" w:type="dxa"/>
            <w:vAlign w:val="bottom"/>
          </w:tcPr>
          <w:p>
            <w:pPr>
              <w:spacing w:after="0"/>
              <w:rPr>
                <w:sz w:val="7"/>
                <w:szCs w:val="7"/>
                <w:color w:val="auto"/>
              </w:rPr>
            </w:pPr>
          </w:p>
        </w:tc>
        <w:tc>
          <w:tcPr>
            <w:tcW w:w="680" w:type="dxa"/>
            <w:vAlign w:val="bottom"/>
          </w:tcPr>
          <w:p>
            <w:pPr>
              <w:spacing w:after="0"/>
              <w:rPr>
                <w:sz w:val="7"/>
                <w:szCs w:val="7"/>
                <w:color w:val="auto"/>
              </w:rPr>
            </w:pPr>
          </w:p>
        </w:tc>
        <w:tc>
          <w:tcPr>
            <w:tcW w:w="820" w:type="dxa"/>
            <w:vAlign w:val="bottom"/>
          </w:tcPr>
          <w:p>
            <w:pPr>
              <w:spacing w:after="0"/>
              <w:rPr>
                <w:sz w:val="7"/>
                <w:szCs w:val="7"/>
                <w:color w:val="auto"/>
              </w:rPr>
            </w:pPr>
          </w:p>
        </w:tc>
        <w:tc>
          <w:tcPr>
            <w:tcW w:w="520" w:type="dxa"/>
            <w:vAlign w:val="bottom"/>
          </w:tcPr>
          <w:p>
            <w:pPr>
              <w:spacing w:after="0"/>
              <w:rPr>
                <w:sz w:val="7"/>
                <w:szCs w:val="7"/>
                <w:color w:val="auto"/>
              </w:rPr>
            </w:pPr>
          </w:p>
        </w:tc>
        <w:tc>
          <w:tcPr>
            <w:tcW w:w="620" w:type="dxa"/>
            <w:vAlign w:val="bottom"/>
          </w:tcPr>
          <w:p>
            <w:pPr>
              <w:spacing w:after="0"/>
              <w:rPr>
                <w:sz w:val="7"/>
                <w:szCs w:val="7"/>
                <w:color w:val="auto"/>
              </w:rPr>
            </w:pPr>
          </w:p>
        </w:tc>
        <w:tc>
          <w:tcPr>
            <w:tcW w:w="660" w:type="dxa"/>
            <w:vAlign w:val="bottom"/>
          </w:tcPr>
          <w:p>
            <w:pPr>
              <w:spacing w:after="0"/>
              <w:rPr>
                <w:sz w:val="7"/>
                <w:szCs w:val="7"/>
                <w:color w:val="auto"/>
              </w:rPr>
            </w:pPr>
          </w:p>
        </w:tc>
        <w:tc>
          <w:tcPr>
            <w:tcW w:w="540" w:type="dxa"/>
            <w:vAlign w:val="bottom"/>
          </w:tcPr>
          <w:p>
            <w:pPr>
              <w:spacing w:after="0"/>
              <w:rPr>
                <w:sz w:val="7"/>
                <w:szCs w:val="7"/>
                <w:color w:val="auto"/>
              </w:rPr>
            </w:pP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Eliminations</w:t>
            </w:r>
          </w:p>
        </w:tc>
        <w:tc>
          <w:tcPr>
            <w:tcW w:w="60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01"/>
        </w:trPr>
        <w:tc>
          <w:tcPr>
            <w:tcW w:w="1540" w:type="dxa"/>
            <w:vAlign w:val="bottom"/>
          </w:tcPr>
          <w:p>
            <w:pPr>
              <w:spacing w:after="0"/>
              <w:rPr>
                <w:sz w:val="8"/>
                <w:szCs w:val="8"/>
                <w:color w:val="auto"/>
              </w:rPr>
            </w:pPr>
          </w:p>
        </w:tc>
        <w:tc>
          <w:tcPr>
            <w:tcW w:w="680" w:type="dxa"/>
            <w:vAlign w:val="bottom"/>
          </w:tcPr>
          <w:p>
            <w:pPr>
              <w:spacing w:after="0"/>
              <w:rPr>
                <w:sz w:val="8"/>
                <w:szCs w:val="8"/>
                <w:color w:val="auto"/>
              </w:rPr>
            </w:pPr>
          </w:p>
        </w:tc>
        <w:tc>
          <w:tcPr>
            <w:tcW w:w="820" w:type="dxa"/>
            <w:vAlign w:val="bottom"/>
          </w:tcPr>
          <w:p>
            <w:pPr>
              <w:spacing w:after="0"/>
              <w:rPr>
                <w:sz w:val="8"/>
                <w:szCs w:val="8"/>
                <w:color w:val="auto"/>
              </w:rPr>
            </w:pPr>
          </w:p>
        </w:tc>
        <w:tc>
          <w:tcPr>
            <w:tcW w:w="520" w:type="dxa"/>
            <w:vAlign w:val="bottom"/>
          </w:tcPr>
          <w:p>
            <w:pPr>
              <w:spacing w:after="0"/>
              <w:rPr>
                <w:sz w:val="8"/>
                <w:szCs w:val="8"/>
                <w:color w:val="auto"/>
              </w:rPr>
            </w:pPr>
          </w:p>
        </w:tc>
        <w:tc>
          <w:tcPr>
            <w:tcW w:w="6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Cloud and</w:t>
            </w:r>
          </w:p>
        </w:tc>
        <w:tc>
          <w:tcPr>
            <w:tcW w:w="660" w:type="dxa"/>
            <w:vAlign w:val="bottom"/>
          </w:tcPr>
          <w:p>
            <w:pPr>
              <w:spacing w:after="0"/>
              <w:rPr>
                <w:sz w:val="8"/>
                <w:szCs w:val="8"/>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Group</w:t>
            </w:r>
          </w:p>
        </w:tc>
        <w:tc>
          <w:tcPr>
            <w:tcW w:w="6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and</w:t>
            </w:r>
          </w:p>
        </w:tc>
        <w:tc>
          <w:tcPr>
            <w:tcW w:w="60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00"/>
        </w:trPr>
        <w:tc>
          <w:tcPr>
            <w:tcW w:w="1540" w:type="dxa"/>
            <w:vAlign w:val="bottom"/>
          </w:tcPr>
          <w:p>
            <w:pPr>
              <w:spacing w:after="0"/>
              <w:rPr>
                <w:sz w:val="8"/>
                <w:szCs w:val="8"/>
                <w:color w:val="auto"/>
              </w:rPr>
            </w:pPr>
          </w:p>
        </w:tc>
        <w:tc>
          <w:tcPr>
            <w:tcW w:w="680" w:type="dxa"/>
            <w:vAlign w:val="bottom"/>
          </w:tcPr>
          <w:p>
            <w:pPr>
              <w:spacing w:after="0"/>
              <w:rPr>
                <w:sz w:val="8"/>
                <w:szCs w:val="8"/>
                <w:color w:val="auto"/>
              </w:rPr>
            </w:pPr>
          </w:p>
        </w:tc>
        <w:tc>
          <w:tcPr>
            <w:tcW w:w="820" w:type="dxa"/>
            <w:vAlign w:val="bottom"/>
          </w:tcPr>
          <w:p>
            <w:pPr>
              <w:jc w:val="right"/>
              <w:ind w:right="72"/>
              <w:spacing w:after="0"/>
              <w:rPr>
                <w:sz w:val="20"/>
                <w:szCs w:val="20"/>
                <w:color w:val="auto"/>
              </w:rPr>
            </w:pPr>
            <w:r>
              <w:rPr>
                <w:rFonts w:ascii="Times New Roman" w:cs="Times New Roman" w:eastAsia="Times New Roman" w:hAnsi="Times New Roman"/>
                <w:sz w:val="8"/>
                <w:szCs w:val="8"/>
                <w:b w:val="1"/>
                <w:bCs w:val="1"/>
                <w:color w:val="005AFF"/>
              </w:rPr>
              <w:t>Network</w:t>
            </w:r>
          </w:p>
        </w:tc>
        <w:tc>
          <w:tcPr>
            <w:tcW w:w="5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Mobile</w:t>
            </w: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Network</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Nokia</w:t>
            </w:r>
          </w:p>
        </w:tc>
        <w:tc>
          <w:tcPr>
            <w:tcW w:w="54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Common and</w:t>
            </w:r>
          </w:p>
        </w:tc>
        <w:tc>
          <w:tcPr>
            <w:tcW w:w="62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unallocated</w:t>
            </w:r>
          </w:p>
        </w:tc>
        <w:tc>
          <w:tcPr>
            <w:tcW w:w="60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14"/>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spacing w:after="0"/>
              <w:rPr>
                <w:sz w:val="9"/>
                <w:szCs w:val="9"/>
                <w:color w:val="auto"/>
              </w:rPr>
            </w:pPr>
          </w:p>
        </w:tc>
        <w:tc>
          <w:tcPr>
            <w:tcW w:w="820" w:type="dxa"/>
            <w:vAlign w:val="bottom"/>
            <w:tcBorders>
              <w:bottom w:val="single" w:sz="8" w:color="005AFF"/>
            </w:tcBorders>
          </w:tcPr>
          <w:p>
            <w:pPr>
              <w:jc w:val="right"/>
              <w:ind w:right="72"/>
              <w:spacing w:after="0" w:line="114" w:lineRule="exact"/>
              <w:rPr>
                <w:sz w:val="20"/>
                <w:szCs w:val="20"/>
                <w:color w:val="auto"/>
              </w:rPr>
            </w:pPr>
            <w:r>
              <w:rPr>
                <w:rFonts w:ascii="Times New Roman" w:cs="Times New Roman" w:eastAsia="Times New Roman" w:hAnsi="Times New Roman"/>
                <w:sz w:val="8"/>
                <w:szCs w:val="8"/>
                <w:b w:val="1"/>
                <w:bCs w:val="1"/>
                <w:color w:val="005AFF"/>
              </w:rPr>
              <w:t xml:space="preserve">Infrastructure </w:t>
            </w:r>
            <w:r>
              <w:rPr>
                <w:rFonts w:ascii="Times New Roman" w:cs="Times New Roman" w:eastAsia="Times New Roman" w:hAnsi="Times New Roman"/>
                <w:sz w:val="10"/>
                <w:szCs w:val="10"/>
                <w:b w:val="1"/>
                <w:bCs w:val="1"/>
                <w:color w:val="005AFF"/>
                <w:vertAlign w:val="superscript"/>
              </w:rPr>
              <w:t>(1)</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Networks</w:t>
            </w:r>
          </w:p>
        </w:tc>
        <w:tc>
          <w:tcPr>
            <w:tcW w:w="6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Services</w:t>
            </w:r>
          </w:p>
        </w:tc>
        <w:tc>
          <w:tcPr>
            <w:tcW w:w="66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Technologies</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Other</w:t>
            </w:r>
          </w:p>
        </w:tc>
        <w:tc>
          <w:tcPr>
            <w:tcW w:w="620" w:type="dxa"/>
            <w:vAlign w:val="bottom"/>
            <w:tcBorders>
              <w:bottom w:val="single" w:sz="8" w:color="005AFF"/>
            </w:tcBorders>
          </w:tcPr>
          <w:p>
            <w:pPr>
              <w:jc w:val="right"/>
              <w:spacing w:after="0" w:line="114" w:lineRule="exact"/>
              <w:rPr>
                <w:sz w:val="20"/>
                <w:szCs w:val="20"/>
                <w:color w:val="auto"/>
              </w:rPr>
            </w:pPr>
            <w:r>
              <w:rPr>
                <w:rFonts w:ascii="Times New Roman" w:cs="Times New Roman" w:eastAsia="Times New Roman" w:hAnsi="Times New Roman"/>
                <w:sz w:val="8"/>
                <w:szCs w:val="8"/>
                <w:b w:val="1"/>
                <w:bCs w:val="1"/>
                <w:color w:val="005AFF"/>
              </w:rPr>
              <w:t xml:space="preserve">items </w:t>
            </w:r>
            <w:r>
              <w:rPr>
                <w:rFonts w:ascii="Times New Roman" w:cs="Times New Roman" w:eastAsia="Times New Roman" w:hAnsi="Times New Roman"/>
                <w:sz w:val="10"/>
                <w:szCs w:val="10"/>
                <w:b w:val="1"/>
                <w:bCs w:val="1"/>
                <w:color w:val="005AFF"/>
                <w:vertAlign w:val="superscript"/>
              </w:rPr>
              <w:t>(2)</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Nokia Group</w:t>
            </w:r>
          </w:p>
        </w:tc>
        <w:tc>
          <w:tcPr>
            <w:tcW w:w="0" w:type="dxa"/>
            <w:vAlign w:val="bottom"/>
          </w:tcPr>
          <w:p>
            <w:pPr>
              <w:spacing w:after="0"/>
              <w:rPr>
                <w:sz w:val="1"/>
                <w:szCs w:val="1"/>
                <w:color w:val="auto"/>
              </w:rPr>
            </w:pPr>
          </w:p>
        </w:tc>
      </w:tr>
      <w:tr>
        <w:trPr>
          <w:trHeight w:val="131"/>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680" w:type="dxa"/>
            <w:vAlign w:val="bottom"/>
          </w:tcPr>
          <w:p>
            <w:pPr>
              <w:spacing w:after="0"/>
              <w:rPr>
                <w:sz w:val="11"/>
                <w:szCs w:val="11"/>
                <w:color w:val="auto"/>
              </w:rPr>
            </w:pPr>
          </w:p>
        </w:tc>
        <w:tc>
          <w:tcPr>
            <w:tcW w:w="820" w:type="dxa"/>
            <w:vAlign w:val="bottom"/>
            <w:shd w:val="clear" w:color="auto" w:fill="F0F5FF"/>
          </w:tcPr>
          <w:p>
            <w:pPr>
              <w:spacing w:after="0"/>
              <w:rPr>
                <w:sz w:val="11"/>
                <w:szCs w:val="11"/>
                <w:color w:val="auto"/>
              </w:rPr>
            </w:pPr>
          </w:p>
        </w:tc>
        <w:tc>
          <w:tcPr>
            <w:tcW w:w="520" w:type="dxa"/>
            <w:vAlign w:val="bottom"/>
            <w:shd w:val="clear" w:color="auto" w:fill="F0F5FF"/>
          </w:tcPr>
          <w:p>
            <w:pPr>
              <w:spacing w:after="0"/>
              <w:rPr>
                <w:sz w:val="11"/>
                <w:szCs w:val="11"/>
                <w:color w:val="auto"/>
              </w:rPr>
            </w:pPr>
          </w:p>
        </w:tc>
        <w:tc>
          <w:tcPr>
            <w:tcW w:w="620" w:type="dxa"/>
            <w:vAlign w:val="bottom"/>
            <w:shd w:val="clear" w:color="auto" w:fill="F0F5FF"/>
          </w:tcPr>
          <w:p>
            <w:pPr>
              <w:spacing w:after="0"/>
              <w:rPr>
                <w:sz w:val="11"/>
                <w:szCs w:val="11"/>
                <w:color w:val="auto"/>
              </w:rPr>
            </w:pPr>
          </w:p>
        </w:tc>
        <w:tc>
          <w:tcPr>
            <w:tcW w:w="66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620" w:type="dxa"/>
            <w:vAlign w:val="bottom"/>
            <w:shd w:val="clear" w:color="auto" w:fill="F0F5FF"/>
          </w:tcPr>
          <w:p>
            <w:pPr>
              <w:spacing w:after="0"/>
              <w:rPr>
                <w:sz w:val="11"/>
                <w:szCs w:val="11"/>
                <w:color w:val="auto"/>
              </w:rPr>
            </w:pPr>
          </w:p>
        </w:tc>
        <w:tc>
          <w:tcPr>
            <w:tcW w:w="600" w:type="dxa"/>
            <w:vAlign w:val="bottom"/>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external customers</w:t>
            </w:r>
          </w:p>
        </w:tc>
        <w:tc>
          <w:tcPr>
            <w:tcW w:w="680" w:type="dxa"/>
            <w:vAlign w:val="bottom"/>
          </w:tcPr>
          <w:p>
            <w:pPr>
              <w:spacing w:after="0"/>
              <w:rPr>
                <w:sz w:val="14"/>
                <w:szCs w:val="14"/>
                <w:color w:val="auto"/>
              </w:rPr>
            </w:pPr>
          </w:p>
        </w:tc>
        <w:tc>
          <w:tcPr>
            <w:tcW w:w="820" w:type="dxa"/>
            <w:vAlign w:val="bottom"/>
            <w:shd w:val="clear" w:color="auto" w:fill="F0F5FF"/>
          </w:tcPr>
          <w:p>
            <w:pPr>
              <w:jc w:val="right"/>
              <w:ind w:right="112"/>
              <w:spacing w:after="0"/>
              <w:rPr>
                <w:sz w:val="20"/>
                <w:szCs w:val="20"/>
                <w:color w:val="auto"/>
              </w:rPr>
            </w:pPr>
            <w:r>
              <w:rPr>
                <w:rFonts w:ascii="Times New Roman" w:cs="Times New Roman" w:eastAsia="Times New Roman" w:hAnsi="Times New Roman"/>
                <w:sz w:val="10"/>
                <w:szCs w:val="10"/>
                <w:color w:val="005AFF"/>
              </w:rPr>
              <w:t>8 039</w:t>
            </w:r>
          </w:p>
        </w:tc>
        <w:tc>
          <w:tcPr>
            <w:tcW w:w="52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9 791</w:t>
            </w:r>
          </w:p>
        </w:tc>
        <w:tc>
          <w:tcPr>
            <w:tcW w:w="62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3 219</w:t>
            </w:r>
          </w:p>
        </w:tc>
        <w:tc>
          <w:tcPr>
            <w:tcW w:w="660" w:type="dxa"/>
            <w:vAlign w:val="bottom"/>
            <w:shd w:val="clear" w:color="auto" w:fill="F0F5FF"/>
          </w:tcPr>
          <w:p>
            <w:pPr>
              <w:jc w:val="right"/>
              <w:ind w:right="91"/>
              <w:spacing w:after="0"/>
              <w:rPr>
                <w:sz w:val="20"/>
                <w:szCs w:val="20"/>
                <w:color w:val="auto"/>
              </w:rPr>
            </w:pPr>
            <w:r>
              <w:rPr>
                <w:rFonts w:ascii="Times New Roman" w:cs="Times New Roman" w:eastAsia="Times New Roman" w:hAnsi="Times New Roman"/>
                <w:sz w:val="10"/>
                <w:szCs w:val="10"/>
                <w:color w:val="005AFF"/>
              </w:rPr>
              <w:t>1 085</w:t>
            </w:r>
          </w:p>
        </w:tc>
        <w:tc>
          <w:tcPr>
            <w:tcW w:w="54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124</w:t>
            </w:r>
          </w:p>
        </w:tc>
        <w:tc>
          <w:tcPr>
            <w:tcW w:w="6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00" w:type="dxa"/>
            <w:vAlign w:val="bottom"/>
            <w:shd w:val="clear" w:color="auto" w:fill="F0F5FF"/>
          </w:tcPr>
          <w:p>
            <w:pPr>
              <w:ind w:left="240"/>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other segments</w:t>
            </w:r>
          </w:p>
        </w:tc>
        <w:tc>
          <w:tcPr>
            <w:tcW w:w="680" w:type="dxa"/>
            <w:vAlign w:val="bottom"/>
          </w:tcPr>
          <w:p>
            <w:pPr>
              <w:spacing w:after="0"/>
              <w:rPr>
                <w:sz w:val="14"/>
                <w:szCs w:val="14"/>
                <w:color w:val="auto"/>
              </w:rPr>
            </w:pPr>
          </w:p>
        </w:tc>
        <w:tc>
          <w:tcPr>
            <w:tcW w:w="82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(2)</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62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w:t>
            </w:r>
          </w:p>
        </w:tc>
        <w:tc>
          <w:tcPr>
            <w:tcW w:w="66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6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profit/(loss)</w:t>
            </w:r>
          </w:p>
        </w:tc>
        <w:tc>
          <w:tcPr>
            <w:tcW w:w="680" w:type="dxa"/>
            <w:vAlign w:val="bottom"/>
          </w:tcPr>
          <w:p>
            <w:pPr>
              <w:spacing w:after="0"/>
              <w:rPr>
                <w:sz w:val="14"/>
                <w:szCs w:val="14"/>
                <w:color w:val="auto"/>
              </w:rPr>
            </w:pPr>
          </w:p>
        </w:tc>
        <w:tc>
          <w:tcPr>
            <w:tcW w:w="820" w:type="dxa"/>
            <w:vAlign w:val="bottom"/>
            <w:shd w:val="clear" w:color="auto" w:fill="F0F5FF"/>
          </w:tcPr>
          <w:p>
            <w:pPr>
              <w:jc w:val="right"/>
              <w:ind w:right="112"/>
              <w:spacing w:after="0"/>
              <w:rPr>
                <w:sz w:val="20"/>
                <w:szCs w:val="20"/>
                <w:color w:val="auto"/>
              </w:rPr>
            </w:pPr>
            <w:r>
              <w:rPr>
                <w:rFonts w:ascii="Times New Roman" w:cs="Times New Roman" w:eastAsia="Times New Roman" w:hAnsi="Times New Roman"/>
                <w:sz w:val="10"/>
                <w:szCs w:val="10"/>
                <w:b w:val="1"/>
                <w:bCs w:val="1"/>
                <w:color w:val="005AFF"/>
              </w:rPr>
              <w:t>1 054</w:t>
            </w:r>
          </w:p>
        </w:tc>
        <w:tc>
          <w:tcPr>
            <w:tcW w:w="52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723</w:t>
            </w:r>
          </w:p>
        </w:tc>
        <w:tc>
          <w:tcPr>
            <w:tcW w:w="62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255</w:t>
            </w:r>
          </w:p>
        </w:tc>
        <w:tc>
          <w:tcPr>
            <w:tcW w:w="660" w:type="dxa"/>
            <w:vAlign w:val="bottom"/>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b w:val="1"/>
                <w:bCs w:val="1"/>
                <w:color w:val="005AFF"/>
              </w:rPr>
              <w:t>734</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(391)</w:t>
            </w:r>
          </w:p>
        </w:tc>
        <w:tc>
          <w:tcPr>
            <w:tcW w:w="6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(687)</w:t>
            </w:r>
          </w:p>
        </w:tc>
        <w:tc>
          <w:tcPr>
            <w:tcW w:w="6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1 688</w:t>
            </w:r>
          </w:p>
        </w:tc>
        <w:tc>
          <w:tcPr>
            <w:tcW w:w="0" w:type="dxa"/>
            <w:vAlign w:val="bottom"/>
          </w:tcPr>
          <w:p>
            <w:pPr>
              <w:spacing w:after="0"/>
              <w:rPr>
                <w:sz w:val="1"/>
                <w:szCs w:val="1"/>
                <w:color w:val="auto"/>
              </w:rPr>
            </w:pPr>
          </w:p>
        </w:tc>
      </w:tr>
      <w:tr>
        <w:trPr>
          <w:trHeight w:val="153"/>
        </w:trPr>
        <w:tc>
          <w:tcPr>
            <w:tcW w:w="22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 of results of associated companies and</w:t>
            </w:r>
          </w:p>
        </w:tc>
        <w:tc>
          <w:tcPr>
            <w:tcW w:w="820" w:type="dxa"/>
            <w:vAlign w:val="bottom"/>
            <w:shd w:val="clear" w:color="auto" w:fill="F0F5FF"/>
          </w:tcPr>
          <w:p>
            <w:pPr>
              <w:spacing w:after="0"/>
              <w:rPr>
                <w:sz w:val="13"/>
                <w:szCs w:val="13"/>
                <w:color w:val="auto"/>
              </w:rPr>
            </w:pPr>
          </w:p>
        </w:tc>
        <w:tc>
          <w:tcPr>
            <w:tcW w:w="520" w:type="dxa"/>
            <w:vAlign w:val="bottom"/>
            <w:shd w:val="clear" w:color="auto" w:fill="F0F5FF"/>
          </w:tcPr>
          <w:p>
            <w:pPr>
              <w:spacing w:after="0"/>
              <w:rPr>
                <w:sz w:val="13"/>
                <w:szCs w:val="13"/>
                <w:color w:val="auto"/>
              </w:rPr>
            </w:pPr>
          </w:p>
        </w:tc>
        <w:tc>
          <w:tcPr>
            <w:tcW w:w="620" w:type="dxa"/>
            <w:vAlign w:val="bottom"/>
            <w:shd w:val="clear" w:color="auto" w:fill="F0F5FF"/>
          </w:tcPr>
          <w:p>
            <w:pPr>
              <w:spacing w:after="0"/>
              <w:rPr>
                <w:sz w:val="13"/>
                <w:szCs w:val="13"/>
                <w:color w:val="auto"/>
              </w:rPr>
            </w:pPr>
          </w:p>
        </w:tc>
        <w:tc>
          <w:tcPr>
            <w:tcW w:w="66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620" w:type="dxa"/>
            <w:vAlign w:val="bottom"/>
            <w:shd w:val="clear" w:color="auto" w:fill="F0F5FF"/>
          </w:tcPr>
          <w:p>
            <w:pPr>
              <w:spacing w:after="0"/>
              <w:rPr>
                <w:sz w:val="13"/>
                <w:szCs w:val="13"/>
                <w:color w:val="auto"/>
              </w:rPr>
            </w:pPr>
          </w:p>
        </w:tc>
        <w:tc>
          <w:tcPr>
            <w:tcW w:w="60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(39)</w:t>
            </w:r>
          </w:p>
        </w:tc>
        <w:tc>
          <w:tcPr>
            <w:tcW w:w="0" w:type="dxa"/>
            <w:vAlign w:val="bottom"/>
          </w:tcPr>
          <w:p>
            <w:pPr>
              <w:spacing w:after="0"/>
              <w:rPr>
                <w:sz w:val="1"/>
                <w:szCs w:val="1"/>
                <w:color w:val="auto"/>
              </w:rPr>
            </w:pPr>
          </w:p>
        </w:tc>
      </w:tr>
      <w:tr>
        <w:trPr>
          <w:trHeight w:val="130"/>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joint ventures</w:t>
            </w:r>
          </w:p>
        </w:tc>
        <w:tc>
          <w:tcPr>
            <w:tcW w:w="680" w:type="dxa"/>
            <w:vAlign w:val="bottom"/>
          </w:tcPr>
          <w:p>
            <w:pPr>
              <w:spacing w:after="0"/>
              <w:rPr>
                <w:sz w:val="11"/>
                <w:szCs w:val="11"/>
                <w:color w:val="auto"/>
              </w:rPr>
            </w:pPr>
          </w:p>
        </w:tc>
        <w:tc>
          <w:tcPr>
            <w:tcW w:w="82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rPr>
              <w:t>—</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w:t>
            </w:r>
          </w:p>
        </w:tc>
        <w:tc>
          <w:tcPr>
            <w:tcW w:w="62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7</w:t>
            </w:r>
          </w:p>
        </w:tc>
        <w:tc>
          <w:tcPr>
            <w:tcW w:w="660" w:type="dxa"/>
            <w:vAlign w:val="bottom"/>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12</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600" w:type="dxa"/>
            <w:vAlign w:val="bottom"/>
            <w:vMerge w:val="continue"/>
            <w:shd w:val="clear" w:color="auto" w:fill="F0F5FF"/>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income and expenses</w:t>
            </w:r>
          </w:p>
        </w:tc>
        <w:tc>
          <w:tcPr>
            <w:tcW w:w="680" w:type="dxa"/>
            <w:vAlign w:val="bottom"/>
          </w:tcPr>
          <w:p>
            <w:pPr>
              <w:spacing w:after="0"/>
              <w:rPr>
                <w:sz w:val="14"/>
                <w:szCs w:val="14"/>
                <w:color w:val="auto"/>
              </w:rPr>
            </w:pPr>
          </w:p>
        </w:tc>
        <w:tc>
          <w:tcPr>
            <w:tcW w:w="820" w:type="dxa"/>
            <w:vAlign w:val="bottom"/>
            <w:shd w:val="clear" w:color="auto" w:fill="F0F5FF"/>
          </w:tcPr>
          <w:p>
            <w:pPr>
              <w:spacing w:after="0"/>
              <w:rPr>
                <w:sz w:val="14"/>
                <w:szCs w:val="14"/>
                <w:color w:val="auto"/>
              </w:rPr>
            </w:pPr>
          </w:p>
        </w:tc>
        <w:tc>
          <w:tcPr>
            <w:tcW w:w="520" w:type="dxa"/>
            <w:vAlign w:val="bottom"/>
            <w:shd w:val="clear" w:color="auto" w:fill="F0F5FF"/>
          </w:tcPr>
          <w:p>
            <w:pPr>
              <w:spacing w:after="0"/>
              <w:rPr>
                <w:sz w:val="14"/>
                <w:szCs w:val="14"/>
                <w:color w:val="auto"/>
              </w:rPr>
            </w:pPr>
          </w:p>
        </w:tc>
        <w:tc>
          <w:tcPr>
            <w:tcW w:w="620" w:type="dxa"/>
            <w:vAlign w:val="bottom"/>
            <w:shd w:val="clear" w:color="auto" w:fill="F0F5FF"/>
          </w:tcPr>
          <w:p>
            <w:pPr>
              <w:spacing w:after="0"/>
              <w:rPr>
                <w:sz w:val="14"/>
                <w:szCs w:val="14"/>
                <w:color w:val="auto"/>
              </w:rPr>
            </w:pPr>
          </w:p>
        </w:tc>
        <w:tc>
          <w:tcPr>
            <w:tcW w:w="660" w:type="dxa"/>
            <w:vAlign w:val="bottom"/>
            <w:shd w:val="clear" w:color="auto" w:fill="F0F5FF"/>
          </w:tcPr>
          <w:p>
            <w:pPr>
              <w:spacing w:after="0"/>
              <w:rPr>
                <w:sz w:val="14"/>
                <w:szCs w:val="14"/>
                <w:color w:val="auto"/>
              </w:rPr>
            </w:pPr>
          </w:p>
        </w:tc>
        <w:tc>
          <w:tcPr>
            <w:tcW w:w="540" w:type="dxa"/>
            <w:vAlign w:val="bottom"/>
            <w:shd w:val="clear" w:color="auto" w:fill="F0F5FF"/>
          </w:tcPr>
          <w:p>
            <w:pPr>
              <w:spacing w:after="0"/>
              <w:rPr>
                <w:sz w:val="14"/>
                <w:szCs w:val="14"/>
                <w:color w:val="auto"/>
              </w:rPr>
            </w:pPr>
          </w:p>
        </w:tc>
        <w:tc>
          <w:tcPr>
            <w:tcW w:w="620" w:type="dxa"/>
            <w:vAlign w:val="bottom"/>
            <w:shd w:val="clear" w:color="auto" w:fill="F0F5FF"/>
          </w:tcPr>
          <w:p>
            <w:pPr>
              <w:spacing w:after="0"/>
              <w:rPr>
                <w:sz w:val="14"/>
                <w:szCs w:val="14"/>
                <w:color w:val="auto"/>
              </w:rPr>
            </w:pP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(150)</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before tax</w:t>
            </w:r>
          </w:p>
        </w:tc>
        <w:tc>
          <w:tcPr>
            <w:tcW w:w="680" w:type="dxa"/>
            <w:vAlign w:val="bottom"/>
          </w:tcPr>
          <w:p>
            <w:pPr>
              <w:spacing w:after="0"/>
              <w:rPr>
                <w:sz w:val="14"/>
                <w:szCs w:val="14"/>
                <w:color w:val="auto"/>
              </w:rPr>
            </w:pPr>
          </w:p>
        </w:tc>
        <w:tc>
          <w:tcPr>
            <w:tcW w:w="820" w:type="dxa"/>
            <w:vAlign w:val="bottom"/>
            <w:shd w:val="clear" w:color="auto" w:fill="F0F5FF"/>
          </w:tcPr>
          <w:p>
            <w:pPr>
              <w:spacing w:after="0"/>
              <w:rPr>
                <w:sz w:val="14"/>
                <w:szCs w:val="14"/>
                <w:color w:val="auto"/>
              </w:rPr>
            </w:pPr>
          </w:p>
        </w:tc>
        <w:tc>
          <w:tcPr>
            <w:tcW w:w="520" w:type="dxa"/>
            <w:vAlign w:val="bottom"/>
            <w:shd w:val="clear" w:color="auto" w:fill="F0F5FF"/>
          </w:tcPr>
          <w:p>
            <w:pPr>
              <w:spacing w:after="0"/>
              <w:rPr>
                <w:sz w:val="14"/>
                <w:szCs w:val="14"/>
                <w:color w:val="auto"/>
              </w:rPr>
            </w:pPr>
          </w:p>
        </w:tc>
        <w:tc>
          <w:tcPr>
            <w:tcW w:w="620" w:type="dxa"/>
            <w:vAlign w:val="bottom"/>
            <w:shd w:val="clear" w:color="auto" w:fill="F0F5FF"/>
          </w:tcPr>
          <w:p>
            <w:pPr>
              <w:spacing w:after="0"/>
              <w:rPr>
                <w:sz w:val="14"/>
                <w:szCs w:val="14"/>
                <w:color w:val="auto"/>
              </w:rPr>
            </w:pPr>
          </w:p>
        </w:tc>
        <w:tc>
          <w:tcPr>
            <w:tcW w:w="660" w:type="dxa"/>
            <w:vAlign w:val="bottom"/>
            <w:shd w:val="clear" w:color="auto" w:fill="F0F5FF"/>
          </w:tcPr>
          <w:p>
            <w:pPr>
              <w:spacing w:after="0"/>
              <w:rPr>
                <w:sz w:val="14"/>
                <w:szCs w:val="14"/>
                <w:color w:val="auto"/>
              </w:rPr>
            </w:pPr>
          </w:p>
        </w:tc>
        <w:tc>
          <w:tcPr>
            <w:tcW w:w="540" w:type="dxa"/>
            <w:vAlign w:val="bottom"/>
            <w:shd w:val="clear" w:color="auto" w:fill="F0F5FF"/>
          </w:tcPr>
          <w:p>
            <w:pPr>
              <w:spacing w:after="0"/>
              <w:rPr>
                <w:sz w:val="14"/>
                <w:szCs w:val="14"/>
                <w:color w:val="auto"/>
              </w:rPr>
            </w:pPr>
          </w:p>
        </w:tc>
        <w:tc>
          <w:tcPr>
            <w:tcW w:w="620" w:type="dxa"/>
            <w:vAlign w:val="bottom"/>
            <w:shd w:val="clear" w:color="auto" w:fill="F0F5FF"/>
          </w:tcPr>
          <w:p>
            <w:pPr>
              <w:spacing w:after="0"/>
              <w:rPr>
                <w:sz w:val="14"/>
                <w:szCs w:val="14"/>
                <w:color w:val="auto"/>
              </w:rPr>
            </w:pPr>
          </w:p>
        </w:tc>
        <w:tc>
          <w:tcPr>
            <w:tcW w:w="6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1 499</w:t>
            </w:r>
          </w:p>
        </w:tc>
        <w:tc>
          <w:tcPr>
            <w:tcW w:w="0" w:type="dxa"/>
            <w:vAlign w:val="bottom"/>
          </w:tcPr>
          <w:p>
            <w:pPr>
              <w:spacing w:after="0"/>
              <w:rPr>
                <w:sz w:val="1"/>
                <w:szCs w:val="1"/>
                <w:color w:val="auto"/>
              </w:rPr>
            </w:pPr>
          </w:p>
        </w:tc>
      </w:tr>
      <w:tr>
        <w:trPr>
          <w:trHeight w:val="243"/>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Other segment items</w:t>
            </w:r>
          </w:p>
        </w:tc>
        <w:tc>
          <w:tcPr>
            <w:tcW w:w="680" w:type="dxa"/>
            <w:vAlign w:val="bottom"/>
          </w:tcPr>
          <w:p>
            <w:pPr>
              <w:spacing w:after="0"/>
              <w:rPr>
                <w:sz w:val="21"/>
                <w:szCs w:val="21"/>
                <w:color w:val="auto"/>
              </w:rPr>
            </w:pPr>
          </w:p>
        </w:tc>
        <w:tc>
          <w:tcPr>
            <w:tcW w:w="820" w:type="dxa"/>
            <w:vAlign w:val="bottom"/>
            <w:shd w:val="clear" w:color="auto" w:fill="F0F5FF"/>
          </w:tcPr>
          <w:p>
            <w:pPr>
              <w:spacing w:after="0"/>
              <w:rPr>
                <w:sz w:val="21"/>
                <w:szCs w:val="21"/>
                <w:color w:val="auto"/>
              </w:rPr>
            </w:pPr>
          </w:p>
        </w:tc>
        <w:tc>
          <w:tcPr>
            <w:tcW w:w="520" w:type="dxa"/>
            <w:vAlign w:val="bottom"/>
            <w:shd w:val="clear" w:color="auto" w:fill="F0F5FF"/>
          </w:tcPr>
          <w:p>
            <w:pPr>
              <w:spacing w:after="0"/>
              <w:rPr>
                <w:sz w:val="21"/>
                <w:szCs w:val="21"/>
                <w:color w:val="auto"/>
              </w:rPr>
            </w:pPr>
          </w:p>
        </w:tc>
        <w:tc>
          <w:tcPr>
            <w:tcW w:w="620" w:type="dxa"/>
            <w:vAlign w:val="bottom"/>
            <w:shd w:val="clear" w:color="auto" w:fill="F0F5FF"/>
          </w:tcPr>
          <w:p>
            <w:pPr>
              <w:spacing w:after="0"/>
              <w:rPr>
                <w:sz w:val="21"/>
                <w:szCs w:val="21"/>
                <w:color w:val="auto"/>
              </w:rPr>
            </w:pPr>
          </w:p>
        </w:tc>
        <w:tc>
          <w:tcPr>
            <w:tcW w:w="660" w:type="dxa"/>
            <w:vAlign w:val="bottom"/>
            <w:shd w:val="clear" w:color="auto" w:fill="F0F5FF"/>
          </w:tcPr>
          <w:p>
            <w:pPr>
              <w:spacing w:after="0"/>
              <w:rPr>
                <w:sz w:val="21"/>
                <w:szCs w:val="21"/>
                <w:color w:val="auto"/>
              </w:rPr>
            </w:pPr>
          </w:p>
        </w:tc>
        <w:tc>
          <w:tcPr>
            <w:tcW w:w="540" w:type="dxa"/>
            <w:vAlign w:val="bottom"/>
            <w:shd w:val="clear" w:color="auto" w:fill="F0F5FF"/>
          </w:tcPr>
          <w:p>
            <w:pPr>
              <w:spacing w:after="0"/>
              <w:rPr>
                <w:sz w:val="21"/>
                <w:szCs w:val="21"/>
                <w:color w:val="auto"/>
              </w:rPr>
            </w:pPr>
          </w:p>
        </w:tc>
        <w:tc>
          <w:tcPr>
            <w:tcW w:w="620" w:type="dxa"/>
            <w:vAlign w:val="bottom"/>
            <w:shd w:val="clear" w:color="auto" w:fill="F0F5FF"/>
          </w:tcPr>
          <w:p>
            <w:pPr>
              <w:spacing w:after="0"/>
              <w:rPr>
                <w:sz w:val="21"/>
                <w:szCs w:val="21"/>
                <w:color w:val="auto"/>
              </w:rPr>
            </w:pPr>
          </w:p>
        </w:tc>
        <w:tc>
          <w:tcPr>
            <w:tcW w:w="600" w:type="dxa"/>
            <w:vAlign w:val="bottom"/>
            <w:shd w:val="clear" w:color="auto" w:fill="F0F5FF"/>
          </w:tcPr>
          <w:p>
            <w:pPr>
              <w:spacing w:after="0"/>
              <w:rPr>
                <w:sz w:val="21"/>
                <w:szCs w:val="21"/>
                <w:color w:val="auto"/>
              </w:rPr>
            </w:pPr>
          </w:p>
        </w:tc>
        <w:tc>
          <w:tcPr>
            <w:tcW w:w="0" w:type="dxa"/>
            <w:vAlign w:val="bottom"/>
          </w:tcPr>
          <w:p>
            <w:pPr>
              <w:spacing w:after="0"/>
              <w:rPr>
                <w:sz w:val="1"/>
                <w:szCs w:val="1"/>
                <w:color w:val="auto"/>
              </w:rPr>
            </w:pPr>
          </w:p>
        </w:tc>
      </w:tr>
      <w:tr>
        <w:trPr>
          <w:trHeight w:val="167"/>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Depreciation and amortization</w:t>
            </w:r>
          </w:p>
        </w:tc>
        <w:tc>
          <w:tcPr>
            <w:tcW w:w="68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shd w:val="clear" w:color="auto" w:fill="F0F5FF"/>
          </w:tcPr>
          <w:p>
            <w:pPr>
              <w:jc w:val="right"/>
              <w:ind w:right="72"/>
              <w:spacing w:after="0"/>
              <w:rPr>
                <w:sz w:val="20"/>
                <w:szCs w:val="20"/>
                <w:color w:val="auto"/>
              </w:rPr>
            </w:pPr>
            <w:r>
              <w:rPr>
                <w:rFonts w:ascii="Times New Roman" w:cs="Times New Roman" w:eastAsia="Times New Roman" w:hAnsi="Times New Roman"/>
                <w:sz w:val="10"/>
                <w:szCs w:val="10"/>
                <w:color w:val="005AFF"/>
              </w:rPr>
              <w:t>(235)</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(366)</w:t>
            </w:r>
          </w:p>
        </w:tc>
        <w:tc>
          <w:tcPr>
            <w:tcW w:w="6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(81)</w:t>
            </w:r>
          </w:p>
        </w:tc>
        <w:tc>
          <w:tcPr>
            <w:tcW w:w="66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(39)</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w:t>
            </w:r>
          </w:p>
        </w:tc>
        <w:tc>
          <w:tcPr>
            <w:tcW w:w="6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(352)</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(1 087)</w:t>
            </w:r>
          </w:p>
        </w:tc>
        <w:tc>
          <w:tcPr>
            <w:tcW w:w="0" w:type="dxa"/>
            <w:vAlign w:val="bottom"/>
          </w:tcPr>
          <w:p>
            <w:pPr>
              <w:spacing w:after="0"/>
              <w:rPr>
                <w:sz w:val="1"/>
                <w:szCs w:val="1"/>
                <w:color w:val="auto"/>
              </w:rPr>
            </w:pPr>
          </w:p>
        </w:tc>
      </w:tr>
      <w:tr>
        <w:trPr>
          <w:trHeight w:val="137"/>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68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external customers</w:t>
            </w:r>
          </w:p>
        </w:tc>
        <w:tc>
          <w:tcPr>
            <w:tcW w:w="1500" w:type="dxa"/>
            <w:vAlign w:val="bottom"/>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9 044</w:t>
            </w:r>
          </w:p>
        </w:tc>
        <w:tc>
          <w:tcPr>
            <w:tcW w:w="5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10 658</w:t>
            </w:r>
          </w:p>
        </w:tc>
        <w:tc>
          <w:tcPr>
            <w:tcW w:w="6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3 350</w:t>
            </w:r>
          </w:p>
        </w:tc>
        <w:tc>
          <w:tcPr>
            <w:tcW w:w="66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1 583</w:t>
            </w:r>
          </w:p>
        </w:tc>
        <w:tc>
          <w:tcPr>
            <w:tcW w:w="54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276</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ind w:left="240"/>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other segments</w:t>
            </w:r>
          </w:p>
        </w:tc>
        <w:tc>
          <w:tcPr>
            <w:tcW w:w="1500" w:type="dxa"/>
            <w:vAlign w:val="bottom"/>
            <w:gridSpan w:val="2"/>
          </w:tcPr>
          <w:p>
            <w:pPr>
              <w:jc w:val="right"/>
              <w:ind w:right="92"/>
              <w:spacing w:after="0"/>
              <w:rPr>
                <w:sz w:val="20"/>
                <w:szCs w:val="20"/>
                <w:color w:val="auto"/>
              </w:rPr>
            </w:pPr>
            <w:r>
              <w:rPr>
                <w:rFonts w:ascii="Times New Roman" w:cs="Times New Roman" w:eastAsia="Times New Roman" w:hAnsi="Times New Roman"/>
                <w:sz w:val="10"/>
                <w:szCs w:val="10"/>
                <w:color w:val="0D0D0D"/>
              </w:rPr>
              <w:t>3</w:t>
            </w:r>
          </w:p>
        </w:tc>
        <w:tc>
          <w:tcPr>
            <w:tcW w:w="5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13</w:t>
            </w: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12</w:t>
            </w:r>
          </w:p>
        </w:tc>
        <w:tc>
          <w:tcPr>
            <w:tcW w:w="54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19</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(48)</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profit/(loss)</w:t>
            </w:r>
          </w:p>
        </w:tc>
        <w:tc>
          <w:tcPr>
            <w:tcW w:w="1500" w:type="dxa"/>
            <w:vAlign w:val="bottom"/>
            <w:gridSpan w:val="2"/>
          </w:tcPr>
          <w:p>
            <w:pPr>
              <w:jc w:val="right"/>
              <w:ind w:right="112"/>
              <w:spacing w:after="0"/>
              <w:rPr>
                <w:sz w:val="20"/>
                <w:szCs w:val="20"/>
                <w:color w:val="auto"/>
              </w:rPr>
            </w:pPr>
            <w:r>
              <w:rPr>
                <w:rFonts w:ascii="Times New Roman" w:cs="Times New Roman" w:eastAsia="Times New Roman" w:hAnsi="Times New Roman"/>
                <w:sz w:val="10"/>
                <w:szCs w:val="10"/>
                <w:b w:val="1"/>
                <w:bCs w:val="1"/>
                <w:color w:val="auto"/>
              </w:rPr>
              <w:t>1 102</w:t>
            </w:r>
          </w:p>
        </w:tc>
        <w:tc>
          <w:tcPr>
            <w:tcW w:w="520" w:type="dxa"/>
            <w:vAlign w:val="bottom"/>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940</w:t>
            </w:r>
          </w:p>
        </w:tc>
        <w:tc>
          <w:tcPr>
            <w:tcW w:w="620" w:type="dxa"/>
            <w:vAlign w:val="bottom"/>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177</w:t>
            </w:r>
          </w:p>
        </w:tc>
        <w:tc>
          <w:tcPr>
            <w:tcW w:w="660" w:type="dxa"/>
            <w:vAlign w:val="bottom"/>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1 208</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(318)</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(791)</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2 318</w:t>
            </w:r>
          </w:p>
        </w:tc>
        <w:tc>
          <w:tcPr>
            <w:tcW w:w="0" w:type="dxa"/>
            <w:vAlign w:val="bottom"/>
          </w:tcPr>
          <w:p>
            <w:pPr>
              <w:spacing w:after="0"/>
              <w:rPr>
                <w:sz w:val="1"/>
                <w:szCs w:val="1"/>
                <w:color w:val="auto"/>
              </w:rPr>
            </w:pPr>
          </w:p>
        </w:tc>
      </w:tr>
      <w:tr>
        <w:trPr>
          <w:trHeight w:val="153"/>
        </w:trPr>
        <w:tc>
          <w:tcPr>
            <w:tcW w:w="30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Share of results of associated companies and</w:t>
            </w:r>
          </w:p>
        </w:tc>
        <w:tc>
          <w:tcPr>
            <w:tcW w:w="52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4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600" w:type="dxa"/>
            <w:vAlign w:val="bottom"/>
            <w:vMerge w:val="restart"/>
          </w:tcPr>
          <w:p>
            <w:pPr>
              <w:jc w:val="right"/>
              <w:spacing w:after="0"/>
              <w:rPr>
                <w:sz w:val="20"/>
                <w:szCs w:val="20"/>
                <w:color w:val="auto"/>
              </w:rPr>
            </w:pPr>
            <w:r>
              <w:rPr>
                <w:rFonts w:ascii="Times New Roman" w:cs="Times New Roman" w:eastAsia="Times New Roman" w:hAnsi="Times New Roman"/>
                <w:sz w:val="10"/>
                <w:szCs w:val="10"/>
                <w:b w:val="1"/>
                <w:bCs w:val="1"/>
                <w:color w:val="auto"/>
              </w:rPr>
              <w:t>(26)</w:t>
            </w:r>
          </w:p>
        </w:tc>
        <w:tc>
          <w:tcPr>
            <w:tcW w:w="0" w:type="dxa"/>
            <w:vAlign w:val="bottom"/>
          </w:tcPr>
          <w:p>
            <w:pPr>
              <w:spacing w:after="0"/>
              <w:rPr>
                <w:sz w:val="1"/>
                <w:szCs w:val="1"/>
                <w:color w:val="auto"/>
              </w:rPr>
            </w:pPr>
          </w:p>
        </w:tc>
      </w:tr>
      <w:tr>
        <w:trPr>
          <w:trHeight w:val="130"/>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joint ventures</w:t>
            </w:r>
          </w:p>
        </w:tc>
        <w:tc>
          <w:tcPr>
            <w:tcW w:w="680" w:type="dxa"/>
            <w:vAlign w:val="bottom"/>
          </w:tcPr>
          <w:p>
            <w:pPr>
              <w:spacing w:after="0"/>
              <w:rPr>
                <w:sz w:val="11"/>
                <w:szCs w:val="11"/>
                <w:color w:val="auto"/>
              </w:rPr>
            </w:pPr>
          </w:p>
        </w:tc>
        <w:tc>
          <w:tcPr>
            <w:tcW w:w="820" w:type="dxa"/>
            <w:vAlign w:val="bottom"/>
          </w:tcPr>
          <w:p>
            <w:pPr>
              <w:ind w:left="620"/>
              <w:spacing w:after="0"/>
              <w:rPr>
                <w:sz w:val="20"/>
                <w:szCs w:val="20"/>
                <w:color w:val="auto"/>
              </w:rPr>
            </w:pPr>
            <w:r>
              <w:rPr>
                <w:rFonts w:ascii="Times New Roman" w:cs="Times New Roman" w:eastAsia="Times New Roman" w:hAnsi="Times New Roman"/>
                <w:sz w:val="10"/>
                <w:szCs w:val="10"/>
                <w:color w:val="0D0D0D"/>
              </w:rPr>
              <w:t>—</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(11)</w:t>
            </w: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6</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(8)</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(13)</w:t>
            </w:r>
          </w:p>
        </w:tc>
        <w:tc>
          <w:tcPr>
            <w:tcW w:w="6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income and expenses</w:t>
            </w:r>
          </w:p>
        </w:tc>
        <w:tc>
          <w:tcPr>
            <w:tcW w:w="680" w:type="dxa"/>
            <w:vAlign w:val="bottom"/>
          </w:tcPr>
          <w:p>
            <w:pPr>
              <w:spacing w:after="0"/>
              <w:rPr>
                <w:sz w:val="14"/>
                <w:szCs w:val="14"/>
                <w:color w:val="auto"/>
              </w:rPr>
            </w:pPr>
          </w:p>
        </w:tc>
        <w:tc>
          <w:tcPr>
            <w:tcW w:w="820" w:type="dxa"/>
            <w:vAlign w:val="bottom"/>
          </w:tcPr>
          <w:p>
            <w:pPr>
              <w:spacing w:after="0"/>
              <w:rPr>
                <w:sz w:val="14"/>
                <w:szCs w:val="14"/>
                <w:color w:val="auto"/>
              </w:rPr>
            </w:pPr>
          </w:p>
        </w:tc>
        <w:tc>
          <w:tcPr>
            <w:tcW w:w="52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(108)</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before tax</w:t>
            </w:r>
          </w:p>
        </w:tc>
        <w:tc>
          <w:tcPr>
            <w:tcW w:w="680" w:type="dxa"/>
            <w:vAlign w:val="bottom"/>
          </w:tcPr>
          <w:p>
            <w:pPr>
              <w:spacing w:after="0"/>
              <w:rPr>
                <w:sz w:val="14"/>
                <w:szCs w:val="14"/>
                <w:color w:val="auto"/>
              </w:rPr>
            </w:pPr>
          </w:p>
        </w:tc>
        <w:tc>
          <w:tcPr>
            <w:tcW w:w="820" w:type="dxa"/>
            <w:vAlign w:val="bottom"/>
          </w:tcPr>
          <w:p>
            <w:pPr>
              <w:spacing w:after="0"/>
              <w:rPr>
                <w:sz w:val="14"/>
                <w:szCs w:val="14"/>
                <w:color w:val="auto"/>
              </w:rPr>
            </w:pPr>
          </w:p>
        </w:tc>
        <w:tc>
          <w:tcPr>
            <w:tcW w:w="52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2 184</w:t>
            </w:r>
          </w:p>
        </w:tc>
        <w:tc>
          <w:tcPr>
            <w:tcW w:w="0" w:type="dxa"/>
            <w:vAlign w:val="bottom"/>
          </w:tcPr>
          <w:p>
            <w:pPr>
              <w:spacing w:after="0"/>
              <w:rPr>
                <w:sz w:val="1"/>
                <w:szCs w:val="1"/>
                <w:color w:val="auto"/>
              </w:rPr>
            </w:pPr>
          </w:p>
        </w:tc>
      </w:tr>
      <w:tr>
        <w:trPr>
          <w:trHeight w:val="243"/>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Other segment items</w:t>
            </w:r>
          </w:p>
        </w:tc>
        <w:tc>
          <w:tcPr>
            <w:tcW w:w="680" w:type="dxa"/>
            <w:vAlign w:val="bottom"/>
          </w:tcPr>
          <w:p>
            <w:pPr>
              <w:spacing w:after="0"/>
              <w:rPr>
                <w:sz w:val="21"/>
                <w:szCs w:val="21"/>
                <w:color w:val="auto"/>
              </w:rPr>
            </w:pPr>
          </w:p>
        </w:tc>
        <w:tc>
          <w:tcPr>
            <w:tcW w:w="820" w:type="dxa"/>
            <w:vAlign w:val="bottom"/>
          </w:tcPr>
          <w:p>
            <w:pPr>
              <w:spacing w:after="0"/>
              <w:rPr>
                <w:sz w:val="21"/>
                <w:szCs w:val="21"/>
                <w:color w:val="auto"/>
              </w:rPr>
            </w:pPr>
          </w:p>
        </w:tc>
        <w:tc>
          <w:tcPr>
            <w:tcW w:w="520" w:type="dxa"/>
            <w:vAlign w:val="bottom"/>
          </w:tcPr>
          <w:p>
            <w:pPr>
              <w:spacing w:after="0"/>
              <w:rPr>
                <w:sz w:val="21"/>
                <w:szCs w:val="21"/>
                <w:color w:val="auto"/>
              </w:rPr>
            </w:pPr>
          </w:p>
        </w:tc>
        <w:tc>
          <w:tcPr>
            <w:tcW w:w="620" w:type="dxa"/>
            <w:vAlign w:val="bottom"/>
          </w:tcPr>
          <w:p>
            <w:pPr>
              <w:spacing w:after="0"/>
              <w:rPr>
                <w:sz w:val="21"/>
                <w:szCs w:val="21"/>
                <w:color w:val="auto"/>
              </w:rPr>
            </w:pPr>
          </w:p>
        </w:tc>
        <w:tc>
          <w:tcPr>
            <w:tcW w:w="660" w:type="dxa"/>
            <w:vAlign w:val="bottom"/>
          </w:tcPr>
          <w:p>
            <w:pPr>
              <w:spacing w:after="0"/>
              <w:rPr>
                <w:sz w:val="21"/>
                <w:szCs w:val="21"/>
                <w:color w:val="auto"/>
              </w:rPr>
            </w:pPr>
          </w:p>
        </w:tc>
        <w:tc>
          <w:tcPr>
            <w:tcW w:w="540" w:type="dxa"/>
            <w:vAlign w:val="bottom"/>
          </w:tcPr>
          <w:p>
            <w:pPr>
              <w:spacing w:after="0"/>
              <w:rPr>
                <w:sz w:val="21"/>
                <w:szCs w:val="21"/>
                <w:color w:val="auto"/>
              </w:rPr>
            </w:pPr>
          </w:p>
        </w:tc>
        <w:tc>
          <w:tcPr>
            <w:tcW w:w="620" w:type="dxa"/>
            <w:vAlign w:val="bottom"/>
          </w:tcPr>
          <w:p>
            <w:pPr>
              <w:spacing w:after="0"/>
              <w:rPr>
                <w:sz w:val="21"/>
                <w:szCs w:val="21"/>
                <w:color w:val="auto"/>
              </w:rPr>
            </w:pPr>
          </w:p>
        </w:tc>
        <w:tc>
          <w:tcPr>
            <w:tcW w:w="600" w:type="dxa"/>
            <w:vAlign w:val="bottom"/>
          </w:tcPr>
          <w:p>
            <w:pPr>
              <w:spacing w:after="0"/>
              <w:rPr>
                <w:sz w:val="21"/>
                <w:szCs w:val="21"/>
                <w:color w:val="auto"/>
              </w:rPr>
            </w:pPr>
          </w:p>
        </w:tc>
        <w:tc>
          <w:tcPr>
            <w:tcW w:w="0" w:type="dxa"/>
            <w:vAlign w:val="bottom"/>
          </w:tcPr>
          <w:p>
            <w:pPr>
              <w:spacing w:after="0"/>
              <w:rPr>
                <w:sz w:val="1"/>
                <w:szCs w:val="1"/>
                <w:color w:val="auto"/>
              </w:rPr>
            </w:pPr>
          </w:p>
        </w:tc>
      </w:tr>
      <w:tr>
        <w:trPr>
          <w:trHeight w:val="167"/>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Depreciation and amortization</w:t>
            </w:r>
          </w:p>
        </w:tc>
        <w:tc>
          <w:tcPr>
            <w:tcW w:w="1500" w:type="dxa"/>
            <w:vAlign w:val="bottom"/>
            <w:tcBorders>
              <w:bottom w:val="single" w:sz="8" w:color="005AFF"/>
            </w:tcBorders>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(229)</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(347)</w:t>
            </w:r>
          </w:p>
        </w:tc>
        <w:tc>
          <w:tcPr>
            <w:tcW w:w="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(91)</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(34)</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(28)</w:t>
            </w:r>
          </w:p>
        </w:tc>
        <w:tc>
          <w:tcPr>
            <w:tcW w:w="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(411)</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(1 140)</w:t>
            </w:r>
          </w:p>
        </w:tc>
        <w:tc>
          <w:tcPr>
            <w:tcW w:w="0" w:type="dxa"/>
            <w:vAlign w:val="bottom"/>
          </w:tcPr>
          <w:p>
            <w:pPr>
              <w:spacing w:after="0"/>
              <w:rPr>
                <w:sz w:val="1"/>
                <w:szCs w:val="1"/>
                <w:color w:val="auto"/>
              </w:rPr>
            </w:pPr>
          </w:p>
        </w:tc>
      </w:tr>
      <w:tr>
        <w:trPr>
          <w:trHeight w:val="137"/>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2021</w:t>
            </w:r>
          </w:p>
        </w:tc>
        <w:tc>
          <w:tcPr>
            <w:tcW w:w="68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external customers</w:t>
            </w:r>
          </w:p>
        </w:tc>
        <w:tc>
          <w:tcPr>
            <w:tcW w:w="1500" w:type="dxa"/>
            <w:vAlign w:val="bottom"/>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7 673</w:t>
            </w:r>
          </w:p>
        </w:tc>
        <w:tc>
          <w:tcPr>
            <w:tcW w:w="5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9 711</w:t>
            </w:r>
          </w:p>
        </w:tc>
        <w:tc>
          <w:tcPr>
            <w:tcW w:w="6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3 088</w:t>
            </w:r>
          </w:p>
        </w:tc>
        <w:tc>
          <w:tcPr>
            <w:tcW w:w="66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1 490</w:t>
            </w:r>
          </w:p>
        </w:tc>
        <w:tc>
          <w:tcPr>
            <w:tcW w:w="54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240</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ind w:left="240"/>
              <w:spacing w:after="0"/>
              <w:rPr>
                <w:sz w:val="20"/>
                <w:szCs w:val="20"/>
                <w:color w:val="auto"/>
              </w:rPr>
            </w:pPr>
            <w:r>
              <w:rPr>
                <w:rFonts w:ascii="Times New Roman" w:cs="Times New Roman" w:eastAsia="Times New Roman" w:hAnsi="Times New Roman"/>
                <w:sz w:val="10"/>
                <w:szCs w:val="10"/>
                <w:b w:val="1"/>
                <w:bCs w:val="1"/>
                <w:color w:val="auto"/>
              </w:rPr>
              <w:t>22 202</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sales to other segments</w:t>
            </w:r>
          </w:p>
        </w:tc>
        <w:tc>
          <w:tcPr>
            <w:tcW w:w="1500" w:type="dxa"/>
            <w:vAlign w:val="bottom"/>
            <w:gridSpan w:val="2"/>
          </w:tcPr>
          <w:p>
            <w:pPr>
              <w:jc w:val="right"/>
              <w:ind w:right="92"/>
              <w:spacing w:after="0"/>
              <w:rPr>
                <w:sz w:val="20"/>
                <w:szCs w:val="20"/>
                <w:color w:val="auto"/>
              </w:rPr>
            </w:pPr>
            <w:r>
              <w:rPr>
                <w:rFonts w:ascii="Times New Roman" w:cs="Times New Roman" w:eastAsia="Times New Roman" w:hAnsi="Times New Roman"/>
                <w:sz w:val="10"/>
                <w:szCs w:val="10"/>
                <w:color w:val="0D0D0D"/>
              </w:rPr>
              <w:t>1</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w:t>
            </w: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12</w:t>
            </w:r>
          </w:p>
        </w:tc>
        <w:tc>
          <w:tcPr>
            <w:tcW w:w="54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17</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(37)</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profit/(loss)</w:t>
            </w:r>
          </w:p>
        </w:tc>
        <w:tc>
          <w:tcPr>
            <w:tcW w:w="1500" w:type="dxa"/>
            <w:vAlign w:val="bottom"/>
            <w:gridSpan w:val="2"/>
          </w:tcPr>
          <w:p>
            <w:pPr>
              <w:jc w:val="right"/>
              <w:ind w:right="92"/>
              <w:spacing w:after="0"/>
              <w:rPr>
                <w:sz w:val="20"/>
                <w:szCs w:val="20"/>
                <w:color w:val="auto"/>
              </w:rPr>
            </w:pPr>
            <w:r>
              <w:rPr>
                <w:rFonts w:ascii="Times New Roman" w:cs="Times New Roman" w:eastAsia="Times New Roman" w:hAnsi="Times New Roman"/>
                <w:sz w:val="10"/>
                <w:szCs w:val="10"/>
                <w:b w:val="1"/>
                <w:bCs w:val="1"/>
                <w:color w:val="auto"/>
              </w:rPr>
              <w:t>784</w:t>
            </w:r>
          </w:p>
        </w:tc>
        <w:tc>
          <w:tcPr>
            <w:tcW w:w="520" w:type="dxa"/>
            <w:vAlign w:val="bottom"/>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765</w:t>
            </w:r>
          </w:p>
        </w:tc>
        <w:tc>
          <w:tcPr>
            <w:tcW w:w="620" w:type="dxa"/>
            <w:vAlign w:val="bottom"/>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166</w:t>
            </w:r>
          </w:p>
        </w:tc>
        <w:tc>
          <w:tcPr>
            <w:tcW w:w="660" w:type="dxa"/>
            <w:vAlign w:val="bottom"/>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1 185</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(125)</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(617)</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2 158</w:t>
            </w:r>
          </w:p>
        </w:tc>
        <w:tc>
          <w:tcPr>
            <w:tcW w:w="0" w:type="dxa"/>
            <w:vAlign w:val="bottom"/>
          </w:tcPr>
          <w:p>
            <w:pPr>
              <w:spacing w:after="0"/>
              <w:rPr>
                <w:sz w:val="1"/>
                <w:szCs w:val="1"/>
                <w:color w:val="auto"/>
              </w:rPr>
            </w:pPr>
          </w:p>
        </w:tc>
      </w:tr>
      <w:tr>
        <w:trPr>
          <w:trHeight w:val="153"/>
        </w:trPr>
        <w:tc>
          <w:tcPr>
            <w:tcW w:w="30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Share of results of associated companies and</w:t>
            </w:r>
          </w:p>
        </w:tc>
        <w:tc>
          <w:tcPr>
            <w:tcW w:w="52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40" w:type="dxa"/>
            <w:vAlign w:val="bottom"/>
          </w:tcPr>
          <w:p>
            <w:pPr>
              <w:spacing w:after="0"/>
              <w:rPr>
                <w:sz w:val="13"/>
                <w:szCs w:val="13"/>
                <w:color w:val="auto"/>
              </w:rPr>
            </w:pPr>
          </w:p>
        </w:tc>
        <w:tc>
          <w:tcPr>
            <w:tcW w:w="620" w:type="dxa"/>
            <w:vAlign w:val="bottom"/>
          </w:tcPr>
          <w:p>
            <w:pPr>
              <w:spacing w:after="0"/>
              <w:rPr>
                <w:sz w:val="13"/>
                <w:szCs w:val="13"/>
                <w:color w:val="auto"/>
              </w:rPr>
            </w:pPr>
          </w:p>
        </w:tc>
        <w:tc>
          <w:tcPr>
            <w:tcW w:w="60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9</w:t>
            </w:r>
          </w:p>
        </w:tc>
        <w:tc>
          <w:tcPr>
            <w:tcW w:w="0" w:type="dxa"/>
            <w:vAlign w:val="bottom"/>
          </w:tcPr>
          <w:p>
            <w:pPr>
              <w:spacing w:after="0"/>
              <w:rPr>
                <w:sz w:val="1"/>
                <w:szCs w:val="1"/>
                <w:color w:val="auto"/>
              </w:rPr>
            </w:pPr>
          </w:p>
        </w:tc>
      </w:tr>
      <w:tr>
        <w:trPr>
          <w:trHeight w:val="130"/>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joint ventures</w:t>
            </w:r>
          </w:p>
        </w:tc>
        <w:tc>
          <w:tcPr>
            <w:tcW w:w="1500" w:type="dxa"/>
            <w:vAlign w:val="bottom"/>
            <w:gridSpan w:val="2"/>
          </w:tcPr>
          <w:p>
            <w:pPr>
              <w:ind w:left="1280"/>
              <w:spacing w:after="0"/>
              <w:rPr>
                <w:sz w:val="20"/>
                <w:szCs w:val="20"/>
                <w:color w:val="auto"/>
              </w:rPr>
            </w:pPr>
            <w:r>
              <w:rPr>
                <w:rFonts w:ascii="Times New Roman" w:cs="Times New Roman" w:eastAsia="Times New Roman" w:hAnsi="Times New Roman"/>
                <w:sz w:val="10"/>
                <w:szCs w:val="10"/>
                <w:color w:val="0D0D0D"/>
              </w:rPr>
              <w:t>(1)</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w:t>
            </w:r>
          </w:p>
        </w:tc>
        <w:tc>
          <w:tcPr>
            <w:tcW w:w="62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6</w:t>
            </w:r>
          </w:p>
        </w:tc>
        <w:tc>
          <w:tcPr>
            <w:tcW w:w="6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income and expenses</w:t>
            </w:r>
          </w:p>
        </w:tc>
        <w:tc>
          <w:tcPr>
            <w:tcW w:w="680" w:type="dxa"/>
            <w:vAlign w:val="bottom"/>
          </w:tcPr>
          <w:p>
            <w:pPr>
              <w:spacing w:after="0"/>
              <w:rPr>
                <w:sz w:val="14"/>
                <w:szCs w:val="14"/>
                <w:color w:val="auto"/>
              </w:rPr>
            </w:pPr>
          </w:p>
        </w:tc>
        <w:tc>
          <w:tcPr>
            <w:tcW w:w="820" w:type="dxa"/>
            <w:vAlign w:val="bottom"/>
          </w:tcPr>
          <w:p>
            <w:pPr>
              <w:spacing w:after="0"/>
              <w:rPr>
                <w:sz w:val="14"/>
                <w:szCs w:val="14"/>
                <w:color w:val="auto"/>
              </w:rPr>
            </w:pPr>
          </w:p>
        </w:tc>
        <w:tc>
          <w:tcPr>
            <w:tcW w:w="52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(241)</w:t>
            </w:r>
          </w:p>
        </w:tc>
        <w:tc>
          <w:tcPr>
            <w:tcW w:w="0" w:type="dxa"/>
            <w:vAlign w:val="bottom"/>
          </w:tcPr>
          <w:p>
            <w:pPr>
              <w:spacing w:after="0"/>
              <w:rPr>
                <w:sz w:val="1"/>
                <w:szCs w:val="1"/>
                <w:color w:val="auto"/>
              </w:rPr>
            </w:pP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before tax</w:t>
            </w:r>
          </w:p>
        </w:tc>
        <w:tc>
          <w:tcPr>
            <w:tcW w:w="680" w:type="dxa"/>
            <w:vAlign w:val="bottom"/>
          </w:tcPr>
          <w:p>
            <w:pPr>
              <w:spacing w:after="0"/>
              <w:rPr>
                <w:sz w:val="14"/>
                <w:szCs w:val="14"/>
                <w:color w:val="auto"/>
              </w:rPr>
            </w:pPr>
          </w:p>
        </w:tc>
        <w:tc>
          <w:tcPr>
            <w:tcW w:w="820" w:type="dxa"/>
            <w:vAlign w:val="bottom"/>
          </w:tcPr>
          <w:p>
            <w:pPr>
              <w:spacing w:after="0"/>
              <w:rPr>
                <w:sz w:val="14"/>
                <w:szCs w:val="14"/>
                <w:color w:val="auto"/>
              </w:rPr>
            </w:pPr>
          </w:p>
        </w:tc>
        <w:tc>
          <w:tcPr>
            <w:tcW w:w="52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620" w:type="dxa"/>
            <w:vAlign w:val="bottom"/>
          </w:tcPr>
          <w:p>
            <w:pPr>
              <w:spacing w:after="0"/>
              <w:rPr>
                <w:sz w:val="14"/>
                <w:szCs w:val="14"/>
                <w:color w:val="auto"/>
              </w:rPr>
            </w:pP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1 926</w:t>
            </w:r>
          </w:p>
        </w:tc>
        <w:tc>
          <w:tcPr>
            <w:tcW w:w="0" w:type="dxa"/>
            <w:vAlign w:val="bottom"/>
          </w:tcPr>
          <w:p>
            <w:pPr>
              <w:spacing w:after="0"/>
              <w:rPr>
                <w:sz w:val="1"/>
                <w:szCs w:val="1"/>
                <w:color w:val="auto"/>
              </w:rPr>
            </w:pPr>
          </w:p>
        </w:tc>
      </w:tr>
      <w:tr>
        <w:trPr>
          <w:trHeight w:val="243"/>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Other segment items</w:t>
            </w:r>
          </w:p>
        </w:tc>
        <w:tc>
          <w:tcPr>
            <w:tcW w:w="680" w:type="dxa"/>
            <w:vAlign w:val="bottom"/>
          </w:tcPr>
          <w:p>
            <w:pPr>
              <w:spacing w:after="0"/>
              <w:rPr>
                <w:sz w:val="21"/>
                <w:szCs w:val="21"/>
                <w:color w:val="auto"/>
              </w:rPr>
            </w:pPr>
          </w:p>
        </w:tc>
        <w:tc>
          <w:tcPr>
            <w:tcW w:w="820" w:type="dxa"/>
            <w:vAlign w:val="bottom"/>
          </w:tcPr>
          <w:p>
            <w:pPr>
              <w:spacing w:after="0"/>
              <w:rPr>
                <w:sz w:val="21"/>
                <w:szCs w:val="21"/>
                <w:color w:val="auto"/>
              </w:rPr>
            </w:pPr>
          </w:p>
        </w:tc>
        <w:tc>
          <w:tcPr>
            <w:tcW w:w="520" w:type="dxa"/>
            <w:vAlign w:val="bottom"/>
          </w:tcPr>
          <w:p>
            <w:pPr>
              <w:spacing w:after="0"/>
              <w:rPr>
                <w:sz w:val="21"/>
                <w:szCs w:val="21"/>
                <w:color w:val="auto"/>
              </w:rPr>
            </w:pPr>
          </w:p>
        </w:tc>
        <w:tc>
          <w:tcPr>
            <w:tcW w:w="620" w:type="dxa"/>
            <w:vAlign w:val="bottom"/>
          </w:tcPr>
          <w:p>
            <w:pPr>
              <w:spacing w:after="0"/>
              <w:rPr>
                <w:sz w:val="21"/>
                <w:szCs w:val="21"/>
                <w:color w:val="auto"/>
              </w:rPr>
            </w:pPr>
          </w:p>
        </w:tc>
        <w:tc>
          <w:tcPr>
            <w:tcW w:w="660" w:type="dxa"/>
            <w:vAlign w:val="bottom"/>
          </w:tcPr>
          <w:p>
            <w:pPr>
              <w:spacing w:after="0"/>
              <w:rPr>
                <w:sz w:val="21"/>
                <w:szCs w:val="21"/>
                <w:color w:val="auto"/>
              </w:rPr>
            </w:pPr>
          </w:p>
        </w:tc>
        <w:tc>
          <w:tcPr>
            <w:tcW w:w="540" w:type="dxa"/>
            <w:vAlign w:val="bottom"/>
          </w:tcPr>
          <w:p>
            <w:pPr>
              <w:spacing w:after="0"/>
              <w:rPr>
                <w:sz w:val="21"/>
                <w:szCs w:val="21"/>
                <w:color w:val="auto"/>
              </w:rPr>
            </w:pPr>
          </w:p>
        </w:tc>
        <w:tc>
          <w:tcPr>
            <w:tcW w:w="620" w:type="dxa"/>
            <w:vAlign w:val="bottom"/>
          </w:tcPr>
          <w:p>
            <w:pPr>
              <w:spacing w:after="0"/>
              <w:rPr>
                <w:sz w:val="21"/>
                <w:szCs w:val="21"/>
                <w:color w:val="auto"/>
              </w:rPr>
            </w:pPr>
          </w:p>
        </w:tc>
        <w:tc>
          <w:tcPr>
            <w:tcW w:w="600" w:type="dxa"/>
            <w:vAlign w:val="bottom"/>
          </w:tcPr>
          <w:p>
            <w:pPr>
              <w:spacing w:after="0"/>
              <w:rPr>
                <w:sz w:val="21"/>
                <w:szCs w:val="21"/>
                <w:color w:val="auto"/>
              </w:rPr>
            </w:pPr>
          </w:p>
        </w:tc>
        <w:tc>
          <w:tcPr>
            <w:tcW w:w="0" w:type="dxa"/>
            <w:vAlign w:val="bottom"/>
          </w:tcPr>
          <w:p>
            <w:pPr>
              <w:spacing w:after="0"/>
              <w:rPr>
                <w:sz w:val="1"/>
                <w:szCs w:val="1"/>
                <w:color w:val="auto"/>
              </w:rPr>
            </w:pPr>
          </w:p>
        </w:tc>
      </w:tr>
      <w:tr>
        <w:trPr>
          <w:trHeight w:val="167"/>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Depreciation and amortization</w:t>
            </w:r>
          </w:p>
        </w:tc>
        <w:tc>
          <w:tcPr>
            <w:tcW w:w="1500" w:type="dxa"/>
            <w:vAlign w:val="bottom"/>
            <w:tcBorders>
              <w:bottom w:val="single" w:sz="8" w:color="005AFF"/>
            </w:tcBorders>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(208)</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(338)</w:t>
            </w:r>
          </w:p>
        </w:tc>
        <w:tc>
          <w:tcPr>
            <w:tcW w:w="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(95)</w:t>
            </w:r>
          </w:p>
        </w:tc>
        <w:tc>
          <w:tcPr>
            <w:tcW w:w="6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(33)</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(30)</w:t>
            </w:r>
          </w:p>
        </w:tc>
        <w:tc>
          <w:tcPr>
            <w:tcW w:w="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(391)</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(1 095)</w:t>
            </w:r>
          </w:p>
        </w:tc>
        <w:tc>
          <w:tcPr>
            <w:tcW w:w="0" w:type="dxa"/>
            <w:vAlign w:val="bottom"/>
          </w:tcPr>
          <w:p>
            <w:pPr>
              <w:spacing w:after="0"/>
              <w:rPr>
                <w:sz w:val="1"/>
                <w:szCs w:val="1"/>
                <w:color w:val="auto"/>
              </w:rPr>
            </w:pPr>
          </w:p>
        </w:tc>
      </w:tr>
      <w:tr>
        <w:trPr>
          <w:trHeight w:val="178"/>
        </w:trPr>
        <w:tc>
          <w:tcPr>
            <w:tcW w:w="1540" w:type="dxa"/>
            <w:vAlign w:val="bottom"/>
          </w:tcPr>
          <w:p>
            <w:pPr>
              <w:ind w:left="40"/>
              <w:spacing w:after="0"/>
              <w:rPr>
                <w:sz w:val="20"/>
                <w:szCs w:val="20"/>
                <w:color w:val="auto"/>
              </w:rPr>
            </w:pPr>
            <w:r>
              <w:rPr>
                <w:rFonts w:ascii="Times New Roman" w:cs="Times New Roman" w:eastAsia="Times New Roman" w:hAnsi="Times New Roman"/>
                <w:sz w:val="8"/>
                <w:szCs w:val="8"/>
                <w:color w:val="auto"/>
              </w:rPr>
              <w:t>(1)   Includes IP Networks net sales of EUR</w:t>
            </w:r>
          </w:p>
        </w:tc>
        <w:tc>
          <w:tcPr>
            <w:tcW w:w="1500" w:type="dxa"/>
            <w:vAlign w:val="bottom"/>
            <w:gridSpan w:val="2"/>
          </w:tcPr>
          <w:p>
            <w:pPr>
              <w:jc w:val="right"/>
              <w:spacing w:after="0"/>
              <w:rPr>
                <w:sz w:val="20"/>
                <w:szCs w:val="20"/>
                <w:color w:val="auto"/>
              </w:rPr>
            </w:pPr>
            <w:r>
              <w:rPr>
                <w:rFonts w:ascii="Times New Roman" w:cs="Times New Roman" w:eastAsia="Times New Roman" w:hAnsi="Times New Roman"/>
                <w:sz w:val="8"/>
                <w:szCs w:val="8"/>
                <w:color w:val="auto"/>
              </w:rPr>
              <w:t>2 606 million (EUR 3 063 million in 2022</w:t>
            </w:r>
          </w:p>
        </w:tc>
        <w:tc>
          <w:tcPr>
            <w:tcW w:w="520" w:type="dxa"/>
            <w:vAlign w:val="bottom"/>
          </w:tcPr>
          <w:p>
            <w:pPr>
              <w:jc w:val="right"/>
              <w:spacing w:after="0"/>
              <w:rPr>
                <w:sz w:val="20"/>
                <w:szCs w:val="20"/>
                <w:color w:val="auto"/>
              </w:rPr>
            </w:pPr>
            <w:r>
              <w:rPr>
                <w:rFonts w:ascii="Times New Roman" w:cs="Times New Roman" w:eastAsia="Times New Roman" w:hAnsi="Times New Roman"/>
                <w:sz w:val="8"/>
                <w:szCs w:val="8"/>
                <w:color w:val="auto"/>
                <w:w w:val="96"/>
              </w:rPr>
              <w:t>and EUR 2 679</w:t>
            </w:r>
          </w:p>
        </w:tc>
        <w:tc>
          <w:tcPr>
            <w:tcW w:w="1820" w:type="dxa"/>
            <w:vAlign w:val="bottom"/>
            <w:gridSpan w:val="3"/>
          </w:tcPr>
          <w:p>
            <w:pPr>
              <w:jc w:val="right"/>
              <w:ind w:right="32"/>
              <w:spacing w:after="0"/>
              <w:rPr>
                <w:sz w:val="20"/>
                <w:szCs w:val="20"/>
                <w:color w:val="auto"/>
              </w:rPr>
            </w:pPr>
            <w:r>
              <w:rPr>
                <w:rFonts w:ascii="Times New Roman" w:cs="Times New Roman" w:eastAsia="Times New Roman" w:hAnsi="Times New Roman"/>
                <w:sz w:val="8"/>
                <w:szCs w:val="8"/>
                <w:color w:val="auto"/>
              </w:rPr>
              <w:t>million in 2021 ), Optical Networks net sales of EUR</w:t>
            </w:r>
          </w:p>
        </w:tc>
        <w:tc>
          <w:tcPr>
            <w:tcW w:w="1220" w:type="dxa"/>
            <w:vAlign w:val="bottom"/>
            <w:gridSpan w:val="2"/>
          </w:tcPr>
          <w:p>
            <w:pPr>
              <w:jc w:val="right"/>
              <w:ind w:right="10"/>
              <w:spacing w:after="0"/>
              <w:rPr>
                <w:sz w:val="20"/>
                <w:szCs w:val="20"/>
                <w:color w:val="auto"/>
              </w:rPr>
            </w:pPr>
            <w:r>
              <w:rPr>
                <w:rFonts w:ascii="Times New Roman" w:cs="Times New Roman" w:eastAsia="Times New Roman" w:hAnsi="Times New Roman"/>
                <w:sz w:val="8"/>
                <w:szCs w:val="8"/>
                <w:color w:val="auto"/>
              </w:rPr>
              <w:t>1 942 million (EUR 1 891 million</w:t>
            </w:r>
          </w:p>
        </w:tc>
        <w:tc>
          <w:tcPr>
            <w:tcW w:w="0" w:type="dxa"/>
            <w:vAlign w:val="bottom"/>
          </w:tcPr>
          <w:p>
            <w:pPr>
              <w:spacing w:after="0"/>
              <w:rPr>
                <w:sz w:val="1"/>
                <w:szCs w:val="1"/>
                <w:color w:val="auto"/>
              </w:rPr>
            </w:pPr>
          </w:p>
        </w:tc>
      </w:tr>
      <w:tr>
        <w:trPr>
          <w:trHeight w:val="104"/>
        </w:trPr>
        <w:tc>
          <w:tcPr>
            <w:tcW w:w="3040" w:type="dxa"/>
            <w:vAlign w:val="bottom"/>
            <w:gridSpan w:val="3"/>
          </w:tcPr>
          <w:p>
            <w:pPr>
              <w:ind w:left="220"/>
              <w:spacing w:after="0"/>
              <w:rPr>
                <w:sz w:val="20"/>
                <w:szCs w:val="20"/>
                <w:color w:val="auto"/>
              </w:rPr>
            </w:pPr>
            <w:r>
              <w:rPr>
                <w:rFonts w:ascii="Times New Roman" w:cs="Times New Roman" w:eastAsia="Times New Roman" w:hAnsi="Times New Roman"/>
                <w:sz w:val="8"/>
                <w:szCs w:val="8"/>
                <w:color w:val="auto"/>
              </w:rPr>
              <w:t>in 2022 and EUR 1 708 million in 2021 ), Fixed Networks net sales of EUR   2 369</w:t>
            </w:r>
          </w:p>
        </w:tc>
        <w:tc>
          <w:tcPr>
            <w:tcW w:w="1800" w:type="dxa"/>
            <w:vAlign w:val="bottom"/>
            <w:gridSpan w:val="3"/>
          </w:tcPr>
          <w:p>
            <w:pPr>
              <w:jc w:val="right"/>
              <w:spacing w:after="0"/>
              <w:rPr>
                <w:sz w:val="20"/>
                <w:szCs w:val="20"/>
                <w:color w:val="auto"/>
              </w:rPr>
            </w:pPr>
            <w:r>
              <w:rPr>
                <w:rFonts w:ascii="Times New Roman" w:cs="Times New Roman" w:eastAsia="Times New Roman" w:hAnsi="Times New Roman"/>
                <w:sz w:val="8"/>
                <w:szCs w:val="8"/>
                <w:color w:val="auto"/>
              </w:rPr>
              <w:t>million (EUR 2 943 million in 2022 and EUR 2 358</w:t>
            </w:r>
          </w:p>
        </w:tc>
        <w:tc>
          <w:tcPr>
            <w:tcW w:w="1760" w:type="dxa"/>
            <w:vAlign w:val="bottom"/>
            <w:gridSpan w:val="3"/>
          </w:tcPr>
          <w:p>
            <w:pPr>
              <w:jc w:val="right"/>
              <w:ind w:right="150"/>
              <w:spacing w:after="0"/>
              <w:rPr>
                <w:sz w:val="20"/>
                <w:szCs w:val="20"/>
                <w:color w:val="auto"/>
              </w:rPr>
            </w:pPr>
            <w:r>
              <w:rPr>
                <w:rFonts w:ascii="Times New Roman" w:cs="Times New Roman" w:eastAsia="Times New Roman" w:hAnsi="Times New Roman"/>
                <w:sz w:val="8"/>
                <w:szCs w:val="8"/>
                <w:color w:val="auto"/>
              </w:rPr>
              <w:t>million in 2021 ) and Submarine Networks net</w:t>
            </w:r>
          </w:p>
        </w:tc>
        <w:tc>
          <w:tcPr>
            <w:tcW w:w="0" w:type="dxa"/>
            <w:vAlign w:val="bottom"/>
          </w:tcPr>
          <w:p>
            <w:pPr>
              <w:spacing w:after="0"/>
              <w:rPr>
                <w:sz w:val="1"/>
                <w:szCs w:val="1"/>
                <w:color w:val="auto"/>
              </w:rPr>
            </w:pPr>
          </w:p>
        </w:tc>
      </w:tr>
    </w:tbl>
    <w:p>
      <w:pPr>
        <w:ind w:left="220"/>
        <w:spacing w:after="0"/>
        <w:rPr>
          <w:sz w:val="20"/>
          <w:szCs w:val="20"/>
          <w:color w:val="auto"/>
        </w:rPr>
      </w:pPr>
      <w:r>
        <w:rPr>
          <w:rFonts w:ascii="Times New Roman" w:cs="Times New Roman" w:eastAsia="Times New Roman" w:hAnsi="Times New Roman"/>
          <w:sz w:val="8"/>
          <w:szCs w:val="8"/>
          <w:color w:val="auto"/>
        </w:rPr>
        <w:t>sales of EUR 1 120 million (EUR 1 150 million in 2022 and EUR 929 million in 2021 ).</w:t>
      </w:r>
    </w:p>
    <w:p>
      <w:pPr>
        <w:spacing w:after="0" w:line="4" w:lineRule="exact"/>
        <w:rPr>
          <w:sz w:val="20"/>
          <w:szCs w:val="20"/>
          <w:color w:val="auto"/>
        </w:rPr>
      </w:pPr>
    </w:p>
    <w:p>
      <w:pPr>
        <w:ind w:left="220" w:hanging="184"/>
        <w:spacing w:after="0"/>
        <w:tabs>
          <w:tab w:leader="none" w:pos="220" w:val="left"/>
        </w:tabs>
        <w:numPr>
          <w:ilvl w:val="0"/>
          <w:numId w:val="11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Unallocated items comprise costs related to intangible asset amortization, restructuring-related charges, impairments and certain other items.</w:t>
      </w:r>
    </w:p>
    <w:p>
      <w:pPr>
        <w:spacing w:after="0" w:line="20" w:lineRule="exact"/>
        <w:rPr>
          <w:sz w:val="20"/>
          <w:szCs w:val="20"/>
          <w:color w:val="auto"/>
        </w:rPr>
      </w:pPr>
      <w:r>
        <w:rPr>
          <w:sz w:val="20"/>
          <w:szCs w:val="20"/>
          <w:color w:val="auto"/>
        </w:rPr>
        <w:br w:type="column"/>
      </w:r>
    </w:p>
    <w:p>
      <w:pPr>
        <w:spacing w:after="0" w:line="81" w:lineRule="exact"/>
        <w:rPr>
          <w:sz w:val="20"/>
          <w:szCs w:val="20"/>
          <w:color w:val="auto"/>
        </w:rPr>
      </w:pPr>
    </w:p>
    <w:p>
      <w:pPr>
        <w:ind w:right="540"/>
        <w:spacing w:after="0" w:line="299" w:lineRule="auto"/>
        <w:rPr>
          <w:sz w:val="20"/>
          <w:szCs w:val="20"/>
          <w:color w:val="auto"/>
        </w:rPr>
      </w:pPr>
      <w:r>
        <w:rPr>
          <w:rFonts w:ascii="Times New Roman" w:cs="Times New Roman" w:eastAsia="Times New Roman" w:hAnsi="Times New Roman"/>
          <w:sz w:val="13"/>
          <w:szCs w:val="13"/>
          <w:color w:val="auto"/>
        </w:rPr>
        <w:t>Material reconciling items between total segment operating profit and operating profit for the Group</w:t>
      </w:r>
    </w:p>
    <w:p>
      <w:pPr>
        <w:spacing w:after="0" w:line="34"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6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Total segment operating profit</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2 375</w:t>
            </w:r>
          </w:p>
        </w:tc>
        <w:tc>
          <w:tcPr>
            <w:tcW w:w="640" w:type="dxa"/>
            <w:vAlign w:val="bottom"/>
          </w:tcPr>
          <w:p>
            <w:pPr>
              <w:jc w:val="right"/>
              <w:ind w:right="130"/>
              <w:spacing w:after="0"/>
              <w:rPr>
                <w:sz w:val="20"/>
                <w:szCs w:val="20"/>
                <w:color w:val="auto"/>
              </w:rPr>
            </w:pPr>
            <w:r>
              <w:rPr>
                <w:rFonts w:ascii="Times New Roman" w:cs="Times New Roman" w:eastAsia="Times New Roman" w:hAnsi="Times New Roman"/>
                <w:sz w:val="10"/>
                <w:szCs w:val="10"/>
                <w:b w:val="1"/>
                <w:bCs w:val="1"/>
                <w:color w:val="auto"/>
              </w:rPr>
              <w:t>3 109</w:t>
            </w:r>
          </w:p>
        </w:tc>
        <w:tc>
          <w:tcPr>
            <w:tcW w:w="44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2 775</w:t>
            </w:r>
          </w:p>
        </w:tc>
      </w:tr>
      <w:tr>
        <w:trPr>
          <w:trHeight w:val="153"/>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Restructuring and associated</w:t>
            </w:r>
          </w:p>
        </w:tc>
        <w:tc>
          <w:tcPr>
            <w:tcW w:w="540" w:type="dxa"/>
            <w:vAlign w:val="bottom"/>
            <w:shd w:val="clear" w:color="auto" w:fill="F0F5FF"/>
          </w:tcPr>
          <w:p>
            <w:pPr>
              <w:spacing w:after="0"/>
              <w:rPr>
                <w:sz w:val="13"/>
                <w:szCs w:val="13"/>
                <w:color w:val="auto"/>
              </w:rPr>
            </w:pPr>
          </w:p>
        </w:tc>
        <w:tc>
          <w:tcPr>
            <w:tcW w:w="640" w:type="dxa"/>
            <w:vAlign w:val="bottom"/>
          </w:tcPr>
          <w:p>
            <w:pPr>
              <w:spacing w:after="0"/>
              <w:rPr>
                <w:sz w:val="13"/>
                <w:szCs w:val="13"/>
                <w:color w:val="auto"/>
              </w:rPr>
            </w:pPr>
          </w:p>
        </w:tc>
        <w:tc>
          <w:tcPr>
            <w:tcW w:w="440" w:type="dxa"/>
            <w:vAlign w:val="bottom"/>
          </w:tcPr>
          <w:p>
            <w:pPr>
              <w:spacing w:after="0"/>
              <w:rPr>
                <w:sz w:val="13"/>
                <w:szCs w:val="13"/>
                <w:color w:val="auto"/>
              </w:rPr>
            </w:pPr>
          </w:p>
        </w:tc>
      </w:tr>
      <w:tr>
        <w:trPr>
          <w:trHeight w:val="13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charges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(356)</w:t>
            </w:r>
          </w:p>
        </w:tc>
        <w:tc>
          <w:tcPr>
            <w:tcW w:w="64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(177)</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(263)</w:t>
            </w:r>
          </w:p>
        </w:tc>
      </w:tr>
      <w:tr>
        <w:trPr>
          <w:trHeight w:val="153"/>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Amortization of acquired</w:t>
            </w:r>
          </w:p>
        </w:tc>
        <w:tc>
          <w:tcPr>
            <w:tcW w:w="540" w:type="dxa"/>
            <w:vAlign w:val="bottom"/>
            <w:shd w:val="clear" w:color="auto" w:fill="F0F5FF"/>
          </w:tcPr>
          <w:p>
            <w:pPr>
              <w:spacing w:after="0"/>
              <w:rPr>
                <w:sz w:val="13"/>
                <w:szCs w:val="13"/>
                <w:color w:val="auto"/>
              </w:rPr>
            </w:pPr>
          </w:p>
        </w:tc>
        <w:tc>
          <w:tcPr>
            <w:tcW w:w="640" w:type="dxa"/>
            <w:vAlign w:val="bottom"/>
          </w:tcPr>
          <w:p>
            <w:pPr>
              <w:spacing w:after="0"/>
              <w:rPr>
                <w:sz w:val="13"/>
                <w:szCs w:val="13"/>
                <w:color w:val="auto"/>
              </w:rPr>
            </w:pPr>
          </w:p>
        </w:tc>
        <w:tc>
          <w:tcPr>
            <w:tcW w:w="440" w:type="dxa"/>
            <w:vAlign w:val="bottom"/>
          </w:tcPr>
          <w:p>
            <w:pPr>
              <w:spacing w:after="0"/>
              <w:rPr>
                <w:sz w:val="13"/>
                <w:szCs w:val="13"/>
                <w:color w:val="auto"/>
              </w:rPr>
            </w:pPr>
          </w:p>
        </w:tc>
      </w:tr>
      <w:tr>
        <w:trPr>
          <w:trHeight w:val="13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intangible assets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(352)</w:t>
            </w:r>
          </w:p>
        </w:tc>
        <w:tc>
          <w:tcPr>
            <w:tcW w:w="64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(411)</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(391)</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Costs associated with country exit</w:t>
            </w: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49</w:t>
            </w:r>
          </w:p>
        </w:tc>
        <w:tc>
          <w:tcPr>
            <w:tcW w:w="64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(98)</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3"/>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and write-off of</w:t>
            </w:r>
          </w:p>
        </w:tc>
        <w:tc>
          <w:tcPr>
            <w:tcW w:w="540" w:type="dxa"/>
            <w:vAlign w:val="bottom"/>
            <w:shd w:val="clear" w:color="auto" w:fill="F0F5FF"/>
          </w:tcPr>
          <w:p>
            <w:pPr>
              <w:spacing w:after="0"/>
              <w:rPr>
                <w:sz w:val="14"/>
                <w:szCs w:val="14"/>
                <w:color w:val="auto"/>
              </w:rPr>
            </w:pPr>
          </w:p>
        </w:tc>
        <w:tc>
          <w:tcPr>
            <w:tcW w:w="640" w:type="dxa"/>
            <w:vAlign w:val="bottom"/>
          </w:tcPr>
          <w:p>
            <w:pPr>
              <w:spacing w:after="0"/>
              <w:rPr>
                <w:sz w:val="14"/>
                <w:szCs w:val="14"/>
                <w:color w:val="auto"/>
              </w:rPr>
            </w:pPr>
          </w:p>
        </w:tc>
        <w:tc>
          <w:tcPr>
            <w:tcW w:w="440" w:type="dxa"/>
            <w:vAlign w:val="bottom"/>
          </w:tcPr>
          <w:p>
            <w:pPr>
              <w:spacing w:after="0"/>
              <w:rPr>
                <w:sz w:val="14"/>
                <w:szCs w:val="14"/>
                <w:color w:val="auto"/>
              </w:rPr>
            </w:pPr>
          </w:p>
        </w:tc>
      </w:tr>
      <w:tr>
        <w:trPr>
          <w:trHeight w:val="13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assets, net of reversals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w:t>
            </w:r>
          </w:p>
        </w:tc>
        <w:tc>
          <w:tcPr>
            <w:tcW w:w="64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(97)</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(45)</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Settlement of legal disputes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4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80</w:t>
            </w:r>
          </w:p>
        </w:tc>
      </w:tr>
      <w:tr>
        <w:trPr>
          <w:trHeight w:val="162"/>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Gain on sale of fixed assets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4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53</w:t>
            </w:r>
          </w:p>
        </w:tc>
      </w:tr>
      <w:tr>
        <w:trPr>
          <w:trHeight w:val="167"/>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64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(8)</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(51)</w:t>
            </w:r>
          </w:p>
        </w:tc>
      </w:tr>
      <w:tr>
        <w:trPr>
          <w:trHeight w:val="142"/>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Operating profit for the Group</w:t>
            </w: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1 688</w:t>
            </w:r>
          </w:p>
        </w:tc>
        <w:tc>
          <w:tcPr>
            <w:tcW w:w="6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b w:val="1"/>
                <w:bCs w:val="1"/>
                <w:color w:val="auto"/>
              </w:rPr>
              <w:t>2 318</w:t>
            </w:r>
          </w:p>
        </w:tc>
        <w:tc>
          <w:tcPr>
            <w:tcW w:w="4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2 158</w:t>
            </w:r>
          </w:p>
        </w:tc>
      </w:tr>
    </w:tbl>
    <w:p>
      <w:pPr>
        <w:spacing w:after="0" w:line="3921" w:lineRule="exact"/>
        <w:rPr>
          <w:sz w:val="20"/>
          <w:szCs w:val="20"/>
          <w:color w:val="auto"/>
        </w:rPr>
      </w:pPr>
    </w:p>
    <w:p>
      <w:pPr>
        <w:sectPr>
          <w:pgSz w:w="11900" w:h="16838" w:orient="portrait"/>
          <w:cols w:equalWidth="0" w:num="2">
            <w:col w:w="6600" w:space="200"/>
            <w:col w:w="3260"/>
          </w:cols>
          <w:pgMar w:left="960" w:top="410" w:right="879" w:bottom="1440" w:gutter="0" w:footer="0" w:header="0"/>
          <w:type w:val="continuous"/>
        </w:sectPr>
      </w:pPr>
    </w:p>
    <w:p>
      <w:pPr>
        <w:spacing w:after="0" w:line="26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60"/>
          </w:cols>
          <w:pgMar w:left="960" w:top="410" w:right="879" w:bottom="1440" w:gutter="0" w:footer="0" w:header="0"/>
          <w:type w:val="continuous"/>
        </w:sectPr>
      </w:pPr>
    </w:p>
    <w:bookmarkStart w:id="162" w:name="page163"/>
    <w:bookmarkEnd w:id="16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155</w:t>
      </w:r>
    </w:p>
    <w:p>
      <w:pPr>
        <w:spacing w:after="0" w:line="614" w:lineRule="exact"/>
        <w:rPr>
          <w:sz w:val="20"/>
          <w:szCs w:val="20"/>
          <w:color w:val="auto"/>
        </w:rPr>
      </w:pPr>
    </w:p>
    <w:p>
      <w:pPr>
        <w:sectPr>
          <w:pgSz w:w="11900" w:h="16838" w:orient="portrait"/>
          <w:cols w:equalWidth="0" w:num="2">
            <w:col w:w="9080" w:space="720"/>
            <w:col w:w="260"/>
          </w:cols>
          <w:pgMar w:left="960" w:top="409" w:right="879" w:bottom="1440" w:gutter="0" w:footer="0" w:header="0"/>
        </w:sectPr>
      </w:pPr>
    </w:p>
    <w:p>
      <w:pPr>
        <w:spacing w:after="0" w:line="126" w:lineRule="exact"/>
        <w:rPr>
          <w:sz w:val="20"/>
          <w:szCs w:val="20"/>
          <w:color w:val="auto"/>
        </w:rPr>
      </w:pPr>
    </w:p>
    <w:p>
      <w:pPr>
        <w:ind w:right="1000"/>
        <w:spacing w:after="0" w:line="274" w:lineRule="auto"/>
        <w:rPr>
          <w:sz w:val="20"/>
          <w:szCs w:val="20"/>
          <w:color w:val="auto"/>
        </w:rPr>
      </w:pPr>
      <w:r>
        <w:rPr>
          <w:rFonts w:ascii="Times New Roman" w:cs="Times New Roman" w:eastAsia="Times New Roman" w:hAnsi="Times New Roman"/>
          <w:sz w:val="13"/>
          <w:szCs w:val="13"/>
          <w:color w:val="auto"/>
        </w:rPr>
        <w:t>Information by geographies and customer concentration</w:t>
      </w:r>
    </w:p>
    <w:p>
      <w:pPr>
        <w:spacing w:after="0"/>
        <w:rPr>
          <w:sz w:val="20"/>
          <w:szCs w:val="20"/>
          <w:color w:val="auto"/>
        </w:rPr>
      </w:pPr>
      <w:r>
        <w:rPr>
          <w:rFonts w:ascii="Times New Roman" w:cs="Times New Roman" w:eastAsia="Times New Roman" w:hAnsi="Times New Roman"/>
          <w:sz w:val="11"/>
          <w:szCs w:val="11"/>
          <w:b w:val="1"/>
          <w:bCs w:val="1"/>
          <w:color w:val="auto"/>
        </w:rPr>
        <w:t>Net sales to external customers by country</w:t>
      </w:r>
    </w:p>
    <w:p>
      <w:pPr>
        <w:spacing w:after="0" w:line="69"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Finland</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1 192</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1 697</w:t>
            </w:r>
          </w:p>
        </w:tc>
        <w:tc>
          <w:tcPr>
            <w:tcW w:w="4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1 605</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5 373</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7 949</w:t>
            </w:r>
          </w:p>
        </w:tc>
        <w:tc>
          <w:tcPr>
            <w:tcW w:w="4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6 791</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India</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2 835</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1 283</w:t>
            </w:r>
          </w:p>
        </w:tc>
        <w:tc>
          <w:tcPr>
            <w:tcW w:w="4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1 022</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France</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792</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862</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847</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Great Britain</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786</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759</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650</w:t>
            </w:r>
          </w:p>
        </w:tc>
      </w:tr>
      <w:tr>
        <w:trPr>
          <w:trHeight w:val="167"/>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4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11 280</w:t>
            </w:r>
          </w:p>
        </w:tc>
        <w:tc>
          <w:tcPr>
            <w:tcW w:w="5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12 361</w:t>
            </w:r>
          </w:p>
        </w:tc>
        <w:tc>
          <w:tcPr>
            <w:tcW w:w="4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11 287</w:t>
            </w:r>
          </w:p>
        </w:tc>
      </w:tr>
      <w:tr>
        <w:trPr>
          <w:trHeight w:val="142"/>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4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22 258</w:t>
            </w:r>
          </w:p>
        </w:tc>
        <w:tc>
          <w:tcPr>
            <w:tcW w:w="5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24 911</w:t>
            </w:r>
          </w:p>
        </w:tc>
        <w:tc>
          <w:tcPr>
            <w:tcW w:w="4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22 202</w:t>
            </w:r>
          </w:p>
        </w:tc>
      </w:tr>
    </w:tbl>
    <w:p>
      <w:pPr>
        <w:spacing w:after="0" w:line="119" w:lineRule="exact"/>
        <w:rPr>
          <w:sz w:val="20"/>
          <w:szCs w:val="20"/>
          <w:color w:val="auto"/>
        </w:rPr>
      </w:pPr>
    </w:p>
    <w:p>
      <w:pPr>
        <w:ind w:right="480"/>
        <w:spacing w:after="0" w:line="279" w:lineRule="auto"/>
        <w:rPr>
          <w:sz w:val="20"/>
          <w:szCs w:val="20"/>
          <w:color w:val="auto"/>
        </w:rPr>
      </w:pPr>
      <w:r>
        <w:rPr>
          <w:rFonts w:ascii="Times New Roman" w:cs="Times New Roman" w:eastAsia="Times New Roman" w:hAnsi="Times New Roman"/>
          <w:sz w:val="11"/>
          <w:szCs w:val="11"/>
          <w:color w:val="auto"/>
        </w:rPr>
        <w:t>Net sales to external customers by country are based on the location of the customer, except for Nokia Technologies IPR and licensing net sales which are allocated to Finland.</w:t>
      </w:r>
    </w:p>
    <w:p>
      <w:pPr>
        <w:spacing w:after="0" w:line="4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Major customers</w:t>
      </w:r>
    </w:p>
    <w:p>
      <w:pPr>
        <w:spacing w:after="0" w:line="24" w:lineRule="exact"/>
        <w:rPr>
          <w:sz w:val="20"/>
          <w:szCs w:val="20"/>
          <w:color w:val="auto"/>
        </w:rPr>
      </w:pPr>
    </w:p>
    <w:p>
      <w:pPr>
        <w:ind w:right="240"/>
        <w:spacing w:after="0" w:line="262" w:lineRule="auto"/>
        <w:rPr>
          <w:sz w:val="20"/>
          <w:szCs w:val="20"/>
          <w:color w:val="auto"/>
        </w:rPr>
      </w:pPr>
      <w:r>
        <w:rPr>
          <w:rFonts w:ascii="Times New Roman" w:cs="Times New Roman" w:eastAsia="Times New Roman" w:hAnsi="Times New Roman"/>
          <w:sz w:val="11"/>
          <w:szCs w:val="11"/>
          <w:color w:val="auto"/>
        </w:rPr>
        <w:t>As is typical for our industry, Nokia’s net sales are largely driven by multi-year customer agreements with a limited number of significant customers. In 2023 , no single customer represented</w:t>
      </w:r>
    </w:p>
    <w:tbl>
      <w:tblPr>
        <w:tblLayout w:type="fixed"/>
        <w:tblInd w:w="0" w:type="dxa"/>
        <w:tblCellMar>
          <w:top w:w="0" w:type="dxa"/>
          <w:left w:w="0" w:type="dxa"/>
          <w:bottom w:w="0" w:type="dxa"/>
          <w:right w:w="0" w:type="dxa"/>
        </w:tblCellMar>
      </w:tblPr>
      <w:tr>
        <w:trPr>
          <w:trHeight w:val="125"/>
        </w:trPr>
        <w:tc>
          <w:tcPr>
            <w:tcW w:w="1540" w:type="dxa"/>
            <w:vAlign w:val="bottom"/>
          </w:tcPr>
          <w:p>
            <w:pPr>
              <w:spacing w:after="0" w:line="125" w:lineRule="exact"/>
              <w:rPr>
                <w:sz w:val="20"/>
                <w:szCs w:val="20"/>
                <w:color w:val="auto"/>
              </w:rPr>
            </w:pPr>
            <w:r>
              <w:rPr>
                <w:rFonts w:ascii="Times New Roman" w:cs="Times New Roman" w:eastAsia="Times New Roman" w:hAnsi="Times New Roman"/>
                <w:sz w:val="11"/>
                <w:szCs w:val="11"/>
                <w:color w:val="auto"/>
              </w:rPr>
              <w:t>more than 10% of net sales. In</w:t>
            </w:r>
          </w:p>
        </w:tc>
        <w:tc>
          <w:tcPr>
            <w:tcW w:w="1720" w:type="dxa"/>
            <w:vAlign w:val="bottom"/>
            <w:gridSpan w:val="4"/>
          </w:tcPr>
          <w:p>
            <w:pPr>
              <w:jc w:val="right"/>
              <w:ind w:right="272"/>
              <w:spacing w:after="0" w:line="125" w:lineRule="exact"/>
              <w:rPr>
                <w:sz w:val="20"/>
                <w:szCs w:val="20"/>
                <w:color w:val="auto"/>
              </w:rPr>
            </w:pPr>
            <w:r>
              <w:rPr>
                <w:rFonts w:ascii="Times New Roman" w:cs="Times New Roman" w:eastAsia="Times New Roman" w:hAnsi="Times New Roman"/>
                <w:sz w:val="11"/>
                <w:szCs w:val="11"/>
                <w:color w:val="auto"/>
              </w:rPr>
              <w:t>2022 , net sales to the largest</w:t>
            </w:r>
          </w:p>
        </w:tc>
      </w:tr>
      <w:tr>
        <w:trPr>
          <w:trHeight w:val="142"/>
        </w:trPr>
        <w:tc>
          <w:tcPr>
            <w:tcW w:w="32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customer were  10% and in 2021 , 11% of net sales to external</w:t>
            </w:r>
          </w:p>
        </w:tc>
      </w:tr>
      <w:tr>
        <w:trPr>
          <w:trHeight w:val="142"/>
        </w:trPr>
        <w:tc>
          <w:tcPr>
            <w:tcW w:w="2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customers.  Net sales to the largest customer were reported</w:t>
            </w:r>
          </w:p>
        </w:tc>
        <w:tc>
          <w:tcPr>
            <w:tcW w:w="520" w:type="dxa"/>
            <w:vAlign w:val="bottom"/>
          </w:tcPr>
          <w:p>
            <w:pPr>
              <w:spacing w:after="0"/>
              <w:rPr>
                <w:sz w:val="12"/>
                <w:szCs w:val="12"/>
                <w:color w:val="auto"/>
              </w:rPr>
            </w:pPr>
          </w:p>
        </w:tc>
      </w:tr>
      <w:tr>
        <w:trPr>
          <w:trHeight w:val="131"/>
        </w:trPr>
        <w:tc>
          <w:tcPr>
            <w:tcW w:w="32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by Network Infrastructure, Mobile Networks and Cloud and</w:t>
            </w:r>
          </w:p>
        </w:tc>
      </w:tr>
      <w:tr>
        <w:trPr>
          <w:trHeight w:val="148"/>
        </w:trPr>
        <w:tc>
          <w:tcPr>
            <w:tcW w:w="2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Network Services, as well as Group Common and Othe</w:t>
            </w:r>
          </w:p>
        </w:tc>
        <w:tc>
          <w:tcPr>
            <w:tcW w:w="520" w:type="dxa"/>
            <w:vAlign w:val="bottom"/>
          </w:tcPr>
          <w:p>
            <w:pPr>
              <w:jc w:val="right"/>
              <w:ind w:right="412"/>
              <w:spacing w:after="0"/>
              <w:rPr>
                <w:sz w:val="20"/>
                <w:szCs w:val="20"/>
                <w:color w:val="auto"/>
              </w:rPr>
            </w:pPr>
            <w:r>
              <w:rPr>
                <w:rFonts w:ascii="Times New Roman" w:cs="Times New Roman" w:eastAsia="Times New Roman" w:hAnsi="Times New Roman"/>
                <w:sz w:val="9"/>
                <w:szCs w:val="9"/>
                <w:color w:val="auto"/>
                <w:w w:val="75"/>
              </w:rPr>
              <w:t>r.</w:t>
            </w:r>
          </w:p>
        </w:tc>
      </w:tr>
      <w:tr>
        <w:trPr>
          <w:trHeight w:val="222"/>
        </w:trPr>
        <w:tc>
          <w:tcPr>
            <w:tcW w:w="154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Non-current assets by country</w:t>
            </w:r>
          </w:p>
        </w:tc>
        <w:tc>
          <w:tcPr>
            <w:tcW w:w="640" w:type="dxa"/>
            <w:vAlign w:val="bottom"/>
          </w:tcPr>
          <w:p>
            <w:pPr>
              <w:spacing w:after="0"/>
              <w:rPr>
                <w:sz w:val="19"/>
                <w:szCs w:val="19"/>
                <w:color w:val="auto"/>
              </w:rPr>
            </w:pPr>
          </w:p>
        </w:tc>
        <w:tc>
          <w:tcPr>
            <w:tcW w:w="540" w:type="dxa"/>
            <w:vAlign w:val="bottom"/>
          </w:tcPr>
          <w:p>
            <w:pPr>
              <w:spacing w:after="0"/>
              <w:rPr>
                <w:sz w:val="19"/>
                <w:szCs w:val="19"/>
                <w:color w:val="auto"/>
              </w:rPr>
            </w:pPr>
          </w:p>
        </w:tc>
        <w:tc>
          <w:tcPr>
            <w:tcW w:w="20" w:type="dxa"/>
            <w:vAlign w:val="bottom"/>
          </w:tcPr>
          <w:p>
            <w:pPr>
              <w:spacing w:after="0"/>
              <w:rPr>
                <w:sz w:val="19"/>
                <w:szCs w:val="19"/>
                <w:color w:val="auto"/>
              </w:rPr>
            </w:pPr>
          </w:p>
        </w:tc>
        <w:tc>
          <w:tcPr>
            <w:tcW w:w="520" w:type="dxa"/>
            <w:vAlign w:val="bottom"/>
          </w:tcPr>
          <w:p>
            <w:pPr>
              <w:spacing w:after="0"/>
              <w:rPr>
                <w:sz w:val="19"/>
                <w:szCs w:val="19"/>
                <w:color w:val="auto"/>
              </w:rPr>
            </w:pPr>
          </w:p>
        </w:tc>
      </w:tr>
      <w:tr>
        <w:trPr>
          <w:trHeight w:val="155"/>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18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2023</w:t>
            </w:r>
          </w:p>
        </w:tc>
        <w:tc>
          <w:tcPr>
            <w:tcW w:w="20" w:type="dxa"/>
            <w:vAlign w:val="bottom"/>
            <w:tcBorders>
              <w:bottom w:val="single" w:sz="8" w:color="005AFF"/>
            </w:tcBorders>
          </w:tcPr>
          <w:p>
            <w:pPr>
              <w:spacing w:after="0"/>
              <w:rPr>
                <w:sz w:val="13"/>
                <w:szCs w:val="13"/>
                <w:color w:val="auto"/>
              </w:rPr>
            </w:pPr>
          </w:p>
        </w:tc>
        <w:tc>
          <w:tcPr>
            <w:tcW w:w="5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Finland</w:t>
            </w:r>
          </w:p>
        </w:tc>
        <w:tc>
          <w:tcPr>
            <w:tcW w:w="640" w:type="dxa"/>
            <w:vAlign w:val="bottom"/>
          </w:tcPr>
          <w:p>
            <w:pPr>
              <w:spacing w:after="0"/>
              <w:rPr>
                <w:sz w:val="11"/>
                <w:szCs w:val="11"/>
                <w:color w:val="auto"/>
              </w:rPr>
            </w:pPr>
          </w:p>
        </w:tc>
        <w:tc>
          <w:tcPr>
            <w:tcW w:w="54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1 549</w:t>
            </w:r>
          </w:p>
        </w:tc>
        <w:tc>
          <w:tcPr>
            <w:tcW w:w="20" w:type="dxa"/>
            <w:vAlign w:val="bottom"/>
          </w:tcPr>
          <w:p>
            <w:pPr>
              <w:spacing w:after="0"/>
              <w:rPr>
                <w:sz w:val="11"/>
                <w:szCs w:val="11"/>
                <w:color w:val="auto"/>
              </w:rPr>
            </w:pPr>
          </w:p>
        </w:tc>
        <w:tc>
          <w:tcPr>
            <w:tcW w:w="5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1 365</w:t>
            </w: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w:t>
            </w:r>
          </w:p>
        </w:tc>
        <w:tc>
          <w:tcPr>
            <w:tcW w:w="640" w:type="dxa"/>
            <w:vAlign w:val="bottom"/>
          </w:tcPr>
          <w:p>
            <w:pPr>
              <w:spacing w:after="0"/>
              <w:rPr>
                <w:sz w:val="14"/>
                <w:szCs w:val="14"/>
                <w:color w:val="auto"/>
              </w:rPr>
            </w:pPr>
          </w:p>
        </w:tc>
        <w:tc>
          <w:tcPr>
            <w:tcW w:w="54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4 383</w:t>
            </w:r>
          </w:p>
        </w:tc>
        <w:tc>
          <w:tcPr>
            <w:tcW w:w="20" w:type="dxa"/>
            <w:vAlign w:val="bottom"/>
          </w:tcPr>
          <w:p>
            <w:pPr>
              <w:spacing w:after="0"/>
              <w:rPr>
                <w:sz w:val="14"/>
                <w:szCs w:val="14"/>
                <w:color w:val="auto"/>
              </w:rPr>
            </w:pPr>
          </w:p>
        </w:tc>
        <w:tc>
          <w:tcPr>
            <w:tcW w:w="5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5 032</w:t>
            </w:r>
          </w:p>
        </w:tc>
      </w:tr>
      <w:tr>
        <w:trPr>
          <w:trHeight w:val="162"/>
        </w:trPr>
        <w:tc>
          <w:tcPr>
            <w:tcW w:w="1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France</w:t>
            </w:r>
          </w:p>
        </w:tc>
        <w:tc>
          <w:tcPr>
            <w:tcW w:w="640" w:type="dxa"/>
            <w:vAlign w:val="bottom"/>
          </w:tcPr>
          <w:p>
            <w:pPr>
              <w:spacing w:after="0"/>
              <w:rPr>
                <w:sz w:val="14"/>
                <w:szCs w:val="14"/>
                <w:color w:val="auto"/>
              </w:rPr>
            </w:pPr>
          </w:p>
        </w:tc>
        <w:tc>
          <w:tcPr>
            <w:tcW w:w="54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2 139</w:t>
            </w:r>
          </w:p>
        </w:tc>
        <w:tc>
          <w:tcPr>
            <w:tcW w:w="20" w:type="dxa"/>
            <w:vAlign w:val="bottom"/>
          </w:tcPr>
          <w:p>
            <w:pPr>
              <w:spacing w:after="0"/>
              <w:rPr>
                <w:sz w:val="14"/>
                <w:szCs w:val="14"/>
                <w:color w:val="auto"/>
              </w:rPr>
            </w:pPr>
          </w:p>
        </w:tc>
        <w:tc>
          <w:tcPr>
            <w:tcW w:w="52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2 180</w:t>
            </w:r>
          </w:p>
        </w:tc>
      </w:tr>
      <w:tr>
        <w:trPr>
          <w:trHeight w:val="167"/>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64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1 376</w:t>
            </w:r>
          </w:p>
        </w:tc>
        <w:tc>
          <w:tcPr>
            <w:tcW w:w="2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1 297</w:t>
            </w:r>
          </w:p>
        </w:tc>
      </w:tr>
      <w:tr>
        <w:trPr>
          <w:trHeight w:val="142"/>
        </w:trPr>
        <w:tc>
          <w:tcPr>
            <w:tcW w:w="1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64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9 447</w:t>
            </w:r>
          </w:p>
        </w:tc>
        <w:tc>
          <w:tcPr>
            <w:tcW w:w="2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9 874</w:t>
            </w:r>
          </w:p>
        </w:tc>
      </w:tr>
    </w:tbl>
    <w:p>
      <w:pPr>
        <w:spacing w:after="0" w:line="119" w:lineRule="exact"/>
        <w:rPr>
          <w:sz w:val="20"/>
          <w:szCs w:val="20"/>
          <w:color w:val="auto"/>
        </w:rPr>
      </w:pPr>
    </w:p>
    <w:p>
      <w:pPr>
        <w:ind w:right="480"/>
        <w:spacing w:after="0" w:line="309" w:lineRule="auto"/>
        <w:rPr>
          <w:sz w:val="20"/>
          <w:szCs w:val="20"/>
          <w:color w:val="auto"/>
        </w:rPr>
      </w:pPr>
      <w:r>
        <w:rPr>
          <w:rFonts w:ascii="Times New Roman" w:cs="Times New Roman" w:eastAsia="Times New Roman" w:hAnsi="Times New Roman"/>
          <w:sz w:val="11"/>
          <w:szCs w:val="11"/>
          <w:color w:val="auto"/>
        </w:rPr>
        <w:t>Non-current assets consists of goodwill, other intangible assets, property, plant and equipment and right-of-use assets.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ind w:right="640"/>
        <w:spacing w:after="0" w:line="297" w:lineRule="auto"/>
        <w:rPr>
          <w:sz w:val="20"/>
          <w:szCs w:val="20"/>
          <w:color w:val="auto"/>
        </w:rPr>
      </w:pPr>
      <w:r>
        <w:rPr>
          <w:rFonts w:ascii="Times New Roman" w:cs="Times New Roman" w:eastAsia="Times New Roman" w:hAnsi="Times New Roman"/>
          <w:sz w:val="16"/>
          <w:szCs w:val="16"/>
          <w:color w:val="005AFF"/>
        </w:rPr>
        <w:t>2.3. Operating expenses and other operating income</w:t>
      </w:r>
    </w:p>
    <w:p>
      <w:pPr>
        <w:spacing w:after="0" w:line="14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100"/>
        <w:spacing w:after="0" w:line="262" w:lineRule="auto"/>
        <w:rPr>
          <w:sz w:val="20"/>
          <w:szCs w:val="20"/>
          <w:color w:val="auto"/>
        </w:rPr>
      </w:pPr>
      <w:r>
        <w:rPr>
          <w:rFonts w:ascii="Times New Roman" w:cs="Times New Roman" w:eastAsia="Times New Roman" w:hAnsi="Times New Roman"/>
          <w:sz w:val="11"/>
          <w:szCs w:val="11"/>
          <w:color w:val="auto"/>
        </w:rPr>
        <w:t>Nokia presents its income statement based on the function of expenses as it considers this to provide more relevant information about its financial performance. Information about the nature of expenses is provided in the notes. Certain items of income and expenses, such as gains and losses from venture funds, are presented as other operating income and expenses</w:t>
      </w:r>
    </w:p>
    <w:p>
      <w:pPr>
        <w:spacing w:after="0" w:line="1"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as Nokia considers these items to be related to its</w:t>
      </w:r>
    </w:p>
    <w:p>
      <w:pPr>
        <w:spacing w:after="0" w:line="15" w:lineRule="exact"/>
        <w:rPr>
          <w:sz w:val="20"/>
          <w:szCs w:val="20"/>
          <w:color w:val="auto"/>
        </w:rPr>
      </w:pPr>
    </w:p>
    <w:p>
      <w:pPr>
        <w:ind w:left="160"/>
        <w:spacing w:after="0"/>
        <w:tabs>
          <w:tab w:leader="none" w:pos="2800" w:val="left"/>
        </w:tabs>
        <w:rPr>
          <w:sz w:val="20"/>
          <w:szCs w:val="20"/>
          <w:color w:val="auto"/>
        </w:rPr>
      </w:pPr>
      <w:r>
        <w:rPr>
          <w:rFonts w:ascii="Times New Roman" w:cs="Times New Roman" w:eastAsia="Times New Roman" w:hAnsi="Times New Roman"/>
          <w:sz w:val="11"/>
          <w:szCs w:val="11"/>
          <w:color w:val="auto"/>
        </w:rPr>
        <w:t>operating activities but not to any specific functions</w:t>
      </w:r>
      <w:r>
        <w:rPr>
          <w:sz w:val="20"/>
          <w:szCs w:val="20"/>
          <w:color w:val="auto"/>
        </w:rPr>
        <w:tab/>
      </w:r>
      <w:r>
        <w:rPr>
          <w:rFonts w:ascii="Times New Roman" w:cs="Times New Roman" w:eastAsia="Times New Roman" w:hAnsi="Times New Roman"/>
          <w:sz w:val="8"/>
          <w:szCs w:val="8"/>
          <w:color w:val="auto"/>
        </w:rPr>
        <w:t>.</w:t>
      </w:r>
    </w:p>
    <w:p>
      <w:pPr>
        <w:spacing w:after="0" w:line="79" w:lineRule="exact"/>
        <w:rPr>
          <w:sz w:val="20"/>
          <w:szCs w:val="20"/>
          <w:color w:val="auto"/>
        </w:rPr>
      </w:pPr>
    </w:p>
    <w:p>
      <w:pPr>
        <w:ind w:left="160" w:right="80"/>
        <w:spacing w:after="0" w:line="262" w:lineRule="auto"/>
        <w:rPr>
          <w:sz w:val="20"/>
          <w:szCs w:val="20"/>
          <w:color w:val="auto"/>
        </w:rPr>
      </w:pPr>
      <w:r>
        <w:rPr>
          <w:rFonts w:ascii="Times New Roman" w:cs="Times New Roman" w:eastAsia="Times New Roman" w:hAnsi="Times New Roman"/>
          <w:sz w:val="11"/>
          <w:szCs w:val="11"/>
          <w:color w:val="auto"/>
        </w:rPr>
        <w:t>Government grants received as compensation for expenses incurred are recognized as a reduction of the related expenses except for certain non-recurring grants that are recognized as other operating income. Government grants received in the form of R&amp;D tax credits are recognized as a reduction of R&amp;D expenses if the tax credit relates to the R&amp;D expenditures incurred by Nokia and the tax credit is reimbursed in cash by the government in cases where Nokia is not able to offset it against its income tax payable. R&amp;D tax credits that do not meet both conditions are recognized as income</w:t>
      </w:r>
    </w:p>
    <w:p>
      <w:pPr>
        <w:spacing w:after="0" w:line="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tax benefit.</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74"/>
        </w:trPr>
        <w:tc>
          <w:tcPr>
            <w:tcW w:w="1820" w:type="dxa"/>
            <w:vAlign w:val="bottom"/>
          </w:tcPr>
          <w:p>
            <w:pPr>
              <w:spacing w:after="0"/>
              <w:rPr>
                <w:sz w:val="20"/>
                <w:szCs w:val="20"/>
                <w:color w:val="auto"/>
              </w:rPr>
            </w:pPr>
            <w:r>
              <w:rPr>
                <w:rFonts w:ascii="Times New Roman" w:cs="Times New Roman" w:eastAsia="Times New Roman" w:hAnsi="Times New Roman"/>
                <w:sz w:val="13"/>
                <w:szCs w:val="13"/>
                <w:color w:val="auto"/>
              </w:rPr>
              <w:t>Expenses by nature</w:t>
            </w:r>
          </w:p>
        </w:tc>
        <w:tc>
          <w:tcPr>
            <w:tcW w:w="480" w:type="dxa"/>
            <w:vAlign w:val="bottom"/>
          </w:tcPr>
          <w:p>
            <w:pPr>
              <w:spacing w:after="0"/>
              <w:rPr>
                <w:sz w:val="15"/>
                <w:szCs w:val="15"/>
                <w:color w:val="auto"/>
              </w:rPr>
            </w:pPr>
          </w:p>
        </w:tc>
        <w:tc>
          <w:tcPr>
            <w:tcW w:w="500" w:type="dxa"/>
            <w:vAlign w:val="bottom"/>
          </w:tcPr>
          <w:p>
            <w:pPr>
              <w:spacing w:after="0"/>
              <w:rPr>
                <w:sz w:val="15"/>
                <w:szCs w:val="15"/>
                <w:color w:val="auto"/>
              </w:rPr>
            </w:pPr>
          </w:p>
        </w:tc>
        <w:tc>
          <w:tcPr>
            <w:tcW w:w="460" w:type="dxa"/>
            <w:vAlign w:val="bottom"/>
          </w:tcPr>
          <w:p>
            <w:pPr>
              <w:spacing w:after="0"/>
              <w:rPr>
                <w:sz w:val="15"/>
                <w:szCs w:val="15"/>
                <w:color w:val="auto"/>
              </w:rPr>
            </w:pPr>
          </w:p>
        </w:tc>
      </w:tr>
      <w:tr>
        <w:trPr>
          <w:trHeight w:val="159"/>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Personnel expenses</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7 470</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7 903</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7 541</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Cost of material</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7 825</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8 481</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6 320</w:t>
            </w:r>
          </w:p>
        </w:tc>
      </w:tr>
      <w:tr>
        <w:trPr>
          <w:trHeight w:val="153"/>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Project subcontracting and other</w:t>
            </w:r>
          </w:p>
        </w:tc>
        <w:tc>
          <w:tcPr>
            <w:tcW w:w="480" w:type="dxa"/>
            <w:vAlign w:val="bottom"/>
            <w:shd w:val="clear" w:color="auto" w:fill="F0F5FF"/>
          </w:tcPr>
          <w:p>
            <w:pPr>
              <w:spacing w:after="0"/>
              <w:rPr>
                <w:sz w:val="13"/>
                <w:szCs w:val="13"/>
                <w:color w:val="auto"/>
              </w:rPr>
            </w:pPr>
          </w:p>
        </w:tc>
        <w:tc>
          <w:tcPr>
            <w:tcW w:w="500" w:type="dxa"/>
            <w:vAlign w:val="bottom"/>
          </w:tcPr>
          <w:p>
            <w:pPr>
              <w:spacing w:after="0"/>
              <w:rPr>
                <w:sz w:val="13"/>
                <w:szCs w:val="13"/>
                <w:color w:val="auto"/>
              </w:rPr>
            </w:pPr>
          </w:p>
        </w:tc>
        <w:tc>
          <w:tcPr>
            <w:tcW w:w="460" w:type="dxa"/>
            <w:vAlign w:val="bottom"/>
          </w:tcPr>
          <w:p>
            <w:pPr>
              <w:spacing w:after="0"/>
              <w:rPr>
                <w:sz w:val="13"/>
                <w:szCs w:val="13"/>
                <w:color w:val="auto"/>
              </w:rPr>
            </w:pPr>
          </w:p>
        </w:tc>
      </w:tr>
      <w:tr>
        <w:trPr>
          <w:trHeight w:val="130"/>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customer contract expenses</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2 949</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3 156</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4 225</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 and amortization</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1 087</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1 140</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1 095</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IT services</w:t>
            </w: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399</w:t>
            </w:r>
          </w:p>
        </w:tc>
        <w:tc>
          <w:tcPr>
            <w:tcW w:w="5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376</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230</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w:t>
            </w:r>
          </w:p>
        </w:tc>
        <w:tc>
          <w:tcPr>
            <w:tcW w:w="4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25</w:t>
            </w:r>
          </w:p>
        </w:tc>
        <w:tc>
          <w:tcPr>
            <w:tcW w:w="5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90</w:t>
            </w:r>
          </w:p>
        </w:tc>
        <w:tc>
          <w:tcPr>
            <w:tcW w:w="4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39</w:t>
            </w:r>
          </w:p>
        </w:tc>
      </w:tr>
      <w:tr>
        <w:trPr>
          <w:trHeight w:val="167"/>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4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981</w:t>
            </w:r>
          </w:p>
        </w:tc>
        <w:tc>
          <w:tcPr>
            <w:tcW w:w="5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1 545</w:t>
            </w:r>
          </w:p>
        </w:tc>
        <w:tc>
          <w:tcPr>
            <w:tcW w:w="4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1 037</w:t>
            </w:r>
          </w:p>
        </w:tc>
      </w:tr>
      <w:tr>
        <w:trPr>
          <w:trHeight w:val="142"/>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operating expenses</w:t>
            </w:r>
          </w:p>
        </w:tc>
        <w:tc>
          <w:tcPr>
            <w:tcW w:w="4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20 736</w:t>
            </w:r>
          </w:p>
        </w:tc>
        <w:tc>
          <w:tcPr>
            <w:tcW w:w="5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22 691</w:t>
            </w:r>
          </w:p>
        </w:tc>
        <w:tc>
          <w:tcPr>
            <w:tcW w:w="4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20 487</w:t>
            </w:r>
          </w:p>
        </w:tc>
      </w:tr>
    </w:tbl>
    <w:p>
      <w:pPr>
        <w:spacing w:after="0" w:line="119" w:lineRule="exact"/>
        <w:rPr>
          <w:sz w:val="20"/>
          <w:szCs w:val="20"/>
          <w:color w:val="auto"/>
        </w:rPr>
      </w:pPr>
    </w:p>
    <w:p>
      <w:pPr>
        <w:jc w:val="both"/>
        <w:ind w:right="300"/>
        <w:spacing w:after="0" w:line="266" w:lineRule="auto"/>
        <w:rPr>
          <w:sz w:val="20"/>
          <w:szCs w:val="20"/>
          <w:color w:val="auto"/>
        </w:rPr>
      </w:pPr>
      <w:r>
        <w:rPr>
          <w:rFonts w:ascii="Times New Roman" w:cs="Times New Roman" w:eastAsia="Times New Roman" w:hAnsi="Times New Roman"/>
          <w:sz w:val="11"/>
          <w:szCs w:val="11"/>
          <w:color w:val="auto"/>
        </w:rPr>
        <w:t>Operating expenses include government grant income and R&amp;D tax credits of EUR 173 million (EUR146 million in 2022 and EUR111 million in 2021 ) most of which have been recognized as a deduction against research and development expenses.</w:t>
      </w:r>
    </w:p>
    <w:p>
      <w:pPr>
        <w:spacing w:after="0" w:line="2" w:lineRule="exact"/>
        <w:rPr>
          <w:sz w:val="20"/>
          <w:szCs w:val="20"/>
          <w:color w:val="auto"/>
        </w:rPr>
      </w:pPr>
    </w:p>
    <w:tbl>
      <w:tblPr>
        <w:tblLayout w:type="fixed"/>
        <w:tblInd w:w="0" w:type="dxa"/>
        <w:tblCellMar>
          <w:top w:w="0" w:type="dxa"/>
          <w:left w:w="0" w:type="dxa"/>
          <w:bottom w:w="0" w:type="dxa"/>
          <w:right w:w="0" w:type="dxa"/>
        </w:tblCellMar>
      </w:tblPr>
      <w:tr>
        <w:trPr>
          <w:trHeight w:val="309"/>
        </w:trPr>
        <w:tc>
          <w:tcPr>
            <w:tcW w:w="1940" w:type="dxa"/>
            <w:vAlign w:val="bottom"/>
            <w:gridSpan w:val="2"/>
          </w:tcPr>
          <w:p>
            <w:pPr>
              <w:spacing w:after="0"/>
              <w:rPr>
                <w:sz w:val="20"/>
                <w:szCs w:val="20"/>
                <w:color w:val="auto"/>
              </w:rPr>
            </w:pPr>
            <w:r>
              <w:rPr>
                <w:rFonts w:ascii="Times New Roman" w:cs="Times New Roman" w:eastAsia="Times New Roman" w:hAnsi="Times New Roman"/>
                <w:sz w:val="13"/>
                <w:szCs w:val="13"/>
                <w:color w:val="auto"/>
              </w:rPr>
              <w:t>Restructuring charges by function</w:t>
            </w:r>
          </w:p>
        </w:tc>
        <w:tc>
          <w:tcPr>
            <w:tcW w:w="360" w:type="dxa"/>
            <w:vAlign w:val="bottom"/>
          </w:tcPr>
          <w:p>
            <w:pPr>
              <w:jc w:val="right"/>
              <w:ind w:right="52"/>
              <w:spacing w:after="0"/>
              <w:rPr>
                <w:sz w:val="20"/>
                <w:szCs w:val="20"/>
                <w:color w:val="auto"/>
              </w:rPr>
            </w:pPr>
            <w:r>
              <w:rPr>
                <w:rFonts w:ascii="Times New Roman" w:cs="Times New Roman" w:eastAsia="Times New Roman" w:hAnsi="Times New Roman"/>
                <w:sz w:val="9"/>
                <w:szCs w:val="9"/>
                <w:color w:val="auto"/>
              </w:rPr>
              <w:t>(1)</w:t>
            </w:r>
            <w:r>
              <w:rPr>
                <w:rFonts w:ascii="Times New Roman" w:cs="Times New Roman" w:eastAsia="Times New Roman" w:hAnsi="Times New Roman"/>
                <w:sz w:val="26"/>
                <w:szCs w:val="26"/>
                <w:color w:val="auto"/>
                <w:vertAlign w:val="subscript"/>
              </w:rPr>
              <w:t>:</w:t>
            </w:r>
          </w:p>
        </w:tc>
        <w:tc>
          <w:tcPr>
            <w:tcW w:w="560" w:type="dxa"/>
            <w:vAlign w:val="bottom"/>
          </w:tcPr>
          <w:p>
            <w:pPr>
              <w:spacing w:after="0"/>
              <w:rPr>
                <w:sz w:val="24"/>
                <w:szCs w:val="24"/>
                <w:color w:val="auto"/>
              </w:rPr>
            </w:pPr>
          </w:p>
        </w:tc>
        <w:tc>
          <w:tcPr>
            <w:tcW w:w="400" w:type="dxa"/>
            <w:vAlign w:val="bottom"/>
          </w:tcPr>
          <w:p>
            <w:pPr>
              <w:spacing w:after="0"/>
              <w:rPr>
                <w:sz w:val="24"/>
                <w:szCs w:val="24"/>
                <w:color w:val="auto"/>
              </w:rPr>
            </w:pPr>
          </w:p>
        </w:tc>
      </w:tr>
      <w:tr>
        <w:trPr>
          <w:trHeight w:val="109"/>
        </w:trPr>
        <w:tc>
          <w:tcPr>
            <w:tcW w:w="19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3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5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Cost of sales</w:t>
            </w:r>
          </w:p>
        </w:tc>
        <w:tc>
          <w:tcPr>
            <w:tcW w:w="120" w:type="dxa"/>
            <w:vAlign w:val="bottom"/>
            <w:shd w:val="clear" w:color="auto" w:fill="F0F5FF"/>
          </w:tcPr>
          <w:p>
            <w:pPr>
              <w:spacing w:after="0"/>
              <w:rPr>
                <w:sz w:val="11"/>
                <w:szCs w:val="11"/>
                <w:color w:val="auto"/>
              </w:rPr>
            </w:pPr>
          </w:p>
        </w:tc>
        <w:tc>
          <w:tcPr>
            <w:tcW w:w="36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153</w:t>
            </w:r>
          </w:p>
        </w:tc>
        <w:tc>
          <w:tcPr>
            <w:tcW w:w="56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85</w:t>
            </w:r>
          </w:p>
        </w:tc>
        <w:tc>
          <w:tcPr>
            <w:tcW w:w="4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133</w:t>
            </w:r>
          </w:p>
        </w:tc>
      </w:tr>
      <w:tr>
        <w:trPr>
          <w:trHeight w:val="162"/>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Research and development expenses</w:t>
            </w:r>
          </w:p>
        </w:tc>
        <w:tc>
          <w:tcPr>
            <w:tcW w:w="120" w:type="dxa"/>
            <w:vAlign w:val="bottom"/>
            <w:shd w:val="clear" w:color="auto" w:fill="F0F5FF"/>
          </w:tcPr>
          <w:p>
            <w:pPr>
              <w:spacing w:after="0"/>
              <w:rPr>
                <w:sz w:val="14"/>
                <w:szCs w:val="14"/>
                <w:color w:val="auto"/>
              </w:rPr>
            </w:pPr>
          </w:p>
        </w:tc>
        <w:tc>
          <w:tcPr>
            <w:tcW w:w="3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61</w:t>
            </w:r>
          </w:p>
        </w:tc>
        <w:tc>
          <w:tcPr>
            <w:tcW w:w="56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37</w:t>
            </w:r>
          </w:p>
        </w:tc>
        <w:tc>
          <w:tcPr>
            <w:tcW w:w="4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73</w:t>
            </w:r>
          </w:p>
        </w:tc>
      </w:tr>
      <w:tr>
        <w:trPr>
          <w:trHeight w:val="153"/>
        </w:trPr>
        <w:tc>
          <w:tcPr>
            <w:tcW w:w="18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Selling, general and administrative</w:t>
            </w:r>
          </w:p>
        </w:tc>
        <w:tc>
          <w:tcPr>
            <w:tcW w:w="120" w:type="dxa"/>
            <w:vAlign w:val="bottom"/>
            <w:shd w:val="clear" w:color="auto" w:fill="F0F5FF"/>
          </w:tcPr>
          <w:p>
            <w:pPr>
              <w:spacing w:after="0"/>
              <w:rPr>
                <w:sz w:val="13"/>
                <w:szCs w:val="13"/>
                <w:color w:val="auto"/>
              </w:rPr>
            </w:pPr>
          </w:p>
        </w:tc>
        <w:tc>
          <w:tcPr>
            <w:tcW w:w="360" w:type="dxa"/>
            <w:vAlign w:val="bottom"/>
            <w:shd w:val="clear" w:color="auto" w:fill="F0F5FF"/>
          </w:tcPr>
          <w:p>
            <w:pPr>
              <w:spacing w:after="0"/>
              <w:rPr>
                <w:sz w:val="13"/>
                <w:szCs w:val="13"/>
                <w:color w:val="auto"/>
              </w:rPr>
            </w:pPr>
          </w:p>
        </w:tc>
        <w:tc>
          <w:tcPr>
            <w:tcW w:w="560" w:type="dxa"/>
            <w:vAlign w:val="bottom"/>
          </w:tcPr>
          <w:p>
            <w:pPr>
              <w:spacing w:after="0"/>
              <w:rPr>
                <w:sz w:val="13"/>
                <w:szCs w:val="13"/>
                <w:color w:val="auto"/>
              </w:rPr>
            </w:pPr>
          </w:p>
        </w:tc>
        <w:tc>
          <w:tcPr>
            <w:tcW w:w="400" w:type="dxa"/>
            <w:vAlign w:val="bottom"/>
          </w:tcPr>
          <w:p>
            <w:pPr>
              <w:spacing w:after="0"/>
              <w:rPr>
                <w:sz w:val="13"/>
                <w:szCs w:val="13"/>
                <w:color w:val="auto"/>
              </w:rPr>
            </w:pPr>
          </w:p>
        </w:tc>
      </w:tr>
      <w:tr>
        <w:trPr>
          <w:trHeight w:val="135"/>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120" w:type="dxa"/>
            <w:vAlign w:val="bottom"/>
            <w:tcBorders>
              <w:bottom w:val="single" w:sz="8" w:color="005AFF"/>
            </w:tcBorders>
            <w:shd w:val="clear" w:color="auto" w:fill="F0F5FF"/>
          </w:tcPr>
          <w:p>
            <w:pPr>
              <w:spacing w:after="0"/>
              <w:rPr>
                <w:sz w:val="11"/>
                <w:szCs w:val="11"/>
                <w:color w:val="auto"/>
              </w:rPr>
            </w:pPr>
          </w:p>
        </w:tc>
        <w:tc>
          <w:tcPr>
            <w:tcW w:w="36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137</w:t>
            </w:r>
          </w:p>
        </w:tc>
        <w:tc>
          <w:tcPr>
            <w:tcW w:w="56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46</w:t>
            </w:r>
          </w:p>
        </w:tc>
        <w:tc>
          <w:tcPr>
            <w:tcW w:w="4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78</w:t>
            </w:r>
          </w:p>
        </w:tc>
      </w:tr>
      <w:tr>
        <w:trPr>
          <w:trHeight w:val="142"/>
        </w:trPr>
        <w:tc>
          <w:tcPr>
            <w:tcW w:w="18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restructuring charges</w:t>
            </w:r>
          </w:p>
        </w:tc>
        <w:tc>
          <w:tcPr>
            <w:tcW w:w="120" w:type="dxa"/>
            <w:vAlign w:val="bottom"/>
            <w:tcBorders>
              <w:bottom w:val="single" w:sz="8" w:color="005AFF"/>
            </w:tcBorders>
            <w:shd w:val="clear" w:color="auto" w:fill="F0F5FF"/>
          </w:tcPr>
          <w:p>
            <w:pPr>
              <w:spacing w:after="0"/>
              <w:rPr>
                <w:sz w:val="12"/>
                <w:szCs w:val="12"/>
                <w:color w:val="auto"/>
              </w:rPr>
            </w:pPr>
          </w:p>
        </w:tc>
        <w:tc>
          <w:tcPr>
            <w:tcW w:w="36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351</w:t>
            </w:r>
          </w:p>
        </w:tc>
        <w:tc>
          <w:tcPr>
            <w:tcW w:w="5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168</w:t>
            </w:r>
          </w:p>
        </w:tc>
        <w:tc>
          <w:tcPr>
            <w:tcW w:w="4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284</w:t>
            </w:r>
          </w:p>
        </w:tc>
      </w:tr>
    </w:tbl>
    <w:p>
      <w:pPr>
        <w:spacing w:after="0" w:line="41" w:lineRule="exact"/>
        <w:rPr>
          <w:sz w:val="20"/>
          <w:szCs w:val="20"/>
          <w:color w:val="auto"/>
        </w:rPr>
      </w:pPr>
    </w:p>
    <w:p>
      <w:pPr>
        <w:ind w:left="200" w:hanging="198"/>
        <w:spacing w:after="0"/>
        <w:tabs>
          <w:tab w:leader="none" w:pos="200" w:val="left"/>
        </w:tabs>
        <w:numPr>
          <w:ilvl w:val="0"/>
          <w:numId w:val="11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Restructuring charges include defined benefit plan curtailment income and expenses.</w:t>
      </w:r>
    </w:p>
    <w:p>
      <w:pPr>
        <w:sectPr>
          <w:pgSz w:w="11900" w:h="16838" w:orient="portrait"/>
          <w:cols w:equalWidth="0" w:num="3">
            <w:col w:w="3260" w:space="140"/>
            <w:col w:w="2840" w:space="560"/>
            <w:col w:w="3260"/>
          </w:cols>
          <w:pgMar w:left="960" w:top="409" w:right="879" w:bottom="1440" w:gutter="0" w:footer="0" w:header="0"/>
          <w:type w:val="continuous"/>
        </w:sectPr>
      </w:pPr>
    </w:p>
    <w:bookmarkStart w:id="163" w:name="page164"/>
    <w:bookmarkEnd w:id="163"/>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156</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tbl>
      <w:tblPr>
        <w:tblLayout w:type="fixed"/>
        <w:tblInd w:w="0" w:type="dxa"/>
        <w:tblCellMar>
          <w:top w:w="0" w:type="dxa"/>
          <w:left w:w="0" w:type="dxa"/>
          <w:bottom w:w="0" w:type="dxa"/>
          <w:right w:w="0" w:type="dxa"/>
        </w:tblCellMar>
      </w:tblPr>
      <w:tr>
        <w:trPr>
          <w:trHeight w:val="174"/>
        </w:trPr>
        <w:tc>
          <w:tcPr>
            <w:tcW w:w="380" w:type="dxa"/>
            <w:vAlign w:val="bottom"/>
          </w:tcPr>
          <w:p>
            <w:pPr>
              <w:spacing w:after="0"/>
              <w:rPr>
                <w:sz w:val="20"/>
                <w:szCs w:val="20"/>
                <w:color w:val="auto"/>
              </w:rPr>
            </w:pPr>
            <w:r>
              <w:rPr>
                <w:rFonts w:ascii="Times New Roman" w:cs="Times New Roman" w:eastAsia="Times New Roman" w:hAnsi="Times New Roman"/>
                <w:sz w:val="13"/>
                <w:szCs w:val="13"/>
                <w:color w:val="auto"/>
              </w:rPr>
              <w:t>Other</w:t>
            </w:r>
          </w:p>
        </w:tc>
        <w:tc>
          <w:tcPr>
            <w:tcW w:w="2960" w:type="dxa"/>
            <w:vAlign w:val="bottom"/>
          </w:tcPr>
          <w:p>
            <w:pPr>
              <w:spacing w:after="0"/>
              <w:rPr>
                <w:sz w:val="20"/>
                <w:szCs w:val="20"/>
                <w:color w:val="auto"/>
              </w:rPr>
            </w:pPr>
            <w:r>
              <w:rPr>
                <w:rFonts w:ascii="Times New Roman" w:cs="Times New Roman" w:eastAsia="Times New Roman" w:hAnsi="Times New Roman"/>
                <w:sz w:val="13"/>
                <w:szCs w:val="13"/>
                <w:color w:val="auto"/>
              </w:rPr>
              <w:t>operating income</w:t>
            </w:r>
          </w:p>
        </w:tc>
        <w:tc>
          <w:tcPr>
            <w:tcW w:w="540" w:type="dxa"/>
            <w:vAlign w:val="bottom"/>
          </w:tcPr>
          <w:p>
            <w:pPr>
              <w:spacing w:after="0"/>
              <w:rPr>
                <w:sz w:val="15"/>
                <w:szCs w:val="15"/>
                <w:color w:val="auto"/>
              </w:rPr>
            </w:pPr>
          </w:p>
        </w:tc>
        <w:tc>
          <w:tcPr>
            <w:tcW w:w="660" w:type="dxa"/>
            <w:vAlign w:val="bottom"/>
          </w:tcPr>
          <w:p>
            <w:pPr>
              <w:spacing w:after="0"/>
              <w:rPr>
                <w:sz w:val="15"/>
                <w:szCs w:val="15"/>
                <w:color w:val="auto"/>
              </w:rPr>
            </w:pPr>
          </w:p>
        </w:tc>
        <w:tc>
          <w:tcPr>
            <w:tcW w:w="400" w:type="dxa"/>
            <w:vAlign w:val="bottom"/>
          </w:tcPr>
          <w:p>
            <w:pPr>
              <w:spacing w:after="0"/>
              <w:rPr>
                <w:sz w:val="15"/>
                <w:szCs w:val="15"/>
                <w:color w:val="auto"/>
              </w:rPr>
            </w:pPr>
          </w:p>
        </w:tc>
      </w:tr>
      <w:tr>
        <w:trPr>
          <w:trHeight w:val="179"/>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2960" w:type="dxa"/>
            <w:vAlign w:val="bottom"/>
            <w:tcBorders>
              <w:bottom w:val="single" w:sz="8" w:color="005AFF"/>
            </w:tcBorders>
          </w:tcPr>
          <w:p>
            <w:pPr>
              <w:spacing w:after="0"/>
              <w:rPr>
                <w:sz w:val="15"/>
                <w:szCs w:val="15"/>
                <w:color w:val="auto"/>
              </w:rPr>
            </w:pP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26"/>
        </w:trPr>
        <w:tc>
          <w:tcPr>
            <w:tcW w:w="3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Gain on</w:t>
            </w:r>
          </w:p>
        </w:tc>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sale of property, plant and equipment including divested</w:t>
            </w:r>
          </w:p>
        </w:tc>
        <w:tc>
          <w:tcPr>
            <w:tcW w:w="540" w:type="dxa"/>
            <w:vAlign w:val="bottom"/>
            <w:shd w:val="clear" w:color="auto" w:fill="F0F5FF"/>
          </w:tcPr>
          <w:p>
            <w:pPr>
              <w:spacing w:after="0"/>
              <w:rPr>
                <w:sz w:val="10"/>
                <w:szCs w:val="10"/>
                <w:color w:val="auto"/>
              </w:rPr>
            </w:pPr>
          </w:p>
        </w:tc>
        <w:tc>
          <w:tcPr>
            <w:tcW w:w="660" w:type="dxa"/>
            <w:vAlign w:val="bottom"/>
          </w:tcPr>
          <w:p>
            <w:pPr>
              <w:spacing w:after="0"/>
              <w:rPr>
                <w:sz w:val="10"/>
                <w:szCs w:val="10"/>
                <w:color w:val="auto"/>
              </w:rPr>
            </w:pPr>
          </w:p>
        </w:tc>
        <w:tc>
          <w:tcPr>
            <w:tcW w:w="400" w:type="dxa"/>
            <w:vAlign w:val="bottom"/>
          </w:tcPr>
          <w:p>
            <w:pPr>
              <w:spacing w:after="0"/>
              <w:rPr>
                <w:sz w:val="10"/>
                <w:szCs w:val="10"/>
                <w:color w:val="auto"/>
              </w:rPr>
            </w:pPr>
          </w:p>
        </w:tc>
      </w:tr>
      <w:tr>
        <w:trPr>
          <w:trHeight w:val="130"/>
        </w:trPr>
        <w:tc>
          <w:tcPr>
            <w:tcW w:w="38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4"/>
              </w:rPr>
              <w:t>business</w:t>
            </w:r>
          </w:p>
        </w:tc>
        <w:tc>
          <w:tcPr>
            <w:tcW w:w="2960" w:type="dxa"/>
            <w:vAlign w:val="bottom"/>
          </w:tcPr>
          <w:p>
            <w:pPr>
              <w:spacing w:after="0"/>
              <w:rPr>
                <w:sz w:val="11"/>
                <w:szCs w:val="11"/>
                <w:color w:val="auto"/>
              </w:rPr>
            </w:pP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168</w:t>
            </w:r>
          </w:p>
        </w:tc>
        <w:tc>
          <w:tcPr>
            <w:tcW w:w="66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7</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66</w:t>
            </w:r>
          </w:p>
        </w:tc>
      </w:tr>
      <w:tr>
        <w:trPr>
          <w:trHeight w:val="16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Subsidies and government grants</w:t>
            </w:r>
          </w:p>
        </w:tc>
        <w:tc>
          <w:tcPr>
            <w:tcW w:w="540" w:type="dxa"/>
            <w:vAlign w:val="bottom"/>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w w:val="99"/>
              </w:rPr>
              <w:t>—</w:t>
            </w:r>
          </w:p>
        </w:tc>
        <w:tc>
          <w:tcPr>
            <w:tcW w:w="66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20</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43</w:t>
            </w:r>
          </w:p>
        </w:tc>
      </w:tr>
      <w:tr>
        <w:trPr>
          <w:trHeight w:val="16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(Losses)/gains from venture funds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(56)</w:t>
            </w:r>
          </w:p>
        </w:tc>
        <w:tc>
          <w:tcPr>
            <w:tcW w:w="66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27</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188</w:t>
            </w:r>
          </w:p>
        </w:tc>
      </w:tr>
      <w:tr>
        <w:trPr>
          <w:trHeight w:val="16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Settlements and resolutions of legal disputes</w:t>
            </w:r>
          </w:p>
        </w:tc>
        <w:tc>
          <w:tcPr>
            <w:tcW w:w="540" w:type="dxa"/>
            <w:vAlign w:val="bottom"/>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w w:val="99"/>
              </w:rPr>
              <w:t>—</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90</w:t>
            </w:r>
          </w:p>
        </w:tc>
      </w:tr>
      <w:tr>
        <w:trPr>
          <w:trHeight w:val="167"/>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296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54</w:t>
            </w:r>
          </w:p>
        </w:tc>
        <w:tc>
          <w:tcPr>
            <w:tcW w:w="66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44</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56</w:t>
            </w:r>
          </w:p>
        </w:tc>
      </w:tr>
      <w:tr>
        <w:trPr>
          <w:trHeight w:val="142"/>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296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166</w:t>
            </w:r>
          </w:p>
        </w:tc>
        <w:tc>
          <w:tcPr>
            <w:tcW w:w="66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98</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443</w:t>
            </w:r>
          </w:p>
        </w:tc>
      </w:tr>
      <w:tr>
        <w:trPr>
          <w:trHeight w:val="207"/>
        </w:trPr>
        <w:tc>
          <w:tcPr>
            <w:tcW w:w="3340" w:type="dxa"/>
            <w:vAlign w:val="bottom"/>
            <w:gridSpan w:val="2"/>
          </w:tcPr>
          <w:p>
            <w:pPr>
              <w:spacing w:after="0"/>
              <w:rPr>
                <w:sz w:val="20"/>
                <w:szCs w:val="20"/>
                <w:color w:val="auto"/>
              </w:rPr>
            </w:pPr>
            <w:r>
              <w:rPr>
                <w:rFonts w:ascii="Times New Roman" w:cs="Times New Roman" w:eastAsia="Times New Roman" w:hAnsi="Times New Roman"/>
                <w:sz w:val="13"/>
                <w:szCs w:val="13"/>
                <w:color w:val="auto"/>
              </w:rPr>
              <w:t>Other operating expenses</w:t>
            </w:r>
          </w:p>
        </w:tc>
        <w:tc>
          <w:tcPr>
            <w:tcW w:w="540" w:type="dxa"/>
            <w:vAlign w:val="bottom"/>
          </w:tcPr>
          <w:p>
            <w:pPr>
              <w:spacing w:after="0"/>
              <w:rPr>
                <w:sz w:val="18"/>
                <w:szCs w:val="18"/>
                <w:color w:val="auto"/>
              </w:rPr>
            </w:pPr>
          </w:p>
        </w:tc>
        <w:tc>
          <w:tcPr>
            <w:tcW w:w="660" w:type="dxa"/>
            <w:vAlign w:val="bottom"/>
          </w:tcPr>
          <w:p>
            <w:pPr>
              <w:spacing w:after="0"/>
              <w:rPr>
                <w:sz w:val="18"/>
                <w:szCs w:val="18"/>
                <w:color w:val="auto"/>
              </w:rPr>
            </w:pPr>
          </w:p>
        </w:tc>
        <w:tc>
          <w:tcPr>
            <w:tcW w:w="400" w:type="dxa"/>
            <w:vAlign w:val="bottom"/>
          </w:tcPr>
          <w:p>
            <w:pPr>
              <w:spacing w:after="0"/>
              <w:rPr>
                <w:sz w:val="18"/>
                <w:szCs w:val="18"/>
                <w:color w:val="auto"/>
              </w:rPr>
            </w:pPr>
          </w:p>
        </w:tc>
      </w:tr>
      <w:tr>
        <w:trPr>
          <w:trHeight w:val="174"/>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2960" w:type="dxa"/>
            <w:vAlign w:val="bottom"/>
            <w:tcBorders>
              <w:bottom w:val="single" w:sz="8" w:color="005AFF"/>
            </w:tcBorders>
          </w:tcPr>
          <w:p>
            <w:pPr>
              <w:spacing w:after="0"/>
              <w:rPr>
                <w:sz w:val="15"/>
                <w:szCs w:val="15"/>
                <w:color w:val="auto"/>
              </w:rPr>
            </w:pP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70"/>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Expected credit losses on trade receivables</w:t>
            </w:r>
          </w:p>
        </w:tc>
        <w:tc>
          <w:tcPr>
            <w:tcW w:w="540" w:type="dxa"/>
            <w:vAlign w:val="bottom"/>
            <w:shd w:val="clear" w:color="auto" w:fill="F0F5FF"/>
          </w:tcPr>
          <w:p>
            <w:pPr>
              <w:ind w:left="400"/>
              <w:spacing w:after="0"/>
              <w:rPr>
                <w:sz w:val="20"/>
                <w:szCs w:val="20"/>
                <w:color w:val="auto"/>
              </w:rPr>
            </w:pPr>
            <w:r>
              <w:rPr>
                <w:rFonts w:ascii="Times New Roman" w:cs="Times New Roman" w:eastAsia="Times New Roman" w:hAnsi="Times New Roman"/>
                <w:sz w:val="10"/>
                <w:szCs w:val="10"/>
                <w:color w:val="005AFF"/>
              </w:rPr>
              <w:t>(4)</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(107)</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16</w:t>
            </w:r>
          </w:p>
        </w:tc>
      </w:tr>
      <w:tr>
        <w:trPr>
          <w:trHeight w:val="16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Impairment of disposal groups</w:t>
            </w:r>
          </w:p>
        </w:tc>
        <w:tc>
          <w:tcPr>
            <w:tcW w:w="540" w:type="dxa"/>
            <w:vAlign w:val="bottom"/>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w w:val="99"/>
              </w:rPr>
              <w:t>—</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(72)</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7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Changes in provisions</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37</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(134)</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(77)</w:t>
            </w:r>
          </w:p>
        </w:tc>
      </w:tr>
      <w:tr>
        <w:trPr>
          <w:trHeight w:val="153"/>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Foreign exchange gains/(losses) on hedging forecasted sales and</w:t>
            </w:r>
          </w:p>
        </w:tc>
        <w:tc>
          <w:tcPr>
            <w:tcW w:w="540" w:type="dxa"/>
            <w:vAlign w:val="bottom"/>
            <w:shd w:val="clear" w:color="auto" w:fill="F0F5FF"/>
          </w:tcPr>
          <w:p>
            <w:pPr>
              <w:spacing w:after="0"/>
              <w:rPr>
                <w:sz w:val="13"/>
                <w:szCs w:val="13"/>
                <w:color w:val="auto"/>
              </w:rPr>
            </w:pPr>
          </w:p>
        </w:tc>
        <w:tc>
          <w:tcPr>
            <w:tcW w:w="660" w:type="dxa"/>
            <w:vAlign w:val="bottom"/>
          </w:tcPr>
          <w:p>
            <w:pPr>
              <w:spacing w:after="0"/>
              <w:rPr>
                <w:sz w:val="13"/>
                <w:szCs w:val="13"/>
                <w:color w:val="auto"/>
              </w:rPr>
            </w:pPr>
          </w:p>
        </w:tc>
        <w:tc>
          <w:tcPr>
            <w:tcW w:w="400" w:type="dxa"/>
            <w:vAlign w:val="bottom"/>
          </w:tcPr>
          <w:p>
            <w:pPr>
              <w:spacing w:after="0"/>
              <w:rPr>
                <w:sz w:val="13"/>
                <w:szCs w:val="13"/>
                <w:color w:val="auto"/>
              </w:rPr>
            </w:pPr>
          </w:p>
        </w:tc>
      </w:tr>
      <w:tr>
        <w:trPr>
          <w:trHeight w:val="130"/>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purchases</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80</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(107)</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45</w:t>
            </w:r>
          </w:p>
        </w:tc>
      </w:tr>
      <w:tr>
        <w:trPr>
          <w:trHeight w:val="167"/>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296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(22)</w:t>
            </w:r>
          </w:p>
        </w:tc>
        <w:tc>
          <w:tcPr>
            <w:tcW w:w="6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(19)</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(97)</w:t>
            </w:r>
          </w:p>
        </w:tc>
      </w:tr>
      <w:tr>
        <w:trPr>
          <w:trHeight w:val="142"/>
        </w:trPr>
        <w:tc>
          <w:tcPr>
            <w:tcW w:w="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296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91</w:t>
            </w:r>
          </w:p>
        </w:tc>
        <w:tc>
          <w:tcPr>
            <w:tcW w:w="6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(439)</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(113)</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2.4. Financial income and expenses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income</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40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40"/>
        </w:trPr>
        <w:tc>
          <w:tcPr>
            <w:tcW w:w="19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 income on financial investments</w:t>
            </w:r>
          </w:p>
        </w:tc>
        <w:tc>
          <w:tcPr>
            <w:tcW w:w="1400" w:type="dxa"/>
            <w:vAlign w:val="bottom"/>
          </w:tcPr>
          <w:p>
            <w:pPr>
              <w:spacing w:after="0"/>
              <w:rPr>
                <w:sz w:val="12"/>
                <w:szCs w:val="12"/>
                <w:color w:val="auto"/>
              </w:rPr>
            </w:pPr>
          </w:p>
        </w:tc>
        <w:tc>
          <w:tcPr>
            <w:tcW w:w="540" w:type="dxa"/>
            <w:vAlign w:val="bottom"/>
            <w:shd w:val="clear" w:color="auto" w:fill="F0F5FF"/>
          </w:tcPr>
          <w:p>
            <w:pPr>
              <w:ind w:left="300"/>
              <w:spacing w:after="0"/>
              <w:rPr>
                <w:sz w:val="20"/>
                <w:szCs w:val="20"/>
                <w:color w:val="auto"/>
              </w:rPr>
            </w:pPr>
            <w:r>
              <w:rPr>
                <w:rFonts w:ascii="Times New Roman" w:cs="Times New Roman" w:eastAsia="Times New Roman" w:hAnsi="Times New Roman"/>
                <w:sz w:val="10"/>
                <w:szCs w:val="10"/>
                <w:color w:val="005AFF"/>
              </w:rPr>
              <w:t>199</w:t>
            </w:r>
          </w:p>
        </w:tc>
        <w:tc>
          <w:tcPr>
            <w:tcW w:w="66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69</w:t>
            </w:r>
          </w:p>
        </w:tc>
        <w:tc>
          <w:tcPr>
            <w:tcW w:w="4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w:t>
            </w:r>
          </w:p>
        </w:tc>
        <w:tc>
          <w:tcPr>
            <w:tcW w:w="0" w:type="dxa"/>
            <w:vAlign w:val="bottom"/>
          </w:tcPr>
          <w:p>
            <w:pPr>
              <w:spacing w:after="0"/>
              <w:rPr>
                <w:sz w:val="1"/>
                <w:szCs w:val="1"/>
                <w:color w:val="auto"/>
              </w:rPr>
            </w:pPr>
          </w:p>
        </w:tc>
      </w:tr>
      <w:tr>
        <w:trPr>
          <w:trHeight w:val="162"/>
        </w:trPr>
        <w:tc>
          <w:tcPr>
            <w:tcW w:w="3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Interest income on financing components of other contracts</w:t>
            </w:r>
          </w:p>
        </w:tc>
        <w:tc>
          <w:tcPr>
            <w:tcW w:w="540" w:type="dxa"/>
            <w:vAlign w:val="bottom"/>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21</w:t>
            </w:r>
          </w:p>
        </w:tc>
        <w:tc>
          <w:tcPr>
            <w:tcW w:w="66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13</w:t>
            </w:r>
          </w:p>
        </w:tc>
        <w:tc>
          <w:tcPr>
            <w:tcW w:w="4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28</w:t>
            </w:r>
          </w:p>
        </w:tc>
        <w:tc>
          <w:tcPr>
            <w:tcW w:w="0" w:type="dxa"/>
            <w:vAlign w:val="bottom"/>
          </w:tcPr>
          <w:p>
            <w:pPr>
              <w:spacing w:after="0"/>
              <w:rPr>
                <w:sz w:val="1"/>
                <w:szCs w:val="1"/>
                <w:color w:val="auto"/>
              </w:rPr>
            </w:pPr>
          </w:p>
        </w:tc>
      </w:tr>
      <w:tr>
        <w:trPr>
          <w:trHeight w:val="111"/>
        </w:trPr>
        <w:tc>
          <w:tcPr>
            <w:tcW w:w="19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Net interest income on defined benefit plans</w:t>
            </w:r>
          </w:p>
        </w:tc>
        <w:tc>
          <w:tcPr>
            <w:tcW w:w="1400" w:type="dxa"/>
            <w:vAlign w:val="bottom"/>
          </w:tcPr>
          <w:p>
            <w:pPr>
              <w:jc w:val="right"/>
              <w:ind w:right="1167"/>
              <w:spacing w:after="0"/>
              <w:rPr>
                <w:sz w:val="20"/>
                <w:szCs w:val="20"/>
                <w:color w:val="auto"/>
              </w:rPr>
            </w:pPr>
            <w:r>
              <w:rPr>
                <w:rFonts w:ascii="Times New Roman" w:cs="Times New Roman" w:eastAsia="Times New Roman" w:hAnsi="Times New Roman"/>
                <w:sz w:val="7"/>
                <w:szCs w:val="7"/>
                <w:color w:val="0D0D0D"/>
              </w:rPr>
              <w:t>(1)</w:t>
            </w:r>
          </w:p>
        </w:tc>
        <w:tc>
          <w:tcPr>
            <w:tcW w:w="540" w:type="dxa"/>
            <w:vAlign w:val="bottom"/>
            <w:vMerge w:val="restart"/>
            <w:shd w:val="clear" w:color="auto" w:fill="F0F5FF"/>
          </w:tcPr>
          <w:p>
            <w:pPr>
              <w:ind w:left="300"/>
              <w:spacing w:after="0"/>
              <w:rPr>
                <w:sz w:val="20"/>
                <w:szCs w:val="20"/>
                <w:color w:val="auto"/>
              </w:rPr>
            </w:pPr>
            <w:r>
              <w:rPr>
                <w:rFonts w:ascii="Times New Roman" w:cs="Times New Roman" w:eastAsia="Times New Roman" w:hAnsi="Times New Roman"/>
                <w:sz w:val="10"/>
                <w:szCs w:val="10"/>
                <w:color w:val="005AFF"/>
              </w:rPr>
              <w:t>187</w:t>
            </w:r>
          </w:p>
        </w:tc>
        <w:tc>
          <w:tcPr>
            <w:tcW w:w="660" w:type="dxa"/>
            <w:vAlign w:val="bottom"/>
            <w:vMerge w:val="restart"/>
          </w:tcPr>
          <w:p>
            <w:pPr>
              <w:jc w:val="right"/>
              <w:ind w:right="151"/>
              <w:spacing w:after="0"/>
              <w:rPr>
                <w:sz w:val="20"/>
                <w:szCs w:val="20"/>
                <w:color w:val="auto"/>
              </w:rPr>
            </w:pPr>
            <w:r>
              <w:rPr>
                <w:rFonts w:ascii="Times New Roman" w:cs="Times New Roman" w:eastAsia="Times New Roman" w:hAnsi="Times New Roman"/>
                <w:sz w:val="10"/>
                <w:szCs w:val="10"/>
                <w:color w:val="0D0D0D"/>
              </w:rPr>
              <w:t>92</w:t>
            </w:r>
          </w:p>
        </w:tc>
        <w:tc>
          <w:tcPr>
            <w:tcW w:w="420" w:type="dxa"/>
            <w:vAlign w:val="bottom"/>
            <w:vMerge w:val="restart"/>
          </w:tcPr>
          <w:p>
            <w:pPr>
              <w:jc w:val="right"/>
              <w:ind w:right="31"/>
              <w:spacing w:after="0"/>
              <w:rPr>
                <w:sz w:val="20"/>
                <w:szCs w:val="20"/>
                <w:color w:val="auto"/>
              </w:rPr>
            </w:pPr>
            <w:r>
              <w:rPr>
                <w:rFonts w:ascii="Times New Roman" w:cs="Times New Roman" w:eastAsia="Times New Roman" w:hAnsi="Times New Roman"/>
                <w:sz w:val="10"/>
                <w:szCs w:val="10"/>
                <w:color w:val="0D0D0D"/>
              </w:rPr>
              <w:t>26</w:t>
            </w:r>
          </w:p>
        </w:tc>
        <w:tc>
          <w:tcPr>
            <w:tcW w:w="0" w:type="dxa"/>
            <w:vAlign w:val="bottom"/>
          </w:tcPr>
          <w:p>
            <w:pPr>
              <w:spacing w:after="0"/>
              <w:rPr>
                <w:sz w:val="1"/>
                <w:szCs w:val="1"/>
                <w:color w:val="auto"/>
              </w:rPr>
            </w:pPr>
          </w:p>
        </w:tc>
      </w:tr>
      <w:tr>
        <w:trPr>
          <w:trHeight w:val="50"/>
        </w:trPr>
        <w:tc>
          <w:tcPr>
            <w:tcW w:w="1940" w:type="dxa"/>
            <w:vAlign w:val="bottom"/>
            <w:vMerge w:val="continue"/>
          </w:tcPr>
          <w:p>
            <w:pPr>
              <w:spacing w:after="0"/>
              <w:rPr>
                <w:sz w:val="4"/>
                <w:szCs w:val="4"/>
                <w:color w:val="auto"/>
              </w:rPr>
            </w:pPr>
          </w:p>
        </w:tc>
        <w:tc>
          <w:tcPr>
            <w:tcW w:w="140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72"/>
        </w:trPr>
        <w:tc>
          <w:tcPr>
            <w:tcW w:w="1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Other financial income  </w:t>
            </w:r>
            <w:r>
              <w:rPr>
                <w:rFonts w:ascii="Times New Roman" w:cs="Times New Roman" w:eastAsia="Times New Roman" w:hAnsi="Times New Roman"/>
                <w:sz w:val="13"/>
                <w:szCs w:val="13"/>
                <w:color w:val="0D0D0D"/>
                <w:vertAlign w:val="superscript"/>
              </w:rPr>
              <w:t>(2)</w:t>
            </w:r>
          </w:p>
        </w:tc>
        <w:tc>
          <w:tcPr>
            <w:tcW w:w="140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18</w:t>
            </w:r>
          </w:p>
        </w:tc>
        <w:tc>
          <w:tcPr>
            <w:tcW w:w="66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4</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(6)</w:t>
            </w:r>
          </w:p>
        </w:tc>
        <w:tc>
          <w:tcPr>
            <w:tcW w:w="0" w:type="dxa"/>
            <w:vAlign w:val="bottom"/>
          </w:tcPr>
          <w:p>
            <w:pPr>
              <w:spacing w:after="0"/>
              <w:rPr>
                <w:sz w:val="1"/>
                <w:szCs w:val="1"/>
                <w:color w:val="auto"/>
              </w:rPr>
            </w:pPr>
          </w:p>
        </w:tc>
      </w:tr>
      <w:tr>
        <w:trPr>
          <w:trHeight w:val="137"/>
        </w:trPr>
        <w:tc>
          <w:tcPr>
            <w:tcW w:w="1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40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shd w:val="clear" w:color="auto" w:fill="F0F5FF"/>
          </w:tcPr>
          <w:p>
            <w:pPr>
              <w:ind w:left="300"/>
              <w:spacing w:after="0"/>
              <w:rPr>
                <w:sz w:val="20"/>
                <w:szCs w:val="20"/>
                <w:color w:val="auto"/>
              </w:rPr>
            </w:pPr>
            <w:r>
              <w:rPr>
                <w:rFonts w:ascii="Times New Roman" w:cs="Times New Roman" w:eastAsia="Times New Roman" w:hAnsi="Times New Roman"/>
                <w:sz w:val="10"/>
                <w:szCs w:val="10"/>
                <w:b w:val="1"/>
                <w:bCs w:val="1"/>
                <w:color w:val="005AFF"/>
              </w:rPr>
              <w:t>425</w:t>
            </w:r>
          </w:p>
        </w:tc>
        <w:tc>
          <w:tcPr>
            <w:tcW w:w="6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178</w:t>
            </w: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69</w:t>
            </w:r>
          </w:p>
        </w:tc>
        <w:tc>
          <w:tcPr>
            <w:tcW w:w="0" w:type="dxa"/>
            <w:vAlign w:val="bottom"/>
          </w:tcPr>
          <w:p>
            <w:pPr>
              <w:spacing w:after="0"/>
              <w:rPr>
                <w:sz w:val="1"/>
                <w:szCs w:val="1"/>
                <w:color w:val="auto"/>
              </w:rPr>
            </w:pPr>
          </w:p>
        </w:tc>
      </w:tr>
    </w:tbl>
    <w:p>
      <w:pPr>
        <w:spacing w:after="0" w:line="31" w:lineRule="exact"/>
        <w:rPr>
          <w:sz w:val="20"/>
          <w:szCs w:val="20"/>
          <w:color w:val="auto"/>
        </w:rPr>
      </w:pPr>
    </w:p>
    <w:p>
      <w:pPr>
        <w:ind w:left="200" w:right="760" w:hanging="198"/>
        <w:spacing w:after="0" w:line="267" w:lineRule="auto"/>
        <w:tabs>
          <w:tab w:leader="none" w:pos="200" w:val="left"/>
        </w:tabs>
        <w:numPr>
          <w:ilvl w:val="0"/>
          <w:numId w:val="11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Nokia changed the presentation of net interest income on defined benefit plans from financial expenses to financial income as it better reflects the nature of this item which Nokia expects to be an income also in the foreseeable future. The</w:t>
      </w:r>
    </w:p>
    <w:p>
      <w:pPr>
        <w:spacing w:after="0" w:line="1" w:lineRule="exact"/>
        <w:rPr>
          <w:sz w:val="20"/>
          <w:szCs w:val="20"/>
          <w:color w:val="auto"/>
        </w:rPr>
      </w:pPr>
    </w:p>
    <w:p>
      <w:pPr>
        <w:ind w:left="200"/>
        <w:spacing w:after="0"/>
        <w:tabs>
          <w:tab w:leader="none" w:pos="2080" w:val="left"/>
        </w:tabs>
        <w:rPr>
          <w:sz w:val="20"/>
          <w:szCs w:val="20"/>
          <w:color w:val="auto"/>
        </w:rPr>
      </w:pPr>
      <w:r>
        <w:rPr>
          <w:rFonts w:ascii="Times New Roman" w:cs="Times New Roman" w:eastAsia="Times New Roman" w:hAnsi="Times New Roman"/>
          <w:sz w:val="8"/>
          <w:szCs w:val="8"/>
          <w:color w:val="auto"/>
        </w:rPr>
        <w:t>comparative amounts for 2022 and 2021 have been</w:t>
      </w:r>
      <w:r>
        <w:rPr>
          <w:sz w:val="20"/>
          <w:szCs w:val="20"/>
          <w:color w:val="auto"/>
        </w:rPr>
        <w:tab/>
      </w:r>
      <w:r>
        <w:rPr>
          <w:rFonts w:ascii="Times New Roman" w:cs="Times New Roman" w:eastAsia="Times New Roman" w:hAnsi="Times New Roman"/>
          <w:sz w:val="8"/>
          <w:szCs w:val="8"/>
          <w:color w:val="auto"/>
        </w:rPr>
        <w:t>recast  accordingly.</w:t>
      </w:r>
    </w:p>
    <w:p>
      <w:pPr>
        <w:spacing w:after="0" w:line="4" w:lineRule="exact"/>
        <w:rPr>
          <w:sz w:val="20"/>
          <w:szCs w:val="20"/>
          <w:color w:val="auto"/>
        </w:rPr>
      </w:pPr>
    </w:p>
    <w:p>
      <w:pPr>
        <w:jc w:val="center"/>
        <w:ind w:right="160"/>
        <w:spacing w:after="0"/>
        <w:tabs>
          <w:tab w:leader="none" w:pos="80" w:val="left"/>
          <w:tab w:leader="none" w:pos="80" w:val="left"/>
          <w:tab w:leader="none" w:pos="60" w:val="left"/>
        </w:tabs>
        <w:rPr>
          <w:sz w:val="20"/>
          <w:szCs w:val="20"/>
          <w:color w:val="auto"/>
        </w:rPr>
      </w:pPr>
      <w:r>
        <w:rPr>
          <w:rFonts w:ascii="Times New Roman" w:cs="Times New Roman" w:eastAsia="Times New Roman" w:hAnsi="Times New Roman"/>
          <w:sz w:val="8"/>
          <w:szCs w:val="8"/>
          <w:color w:val="auto"/>
        </w:rPr>
        <w:t>(2)</w:t>
        <w:tab/>
        <w:t>In 2023 , includes an expense of EUR</w:t>
        <w:tab/>
        <w:t>2 million (income of EUR 11 million in 2022 and expense of EUR</w:t>
        <w:tab/>
        <w:t>33 million in 2021 ) due to a</w:t>
      </w:r>
    </w:p>
    <w:p>
      <w:pPr>
        <w:spacing w:after="0" w:line="4" w:lineRule="exact"/>
        <w:rPr>
          <w:sz w:val="20"/>
          <w:szCs w:val="20"/>
          <w:color w:val="auto"/>
        </w:rPr>
      </w:pPr>
    </w:p>
    <w:p>
      <w:pPr>
        <w:ind w:left="200"/>
        <w:spacing w:after="0"/>
        <w:tabs>
          <w:tab w:leader="none" w:pos="3420" w:val="left"/>
          <w:tab w:leader="none" w:pos="4860" w:val="left"/>
        </w:tabs>
        <w:rPr>
          <w:sz w:val="20"/>
          <w:szCs w:val="20"/>
          <w:color w:val="auto"/>
        </w:rPr>
      </w:pPr>
      <w:r>
        <w:rPr>
          <w:rFonts w:ascii="Times New Roman" w:cs="Times New Roman" w:eastAsia="Times New Roman" w:hAnsi="Times New Roman"/>
          <w:sz w:val="8"/>
          <w:szCs w:val="8"/>
          <w:color w:val="auto"/>
        </w:rPr>
        <w:t>change in the fair value of the financial liability related to Nokia Shanghai Bell. Refer to Note</w:t>
      </w:r>
      <w:r>
        <w:rPr>
          <w:sz w:val="20"/>
          <w:szCs w:val="20"/>
          <w:color w:val="auto"/>
        </w:rPr>
        <w:tab/>
      </w:r>
      <w:r>
        <w:rPr>
          <w:rFonts w:ascii="Times New Roman" w:cs="Times New Roman" w:eastAsia="Times New Roman" w:hAnsi="Times New Roman"/>
          <w:sz w:val="8"/>
          <w:szCs w:val="8"/>
          <w:color w:val="auto"/>
        </w:rPr>
        <w:t>6.3. Significant partly-owned subsidiaries</w:t>
      </w:r>
      <w:r>
        <w:rPr>
          <w:sz w:val="20"/>
          <w:szCs w:val="20"/>
          <w:color w:val="auto"/>
        </w:rPr>
        <w:tab/>
      </w:r>
      <w:r>
        <w:rPr>
          <w:rFonts w:ascii="Times New Roman" w:cs="Times New Roman" w:eastAsia="Times New Roman" w:hAnsi="Times New Roman"/>
          <w:sz w:val="8"/>
          <w:szCs w:val="8"/>
          <w:color w:val="auto"/>
        </w:rPr>
        <w:t>.</w:t>
      </w:r>
    </w:p>
    <w:p>
      <w:pPr>
        <w:spacing w:after="0" w:line="9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expenses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70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40"/>
        </w:trPr>
        <w:tc>
          <w:tcPr>
            <w:tcW w:w="28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Interest expense on interest-bearing liabilities</w:t>
            </w:r>
          </w:p>
        </w:tc>
        <w:tc>
          <w:tcPr>
            <w:tcW w:w="540" w:type="dxa"/>
            <w:vAlign w:val="bottom"/>
          </w:tcPr>
          <w:p>
            <w:pPr>
              <w:spacing w:after="0"/>
              <w:rPr>
                <w:sz w:val="12"/>
                <w:szCs w:val="12"/>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(201)</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(103)</w:t>
            </w:r>
          </w:p>
        </w:tc>
        <w:tc>
          <w:tcPr>
            <w:tcW w:w="4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(113)</w:t>
            </w:r>
          </w:p>
        </w:tc>
        <w:tc>
          <w:tcPr>
            <w:tcW w:w="0" w:type="dxa"/>
            <w:vAlign w:val="bottom"/>
          </w:tcPr>
          <w:p>
            <w:pPr>
              <w:spacing w:after="0"/>
              <w:rPr>
                <w:sz w:val="1"/>
                <w:szCs w:val="1"/>
                <w:color w:val="auto"/>
              </w:rPr>
            </w:pPr>
          </w:p>
        </w:tc>
      </w:tr>
      <w:tr>
        <w:trPr>
          <w:trHeight w:val="162"/>
        </w:trPr>
        <w:tc>
          <w:tcPr>
            <w:tcW w:w="28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Negative interest on financial investments</w:t>
            </w:r>
          </w:p>
        </w:tc>
        <w:tc>
          <w:tcPr>
            <w:tcW w:w="54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(27)</w:t>
            </w:r>
          </w:p>
        </w:tc>
        <w:tc>
          <w:tcPr>
            <w:tcW w:w="420" w:type="dxa"/>
            <w:vAlign w:val="bottom"/>
          </w:tcPr>
          <w:p>
            <w:pPr>
              <w:jc w:val="center"/>
              <w:ind w:left="110"/>
              <w:spacing w:after="0"/>
              <w:rPr>
                <w:sz w:val="20"/>
                <w:szCs w:val="20"/>
                <w:color w:val="auto"/>
              </w:rPr>
            </w:pPr>
            <w:r>
              <w:rPr>
                <w:rFonts w:ascii="Times New Roman" w:cs="Times New Roman" w:eastAsia="Times New Roman" w:hAnsi="Times New Roman"/>
                <w:sz w:val="10"/>
                <w:szCs w:val="10"/>
                <w:color w:val="0D0D0D"/>
              </w:rPr>
              <w:t>(29)</w:t>
            </w:r>
          </w:p>
        </w:tc>
        <w:tc>
          <w:tcPr>
            <w:tcW w:w="0" w:type="dxa"/>
            <w:vAlign w:val="bottom"/>
          </w:tcPr>
          <w:p>
            <w:pPr>
              <w:spacing w:after="0"/>
              <w:rPr>
                <w:sz w:val="1"/>
                <w:szCs w:val="1"/>
                <w:color w:val="auto"/>
              </w:rPr>
            </w:pPr>
          </w:p>
        </w:tc>
      </w:tr>
      <w:tr>
        <w:trPr>
          <w:trHeight w:val="121"/>
        </w:trPr>
        <w:tc>
          <w:tcPr>
            <w:tcW w:w="280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Interest expense on financing components of other contracts</w:t>
            </w:r>
          </w:p>
        </w:tc>
        <w:tc>
          <w:tcPr>
            <w:tcW w:w="540" w:type="dxa"/>
            <w:vAlign w:val="bottom"/>
          </w:tcPr>
          <w:p>
            <w:pPr>
              <w:jc w:val="right"/>
              <w:ind w:right="427"/>
              <w:spacing w:after="0"/>
              <w:rPr>
                <w:sz w:val="20"/>
                <w:szCs w:val="20"/>
                <w:color w:val="auto"/>
              </w:rPr>
            </w:pPr>
            <w:r>
              <w:rPr>
                <w:rFonts w:ascii="Times New Roman" w:cs="Times New Roman" w:eastAsia="Times New Roman" w:hAnsi="Times New Roman"/>
                <w:sz w:val="7"/>
                <w:szCs w:val="7"/>
                <w:color w:val="0D0D0D"/>
                <w:w w:val="72"/>
              </w:rPr>
              <w:t>(1)</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(126)</w:t>
            </w:r>
          </w:p>
        </w:tc>
        <w:tc>
          <w:tcPr>
            <w:tcW w:w="660" w:type="dxa"/>
            <w:vAlign w:val="bottom"/>
            <w:vMerge w:val="restart"/>
          </w:tcPr>
          <w:p>
            <w:pPr>
              <w:jc w:val="right"/>
              <w:ind w:right="110"/>
              <w:spacing w:after="0"/>
              <w:rPr>
                <w:sz w:val="20"/>
                <w:szCs w:val="20"/>
                <w:color w:val="auto"/>
              </w:rPr>
            </w:pPr>
            <w:r>
              <w:rPr>
                <w:rFonts w:ascii="Times New Roman" w:cs="Times New Roman" w:eastAsia="Times New Roman" w:hAnsi="Times New Roman"/>
                <w:sz w:val="10"/>
                <w:szCs w:val="10"/>
                <w:color w:val="0D0D0D"/>
              </w:rPr>
              <w:t>(66)</w:t>
            </w:r>
          </w:p>
        </w:tc>
        <w:tc>
          <w:tcPr>
            <w:tcW w:w="420" w:type="dxa"/>
            <w:vAlign w:val="bottom"/>
            <w:vMerge w:val="restart"/>
          </w:tcPr>
          <w:p>
            <w:pPr>
              <w:jc w:val="center"/>
              <w:ind w:left="110"/>
              <w:spacing w:after="0"/>
              <w:rPr>
                <w:sz w:val="20"/>
                <w:szCs w:val="20"/>
                <w:color w:val="auto"/>
              </w:rPr>
            </w:pPr>
            <w:r>
              <w:rPr>
                <w:rFonts w:ascii="Times New Roman" w:cs="Times New Roman" w:eastAsia="Times New Roman" w:hAnsi="Times New Roman"/>
                <w:sz w:val="10"/>
                <w:szCs w:val="10"/>
                <w:color w:val="0D0D0D"/>
              </w:rPr>
              <w:t>(40)</w:t>
            </w:r>
          </w:p>
        </w:tc>
        <w:tc>
          <w:tcPr>
            <w:tcW w:w="0" w:type="dxa"/>
            <w:vAlign w:val="bottom"/>
          </w:tcPr>
          <w:p>
            <w:pPr>
              <w:spacing w:after="0"/>
              <w:rPr>
                <w:sz w:val="1"/>
                <w:szCs w:val="1"/>
                <w:color w:val="auto"/>
              </w:rPr>
            </w:pPr>
          </w:p>
        </w:tc>
      </w:tr>
      <w:tr>
        <w:trPr>
          <w:trHeight w:val="50"/>
        </w:trPr>
        <w:tc>
          <w:tcPr>
            <w:tcW w:w="2800" w:type="dxa"/>
            <w:vAlign w:val="bottom"/>
            <w:gridSpan w:val="2"/>
            <w:vMerge w:val="continue"/>
          </w:tcPr>
          <w:p>
            <w:pPr>
              <w:spacing w:after="0"/>
              <w:rPr>
                <w:sz w:val="4"/>
                <w:szCs w:val="4"/>
                <w:color w:val="auto"/>
              </w:rPr>
            </w:pPr>
          </w:p>
        </w:tc>
        <w:tc>
          <w:tcPr>
            <w:tcW w:w="54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28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Interest expense on lease liabilities</w:t>
            </w:r>
          </w:p>
        </w:tc>
        <w:tc>
          <w:tcPr>
            <w:tcW w:w="54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(26)</w:t>
            </w:r>
          </w:p>
        </w:tc>
        <w:tc>
          <w:tcPr>
            <w:tcW w:w="420" w:type="dxa"/>
            <w:vAlign w:val="bottom"/>
          </w:tcPr>
          <w:p>
            <w:pPr>
              <w:jc w:val="center"/>
              <w:ind w:left="110"/>
              <w:spacing w:after="0"/>
              <w:rPr>
                <w:sz w:val="20"/>
                <w:szCs w:val="20"/>
                <w:color w:val="auto"/>
              </w:rPr>
            </w:pPr>
            <w:r>
              <w:rPr>
                <w:rFonts w:ascii="Times New Roman" w:cs="Times New Roman" w:eastAsia="Times New Roman" w:hAnsi="Times New Roman"/>
                <w:sz w:val="10"/>
                <w:szCs w:val="10"/>
                <w:color w:val="0D0D0D"/>
              </w:rPr>
              <w:t>(24)</w:t>
            </w:r>
          </w:p>
        </w:tc>
        <w:tc>
          <w:tcPr>
            <w:tcW w:w="0" w:type="dxa"/>
            <w:vAlign w:val="bottom"/>
          </w:tcPr>
          <w:p>
            <w:pPr>
              <w:spacing w:after="0"/>
              <w:rPr>
                <w:sz w:val="1"/>
                <w:szCs w:val="1"/>
                <w:color w:val="auto"/>
              </w:rPr>
            </w:pPr>
          </w:p>
        </w:tc>
      </w:tr>
      <w:tr>
        <w:trPr>
          <w:trHeight w:val="153"/>
        </w:trPr>
        <w:tc>
          <w:tcPr>
            <w:tcW w:w="28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Net fair value (losses)/gains on hedged items under fair value hedge</w:t>
            </w:r>
          </w:p>
        </w:tc>
        <w:tc>
          <w:tcPr>
            <w:tcW w:w="540" w:type="dxa"/>
            <w:vAlign w:val="bottom"/>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660" w:type="dxa"/>
            <w:vAlign w:val="bottom"/>
          </w:tcPr>
          <w:p>
            <w:pPr>
              <w:spacing w:after="0"/>
              <w:rPr>
                <w:sz w:val="13"/>
                <w:szCs w:val="13"/>
                <w:color w:val="auto"/>
              </w:rPr>
            </w:pPr>
          </w:p>
        </w:tc>
        <w:tc>
          <w:tcPr>
            <w:tcW w:w="42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30"/>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accounting</w:t>
            </w:r>
          </w:p>
        </w:tc>
        <w:tc>
          <w:tcPr>
            <w:tcW w:w="170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(93)</w:t>
            </w:r>
          </w:p>
        </w:tc>
        <w:tc>
          <w:tcPr>
            <w:tcW w:w="66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262</w:t>
            </w:r>
          </w:p>
        </w:tc>
        <w:tc>
          <w:tcPr>
            <w:tcW w:w="420" w:type="dxa"/>
            <w:vAlign w:val="bottom"/>
          </w:tcPr>
          <w:p>
            <w:pPr>
              <w:jc w:val="center"/>
              <w:ind w:left="110"/>
              <w:spacing w:after="0"/>
              <w:rPr>
                <w:sz w:val="20"/>
                <w:szCs w:val="20"/>
                <w:color w:val="auto"/>
              </w:rPr>
            </w:pPr>
            <w:r>
              <w:rPr>
                <w:rFonts w:ascii="Times New Roman" w:cs="Times New Roman" w:eastAsia="Times New Roman" w:hAnsi="Times New Roman"/>
                <w:sz w:val="10"/>
                <w:szCs w:val="10"/>
                <w:color w:val="0D0D0D"/>
                <w:w w:val="99"/>
              </w:rPr>
              <w:t>25</w:t>
            </w:r>
          </w:p>
        </w:tc>
        <w:tc>
          <w:tcPr>
            <w:tcW w:w="0" w:type="dxa"/>
            <w:vAlign w:val="bottom"/>
          </w:tcPr>
          <w:p>
            <w:pPr>
              <w:spacing w:after="0"/>
              <w:rPr>
                <w:sz w:val="1"/>
                <w:szCs w:val="1"/>
                <w:color w:val="auto"/>
              </w:rPr>
            </w:pPr>
          </w:p>
        </w:tc>
      </w:tr>
      <w:tr>
        <w:trPr>
          <w:trHeight w:val="153"/>
        </w:trPr>
        <w:tc>
          <w:tcPr>
            <w:tcW w:w="33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Net fair value gains/(losses) on hedging instruments under fair value</w:t>
            </w:r>
          </w:p>
        </w:tc>
        <w:tc>
          <w:tcPr>
            <w:tcW w:w="540" w:type="dxa"/>
            <w:vAlign w:val="bottom"/>
            <w:shd w:val="clear" w:color="auto" w:fill="F0F5FF"/>
          </w:tcPr>
          <w:p>
            <w:pPr>
              <w:spacing w:after="0"/>
              <w:rPr>
                <w:sz w:val="13"/>
                <w:szCs w:val="13"/>
                <w:color w:val="auto"/>
              </w:rPr>
            </w:pPr>
          </w:p>
        </w:tc>
        <w:tc>
          <w:tcPr>
            <w:tcW w:w="660" w:type="dxa"/>
            <w:vAlign w:val="bottom"/>
          </w:tcPr>
          <w:p>
            <w:pPr>
              <w:spacing w:after="0"/>
              <w:rPr>
                <w:sz w:val="13"/>
                <w:szCs w:val="13"/>
                <w:color w:val="auto"/>
              </w:rPr>
            </w:pPr>
          </w:p>
        </w:tc>
        <w:tc>
          <w:tcPr>
            <w:tcW w:w="42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30"/>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hedge accounting</w:t>
            </w:r>
          </w:p>
        </w:tc>
        <w:tc>
          <w:tcPr>
            <w:tcW w:w="170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89</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(265)</w:t>
            </w:r>
          </w:p>
        </w:tc>
        <w:tc>
          <w:tcPr>
            <w:tcW w:w="420" w:type="dxa"/>
            <w:vAlign w:val="bottom"/>
          </w:tcPr>
          <w:p>
            <w:pPr>
              <w:jc w:val="center"/>
              <w:ind w:left="110"/>
              <w:spacing w:after="0"/>
              <w:rPr>
                <w:sz w:val="20"/>
                <w:szCs w:val="20"/>
                <w:color w:val="auto"/>
              </w:rPr>
            </w:pPr>
            <w:r>
              <w:rPr>
                <w:rFonts w:ascii="Times New Roman" w:cs="Times New Roman" w:eastAsia="Times New Roman" w:hAnsi="Times New Roman"/>
                <w:sz w:val="10"/>
                <w:szCs w:val="10"/>
                <w:color w:val="0D0D0D"/>
              </w:rPr>
              <w:t>(25)</w:t>
            </w:r>
          </w:p>
        </w:tc>
        <w:tc>
          <w:tcPr>
            <w:tcW w:w="0" w:type="dxa"/>
            <w:vAlign w:val="bottom"/>
          </w:tcPr>
          <w:p>
            <w:pPr>
              <w:spacing w:after="0"/>
              <w:rPr>
                <w:sz w:val="1"/>
                <w:szCs w:val="1"/>
                <w:color w:val="auto"/>
              </w:rPr>
            </w:pPr>
          </w:p>
        </w:tc>
      </w:tr>
      <w:tr>
        <w:trPr>
          <w:trHeight w:val="162"/>
        </w:trPr>
        <w:tc>
          <w:tcPr>
            <w:tcW w:w="28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Net foreign exchange (losses)/gains</w:t>
            </w:r>
          </w:p>
        </w:tc>
        <w:tc>
          <w:tcPr>
            <w:tcW w:w="54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(187)</w:t>
            </w:r>
          </w:p>
        </w:tc>
        <w:tc>
          <w:tcPr>
            <w:tcW w:w="660" w:type="dxa"/>
            <w:vAlign w:val="bottom"/>
          </w:tcPr>
          <w:p>
            <w:pPr>
              <w:jc w:val="right"/>
              <w:ind w:right="150"/>
              <w:spacing w:after="0"/>
              <w:rPr>
                <w:sz w:val="20"/>
                <w:szCs w:val="20"/>
                <w:color w:val="auto"/>
              </w:rPr>
            </w:pPr>
            <w:r>
              <w:rPr>
                <w:rFonts w:ascii="Times New Roman" w:cs="Times New Roman" w:eastAsia="Times New Roman" w:hAnsi="Times New Roman"/>
                <w:sz w:val="10"/>
                <w:szCs w:val="10"/>
                <w:color w:val="0D0D0D"/>
              </w:rPr>
              <w:t>20</w:t>
            </w:r>
          </w:p>
        </w:tc>
        <w:tc>
          <w:tcPr>
            <w:tcW w:w="420" w:type="dxa"/>
            <w:vAlign w:val="bottom"/>
          </w:tcPr>
          <w:p>
            <w:pPr>
              <w:jc w:val="center"/>
              <w:ind w:left="110"/>
              <w:spacing w:after="0"/>
              <w:rPr>
                <w:sz w:val="20"/>
                <w:szCs w:val="20"/>
                <w:color w:val="auto"/>
              </w:rPr>
            </w:pPr>
            <w:r>
              <w:rPr>
                <w:rFonts w:ascii="Times New Roman" w:cs="Times New Roman" w:eastAsia="Times New Roman" w:hAnsi="Times New Roman"/>
                <w:sz w:val="10"/>
                <w:szCs w:val="10"/>
                <w:color w:val="0D0D0D"/>
              </w:rPr>
              <w:t>(60)</w:t>
            </w:r>
          </w:p>
        </w:tc>
        <w:tc>
          <w:tcPr>
            <w:tcW w:w="0" w:type="dxa"/>
            <w:vAlign w:val="bottom"/>
          </w:tcPr>
          <w:p>
            <w:pPr>
              <w:spacing w:after="0"/>
              <w:rPr>
                <w:sz w:val="1"/>
                <w:szCs w:val="1"/>
                <w:color w:val="auto"/>
              </w:rPr>
            </w:pPr>
          </w:p>
        </w:tc>
      </w:tr>
      <w:tr>
        <w:trPr>
          <w:trHeight w:val="121"/>
        </w:trPr>
        <w:tc>
          <w:tcPr>
            <w:tcW w:w="110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Other financial expenses</w:t>
            </w:r>
          </w:p>
        </w:tc>
        <w:tc>
          <w:tcPr>
            <w:tcW w:w="1700" w:type="dxa"/>
            <w:vAlign w:val="bottom"/>
          </w:tcPr>
          <w:p>
            <w:pPr>
              <w:jc w:val="right"/>
              <w:ind w:right="1547"/>
              <w:spacing w:after="0"/>
              <w:rPr>
                <w:sz w:val="20"/>
                <w:szCs w:val="20"/>
                <w:color w:val="auto"/>
              </w:rPr>
            </w:pPr>
            <w:r>
              <w:rPr>
                <w:rFonts w:ascii="Times New Roman" w:cs="Times New Roman" w:eastAsia="Times New Roman" w:hAnsi="Times New Roman"/>
                <w:sz w:val="7"/>
                <w:szCs w:val="7"/>
                <w:color w:val="0D0D0D"/>
              </w:rPr>
              <w:t>(2)</w:t>
            </w:r>
          </w:p>
        </w:tc>
        <w:tc>
          <w:tcPr>
            <w:tcW w:w="540" w:type="dxa"/>
            <w:vAlign w:val="bottom"/>
          </w:tcPr>
          <w:p>
            <w:pPr>
              <w:spacing w:after="0"/>
              <w:rPr>
                <w:sz w:val="10"/>
                <w:szCs w:val="10"/>
                <w:color w:val="auto"/>
              </w:rPr>
            </w:pP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660" w:type="dxa"/>
            <w:vAlign w:val="bottom"/>
            <w:vMerge w:val="restart"/>
          </w:tcPr>
          <w:p>
            <w:pPr>
              <w:jc w:val="right"/>
              <w:ind w:right="110"/>
              <w:spacing w:after="0"/>
              <w:rPr>
                <w:sz w:val="20"/>
                <w:szCs w:val="20"/>
                <w:color w:val="auto"/>
              </w:rPr>
            </w:pPr>
            <w:r>
              <w:rPr>
                <w:rFonts w:ascii="Times New Roman" w:cs="Times New Roman" w:eastAsia="Times New Roman" w:hAnsi="Times New Roman"/>
                <w:sz w:val="10"/>
                <w:szCs w:val="10"/>
                <w:color w:val="0D0D0D"/>
              </w:rPr>
              <w:t>(81)</w:t>
            </w:r>
          </w:p>
        </w:tc>
        <w:tc>
          <w:tcPr>
            <w:tcW w:w="420" w:type="dxa"/>
            <w:vAlign w:val="bottom"/>
            <w:vMerge w:val="restart"/>
          </w:tcPr>
          <w:p>
            <w:pPr>
              <w:jc w:val="center"/>
              <w:ind w:left="110"/>
              <w:spacing w:after="0"/>
              <w:rPr>
                <w:sz w:val="20"/>
                <w:szCs w:val="20"/>
                <w:color w:val="auto"/>
              </w:rPr>
            </w:pPr>
            <w:r>
              <w:rPr>
                <w:rFonts w:ascii="Times New Roman" w:cs="Times New Roman" w:eastAsia="Times New Roman" w:hAnsi="Times New Roman"/>
                <w:sz w:val="10"/>
                <w:szCs w:val="10"/>
                <w:color w:val="0D0D0D"/>
              </w:rPr>
              <w:t>(44)</w:t>
            </w:r>
          </w:p>
        </w:tc>
        <w:tc>
          <w:tcPr>
            <w:tcW w:w="0" w:type="dxa"/>
            <w:vAlign w:val="bottom"/>
          </w:tcPr>
          <w:p>
            <w:pPr>
              <w:spacing w:after="0"/>
              <w:rPr>
                <w:sz w:val="1"/>
                <w:szCs w:val="1"/>
                <w:color w:val="auto"/>
              </w:rPr>
            </w:pPr>
          </w:p>
        </w:tc>
      </w:tr>
      <w:tr>
        <w:trPr>
          <w:trHeight w:val="56"/>
        </w:trPr>
        <w:tc>
          <w:tcPr>
            <w:tcW w:w="1100" w:type="dxa"/>
            <w:vAlign w:val="bottom"/>
            <w:tcBorders>
              <w:bottom w:val="single" w:sz="8" w:color="005AFF"/>
            </w:tcBorders>
            <w:vMerge w:val="continue"/>
          </w:tcPr>
          <w:p>
            <w:pPr>
              <w:spacing w:after="0"/>
              <w:rPr>
                <w:sz w:val="4"/>
                <w:szCs w:val="4"/>
                <w:color w:val="auto"/>
              </w:rPr>
            </w:pPr>
          </w:p>
        </w:tc>
        <w:tc>
          <w:tcPr>
            <w:tcW w:w="170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vMerge w:val="continue"/>
            <w:shd w:val="clear" w:color="auto" w:fill="F0F5FF"/>
          </w:tcPr>
          <w:p>
            <w:pPr>
              <w:spacing w:after="0"/>
              <w:rPr>
                <w:sz w:val="4"/>
                <w:szCs w:val="4"/>
                <w:color w:val="auto"/>
              </w:rPr>
            </w:pPr>
          </w:p>
        </w:tc>
        <w:tc>
          <w:tcPr>
            <w:tcW w:w="660" w:type="dxa"/>
            <w:vAlign w:val="bottom"/>
            <w:tcBorders>
              <w:bottom w:val="single" w:sz="8" w:color="005AFF"/>
            </w:tcBorders>
            <w:vMerge w:val="continue"/>
          </w:tcPr>
          <w:p>
            <w:pPr>
              <w:spacing w:after="0"/>
              <w:rPr>
                <w:sz w:val="4"/>
                <w:szCs w:val="4"/>
                <w:color w:val="auto"/>
              </w:rPr>
            </w:pPr>
          </w:p>
        </w:tc>
        <w:tc>
          <w:tcPr>
            <w:tcW w:w="42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42"/>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70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(575)</w:t>
            </w:r>
          </w:p>
        </w:tc>
        <w:tc>
          <w:tcPr>
            <w:tcW w:w="66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b w:val="1"/>
                <w:bCs w:val="1"/>
                <w:color w:val="auto"/>
              </w:rPr>
              <w:t>(286)</w:t>
            </w:r>
          </w:p>
        </w:tc>
        <w:tc>
          <w:tcPr>
            <w:tcW w:w="4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(310)</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hanging="198"/>
        <w:spacing w:after="0"/>
        <w:tabs>
          <w:tab w:leader="none" w:pos="200" w:val="left"/>
        </w:tabs>
        <w:numPr>
          <w:ilvl w:val="0"/>
          <w:numId w:val="11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 includes EUR 106 million (EUR 46 million in 2022 and EUR 12 million in 2021 ) related to the sale of receivables.</w:t>
      </w:r>
    </w:p>
    <w:p>
      <w:pPr>
        <w:spacing w:after="0" w:line="7" w:lineRule="exact"/>
        <w:rPr>
          <w:sz w:val="20"/>
          <w:szCs w:val="20"/>
          <w:color w:val="auto"/>
        </w:rPr>
      </w:pPr>
    </w:p>
    <w:p>
      <w:pPr>
        <w:ind w:left="200" w:right="460" w:hanging="199"/>
        <w:spacing w:after="0" w:line="274" w:lineRule="auto"/>
        <w:tabs>
          <w:tab w:leader="none" w:pos="180" w:val="left"/>
        </w:tabs>
        <w:rPr>
          <w:sz w:val="20"/>
          <w:szCs w:val="20"/>
          <w:color w:val="auto"/>
        </w:rPr>
      </w:pPr>
      <w:r>
        <w:rPr>
          <w:rFonts w:ascii="Times New Roman" w:cs="Times New Roman" w:eastAsia="Times New Roman" w:hAnsi="Times New Roman"/>
          <w:sz w:val="8"/>
          <w:szCs w:val="8"/>
          <w:color w:val="auto"/>
        </w:rPr>
        <w:t>(2)</w:t>
        <w:tab/>
        <w:t>In 2023 , includes an increase in loss allowance of EUR 9 million (impairment of EUR 61 million in 2022 and increase in loss allowance of EUR 32 million in 2021 ) related to loans extended to certain emerging market customers.</w:t>
      </w:r>
    </w:p>
    <w:p>
      <w:pPr>
        <w:sectPr>
          <w:pgSz w:w="11900" w:h="16838" w:orient="portrait"/>
          <w:cols w:equalWidth="0" w:num="2">
            <w:col w:w="4940" w:space="160"/>
            <w:col w:w="4960"/>
          </w:cols>
          <w:pgMar w:left="960" w:top="410" w:right="879" w:bottom="1440" w:gutter="0" w:footer="0" w:header="0"/>
          <w:type w:val="continuous"/>
        </w:sectPr>
      </w:pPr>
    </w:p>
    <w:bookmarkStart w:id="164" w:name="page165"/>
    <w:bookmarkEnd w:id="16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157</w:t>
      </w:r>
    </w:p>
    <w:p>
      <w:pPr>
        <w:spacing w:after="0" w:line="614" w:lineRule="exact"/>
        <w:rPr>
          <w:sz w:val="20"/>
          <w:szCs w:val="20"/>
          <w:color w:val="auto"/>
        </w:rPr>
      </w:pPr>
    </w:p>
    <w:p>
      <w:pPr>
        <w:sectPr>
          <w:pgSz w:w="11900" w:h="16838" w:orient="portrait"/>
          <w:cols w:equalWidth="0" w:num="2">
            <w:col w:w="9080" w:space="720"/>
            <w:col w:w="180"/>
          </w:cols>
          <w:pgMar w:left="960" w:top="410" w:right="959" w:bottom="1440" w:gutter="0" w:footer="0" w:header="0"/>
        </w:sectPr>
      </w:pPr>
    </w:p>
    <w:p>
      <w:pPr>
        <w:spacing w:after="0" w:line="1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2.5. Income taxes</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80"/>
        <w:spacing w:after="0" w:line="269" w:lineRule="auto"/>
        <w:rPr>
          <w:sz w:val="20"/>
          <w:szCs w:val="20"/>
          <w:color w:val="auto"/>
        </w:rPr>
      </w:pPr>
      <w:r>
        <w:rPr>
          <w:rFonts w:ascii="Times New Roman" w:cs="Times New Roman" w:eastAsia="Times New Roman" w:hAnsi="Times New Roman"/>
          <w:sz w:val="11"/>
          <w:szCs w:val="11"/>
          <w:color w:val="auto"/>
        </w:rPr>
        <w:t>Income tax expense comprises current tax and deferred tax. Tax is recognized in the income statement except to the extent that it relates to items recognized in other comprehensive income, or directly in equity, in which case the related tax is recognized in other comprehensive income or equity, respectively.</w:t>
      </w:r>
    </w:p>
    <w:p>
      <w:pPr>
        <w:spacing w:after="0" w:line="49" w:lineRule="exact"/>
        <w:rPr>
          <w:sz w:val="20"/>
          <w:szCs w:val="20"/>
          <w:color w:val="auto"/>
        </w:rPr>
      </w:pPr>
    </w:p>
    <w:p>
      <w:pPr>
        <w:ind w:left="160"/>
        <w:spacing w:after="0" w:line="266" w:lineRule="auto"/>
        <w:rPr>
          <w:sz w:val="20"/>
          <w:szCs w:val="20"/>
          <w:color w:val="auto"/>
        </w:rPr>
      </w:pPr>
      <w:r>
        <w:rPr>
          <w:rFonts w:ascii="Times New Roman" w:cs="Times New Roman" w:eastAsia="Times New Roman" w:hAnsi="Times New Roman"/>
          <w:sz w:val="11"/>
          <w:szCs w:val="11"/>
          <w:color w:val="auto"/>
        </w:rPr>
        <w:t>Current taxes are calculated based on the results of the Group companies in accordance with local tax laws and using tax rates that are enacted or substantively enacted at the reporting date. Corporate taxes withheld at the source of</w:t>
      </w:r>
    </w:p>
    <w:p>
      <w:pPr>
        <w:spacing w:after="0" w:line="2" w:lineRule="exact"/>
        <w:rPr>
          <w:sz w:val="20"/>
          <w:szCs w:val="20"/>
          <w:color w:val="auto"/>
        </w:rPr>
      </w:pPr>
    </w:p>
    <w:p>
      <w:pPr>
        <w:ind w:left="160" w:right="160"/>
        <w:spacing w:after="0" w:line="273" w:lineRule="auto"/>
        <w:rPr>
          <w:sz w:val="20"/>
          <w:szCs w:val="20"/>
          <w:color w:val="auto"/>
        </w:rPr>
      </w:pPr>
      <w:r>
        <w:rPr>
          <w:rFonts w:ascii="Times New Roman" w:cs="Times New Roman" w:eastAsia="Times New Roman" w:hAnsi="Times New Roman"/>
          <w:sz w:val="11"/>
          <w:szCs w:val="11"/>
          <w:color w:val="auto"/>
        </w:rPr>
        <w:t>the income on behalf of Group companies are accounted for as income taxes when determined to represent a tax on net income.</w:t>
      </w:r>
    </w:p>
    <w:p>
      <w:pPr>
        <w:spacing w:after="0" w:line="47" w:lineRule="exact"/>
        <w:rPr>
          <w:sz w:val="20"/>
          <w:szCs w:val="20"/>
          <w:color w:val="auto"/>
        </w:rPr>
      </w:pPr>
    </w:p>
    <w:p>
      <w:pPr>
        <w:ind w:left="160" w:right="120"/>
        <w:spacing w:after="0" w:line="265" w:lineRule="auto"/>
        <w:rPr>
          <w:sz w:val="20"/>
          <w:szCs w:val="20"/>
          <w:color w:val="auto"/>
        </w:rPr>
      </w:pPr>
      <w:r>
        <w:rPr>
          <w:rFonts w:ascii="Times New Roman" w:cs="Times New Roman" w:eastAsia="Times New Roman" w:hAnsi="Times New Roman"/>
          <w:sz w:val="11"/>
          <w:szCs w:val="11"/>
          <w:color w:val="auto"/>
        </w:rPr>
        <w:t>Deferred tax assets and liabilities are determined using the balance sheet liability method for all temporary differences arising between the tax bases of assets and liabilities and their carrying amounts in the statement of financial position. Deferred tax assets are recognized to the extent it is probable that future taxable profit will be available against which the unused tax losses, unused tax credits and deductible temporary differences can be utilized in the relevant jurisdictions. Deferred tax assets are assessed for realizability at each reporting date. When facts and circumstances indicate it is no longer probable that deferred tax assets will be utilized, adjustments are made as necessary.</w:t>
      </w:r>
    </w:p>
    <w:p>
      <w:pPr>
        <w:spacing w:after="0" w:line="55" w:lineRule="exact"/>
        <w:rPr>
          <w:sz w:val="20"/>
          <w:szCs w:val="20"/>
          <w:color w:val="auto"/>
        </w:rPr>
      </w:pPr>
    </w:p>
    <w:p>
      <w:pPr>
        <w:ind w:left="160" w:right="80"/>
        <w:spacing w:after="0" w:line="269" w:lineRule="auto"/>
        <w:rPr>
          <w:sz w:val="20"/>
          <w:szCs w:val="20"/>
          <w:color w:val="auto"/>
        </w:rPr>
      </w:pPr>
      <w:r>
        <w:rPr>
          <w:rFonts w:ascii="Times New Roman" w:cs="Times New Roman" w:eastAsia="Times New Roman" w:hAnsi="Times New Roman"/>
          <w:sz w:val="11"/>
          <w:szCs w:val="11"/>
          <w:color w:val="auto"/>
        </w:rPr>
        <w:t>Deferred tax liabilities are recognized for taxable temporary differences, and for temporary differences that arise between the fair value and the tax base of identifiable net assets acquired in business combinations. Deferred tax liabilities are not recognized if they arise from the initial recognition of goodwill. Deferred tax liabilities are recognized on taxable temporary differences associated</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with investments in subsidiaries, associates and joint</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arrangements, unless the timing of the reversal of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temporary difference is controlled by Nokia, and it is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probable that the temporary difference will not reverse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the foreseeable future. Nokia applies the exception to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recognizing and disclosing information about deferred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tax assets and liabilities related to Pillar Two income taxes.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Deferred tax assets and deferred tax liabilities are measured</w:t>
      </w:r>
    </w:p>
    <w:p>
      <w:pPr>
        <w:spacing w:after="0" w:line="10" w:lineRule="exact"/>
        <w:rPr>
          <w:sz w:val="20"/>
          <w:szCs w:val="20"/>
          <w:color w:val="auto"/>
        </w:rPr>
      </w:pPr>
    </w:p>
    <w:p>
      <w:pPr>
        <w:ind w:right="220"/>
        <w:spacing w:after="0" w:line="268" w:lineRule="auto"/>
        <w:rPr>
          <w:sz w:val="20"/>
          <w:szCs w:val="20"/>
          <w:color w:val="auto"/>
        </w:rPr>
      </w:pPr>
      <w:r>
        <w:rPr>
          <w:rFonts w:ascii="Times New Roman" w:cs="Times New Roman" w:eastAsia="Times New Roman" w:hAnsi="Times New Roman"/>
          <w:sz w:val="11"/>
          <w:szCs w:val="11"/>
          <w:color w:val="auto"/>
        </w:rPr>
        <w:t>using the enacted or substantively enacted tax rates at the reporting date that are expected to apply in the period when the asset is realized or the liability is settled. Deferred tax assets and liabilities are not discounted.</w:t>
      </w:r>
    </w:p>
    <w:p>
      <w:pPr>
        <w:spacing w:after="0" w:line="60" w:lineRule="exact"/>
        <w:rPr>
          <w:sz w:val="20"/>
          <w:szCs w:val="20"/>
          <w:color w:val="auto"/>
        </w:rPr>
      </w:pPr>
    </w:p>
    <w:p>
      <w:pPr>
        <w:ind w:right="100"/>
        <w:spacing w:after="0" w:line="265" w:lineRule="auto"/>
        <w:rPr>
          <w:sz w:val="20"/>
          <w:szCs w:val="20"/>
          <w:color w:val="auto"/>
        </w:rPr>
      </w:pPr>
      <w:r>
        <w:rPr>
          <w:rFonts w:ascii="Times New Roman" w:cs="Times New Roman" w:eastAsia="Times New Roman" w:hAnsi="Times New Roman"/>
          <w:sz w:val="11"/>
          <w:szCs w:val="11"/>
          <w:color w:val="auto"/>
        </w:rPr>
        <w:t>Deferred tax assets and deferred tax liabilities are offset for presentation purposes when there is a legally enforceable right to set off current tax assets against current tax liabilities, and the deferred tax assets and deferred tax liabilities relate to income taxes levied by the same taxation authority on either the same taxable entity or different taxable entities which intend either to settle current tax liabilities and assets on a net basis, or realize the assets and settle the liabilities simultaneously in each future period in which significant amounts of deferred tax liabilities or deferred tax assets are expected to be settled or recovered.</w:t>
      </w:r>
    </w:p>
    <w:p>
      <w:pPr>
        <w:spacing w:after="0" w:line="51" w:lineRule="exact"/>
        <w:rPr>
          <w:sz w:val="20"/>
          <w:szCs w:val="20"/>
          <w:color w:val="auto"/>
        </w:rPr>
      </w:pPr>
    </w:p>
    <w:p>
      <w:pPr>
        <w:ind w:right="100"/>
        <w:spacing w:after="0" w:line="266" w:lineRule="auto"/>
        <w:rPr>
          <w:sz w:val="20"/>
          <w:szCs w:val="20"/>
          <w:color w:val="auto"/>
        </w:rPr>
      </w:pPr>
      <w:r>
        <w:rPr>
          <w:rFonts w:ascii="Times New Roman" w:cs="Times New Roman" w:eastAsia="Times New Roman" w:hAnsi="Times New Roman"/>
          <w:sz w:val="11"/>
          <w:szCs w:val="11"/>
          <w:color w:val="auto"/>
        </w:rPr>
        <w:t>Nokia periodically evaluates positions taken in tax returns in situations where applicable tax regulation is subject to interpretation. The amounts of current and deferred tax assets and liabilities are adjusted when it is considered probable, i.e. more likely than not, that certain tax positions may not be fully sustained upon review by tax authorities. The amounts recorded are based on the most likely amount or the expected value, depending on which method Nokia expects to better predict the resolution of the uncertainty, at each reporting date.</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31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Critical accounting judgment</w:t>
      </w:r>
    </w:p>
    <w:p>
      <w:pPr>
        <w:spacing w:after="0" w:line="32" w:lineRule="exact"/>
        <w:rPr>
          <w:sz w:val="20"/>
          <w:szCs w:val="20"/>
          <w:color w:val="auto"/>
        </w:rPr>
      </w:pPr>
    </w:p>
    <w:p>
      <w:pPr>
        <w:ind w:right="520"/>
        <w:spacing w:after="0" w:line="269" w:lineRule="auto"/>
        <w:rPr>
          <w:sz w:val="20"/>
          <w:szCs w:val="20"/>
          <w:color w:val="auto"/>
        </w:rPr>
      </w:pPr>
      <w:r>
        <w:rPr>
          <w:rFonts w:ascii="Times New Roman" w:cs="Times New Roman" w:eastAsia="Times New Roman" w:hAnsi="Times New Roman"/>
          <w:sz w:val="11"/>
          <w:szCs w:val="11"/>
          <w:color w:val="auto"/>
        </w:rPr>
        <w:t>Nokia is subject to income taxes in the jurisdictions in which it operates. Judgment is required in determining current tax expense, uncertain tax positions, deferred tax assets and deferred tax liabilities; and the extent to which deferred tax assets can be recognized.</w:t>
      </w:r>
    </w:p>
    <w:p>
      <w:pPr>
        <w:spacing w:after="0" w:line="60" w:lineRule="exact"/>
        <w:rPr>
          <w:sz w:val="20"/>
          <w:szCs w:val="20"/>
          <w:color w:val="auto"/>
        </w:rPr>
      </w:pPr>
    </w:p>
    <w:p>
      <w:pPr>
        <w:ind w:right="460"/>
        <w:spacing w:after="0" w:line="264" w:lineRule="auto"/>
        <w:rPr>
          <w:sz w:val="20"/>
          <w:szCs w:val="20"/>
          <w:color w:val="auto"/>
        </w:rPr>
      </w:pPr>
      <w:r>
        <w:rPr>
          <w:rFonts w:ascii="Times New Roman" w:cs="Times New Roman" w:eastAsia="Times New Roman" w:hAnsi="Times New Roman"/>
          <w:sz w:val="11"/>
          <w:szCs w:val="11"/>
          <w:color w:val="auto"/>
        </w:rPr>
        <w:t>Estimates related to the recoverability of deferred tax assets are based on forecast future taxable income and tax planning strategies. Based on these estimates and assumptions, at 31 December 2023 Nokia has EUR21 569 million (EUR20 214 million in 2022 ) of unused tax losses, unused tax credits and deductible temporary differences for which no deferred tax assets are recognized due to uncertainty of utilization. The majority of the unrecognized deferred tax assets relate to France.</w:t>
      </w:r>
    </w:p>
    <w:p>
      <w:pPr>
        <w:spacing w:after="0" w:line="204" w:lineRule="exact"/>
        <w:rPr>
          <w:sz w:val="20"/>
          <w:szCs w:val="20"/>
          <w:color w:val="auto"/>
        </w:rPr>
      </w:pPr>
    </w:p>
    <w:p>
      <w:pPr>
        <w:ind w:right="440"/>
        <w:spacing w:after="0" w:line="261" w:lineRule="auto"/>
        <w:rPr>
          <w:sz w:val="20"/>
          <w:szCs w:val="20"/>
          <w:color w:val="auto"/>
        </w:rPr>
      </w:pPr>
      <w:r>
        <w:rPr>
          <w:rFonts w:ascii="Times New Roman" w:cs="Times New Roman" w:eastAsia="Times New Roman" w:hAnsi="Times New Roman"/>
          <w:sz w:val="11"/>
          <w:szCs w:val="11"/>
          <w:color w:val="auto"/>
        </w:rPr>
        <w:t>The utilization of deferred tax assets is dependent on future taxable profit in excess of the profit arising from the reversal of existing taxable temporary differences. The recognition of deferred tax assets is based on the assessment of whether it is probable that sufficient taxable profit will be available in the future to utilize the unused tax losses, unused tax credits and deductible temporary differences before the unused tax losses and unused tax credits expire. Recognition of deferred tax assets involves judgment regarding the future financial performance of the particular legal entity</w:t>
      </w:r>
    </w:p>
    <w:p>
      <w:pPr>
        <w:spacing w:after="0" w:line="6" w:lineRule="exact"/>
        <w:rPr>
          <w:sz w:val="20"/>
          <w:szCs w:val="20"/>
          <w:color w:val="auto"/>
        </w:rPr>
      </w:pPr>
    </w:p>
    <w:p>
      <w:pPr>
        <w:jc w:val="both"/>
        <w:ind w:right="480"/>
        <w:spacing w:after="0" w:line="268" w:lineRule="auto"/>
        <w:rPr>
          <w:sz w:val="20"/>
          <w:szCs w:val="20"/>
          <w:color w:val="auto"/>
        </w:rPr>
      </w:pPr>
      <w:r>
        <w:rPr>
          <w:rFonts w:ascii="Times New Roman" w:cs="Times New Roman" w:eastAsia="Times New Roman" w:hAnsi="Times New Roman"/>
          <w:sz w:val="11"/>
          <w:szCs w:val="11"/>
          <w:color w:val="auto"/>
        </w:rPr>
        <w:t>or tax group that has recognized the deferred tax asset. At 31 December 2022 , Nokia re-recognized deferred tax assets of EUR 2.5 billion re lated to Finland in the statement of financial position.</w:t>
      </w:r>
    </w:p>
    <w:p>
      <w:pPr>
        <w:spacing w:after="0" w:line="696" w:lineRule="exact"/>
        <w:rPr>
          <w:sz w:val="20"/>
          <w:szCs w:val="20"/>
          <w:color w:val="auto"/>
        </w:rPr>
      </w:pPr>
    </w:p>
    <w:p>
      <w:pPr>
        <w:sectPr>
          <w:pgSz w:w="11900" w:h="16838" w:orient="portrait"/>
          <w:cols w:equalWidth="0" w:num="3">
            <w:col w:w="2980" w:space="420"/>
            <w:col w:w="2840" w:space="720"/>
            <w:col w:w="3020"/>
          </w:cols>
          <w:pgMar w:left="960" w:top="410"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165" w:name="page166"/>
    <w:bookmarkEnd w:id="165"/>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158</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Components of the income tax expense/benefit</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Current tax expense</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(431)</w:t>
            </w:r>
          </w:p>
        </w:tc>
        <w:tc>
          <w:tcPr>
            <w:tcW w:w="660" w:type="dxa"/>
            <w:vAlign w:val="bottom"/>
          </w:tcPr>
          <w:p>
            <w:pPr>
              <w:jc w:val="right"/>
              <w:ind w:right="112"/>
              <w:spacing w:after="0"/>
              <w:rPr>
                <w:sz w:val="20"/>
                <w:szCs w:val="20"/>
                <w:color w:val="auto"/>
              </w:rPr>
            </w:pPr>
            <w:r>
              <w:rPr>
                <w:rFonts w:ascii="Times New Roman" w:cs="Times New Roman" w:eastAsia="Times New Roman" w:hAnsi="Times New Roman"/>
                <w:sz w:val="10"/>
                <w:szCs w:val="10"/>
                <w:color w:val="0D0D0D"/>
              </w:rPr>
              <w:t>(426)</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(409)</w:t>
            </w:r>
          </w:p>
        </w:tc>
      </w:tr>
      <w:tr>
        <w:trPr>
          <w:trHeight w:val="167"/>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Deferred tax (expense)/benefit</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(394)</w:t>
            </w:r>
          </w:p>
        </w:tc>
        <w:tc>
          <w:tcPr>
            <w:tcW w:w="66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10"/>
                <w:szCs w:val="10"/>
                <w:color w:val="0D0D0D"/>
              </w:rPr>
              <w:t>2 452</w:t>
            </w:r>
          </w:p>
        </w:tc>
        <w:tc>
          <w:tcPr>
            <w:tcW w:w="4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137</w:t>
            </w:r>
          </w:p>
        </w:tc>
      </w:tr>
      <w:tr>
        <w:trPr>
          <w:trHeight w:val="142"/>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(825)</w:t>
            </w:r>
          </w:p>
        </w:tc>
        <w:tc>
          <w:tcPr>
            <w:tcW w:w="66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10"/>
                <w:szCs w:val="10"/>
                <w:b w:val="1"/>
                <w:bCs w:val="1"/>
                <w:color w:val="auto"/>
              </w:rPr>
              <w:t>2 026</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(272)</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Income tax reconciliation</w:t>
      </w:r>
    </w:p>
    <w:p>
      <w:pPr>
        <w:spacing w:after="0" w:line="32" w:lineRule="exact"/>
        <w:rPr>
          <w:sz w:val="20"/>
          <w:szCs w:val="20"/>
          <w:color w:val="auto"/>
        </w:rPr>
      </w:pPr>
    </w:p>
    <w:p>
      <w:pPr>
        <w:ind w:right="540"/>
        <w:spacing w:after="0" w:line="309" w:lineRule="auto"/>
        <w:rPr>
          <w:sz w:val="20"/>
          <w:szCs w:val="20"/>
          <w:color w:val="auto"/>
        </w:rPr>
      </w:pPr>
      <w:r>
        <w:rPr>
          <w:rFonts w:ascii="Times New Roman" w:cs="Times New Roman" w:eastAsia="Times New Roman" w:hAnsi="Times New Roman"/>
          <w:sz w:val="11"/>
          <w:szCs w:val="11"/>
          <w:color w:val="auto"/>
        </w:rPr>
        <w:t>Reconciliation of the difference between income tax computed at the statutory rate in Finland of 20% and income tax recognized in the income statement:</w:t>
      </w:r>
    </w:p>
    <w:p>
      <w:pPr>
        <w:spacing w:after="0" w:line="80"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2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60" w:type="dxa"/>
            <w:vAlign w:val="bottom"/>
            <w:tcBorders>
              <w:bottom w:val="single" w:sz="8" w:color="005AFF"/>
            </w:tcBorders>
          </w:tcPr>
          <w:p>
            <w:pPr>
              <w:spacing w:after="0"/>
              <w:rPr>
                <w:sz w:val="9"/>
                <w:szCs w:val="9"/>
                <w:color w:val="auto"/>
              </w:rPr>
            </w:pPr>
          </w:p>
        </w:tc>
        <w:tc>
          <w:tcPr>
            <w:tcW w:w="104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40"/>
        </w:trPr>
        <w:tc>
          <w:tcPr>
            <w:tcW w:w="19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Income tax expense at statutory rate</w:t>
            </w:r>
          </w:p>
        </w:tc>
        <w:tc>
          <w:tcPr>
            <w:tcW w:w="104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(300)</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(437)</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(385)</w:t>
            </w:r>
          </w:p>
        </w:tc>
        <w:tc>
          <w:tcPr>
            <w:tcW w:w="0" w:type="dxa"/>
            <w:vAlign w:val="bottom"/>
          </w:tcPr>
          <w:p>
            <w:pPr>
              <w:spacing w:after="0"/>
              <w:rPr>
                <w:sz w:val="1"/>
                <w:szCs w:val="1"/>
                <w:color w:val="auto"/>
              </w:rPr>
            </w:pPr>
          </w:p>
        </w:tc>
      </w:tr>
      <w:tr>
        <w:trPr>
          <w:trHeight w:val="162"/>
        </w:trPr>
        <w:tc>
          <w:tcPr>
            <w:tcW w:w="12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Permanent differences</w:t>
            </w:r>
          </w:p>
        </w:tc>
        <w:tc>
          <w:tcPr>
            <w:tcW w:w="660" w:type="dxa"/>
            <w:vAlign w:val="bottom"/>
          </w:tcPr>
          <w:p>
            <w:pPr>
              <w:spacing w:after="0"/>
              <w:rPr>
                <w:sz w:val="14"/>
                <w:szCs w:val="14"/>
                <w:color w:val="auto"/>
              </w:rPr>
            </w:pPr>
          </w:p>
        </w:tc>
        <w:tc>
          <w:tcPr>
            <w:tcW w:w="1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139</w:t>
            </w:r>
          </w:p>
        </w:tc>
        <w:tc>
          <w:tcPr>
            <w:tcW w:w="66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87</w:t>
            </w:r>
          </w:p>
        </w:tc>
        <w:tc>
          <w:tcPr>
            <w:tcW w:w="4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47</w:t>
            </w:r>
          </w:p>
        </w:tc>
        <w:tc>
          <w:tcPr>
            <w:tcW w:w="0" w:type="dxa"/>
            <w:vAlign w:val="bottom"/>
          </w:tcPr>
          <w:p>
            <w:pPr>
              <w:spacing w:after="0"/>
              <w:rPr>
                <w:sz w:val="1"/>
                <w:szCs w:val="1"/>
                <w:color w:val="auto"/>
              </w:rPr>
            </w:pPr>
          </w:p>
        </w:tc>
      </w:tr>
      <w:tr>
        <w:trPr>
          <w:trHeight w:val="162"/>
        </w:trPr>
        <w:tc>
          <w:tcPr>
            <w:tcW w:w="19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Non-creditable withholding taxes</w:t>
            </w:r>
          </w:p>
        </w:tc>
        <w:tc>
          <w:tcPr>
            <w:tcW w:w="1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(41)</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(72)</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(37)</w:t>
            </w:r>
          </w:p>
        </w:tc>
        <w:tc>
          <w:tcPr>
            <w:tcW w:w="0" w:type="dxa"/>
            <w:vAlign w:val="bottom"/>
          </w:tcPr>
          <w:p>
            <w:pPr>
              <w:spacing w:after="0"/>
              <w:rPr>
                <w:sz w:val="1"/>
                <w:szCs w:val="1"/>
                <w:color w:val="auto"/>
              </w:rPr>
            </w:pPr>
          </w:p>
        </w:tc>
      </w:tr>
      <w:tr>
        <w:trPr>
          <w:trHeight w:val="111"/>
        </w:trPr>
        <w:tc>
          <w:tcPr>
            <w:tcW w:w="124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Income taxes for prior years</w:t>
            </w:r>
          </w:p>
        </w:tc>
        <w:tc>
          <w:tcPr>
            <w:tcW w:w="660" w:type="dxa"/>
            <w:vAlign w:val="bottom"/>
          </w:tcPr>
          <w:p>
            <w:pPr>
              <w:jc w:val="right"/>
              <w:ind w:right="487"/>
              <w:spacing w:after="0"/>
              <w:rPr>
                <w:sz w:val="20"/>
                <w:szCs w:val="20"/>
                <w:color w:val="auto"/>
              </w:rPr>
            </w:pPr>
            <w:r>
              <w:rPr>
                <w:rFonts w:ascii="Times New Roman" w:cs="Times New Roman" w:eastAsia="Times New Roman" w:hAnsi="Times New Roman"/>
                <w:sz w:val="7"/>
                <w:szCs w:val="7"/>
                <w:color w:val="0D0D0D"/>
              </w:rPr>
              <w:t>(1)</w:t>
            </w:r>
          </w:p>
        </w:tc>
        <w:tc>
          <w:tcPr>
            <w:tcW w:w="1040" w:type="dxa"/>
            <w:vAlign w:val="bottom"/>
          </w:tcPr>
          <w:p>
            <w:pPr>
              <w:spacing w:after="0"/>
              <w:rPr>
                <w:sz w:val="9"/>
                <w:szCs w:val="9"/>
                <w:color w:val="auto"/>
              </w:rPr>
            </w:pPr>
          </w:p>
        </w:tc>
        <w:tc>
          <w:tcPr>
            <w:tcW w:w="400" w:type="dxa"/>
            <w:vAlign w:val="bottom"/>
          </w:tcPr>
          <w:p>
            <w:pPr>
              <w:spacing w:after="0"/>
              <w:rPr>
                <w:sz w:val="9"/>
                <w:szCs w:val="9"/>
                <w:color w:val="auto"/>
              </w:rPr>
            </w:pPr>
          </w:p>
        </w:tc>
        <w:tc>
          <w:tcPr>
            <w:tcW w:w="54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22</w:t>
            </w:r>
          </w:p>
        </w:tc>
        <w:tc>
          <w:tcPr>
            <w:tcW w:w="660" w:type="dxa"/>
            <w:vAlign w:val="bottom"/>
            <w:vMerge w:val="restart"/>
          </w:tcPr>
          <w:p>
            <w:pPr>
              <w:jc w:val="right"/>
              <w:ind w:right="130"/>
              <w:spacing w:after="0"/>
              <w:rPr>
                <w:sz w:val="20"/>
                <w:szCs w:val="20"/>
                <w:color w:val="auto"/>
              </w:rPr>
            </w:pPr>
            <w:r>
              <w:rPr>
                <w:rFonts w:ascii="Times New Roman" w:cs="Times New Roman" w:eastAsia="Times New Roman" w:hAnsi="Times New Roman"/>
                <w:sz w:val="10"/>
                <w:szCs w:val="10"/>
                <w:color w:val="0D0D0D"/>
              </w:rPr>
              <w:t>3</w:t>
            </w:r>
          </w:p>
        </w:tc>
        <w:tc>
          <w:tcPr>
            <w:tcW w:w="40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color w:val="0D0D0D"/>
              </w:rPr>
              <w:t>95</w:t>
            </w:r>
          </w:p>
        </w:tc>
        <w:tc>
          <w:tcPr>
            <w:tcW w:w="0" w:type="dxa"/>
            <w:vAlign w:val="bottom"/>
          </w:tcPr>
          <w:p>
            <w:pPr>
              <w:spacing w:after="0"/>
              <w:rPr>
                <w:sz w:val="1"/>
                <w:szCs w:val="1"/>
                <w:color w:val="auto"/>
              </w:rPr>
            </w:pPr>
          </w:p>
        </w:tc>
      </w:tr>
      <w:tr>
        <w:trPr>
          <w:trHeight w:val="50"/>
        </w:trPr>
        <w:tc>
          <w:tcPr>
            <w:tcW w:w="1240" w:type="dxa"/>
            <w:vAlign w:val="bottom"/>
            <w:vMerge w:val="continue"/>
          </w:tcPr>
          <w:p>
            <w:pPr>
              <w:spacing w:after="0"/>
              <w:rPr>
                <w:sz w:val="4"/>
                <w:szCs w:val="4"/>
                <w:color w:val="auto"/>
              </w:rPr>
            </w:pPr>
          </w:p>
        </w:tc>
        <w:tc>
          <w:tcPr>
            <w:tcW w:w="660" w:type="dxa"/>
            <w:vAlign w:val="bottom"/>
          </w:tcPr>
          <w:p>
            <w:pPr>
              <w:spacing w:after="0"/>
              <w:rPr>
                <w:sz w:val="4"/>
                <w:szCs w:val="4"/>
                <w:color w:val="auto"/>
              </w:rPr>
            </w:pPr>
          </w:p>
        </w:tc>
        <w:tc>
          <w:tcPr>
            <w:tcW w:w="1040" w:type="dxa"/>
            <w:vAlign w:val="bottom"/>
          </w:tcPr>
          <w:p>
            <w:pPr>
              <w:spacing w:after="0"/>
              <w:rPr>
                <w:sz w:val="4"/>
                <w:szCs w:val="4"/>
                <w:color w:val="auto"/>
              </w:rPr>
            </w:pPr>
          </w:p>
        </w:tc>
        <w:tc>
          <w:tcPr>
            <w:tcW w:w="40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29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w w:val="97"/>
              </w:rPr>
              <w:t>Effect of different tax rates of subsidiaries operating in other jurisdictions</w:t>
            </w:r>
          </w:p>
        </w:tc>
        <w:tc>
          <w:tcPr>
            <w:tcW w:w="40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(140)</w:t>
            </w:r>
          </w:p>
        </w:tc>
        <w:tc>
          <w:tcPr>
            <w:tcW w:w="66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(68)</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(57)</w:t>
            </w:r>
          </w:p>
        </w:tc>
        <w:tc>
          <w:tcPr>
            <w:tcW w:w="0" w:type="dxa"/>
            <w:vAlign w:val="bottom"/>
          </w:tcPr>
          <w:p>
            <w:pPr>
              <w:spacing w:after="0"/>
              <w:rPr>
                <w:sz w:val="1"/>
                <w:szCs w:val="1"/>
                <w:color w:val="auto"/>
              </w:rPr>
            </w:pPr>
          </w:p>
        </w:tc>
      </w:tr>
      <w:tr>
        <w:trPr>
          <w:trHeight w:val="111"/>
        </w:trPr>
        <w:tc>
          <w:tcPr>
            <w:tcW w:w="190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Effect of deferred tax assets not recognized</w:t>
            </w:r>
          </w:p>
        </w:tc>
        <w:tc>
          <w:tcPr>
            <w:tcW w:w="1040" w:type="dxa"/>
            <w:vAlign w:val="bottom"/>
          </w:tcPr>
          <w:p>
            <w:pPr>
              <w:jc w:val="right"/>
              <w:ind w:right="807"/>
              <w:spacing w:after="0"/>
              <w:rPr>
                <w:sz w:val="20"/>
                <w:szCs w:val="20"/>
                <w:color w:val="auto"/>
              </w:rPr>
            </w:pPr>
            <w:r>
              <w:rPr>
                <w:rFonts w:ascii="Times New Roman" w:cs="Times New Roman" w:eastAsia="Times New Roman" w:hAnsi="Times New Roman"/>
                <w:sz w:val="7"/>
                <w:szCs w:val="7"/>
                <w:color w:val="0D0D0D"/>
              </w:rPr>
              <w:t>(2)</w:t>
            </w:r>
          </w:p>
        </w:tc>
        <w:tc>
          <w:tcPr>
            <w:tcW w:w="400" w:type="dxa"/>
            <w:vAlign w:val="bottom"/>
          </w:tcPr>
          <w:p>
            <w:pPr>
              <w:spacing w:after="0"/>
              <w:rPr>
                <w:sz w:val="9"/>
                <w:szCs w:val="9"/>
                <w:color w:val="auto"/>
              </w:rPr>
            </w:pP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(524)</w:t>
            </w:r>
          </w:p>
        </w:tc>
        <w:tc>
          <w:tcPr>
            <w:tcW w:w="660" w:type="dxa"/>
            <w:vAlign w:val="bottom"/>
            <w:vMerge w:val="restart"/>
          </w:tcPr>
          <w:p>
            <w:pPr>
              <w:jc w:val="right"/>
              <w:ind w:right="110"/>
              <w:spacing w:after="0"/>
              <w:rPr>
                <w:sz w:val="20"/>
                <w:szCs w:val="20"/>
                <w:color w:val="auto"/>
              </w:rPr>
            </w:pPr>
            <w:r>
              <w:rPr>
                <w:rFonts w:ascii="Times New Roman" w:cs="Times New Roman" w:eastAsia="Times New Roman" w:hAnsi="Times New Roman"/>
                <w:sz w:val="10"/>
                <w:szCs w:val="10"/>
                <w:color w:val="0D0D0D"/>
              </w:rPr>
              <w:t>(107)</w:t>
            </w:r>
          </w:p>
        </w:tc>
        <w:tc>
          <w:tcPr>
            <w:tcW w:w="40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(77)</w:t>
            </w:r>
          </w:p>
        </w:tc>
        <w:tc>
          <w:tcPr>
            <w:tcW w:w="0" w:type="dxa"/>
            <w:vAlign w:val="bottom"/>
          </w:tcPr>
          <w:p>
            <w:pPr>
              <w:spacing w:after="0"/>
              <w:rPr>
                <w:sz w:val="1"/>
                <w:szCs w:val="1"/>
                <w:color w:val="auto"/>
              </w:rPr>
            </w:pPr>
          </w:p>
        </w:tc>
      </w:tr>
      <w:tr>
        <w:trPr>
          <w:trHeight w:val="50"/>
        </w:trPr>
        <w:tc>
          <w:tcPr>
            <w:tcW w:w="1900" w:type="dxa"/>
            <w:vAlign w:val="bottom"/>
            <w:gridSpan w:val="2"/>
            <w:vMerge w:val="continue"/>
          </w:tcPr>
          <w:p>
            <w:pPr>
              <w:spacing w:after="0"/>
              <w:rPr>
                <w:sz w:val="4"/>
                <w:szCs w:val="4"/>
                <w:color w:val="auto"/>
              </w:rPr>
            </w:pPr>
          </w:p>
        </w:tc>
        <w:tc>
          <w:tcPr>
            <w:tcW w:w="1040" w:type="dxa"/>
            <w:vAlign w:val="bottom"/>
          </w:tcPr>
          <w:p>
            <w:pPr>
              <w:spacing w:after="0"/>
              <w:rPr>
                <w:sz w:val="4"/>
                <w:szCs w:val="4"/>
                <w:color w:val="auto"/>
              </w:rPr>
            </w:pPr>
          </w:p>
        </w:tc>
        <w:tc>
          <w:tcPr>
            <w:tcW w:w="40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2940" w:type="dxa"/>
            <w:vAlign w:val="bottom"/>
            <w:gridSpan w:val="3"/>
            <w:vMerge w:val="restart"/>
          </w:tcPr>
          <w:p>
            <w:pPr>
              <w:ind w:left="40"/>
              <w:spacing w:after="0"/>
              <w:rPr>
                <w:sz w:val="20"/>
                <w:szCs w:val="20"/>
                <w:color w:val="auto"/>
              </w:rPr>
            </w:pPr>
            <w:r>
              <w:rPr>
                <w:rFonts w:ascii="Times New Roman" w:cs="Times New Roman" w:eastAsia="Times New Roman" w:hAnsi="Times New Roman"/>
                <w:sz w:val="10"/>
                <w:szCs w:val="10"/>
                <w:color w:val="0D0D0D"/>
              </w:rPr>
              <w:t>Benefit arising from previously unrecognized deferred tax assets</w:t>
            </w:r>
          </w:p>
        </w:tc>
        <w:tc>
          <w:tcPr>
            <w:tcW w:w="400" w:type="dxa"/>
            <w:vAlign w:val="bottom"/>
          </w:tcPr>
          <w:p>
            <w:pPr>
              <w:jc w:val="right"/>
              <w:ind w:right="287"/>
              <w:spacing w:after="0"/>
              <w:rPr>
                <w:sz w:val="20"/>
                <w:szCs w:val="20"/>
                <w:color w:val="auto"/>
              </w:rPr>
            </w:pPr>
            <w:r>
              <w:rPr>
                <w:rFonts w:ascii="Times New Roman" w:cs="Times New Roman" w:eastAsia="Times New Roman" w:hAnsi="Times New Roman"/>
                <w:sz w:val="7"/>
                <w:szCs w:val="7"/>
                <w:color w:val="0D0D0D"/>
                <w:w w:val="72"/>
              </w:rPr>
              <w:t>(3)</w:t>
            </w:r>
          </w:p>
        </w:tc>
        <w:tc>
          <w:tcPr>
            <w:tcW w:w="54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25</w:t>
            </w:r>
          </w:p>
        </w:tc>
        <w:tc>
          <w:tcPr>
            <w:tcW w:w="660" w:type="dxa"/>
            <w:vAlign w:val="bottom"/>
            <w:vMerge w:val="restart"/>
          </w:tcPr>
          <w:p>
            <w:pPr>
              <w:jc w:val="right"/>
              <w:ind w:right="150"/>
              <w:spacing w:after="0"/>
              <w:rPr>
                <w:sz w:val="20"/>
                <w:szCs w:val="20"/>
                <w:color w:val="auto"/>
              </w:rPr>
            </w:pPr>
            <w:r>
              <w:rPr>
                <w:rFonts w:ascii="Times New Roman" w:cs="Times New Roman" w:eastAsia="Times New Roman" w:hAnsi="Times New Roman"/>
                <w:sz w:val="10"/>
                <w:szCs w:val="10"/>
                <w:color w:val="0D0D0D"/>
              </w:rPr>
              <w:t>2 646</w:t>
            </w:r>
          </w:p>
        </w:tc>
        <w:tc>
          <w:tcPr>
            <w:tcW w:w="40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color w:val="0D0D0D"/>
              </w:rPr>
              <w:t>187</w:t>
            </w:r>
          </w:p>
        </w:tc>
        <w:tc>
          <w:tcPr>
            <w:tcW w:w="0" w:type="dxa"/>
            <w:vAlign w:val="bottom"/>
          </w:tcPr>
          <w:p>
            <w:pPr>
              <w:spacing w:after="0"/>
              <w:rPr>
                <w:sz w:val="1"/>
                <w:szCs w:val="1"/>
                <w:color w:val="auto"/>
              </w:rPr>
            </w:pPr>
          </w:p>
        </w:tc>
      </w:tr>
      <w:tr>
        <w:trPr>
          <w:trHeight w:val="50"/>
        </w:trPr>
        <w:tc>
          <w:tcPr>
            <w:tcW w:w="2940" w:type="dxa"/>
            <w:vAlign w:val="bottom"/>
            <w:gridSpan w:val="3"/>
            <w:vMerge w:val="continue"/>
          </w:tcPr>
          <w:p>
            <w:pPr>
              <w:spacing w:after="0"/>
              <w:rPr>
                <w:sz w:val="4"/>
                <w:szCs w:val="4"/>
                <w:color w:val="auto"/>
              </w:rPr>
            </w:pPr>
          </w:p>
        </w:tc>
        <w:tc>
          <w:tcPr>
            <w:tcW w:w="40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294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Net (increase)/decrease in uncertain tax positions</w:t>
            </w:r>
          </w:p>
        </w:tc>
        <w:tc>
          <w:tcPr>
            <w:tcW w:w="40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w:t>
            </w:r>
          </w:p>
        </w:tc>
        <w:tc>
          <w:tcPr>
            <w:tcW w:w="66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9</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(29)</w:t>
            </w:r>
          </w:p>
        </w:tc>
        <w:tc>
          <w:tcPr>
            <w:tcW w:w="0" w:type="dxa"/>
            <w:vAlign w:val="bottom"/>
          </w:tcPr>
          <w:p>
            <w:pPr>
              <w:spacing w:after="0"/>
              <w:rPr>
                <w:sz w:val="1"/>
                <w:szCs w:val="1"/>
                <w:color w:val="auto"/>
              </w:rPr>
            </w:pPr>
          </w:p>
        </w:tc>
      </w:tr>
      <w:tr>
        <w:trPr>
          <w:trHeight w:val="162"/>
        </w:trPr>
        <w:tc>
          <w:tcPr>
            <w:tcW w:w="12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Change in income tax rates</w:t>
            </w:r>
          </w:p>
        </w:tc>
        <w:tc>
          <w:tcPr>
            <w:tcW w:w="660" w:type="dxa"/>
            <w:vAlign w:val="bottom"/>
          </w:tcPr>
          <w:p>
            <w:pPr>
              <w:spacing w:after="0"/>
              <w:rPr>
                <w:sz w:val="14"/>
                <w:szCs w:val="14"/>
                <w:color w:val="auto"/>
              </w:rPr>
            </w:pPr>
          </w:p>
        </w:tc>
        <w:tc>
          <w:tcPr>
            <w:tcW w:w="104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32</w:t>
            </w:r>
          </w:p>
        </w:tc>
        <w:tc>
          <w:tcPr>
            <w:tcW w:w="66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24</w:t>
            </w:r>
          </w:p>
        </w:tc>
        <w:tc>
          <w:tcPr>
            <w:tcW w:w="4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17</w:t>
            </w:r>
          </w:p>
        </w:tc>
        <w:tc>
          <w:tcPr>
            <w:tcW w:w="0" w:type="dxa"/>
            <w:vAlign w:val="bottom"/>
          </w:tcPr>
          <w:p>
            <w:pPr>
              <w:spacing w:after="0"/>
              <w:rPr>
                <w:sz w:val="1"/>
                <w:szCs w:val="1"/>
                <w:color w:val="auto"/>
              </w:rPr>
            </w:pPr>
          </w:p>
        </w:tc>
      </w:tr>
      <w:tr>
        <w:trPr>
          <w:trHeight w:val="167"/>
        </w:trPr>
        <w:tc>
          <w:tcPr>
            <w:tcW w:w="190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Income taxes on undistributed earnings</w:t>
            </w:r>
          </w:p>
        </w:tc>
        <w:tc>
          <w:tcPr>
            <w:tcW w:w="1040" w:type="dxa"/>
            <w:vAlign w:val="bottom"/>
            <w:tcBorders>
              <w:bottom w:val="single" w:sz="8" w:color="005AFF"/>
            </w:tcBorders>
          </w:tcPr>
          <w:p>
            <w:pPr>
              <w:spacing w:after="0"/>
              <w:rPr>
                <w:sz w:val="14"/>
                <w:szCs w:val="14"/>
                <w:color w:val="auto"/>
              </w:rPr>
            </w:pPr>
          </w:p>
        </w:tc>
        <w:tc>
          <w:tcPr>
            <w:tcW w:w="40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w:t>
            </w:r>
          </w:p>
        </w:tc>
        <w:tc>
          <w:tcPr>
            <w:tcW w:w="66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10"/>
                <w:szCs w:val="10"/>
                <w:color w:val="0D0D0D"/>
              </w:rPr>
              <w:t>(59)</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(33)</w:t>
            </w:r>
          </w:p>
        </w:tc>
        <w:tc>
          <w:tcPr>
            <w:tcW w:w="0" w:type="dxa"/>
            <w:vAlign w:val="bottom"/>
          </w:tcPr>
          <w:p>
            <w:pPr>
              <w:spacing w:after="0"/>
              <w:rPr>
                <w:sz w:val="1"/>
                <w:szCs w:val="1"/>
                <w:color w:val="auto"/>
              </w:rPr>
            </w:pPr>
          </w:p>
        </w:tc>
      </w:tr>
      <w:tr>
        <w:trPr>
          <w:trHeight w:val="142"/>
        </w:trPr>
        <w:tc>
          <w:tcPr>
            <w:tcW w:w="12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660" w:type="dxa"/>
            <w:vAlign w:val="bottom"/>
            <w:tcBorders>
              <w:bottom w:val="single" w:sz="8" w:color="005AFF"/>
            </w:tcBorders>
          </w:tcPr>
          <w:p>
            <w:pPr>
              <w:spacing w:after="0"/>
              <w:rPr>
                <w:sz w:val="12"/>
                <w:szCs w:val="12"/>
                <w:color w:val="auto"/>
              </w:rPr>
            </w:pPr>
          </w:p>
        </w:tc>
        <w:tc>
          <w:tcPr>
            <w:tcW w:w="1040" w:type="dxa"/>
            <w:vAlign w:val="bottom"/>
            <w:tcBorders>
              <w:bottom w:val="single" w:sz="8" w:color="005AFF"/>
            </w:tcBorders>
          </w:tcPr>
          <w:p>
            <w:pPr>
              <w:spacing w:after="0"/>
              <w:rPr>
                <w:sz w:val="12"/>
                <w:szCs w:val="12"/>
                <w:color w:val="auto"/>
              </w:rPr>
            </w:pPr>
          </w:p>
        </w:tc>
        <w:tc>
          <w:tcPr>
            <w:tcW w:w="40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(825)</w:t>
            </w:r>
          </w:p>
        </w:tc>
        <w:tc>
          <w:tcPr>
            <w:tcW w:w="66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2 026</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(272)</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hanging="199"/>
        <w:spacing w:after="0"/>
        <w:tabs>
          <w:tab w:leader="none" w:pos="200" w:val="left"/>
        </w:tabs>
        <w:numPr>
          <w:ilvl w:val="0"/>
          <w:numId w:val="11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2021, relates primarily to a tax benefit related to past operating model integration.</w:t>
      </w:r>
    </w:p>
    <w:p>
      <w:pPr>
        <w:spacing w:after="0" w:line="12"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1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includes a remeasurement of deferred tax assets related to internal operating model change.</w:t>
      </w:r>
    </w:p>
    <w:p>
      <w:pPr>
        <w:spacing w:after="0" w:line="4"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1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2022, includes a re-recognition of deferred tax assets related to Finland.</w:t>
      </w:r>
    </w:p>
    <w:p>
      <w:pPr>
        <w:spacing w:after="0" w:line="169" w:lineRule="exact"/>
        <w:rPr>
          <w:sz w:val="20"/>
          <w:szCs w:val="20"/>
          <w:color w:val="auto"/>
        </w:rPr>
      </w:pPr>
    </w:p>
    <w:p>
      <w:pPr>
        <w:spacing w:after="0" w:line="309" w:lineRule="auto"/>
        <w:rPr>
          <w:sz w:val="20"/>
          <w:szCs w:val="20"/>
          <w:color w:val="auto"/>
        </w:rPr>
      </w:pPr>
      <w:r>
        <w:rPr>
          <w:rFonts w:ascii="Times New Roman" w:cs="Times New Roman" w:eastAsia="Times New Roman" w:hAnsi="Times New Roman"/>
          <w:sz w:val="11"/>
          <w:szCs w:val="11"/>
          <w:color w:val="auto"/>
        </w:rPr>
        <w:t>Income tax liabilities and assets include a net liability of EUR 184 million (EUR182 million in 2022 ) relating to uncertain tax positions with inherently uncertain timing of cash outflows.</w:t>
      </w:r>
    </w:p>
    <w:p>
      <w:pPr>
        <w:spacing w:after="0" w:line="38" w:lineRule="exact"/>
        <w:rPr>
          <w:sz w:val="20"/>
          <w:szCs w:val="20"/>
          <w:color w:val="auto"/>
        </w:rPr>
      </w:pPr>
    </w:p>
    <w:p>
      <w:pPr>
        <w:ind w:right="460"/>
        <w:spacing w:after="0" w:line="262" w:lineRule="auto"/>
        <w:rPr>
          <w:sz w:val="20"/>
          <w:szCs w:val="20"/>
          <w:color w:val="auto"/>
        </w:rPr>
      </w:pPr>
      <w:r>
        <w:rPr>
          <w:rFonts w:ascii="Times New Roman" w:cs="Times New Roman" w:eastAsia="Times New Roman" w:hAnsi="Times New Roman"/>
          <w:sz w:val="11"/>
          <w:szCs w:val="11"/>
          <w:color w:val="auto"/>
        </w:rPr>
        <w:t>Prior period income tax returns for certain Group companies are under examination by local tax authorities. Nokia has ongoing tax investigations in various jurisdictions, including the United States, Canada, India, Brazil, Saudi Arabia, France, China and South Korea. Nokia’s business and investments, especially in emerging market countries, may be subject to uncertainties, including unfavorable or unpredictable tax treatment. Management judgment and a degree of estimation are required in determining the tax expense or benefit. Even though management does not expect that any significant additional taxes in excess of those already provided for will arise</w:t>
      </w:r>
    </w:p>
    <w:p>
      <w:pPr>
        <w:spacing w:after="0" w:line="1" w:lineRule="exact"/>
        <w:rPr>
          <w:sz w:val="20"/>
          <w:szCs w:val="20"/>
          <w:color w:val="auto"/>
        </w:rPr>
      </w:pPr>
    </w:p>
    <w:p>
      <w:pPr>
        <w:ind w:right="620"/>
        <w:spacing w:after="0" w:line="278" w:lineRule="auto"/>
        <w:rPr>
          <w:sz w:val="20"/>
          <w:szCs w:val="20"/>
          <w:color w:val="auto"/>
        </w:rPr>
      </w:pPr>
      <w:r>
        <w:rPr>
          <w:rFonts w:ascii="Times New Roman" w:cs="Times New Roman" w:eastAsia="Times New Roman" w:hAnsi="Times New Roman"/>
          <w:sz w:val="11"/>
          <w:szCs w:val="11"/>
          <w:color w:val="auto"/>
        </w:rPr>
        <w:t>as a result of these examinations, the outcome or actual cost of settlement may vary materially from estimates.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Deferred tax assets and liabilities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Deferred tax assets and liabilities relate to the following:</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680" w:type="dxa"/>
            <w:vAlign w:val="bottom"/>
          </w:tcPr>
          <w:p>
            <w:pPr>
              <w:spacing w:after="0"/>
              <w:rPr>
                <w:sz w:val="9"/>
                <w:szCs w:val="9"/>
                <w:color w:val="auto"/>
              </w:rPr>
            </w:pPr>
          </w:p>
        </w:tc>
        <w:tc>
          <w:tcPr>
            <w:tcW w:w="500" w:type="dxa"/>
            <w:vAlign w:val="bottom"/>
            <w:tcBorders>
              <w:bottom w:val="single" w:sz="8" w:color="005AFF"/>
            </w:tcBorders>
          </w:tcPr>
          <w:p>
            <w:pPr>
              <w:spacing w:after="0"/>
              <w:rPr>
                <w:sz w:val="9"/>
                <w:szCs w:val="9"/>
                <w:color w:val="auto"/>
              </w:rPr>
            </w:pPr>
          </w:p>
        </w:tc>
        <w:tc>
          <w:tcPr>
            <w:tcW w:w="60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54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jc w:val="right"/>
              <w:ind w:right="27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spacing w:after="0"/>
              <w:rPr>
                <w:sz w:val="9"/>
                <w:szCs w:val="9"/>
                <w:color w:val="auto"/>
              </w:rPr>
            </w:pPr>
          </w:p>
        </w:tc>
      </w:tr>
      <w:tr>
        <w:trPr>
          <w:trHeight w:val="113"/>
        </w:trPr>
        <w:tc>
          <w:tcPr>
            <w:tcW w:w="1680" w:type="dxa"/>
            <w:vAlign w:val="bottom"/>
          </w:tcPr>
          <w:p>
            <w:pPr>
              <w:spacing w:after="0"/>
              <w:rPr>
                <w:sz w:val="9"/>
                <w:szCs w:val="9"/>
                <w:color w:val="auto"/>
              </w:rPr>
            </w:pPr>
          </w:p>
        </w:tc>
        <w:tc>
          <w:tcPr>
            <w:tcW w:w="500" w:type="dxa"/>
            <w:vAlign w:val="bottom"/>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Deferred</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Deferred</w:t>
            </w:r>
          </w:p>
        </w:tc>
        <w:tc>
          <w:tcPr>
            <w:tcW w:w="500" w:type="dxa"/>
            <w:vAlign w:val="bottom"/>
          </w:tcPr>
          <w:p>
            <w:pPr>
              <w:ind w:left="320"/>
              <w:spacing w:after="0"/>
              <w:rPr>
                <w:sz w:val="20"/>
                <w:szCs w:val="20"/>
                <w:color w:val="auto"/>
              </w:rPr>
            </w:pPr>
            <w:r>
              <w:rPr>
                <w:rFonts w:ascii="Times New Roman" w:cs="Times New Roman" w:eastAsia="Times New Roman" w:hAnsi="Times New Roman"/>
                <w:sz w:val="8"/>
                <w:szCs w:val="8"/>
                <w:b w:val="1"/>
                <w:bCs w:val="1"/>
                <w:color w:val="005AFF"/>
              </w:rPr>
              <w:t>Net</w:t>
            </w:r>
          </w:p>
        </w:tc>
        <w:tc>
          <w:tcPr>
            <w:tcW w:w="40" w:type="dxa"/>
            <w:vAlign w:val="bottom"/>
          </w:tcPr>
          <w:p>
            <w:pPr>
              <w:spacing w:after="0"/>
              <w:rPr>
                <w:sz w:val="9"/>
                <w:szCs w:val="9"/>
                <w:color w:val="auto"/>
              </w:rPr>
            </w:pPr>
          </w:p>
        </w:tc>
        <w:tc>
          <w:tcPr>
            <w:tcW w:w="54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Deferred</w:t>
            </w:r>
          </w:p>
        </w:tc>
        <w:tc>
          <w:tcPr>
            <w:tcW w:w="660" w:type="dxa"/>
            <w:vAlign w:val="bottom"/>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Deferred</w:t>
            </w:r>
          </w:p>
        </w:tc>
        <w:tc>
          <w:tcPr>
            <w:tcW w:w="440" w:type="dxa"/>
            <w:vAlign w:val="bottom"/>
          </w:tcPr>
          <w:p>
            <w:pPr>
              <w:ind w:left="260"/>
              <w:spacing w:after="0"/>
              <w:rPr>
                <w:sz w:val="20"/>
                <w:szCs w:val="20"/>
                <w:color w:val="auto"/>
              </w:rPr>
            </w:pPr>
            <w:r>
              <w:rPr>
                <w:rFonts w:ascii="Times New Roman" w:cs="Times New Roman" w:eastAsia="Times New Roman" w:hAnsi="Times New Roman"/>
                <w:sz w:val="8"/>
                <w:szCs w:val="8"/>
                <w:b w:val="1"/>
                <w:bCs w:val="1"/>
                <w:color w:val="005AFF"/>
              </w:rPr>
              <w:t>Net</w:t>
            </w:r>
          </w:p>
        </w:tc>
      </w:tr>
      <w:tr>
        <w:trPr>
          <w:trHeight w:val="150"/>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0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8"/>
                <w:szCs w:val="8"/>
                <w:b w:val="1"/>
                <w:bCs w:val="1"/>
                <w:color w:val="005AFF"/>
              </w:rPr>
              <w:t>tax assets</w:t>
            </w:r>
          </w:p>
        </w:tc>
        <w:tc>
          <w:tcPr>
            <w:tcW w:w="6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tax liabilities</w:t>
            </w:r>
          </w:p>
        </w:tc>
        <w:tc>
          <w:tcPr>
            <w:tcW w:w="500" w:type="dxa"/>
            <w:vAlign w:val="bottom"/>
            <w:tcBorders>
              <w:bottom w:val="single" w:sz="8" w:color="005AFF"/>
            </w:tcBorders>
          </w:tcPr>
          <w:p>
            <w:pPr>
              <w:jc w:val="center"/>
              <w:ind w:left="73"/>
              <w:spacing w:after="0"/>
              <w:rPr>
                <w:sz w:val="20"/>
                <w:szCs w:val="20"/>
                <w:color w:val="auto"/>
              </w:rPr>
            </w:pPr>
            <w:r>
              <w:rPr>
                <w:rFonts w:ascii="Times New Roman" w:cs="Times New Roman" w:eastAsia="Times New Roman" w:hAnsi="Times New Roman"/>
                <w:sz w:val="8"/>
                <w:szCs w:val="8"/>
                <w:b w:val="1"/>
                <w:bCs w:val="1"/>
                <w:color w:val="005AFF"/>
                <w:w w:val="98"/>
              </w:rPr>
              <w:t>balance</w:t>
            </w:r>
          </w:p>
        </w:tc>
        <w:tc>
          <w:tcPr>
            <w:tcW w:w="40" w:type="dxa"/>
            <w:vAlign w:val="bottom"/>
            <w:tcBorders>
              <w:bottom w:val="single" w:sz="8" w:color="005AFF"/>
            </w:tcBorders>
          </w:tcPr>
          <w:p>
            <w:pPr>
              <w:spacing w:after="0"/>
              <w:rPr>
                <w:sz w:val="13"/>
                <w:szCs w:val="13"/>
                <w:color w:val="auto"/>
              </w:rPr>
            </w:pPr>
          </w:p>
        </w:tc>
        <w:tc>
          <w:tcPr>
            <w:tcW w:w="540" w:type="dxa"/>
            <w:vAlign w:val="bottom"/>
            <w:tcBorders>
              <w:bottom w:val="single" w:sz="8" w:color="005AFF"/>
            </w:tcBorders>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tax assets</w:t>
            </w:r>
          </w:p>
        </w:tc>
        <w:tc>
          <w:tcPr>
            <w:tcW w:w="6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tax liabilities</w:t>
            </w:r>
          </w:p>
        </w:tc>
        <w:tc>
          <w:tcPr>
            <w:tcW w:w="44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8"/>
                <w:szCs w:val="8"/>
                <w:b w:val="1"/>
                <w:bCs w:val="1"/>
                <w:color w:val="005AFF"/>
              </w:rPr>
              <w:t>balance</w:t>
            </w:r>
          </w:p>
        </w:tc>
      </w:tr>
      <w:tr>
        <w:trPr>
          <w:trHeight w:val="131"/>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Tax losses carried forward and</w:t>
            </w:r>
          </w:p>
        </w:tc>
        <w:tc>
          <w:tcPr>
            <w:tcW w:w="500" w:type="dxa"/>
            <w:vAlign w:val="bottom"/>
            <w:shd w:val="clear" w:color="auto" w:fill="F0F5FF"/>
          </w:tcPr>
          <w:p>
            <w:pPr>
              <w:spacing w:after="0"/>
              <w:rPr>
                <w:sz w:val="11"/>
                <w:szCs w:val="11"/>
                <w:color w:val="auto"/>
              </w:rPr>
            </w:pPr>
          </w:p>
        </w:tc>
        <w:tc>
          <w:tcPr>
            <w:tcW w:w="60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440" w:type="dxa"/>
            <w:vAlign w:val="bottom"/>
          </w:tcPr>
          <w:p>
            <w:pPr>
              <w:spacing w:after="0"/>
              <w:rPr>
                <w:sz w:val="11"/>
                <w:szCs w:val="11"/>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unused tax credits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1 083</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w:t>
            </w:r>
          </w:p>
        </w:tc>
        <w:tc>
          <w:tcPr>
            <w:tcW w:w="500" w:type="dxa"/>
            <w:vAlign w:val="bottom"/>
            <w:shd w:val="clear" w:color="auto" w:fill="F0F5FF"/>
          </w:tcPr>
          <w:p>
            <w:pPr>
              <w:spacing w:after="0"/>
              <w:rPr>
                <w:sz w:val="11"/>
                <w:szCs w:val="11"/>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1 011</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spacing w:after="0"/>
              <w:rPr>
                <w:sz w:val="11"/>
                <w:szCs w:val="11"/>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Undistributed earnings</w:t>
            </w: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(215)</w:t>
            </w:r>
          </w:p>
        </w:tc>
        <w:tc>
          <w:tcPr>
            <w:tcW w:w="50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(193)</w:t>
            </w:r>
          </w:p>
        </w:tc>
        <w:tc>
          <w:tcPr>
            <w:tcW w:w="440" w:type="dxa"/>
            <w:vAlign w:val="bottom"/>
          </w:tcPr>
          <w:p>
            <w:pPr>
              <w:spacing w:after="0"/>
              <w:rPr>
                <w:sz w:val="14"/>
                <w:szCs w:val="14"/>
                <w:color w:val="auto"/>
              </w:rPr>
            </w:pPr>
          </w:p>
        </w:tc>
      </w:tr>
      <w:tr>
        <w:trPr>
          <w:trHeight w:val="153"/>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Intangible assets and property,</w:t>
            </w:r>
          </w:p>
        </w:tc>
        <w:tc>
          <w:tcPr>
            <w:tcW w:w="500" w:type="dxa"/>
            <w:vAlign w:val="bottom"/>
            <w:shd w:val="clear" w:color="auto" w:fill="F0F5FF"/>
          </w:tcPr>
          <w:p>
            <w:pPr>
              <w:spacing w:after="0"/>
              <w:rPr>
                <w:sz w:val="13"/>
                <w:szCs w:val="13"/>
                <w:color w:val="auto"/>
              </w:rPr>
            </w:pPr>
          </w:p>
        </w:tc>
        <w:tc>
          <w:tcPr>
            <w:tcW w:w="60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54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440" w:type="dxa"/>
            <w:vAlign w:val="bottom"/>
          </w:tcPr>
          <w:p>
            <w:pPr>
              <w:spacing w:after="0"/>
              <w:rPr>
                <w:sz w:val="13"/>
                <w:szCs w:val="13"/>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plant and equipment</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2 962</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(312)</w:t>
            </w:r>
          </w:p>
        </w:tc>
        <w:tc>
          <w:tcPr>
            <w:tcW w:w="500" w:type="dxa"/>
            <w:vAlign w:val="bottom"/>
            <w:shd w:val="clear" w:color="auto" w:fill="F0F5FF"/>
          </w:tcPr>
          <w:p>
            <w:pPr>
              <w:spacing w:after="0"/>
              <w:rPr>
                <w:sz w:val="11"/>
                <w:szCs w:val="11"/>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3 267</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(309)</w:t>
            </w:r>
          </w:p>
        </w:tc>
        <w:tc>
          <w:tcPr>
            <w:tcW w:w="440" w:type="dxa"/>
            <w:vAlign w:val="bottom"/>
          </w:tcPr>
          <w:p>
            <w:pPr>
              <w:spacing w:after="0"/>
              <w:rPr>
                <w:sz w:val="11"/>
                <w:szCs w:val="11"/>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Right-of-use assets</w:t>
            </w: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(177)</w:t>
            </w:r>
          </w:p>
        </w:tc>
        <w:tc>
          <w:tcPr>
            <w:tcW w:w="50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(177)</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Defined benefit pension assets</w:t>
            </w: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(1 913)</w:t>
            </w:r>
          </w:p>
        </w:tc>
        <w:tc>
          <w:tcPr>
            <w:tcW w:w="50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(1 989)</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non-current assets</w:t>
            </w:r>
          </w:p>
        </w:tc>
        <w:tc>
          <w:tcPr>
            <w:tcW w:w="5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83</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66</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(30)</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Inventories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185</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216</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(18)</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current assets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221</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(93)</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225</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(95)</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Lease liabilities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156</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176</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spacing w:after="0"/>
              <w:rPr>
                <w:sz w:val="14"/>
                <w:szCs w:val="14"/>
                <w:color w:val="auto"/>
              </w:rPr>
            </w:pPr>
          </w:p>
        </w:tc>
      </w:tr>
      <w:tr>
        <w:trPr>
          <w:trHeight w:val="153"/>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Defined benefit pension and other</w:t>
            </w:r>
          </w:p>
        </w:tc>
        <w:tc>
          <w:tcPr>
            <w:tcW w:w="500" w:type="dxa"/>
            <w:vAlign w:val="bottom"/>
            <w:shd w:val="clear" w:color="auto" w:fill="F0F5FF"/>
          </w:tcPr>
          <w:p>
            <w:pPr>
              <w:spacing w:after="0"/>
              <w:rPr>
                <w:sz w:val="13"/>
                <w:szCs w:val="13"/>
                <w:color w:val="auto"/>
              </w:rPr>
            </w:pPr>
          </w:p>
        </w:tc>
        <w:tc>
          <w:tcPr>
            <w:tcW w:w="60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54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440" w:type="dxa"/>
            <w:vAlign w:val="bottom"/>
          </w:tcPr>
          <w:p>
            <w:pPr>
              <w:spacing w:after="0"/>
              <w:rPr>
                <w:sz w:val="13"/>
                <w:szCs w:val="13"/>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post-employment liabilities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991</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00" w:type="dxa"/>
            <w:vAlign w:val="bottom"/>
            <w:shd w:val="clear" w:color="auto" w:fill="F0F5FF"/>
          </w:tcPr>
          <w:p>
            <w:pPr>
              <w:spacing w:after="0"/>
              <w:rPr>
                <w:sz w:val="11"/>
                <w:szCs w:val="11"/>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925</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spacing w:after="0"/>
              <w:rPr>
                <w:sz w:val="11"/>
                <w:szCs w:val="11"/>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non-current liabilities</w:t>
            </w:r>
          </w:p>
        </w:tc>
        <w:tc>
          <w:tcPr>
            <w:tcW w:w="5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14</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18</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Provisions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245</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(138)</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311</w:t>
            </w:r>
          </w:p>
        </w:tc>
        <w:tc>
          <w:tcPr>
            <w:tcW w:w="6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(73)</w:t>
            </w:r>
          </w:p>
        </w:tc>
        <w:tc>
          <w:tcPr>
            <w:tcW w:w="440" w:type="dxa"/>
            <w:vAlign w:val="bottom"/>
          </w:tcPr>
          <w:p>
            <w:pPr>
              <w:spacing w:after="0"/>
              <w:rPr>
                <w:sz w:val="14"/>
                <w:szCs w:val="14"/>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current liabilities</w:t>
            </w:r>
          </w:p>
        </w:tc>
        <w:tc>
          <w:tcPr>
            <w:tcW w:w="5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301</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(184)</w:t>
            </w:r>
          </w:p>
        </w:tc>
        <w:tc>
          <w:tcPr>
            <w:tcW w:w="500" w:type="dxa"/>
            <w:vAlign w:val="bottom"/>
            <w:shd w:val="clear" w:color="auto" w:fill="F0F5FF"/>
          </w:tcPr>
          <w:p>
            <w:pPr>
              <w:spacing w:after="0"/>
              <w:rPr>
                <w:sz w:val="14"/>
                <w:szCs w:val="14"/>
                <w:color w:val="auto"/>
              </w:rPr>
            </w:pPr>
          </w:p>
        </w:tc>
        <w:tc>
          <w:tcPr>
            <w:tcW w:w="580" w:type="dxa"/>
            <w:vAlign w:val="bottom"/>
            <w:gridSpan w:val="2"/>
          </w:tcPr>
          <w:p>
            <w:pPr>
              <w:jc w:val="right"/>
              <w:ind w:right="53"/>
              <w:spacing w:after="0"/>
              <w:rPr>
                <w:sz w:val="20"/>
                <w:szCs w:val="20"/>
                <w:color w:val="auto"/>
              </w:rPr>
            </w:pPr>
            <w:r>
              <w:rPr>
                <w:rFonts w:ascii="Times New Roman" w:cs="Times New Roman" w:eastAsia="Times New Roman" w:hAnsi="Times New Roman"/>
                <w:sz w:val="10"/>
                <w:szCs w:val="10"/>
                <w:color w:val="0D0D0D"/>
              </w:rPr>
              <w:t>326</w:t>
            </w:r>
          </w:p>
        </w:tc>
        <w:tc>
          <w:tcPr>
            <w:tcW w:w="66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(154)</w:t>
            </w:r>
          </w:p>
        </w:tc>
        <w:tc>
          <w:tcPr>
            <w:tcW w:w="440" w:type="dxa"/>
            <w:vAlign w:val="bottom"/>
          </w:tcPr>
          <w:p>
            <w:pPr>
              <w:spacing w:after="0"/>
              <w:rPr>
                <w:sz w:val="14"/>
                <w:szCs w:val="14"/>
                <w:color w:val="auto"/>
              </w:rPr>
            </w:pP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temporary differences</w:t>
            </w:r>
          </w:p>
        </w:tc>
        <w:tc>
          <w:tcPr>
            <w:tcW w:w="50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33</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w:t>
            </w:r>
          </w:p>
        </w:tc>
        <w:tc>
          <w:tcPr>
            <w:tcW w:w="500" w:type="dxa"/>
            <w:vAlign w:val="bottom"/>
            <w:tcBorders>
              <w:bottom w:val="single" w:sz="8" w:color="005AFF"/>
            </w:tcBorders>
            <w:shd w:val="clear" w:color="auto" w:fill="F0F5FF"/>
          </w:tcPr>
          <w:p>
            <w:pPr>
              <w:spacing w:after="0"/>
              <w:rPr>
                <w:sz w:val="14"/>
                <w:szCs w:val="14"/>
                <w:color w:val="auto"/>
              </w:rPr>
            </w:pPr>
          </w:p>
        </w:tc>
        <w:tc>
          <w:tcPr>
            <w:tcW w:w="580" w:type="dxa"/>
            <w:vAlign w:val="bottom"/>
            <w:tcBorders>
              <w:bottom w:val="single" w:sz="8" w:color="005AFF"/>
            </w:tcBorders>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27</w:t>
            </w:r>
          </w:p>
        </w:tc>
        <w:tc>
          <w:tcPr>
            <w:tcW w:w="6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(28)</w:t>
            </w:r>
          </w:p>
        </w:tc>
        <w:tc>
          <w:tcPr>
            <w:tcW w:w="440" w:type="dxa"/>
            <w:vAlign w:val="bottom"/>
            <w:tcBorders>
              <w:bottom w:val="single" w:sz="8" w:color="005AFF"/>
            </w:tcBorders>
          </w:tcPr>
          <w:p>
            <w:pPr>
              <w:spacing w:after="0"/>
              <w:rPr>
                <w:sz w:val="14"/>
                <w:szCs w:val="14"/>
                <w:color w:val="auto"/>
              </w:rPr>
            </w:pPr>
          </w:p>
        </w:tc>
      </w:tr>
      <w:tr>
        <w:trPr>
          <w:trHeight w:val="142"/>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before netting</w:t>
            </w:r>
          </w:p>
        </w:tc>
        <w:tc>
          <w:tcPr>
            <w:tcW w:w="50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6 274</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(3 126)</w:t>
            </w:r>
          </w:p>
        </w:tc>
        <w:tc>
          <w:tcPr>
            <w:tcW w:w="500" w:type="dxa"/>
            <w:vAlign w:val="bottom"/>
            <w:tcBorders>
              <w:bottom w:val="single" w:sz="8" w:color="005AFF"/>
            </w:tcBorders>
            <w:shd w:val="clear" w:color="auto" w:fill="F0F5FF"/>
          </w:tcPr>
          <w:p>
            <w:pPr>
              <w:jc w:val="center"/>
              <w:ind w:left="73"/>
              <w:spacing w:after="0"/>
              <w:rPr>
                <w:sz w:val="20"/>
                <w:szCs w:val="20"/>
                <w:color w:val="auto"/>
              </w:rPr>
            </w:pPr>
            <w:r>
              <w:rPr>
                <w:rFonts w:ascii="Times New Roman" w:cs="Times New Roman" w:eastAsia="Times New Roman" w:hAnsi="Times New Roman"/>
                <w:sz w:val="10"/>
                <w:szCs w:val="10"/>
                <w:b w:val="1"/>
                <w:bCs w:val="1"/>
                <w:color w:val="005AFF"/>
                <w:w w:val="97"/>
              </w:rPr>
              <w:t>3 148</w:t>
            </w:r>
          </w:p>
        </w:tc>
        <w:tc>
          <w:tcPr>
            <w:tcW w:w="580" w:type="dxa"/>
            <w:vAlign w:val="bottom"/>
            <w:tcBorders>
              <w:bottom w:val="single" w:sz="8" w:color="005AFF"/>
            </w:tcBorders>
            <w:gridSpan w:val="2"/>
          </w:tcPr>
          <w:p>
            <w:pPr>
              <w:jc w:val="right"/>
              <w:ind w:right="53"/>
              <w:spacing w:after="0"/>
              <w:rPr>
                <w:sz w:val="20"/>
                <w:szCs w:val="20"/>
                <w:color w:val="auto"/>
              </w:rPr>
            </w:pPr>
            <w:r>
              <w:rPr>
                <w:rFonts w:ascii="Times New Roman" w:cs="Times New Roman" w:eastAsia="Times New Roman" w:hAnsi="Times New Roman"/>
                <w:sz w:val="10"/>
                <w:szCs w:val="10"/>
                <w:b w:val="1"/>
                <w:bCs w:val="1"/>
                <w:color w:val="auto"/>
              </w:rPr>
              <w:t>6 568</w:t>
            </w:r>
          </w:p>
        </w:tc>
        <w:tc>
          <w:tcPr>
            <w:tcW w:w="66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(3 066)</w:t>
            </w:r>
          </w:p>
        </w:tc>
        <w:tc>
          <w:tcPr>
            <w:tcW w:w="44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10"/>
                <w:szCs w:val="10"/>
                <w:b w:val="1"/>
                <w:bCs w:val="1"/>
                <w:color w:val="auto"/>
                <w:w w:val="97"/>
              </w:rPr>
              <w:t>3 502</w:t>
            </w:r>
          </w:p>
        </w:tc>
      </w:tr>
      <w:tr>
        <w:trPr>
          <w:trHeight w:val="128"/>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Netting of deferred tax assets and</w:t>
            </w:r>
          </w:p>
        </w:tc>
        <w:tc>
          <w:tcPr>
            <w:tcW w:w="500" w:type="dxa"/>
            <w:vAlign w:val="bottom"/>
            <w:shd w:val="clear" w:color="auto" w:fill="F0F5FF"/>
          </w:tcPr>
          <w:p>
            <w:pPr>
              <w:spacing w:after="0"/>
              <w:rPr>
                <w:sz w:val="11"/>
                <w:szCs w:val="11"/>
                <w:color w:val="auto"/>
              </w:rPr>
            </w:pPr>
          </w:p>
        </w:tc>
        <w:tc>
          <w:tcPr>
            <w:tcW w:w="60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440" w:type="dxa"/>
            <w:vAlign w:val="bottom"/>
          </w:tcPr>
          <w:p>
            <w:pPr>
              <w:spacing w:after="0"/>
              <w:rPr>
                <w:sz w:val="11"/>
                <w:szCs w:val="11"/>
                <w:color w:val="auto"/>
              </w:rPr>
            </w:pPr>
          </w:p>
        </w:tc>
      </w:tr>
      <w:tr>
        <w:trPr>
          <w:trHeight w:val="135"/>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liabilities</w:t>
            </w: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(2 401)</w:t>
            </w:r>
          </w:p>
        </w:tc>
        <w:tc>
          <w:tcPr>
            <w:tcW w:w="60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2 401</w:t>
            </w:r>
          </w:p>
        </w:tc>
        <w:tc>
          <w:tcPr>
            <w:tcW w:w="500" w:type="dxa"/>
            <w:vAlign w:val="bottom"/>
            <w:tcBorders>
              <w:bottom w:val="single" w:sz="8" w:color="005AFF"/>
            </w:tcBorders>
            <w:shd w:val="clear" w:color="auto" w:fill="F0F5FF"/>
          </w:tcPr>
          <w:p>
            <w:pPr>
              <w:ind w:left="380"/>
              <w:spacing w:after="0"/>
              <w:rPr>
                <w:sz w:val="20"/>
                <w:szCs w:val="20"/>
                <w:color w:val="auto"/>
              </w:rPr>
            </w:pPr>
            <w:r>
              <w:rPr>
                <w:rFonts w:ascii="Times New Roman" w:cs="Times New Roman" w:eastAsia="Times New Roman" w:hAnsi="Times New Roman"/>
                <w:sz w:val="10"/>
                <w:szCs w:val="10"/>
                <w:color w:val="005AFF"/>
                <w:w w:val="99"/>
              </w:rPr>
              <w:t>—</w:t>
            </w:r>
          </w:p>
        </w:tc>
        <w:tc>
          <w:tcPr>
            <w:tcW w:w="580" w:type="dxa"/>
            <w:vAlign w:val="bottom"/>
            <w:tcBorders>
              <w:bottom w:val="single" w:sz="8" w:color="005AFF"/>
            </w:tcBorders>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(2 734)</w:t>
            </w:r>
          </w:p>
        </w:tc>
        <w:tc>
          <w:tcPr>
            <w:tcW w:w="66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2 734</w:t>
            </w:r>
          </w:p>
        </w:tc>
        <w:tc>
          <w:tcPr>
            <w:tcW w:w="44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10"/>
                <w:szCs w:val="10"/>
                <w:color w:val="0D0D0D"/>
              </w:rPr>
              <w:t>—</w:t>
            </w:r>
          </w:p>
        </w:tc>
      </w:tr>
      <w:tr>
        <w:trPr>
          <w:trHeight w:val="142"/>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after netting</w:t>
            </w:r>
          </w:p>
        </w:tc>
        <w:tc>
          <w:tcPr>
            <w:tcW w:w="50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3 873</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(725)</w:t>
            </w:r>
          </w:p>
        </w:tc>
        <w:tc>
          <w:tcPr>
            <w:tcW w:w="500" w:type="dxa"/>
            <w:vAlign w:val="bottom"/>
            <w:tcBorders>
              <w:bottom w:val="single" w:sz="8" w:color="005AFF"/>
            </w:tcBorders>
            <w:shd w:val="clear" w:color="auto" w:fill="F0F5FF"/>
          </w:tcPr>
          <w:p>
            <w:pPr>
              <w:jc w:val="center"/>
              <w:ind w:left="73"/>
              <w:spacing w:after="0"/>
              <w:rPr>
                <w:sz w:val="20"/>
                <w:szCs w:val="20"/>
                <w:color w:val="auto"/>
              </w:rPr>
            </w:pPr>
            <w:r>
              <w:rPr>
                <w:rFonts w:ascii="Times New Roman" w:cs="Times New Roman" w:eastAsia="Times New Roman" w:hAnsi="Times New Roman"/>
                <w:sz w:val="10"/>
                <w:szCs w:val="10"/>
                <w:b w:val="1"/>
                <w:bCs w:val="1"/>
                <w:color w:val="005AFF"/>
                <w:w w:val="97"/>
              </w:rPr>
              <w:t>3 148</w:t>
            </w:r>
          </w:p>
        </w:tc>
        <w:tc>
          <w:tcPr>
            <w:tcW w:w="580" w:type="dxa"/>
            <w:vAlign w:val="bottom"/>
            <w:tcBorders>
              <w:bottom w:val="single" w:sz="8" w:color="005AFF"/>
            </w:tcBorders>
            <w:gridSpan w:val="2"/>
          </w:tcPr>
          <w:p>
            <w:pPr>
              <w:jc w:val="right"/>
              <w:ind w:right="53"/>
              <w:spacing w:after="0"/>
              <w:rPr>
                <w:sz w:val="20"/>
                <w:szCs w:val="20"/>
                <w:color w:val="auto"/>
              </w:rPr>
            </w:pPr>
            <w:r>
              <w:rPr>
                <w:rFonts w:ascii="Times New Roman" w:cs="Times New Roman" w:eastAsia="Times New Roman" w:hAnsi="Times New Roman"/>
                <w:sz w:val="10"/>
                <w:szCs w:val="10"/>
                <w:b w:val="1"/>
                <w:bCs w:val="1"/>
                <w:color w:val="auto"/>
              </w:rPr>
              <w:t>3 834</w:t>
            </w:r>
          </w:p>
        </w:tc>
        <w:tc>
          <w:tcPr>
            <w:tcW w:w="66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(332)</w:t>
            </w:r>
          </w:p>
        </w:tc>
        <w:tc>
          <w:tcPr>
            <w:tcW w:w="440" w:type="dxa"/>
            <w:vAlign w:val="bottom"/>
            <w:tcBorders>
              <w:bottom w:val="single" w:sz="8" w:color="005AFF"/>
            </w:tcBorders>
          </w:tcPr>
          <w:p>
            <w:pPr>
              <w:jc w:val="center"/>
              <w:spacing w:after="0"/>
              <w:rPr>
                <w:sz w:val="20"/>
                <w:szCs w:val="20"/>
                <w:color w:val="auto"/>
              </w:rPr>
            </w:pPr>
            <w:r>
              <w:rPr>
                <w:rFonts w:ascii="Times New Roman" w:cs="Times New Roman" w:eastAsia="Times New Roman" w:hAnsi="Times New Roman"/>
                <w:sz w:val="10"/>
                <w:szCs w:val="10"/>
                <w:b w:val="1"/>
                <w:bCs w:val="1"/>
                <w:color w:val="auto"/>
                <w:w w:val="97"/>
              </w:rPr>
              <w:t>3 502</w:t>
            </w:r>
          </w:p>
        </w:tc>
      </w:tr>
    </w:tbl>
    <w:p>
      <w:pPr>
        <w:spacing w:after="0" w:line="119" w:lineRule="exact"/>
        <w:rPr>
          <w:sz w:val="20"/>
          <w:szCs w:val="20"/>
          <w:color w:val="auto"/>
        </w:rPr>
      </w:pPr>
    </w:p>
    <w:p>
      <w:pPr>
        <w:ind w:right="780"/>
        <w:spacing w:after="0" w:line="279" w:lineRule="auto"/>
        <w:rPr>
          <w:sz w:val="20"/>
          <w:szCs w:val="20"/>
          <w:color w:val="auto"/>
        </w:rPr>
      </w:pPr>
      <w:r>
        <w:rPr>
          <w:rFonts w:ascii="Times New Roman" w:cs="Times New Roman" w:eastAsia="Times New Roman" w:hAnsi="Times New Roman"/>
          <w:sz w:val="11"/>
          <w:szCs w:val="11"/>
          <w:color w:val="auto"/>
        </w:rPr>
        <w:t>In 2023 Nokia recognized a deferred tax expense and a decrease in deferred tax assets of EUR0.4 billion due to an internal transaction related to an operating model change that led to a remeasurement of deferred tax assets in Finland and the United States.</w:t>
      </w:r>
    </w:p>
    <w:p>
      <w:pPr>
        <w:spacing w:after="0" w:line="44" w:lineRule="exact"/>
        <w:rPr>
          <w:sz w:val="20"/>
          <w:szCs w:val="20"/>
          <w:color w:val="auto"/>
        </w:rPr>
      </w:pPr>
    </w:p>
    <w:p>
      <w:pPr>
        <w:ind w:right="460"/>
        <w:spacing w:after="0" w:line="305" w:lineRule="auto"/>
        <w:rPr>
          <w:sz w:val="20"/>
          <w:szCs w:val="20"/>
          <w:color w:val="auto"/>
        </w:rPr>
      </w:pPr>
      <w:r>
        <w:rPr>
          <w:rFonts w:ascii="Times New Roman" w:cs="Times New Roman" w:eastAsia="Times New Roman" w:hAnsi="Times New Roman"/>
          <w:sz w:val="11"/>
          <w:szCs w:val="11"/>
          <w:color w:val="auto"/>
        </w:rPr>
        <w:t>Nokia has undistributed earnings of EUR 356 million (EUR388 million in 2022 ) for which a deferred tax liability has not been recognized as these earnings will not be distributed in the foreseeable future.</w:t>
      </w:r>
    </w:p>
    <w:p>
      <w:pPr>
        <w:sectPr>
          <w:pgSz w:w="11900" w:h="16838" w:orient="portrait"/>
          <w:cols w:equalWidth="0" w:num="2">
            <w:col w:w="4940" w:space="160"/>
            <w:col w:w="4960"/>
          </w:cols>
          <w:pgMar w:left="960" w:top="410" w:right="879" w:bottom="1440" w:gutter="0" w:footer="0" w:header="0"/>
          <w:type w:val="continuous"/>
        </w:sectPr>
      </w:pPr>
    </w:p>
    <w:bookmarkStart w:id="166" w:name="page167"/>
    <w:bookmarkEnd w:id="166"/>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159</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20"/>
          </w:cols>
          <w:pgMar w:left="960" w:top="410" w:right="91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Movements in the net deferred tax balance during the year:</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3 502</w:t>
            </w:r>
          </w:p>
        </w:tc>
        <w:tc>
          <w:tcPr>
            <w:tcW w:w="620" w:type="dxa"/>
            <w:vAlign w:val="bottom"/>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990</w:t>
            </w:r>
          </w:p>
        </w:tc>
        <w:tc>
          <w:tcPr>
            <w:tcW w:w="44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1 562</w:t>
            </w:r>
          </w:p>
        </w:tc>
      </w:tr>
      <w:tr>
        <w:trPr>
          <w:trHeight w:val="162"/>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Recognized in income statement, continuing operations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(394)</w:t>
            </w:r>
          </w:p>
        </w:tc>
        <w:tc>
          <w:tcPr>
            <w:tcW w:w="62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2 452</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137</w:t>
            </w:r>
          </w:p>
        </w:tc>
      </w:tr>
      <w:tr>
        <w:trPr>
          <w:trHeight w:val="162"/>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Recognized in other comprehensive income</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51</w:t>
            </w:r>
          </w:p>
        </w:tc>
        <w:tc>
          <w:tcPr>
            <w:tcW w:w="6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56</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(753)</w:t>
            </w:r>
          </w:p>
        </w:tc>
      </w:tr>
      <w:tr>
        <w:trPr>
          <w:trHeight w:val="162"/>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6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w:t>
            </w:r>
          </w:p>
        </w:tc>
      </w:tr>
      <w:tr>
        <w:trPr>
          <w:trHeight w:val="167"/>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w:t>
            </w:r>
          </w:p>
        </w:tc>
        <w:tc>
          <w:tcPr>
            <w:tcW w:w="6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50</w:t>
            </w:r>
          </w:p>
        </w:tc>
      </w:tr>
      <w:tr>
        <w:trPr>
          <w:trHeight w:val="142"/>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3 148</w:t>
            </w:r>
          </w:p>
        </w:tc>
        <w:tc>
          <w:tcPr>
            <w:tcW w:w="6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3 502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990</w:t>
            </w:r>
          </w:p>
        </w:tc>
      </w:tr>
    </w:tbl>
    <w:p>
      <w:pPr>
        <w:spacing w:after="0" w:line="119" w:lineRule="exact"/>
        <w:rPr>
          <w:sz w:val="20"/>
          <w:szCs w:val="20"/>
          <w:color w:val="auto"/>
        </w:rPr>
      </w:pPr>
    </w:p>
    <w:p>
      <w:pPr>
        <w:ind w:right="520"/>
        <w:spacing w:after="0" w:line="269" w:lineRule="auto"/>
        <w:rPr>
          <w:sz w:val="20"/>
          <w:szCs w:val="20"/>
          <w:color w:val="auto"/>
        </w:rPr>
      </w:pPr>
      <w:r>
        <w:rPr>
          <w:rFonts w:ascii="Times New Roman" w:cs="Times New Roman" w:eastAsia="Times New Roman" w:hAnsi="Times New Roman"/>
          <w:sz w:val="11"/>
          <w:szCs w:val="11"/>
          <w:color w:val="auto"/>
        </w:rPr>
        <w:t>In addition, at 31 December 2023 , Nokia has unrecognized deferred tax assets of which the majority relate to France. These deferred tax assets have not been recognized due to uncertainty regarding their utilization. A significant portion of the French unrecognized deferred tax assets are indefinite in nature and available against future French tax liabilities, subject to a limitation of 50% of annual taxable profits.</w:t>
      </w:r>
    </w:p>
    <w:p>
      <w:pPr>
        <w:spacing w:after="0" w:line="60" w:lineRule="exact"/>
        <w:rPr>
          <w:sz w:val="20"/>
          <w:szCs w:val="20"/>
          <w:color w:val="auto"/>
        </w:rPr>
      </w:pPr>
    </w:p>
    <w:p>
      <w:pPr>
        <w:ind w:right="860"/>
        <w:spacing w:after="0" w:line="290" w:lineRule="auto"/>
        <w:rPr>
          <w:sz w:val="20"/>
          <w:szCs w:val="20"/>
          <w:color w:val="auto"/>
        </w:rPr>
      </w:pPr>
      <w:r>
        <w:rPr>
          <w:rFonts w:ascii="Times New Roman" w:cs="Times New Roman" w:eastAsia="Times New Roman" w:hAnsi="Times New Roman"/>
          <w:sz w:val="11"/>
          <w:szCs w:val="11"/>
          <w:color w:val="auto"/>
        </w:rPr>
        <w:t>Amount of temporary differences, tax losses carried forward and tax credits for which no deferred tax asset was recognized due to uncertainty of utilization:</w:t>
      </w:r>
    </w:p>
    <w:p>
      <w:pPr>
        <w:spacing w:after="0" w:line="10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Temporary differences</w:t>
            </w:r>
          </w:p>
        </w:tc>
        <w:tc>
          <w:tcPr>
            <w:tcW w:w="5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1 743</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1 579</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Tax losses carried forward</w:t>
            </w:r>
          </w:p>
        </w:tc>
        <w:tc>
          <w:tcPr>
            <w:tcW w:w="5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19 482</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18 324</w:t>
            </w:r>
          </w:p>
        </w:tc>
      </w:tr>
      <w:tr>
        <w:trPr>
          <w:trHeight w:val="167"/>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Tax credits</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344</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311</w:t>
            </w:r>
          </w:p>
        </w:tc>
      </w:tr>
      <w:tr>
        <w:trPr>
          <w:trHeight w:val="142"/>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21 569</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20 214</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Expiry of tax losses carried forward and unused tax credits:</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360" w:type="dxa"/>
            <w:vAlign w:val="bottom"/>
          </w:tcPr>
          <w:p>
            <w:pPr>
              <w:spacing w:after="0"/>
              <w:rPr>
                <w:sz w:val="9"/>
                <w:szCs w:val="9"/>
                <w:color w:val="auto"/>
              </w:rPr>
            </w:pPr>
          </w:p>
        </w:tc>
        <w:tc>
          <w:tcPr>
            <w:tcW w:w="58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0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60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jc w:val="right"/>
              <w:ind w:right="27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00" w:type="dxa"/>
            <w:vAlign w:val="bottom"/>
            <w:tcBorders>
              <w:bottom w:val="single" w:sz="8" w:color="005AFF"/>
            </w:tcBorders>
          </w:tcPr>
          <w:p>
            <w:pPr>
              <w:spacing w:after="0"/>
              <w:rPr>
                <w:sz w:val="9"/>
                <w:szCs w:val="9"/>
                <w:color w:val="auto"/>
              </w:rPr>
            </w:pPr>
          </w:p>
        </w:tc>
      </w:tr>
      <w:tr>
        <w:trPr>
          <w:trHeight w:val="142"/>
        </w:trPr>
        <w:tc>
          <w:tcPr>
            <w:tcW w:w="1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Recognized</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Unrecognized</w:t>
            </w:r>
          </w:p>
        </w:tc>
        <w:tc>
          <w:tcPr>
            <w:tcW w:w="6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40" w:type="dxa"/>
            <w:vAlign w:val="bottom"/>
            <w:tcBorders>
              <w:bottom w:val="single" w:sz="8" w:color="005AFF"/>
            </w:tcBorders>
          </w:tcPr>
          <w:p>
            <w:pPr>
              <w:spacing w:after="0"/>
              <w:rPr>
                <w:sz w:val="12"/>
                <w:szCs w:val="12"/>
                <w:color w:val="auto"/>
              </w:rPr>
            </w:pPr>
          </w:p>
        </w:tc>
        <w:tc>
          <w:tcPr>
            <w:tcW w:w="600" w:type="dxa"/>
            <w:vAlign w:val="bottom"/>
            <w:tcBorders>
              <w:bottom w:val="single" w:sz="8" w:color="005AFF"/>
            </w:tcBorders>
          </w:tcPr>
          <w:p>
            <w:pPr>
              <w:jc w:val="right"/>
              <w:ind w:right="34"/>
              <w:spacing w:after="0"/>
              <w:rPr>
                <w:sz w:val="20"/>
                <w:szCs w:val="20"/>
                <w:color w:val="auto"/>
              </w:rPr>
            </w:pPr>
            <w:r>
              <w:rPr>
                <w:rFonts w:ascii="Times New Roman" w:cs="Times New Roman" w:eastAsia="Times New Roman" w:hAnsi="Times New Roman"/>
                <w:sz w:val="8"/>
                <w:szCs w:val="8"/>
                <w:b w:val="1"/>
                <w:bCs w:val="1"/>
                <w:color w:val="005AFF"/>
              </w:rPr>
              <w:t>Recognized</w:t>
            </w:r>
          </w:p>
        </w:tc>
        <w:tc>
          <w:tcPr>
            <w:tcW w:w="6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Unrecognized</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40"/>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Tax losses carried forward</w:t>
            </w:r>
          </w:p>
        </w:tc>
        <w:tc>
          <w:tcPr>
            <w:tcW w:w="580" w:type="dxa"/>
            <w:vAlign w:val="bottom"/>
            <w:shd w:val="clear" w:color="auto" w:fill="F0F5FF"/>
          </w:tcPr>
          <w:p>
            <w:pPr>
              <w:spacing w:after="0"/>
              <w:rPr>
                <w:sz w:val="12"/>
                <w:szCs w:val="12"/>
                <w:color w:val="auto"/>
              </w:rPr>
            </w:pPr>
          </w:p>
        </w:tc>
        <w:tc>
          <w:tcPr>
            <w:tcW w:w="580" w:type="dxa"/>
            <w:vAlign w:val="bottom"/>
            <w:shd w:val="clear" w:color="auto" w:fill="F0F5FF"/>
          </w:tcPr>
          <w:p>
            <w:pPr>
              <w:spacing w:after="0"/>
              <w:rPr>
                <w:sz w:val="12"/>
                <w:szCs w:val="12"/>
                <w:color w:val="auto"/>
              </w:rPr>
            </w:pPr>
          </w:p>
        </w:tc>
        <w:tc>
          <w:tcPr>
            <w:tcW w:w="600" w:type="dxa"/>
            <w:vAlign w:val="bottom"/>
            <w:shd w:val="clear" w:color="auto" w:fill="F0F5FF"/>
          </w:tcPr>
          <w:p>
            <w:pPr>
              <w:spacing w:after="0"/>
              <w:rPr>
                <w:sz w:val="12"/>
                <w:szCs w:val="12"/>
                <w:color w:val="auto"/>
              </w:rPr>
            </w:pPr>
          </w:p>
        </w:tc>
        <w:tc>
          <w:tcPr>
            <w:tcW w:w="40" w:type="dxa"/>
            <w:vAlign w:val="bottom"/>
          </w:tcPr>
          <w:p>
            <w:pPr>
              <w:spacing w:after="0"/>
              <w:rPr>
                <w:sz w:val="12"/>
                <w:szCs w:val="12"/>
                <w:color w:val="auto"/>
              </w:rPr>
            </w:pPr>
          </w:p>
        </w:tc>
        <w:tc>
          <w:tcPr>
            <w:tcW w:w="60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500" w:type="dxa"/>
            <w:vAlign w:val="bottom"/>
          </w:tcPr>
          <w:p>
            <w:pPr>
              <w:spacing w:after="0"/>
              <w:rPr>
                <w:sz w:val="12"/>
                <w:szCs w:val="12"/>
                <w:color w:val="auto"/>
              </w:rPr>
            </w:pPr>
          </w:p>
        </w:tc>
      </w:tr>
      <w:tr>
        <w:trPr>
          <w:trHeight w:val="162"/>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Within 10 years</w:t>
            </w:r>
          </w:p>
        </w:tc>
        <w:tc>
          <w:tcPr>
            <w:tcW w:w="5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1 375</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1 025</w:t>
            </w:r>
          </w:p>
        </w:tc>
        <w:tc>
          <w:tcPr>
            <w:tcW w:w="6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2 400</w:t>
            </w:r>
          </w:p>
        </w:tc>
        <w:tc>
          <w:tcPr>
            <w:tcW w:w="640" w:type="dxa"/>
            <w:vAlign w:val="bottom"/>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1 344</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1 247</w:t>
            </w:r>
          </w:p>
        </w:tc>
        <w:tc>
          <w:tcPr>
            <w:tcW w:w="5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2 591</w:t>
            </w:r>
          </w:p>
        </w:tc>
      </w:tr>
      <w:tr>
        <w:trPr>
          <w:trHeight w:val="162"/>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Thereafter</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17</w:t>
            </w:r>
          </w:p>
        </w:tc>
        <w:tc>
          <w:tcPr>
            <w:tcW w:w="580" w:type="dxa"/>
            <w:vAlign w:val="bottom"/>
            <w:shd w:val="clear" w:color="auto" w:fill="F0F5FF"/>
          </w:tcPr>
          <w:p>
            <w:pPr>
              <w:jc w:val="center"/>
              <w:ind w:left="391"/>
              <w:spacing w:after="0"/>
              <w:rPr>
                <w:sz w:val="20"/>
                <w:szCs w:val="20"/>
                <w:color w:val="auto"/>
              </w:rPr>
            </w:pPr>
            <w:r>
              <w:rPr>
                <w:rFonts w:ascii="Times New Roman" w:cs="Times New Roman" w:eastAsia="Times New Roman" w:hAnsi="Times New Roman"/>
                <w:sz w:val="10"/>
                <w:szCs w:val="10"/>
                <w:color w:val="005AFF"/>
                <w:w w:val="99"/>
              </w:rPr>
              <w:t>—</w:t>
            </w:r>
          </w:p>
        </w:tc>
        <w:tc>
          <w:tcPr>
            <w:tcW w:w="60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17</w:t>
            </w:r>
          </w:p>
        </w:tc>
        <w:tc>
          <w:tcPr>
            <w:tcW w:w="40" w:type="dxa"/>
            <w:vAlign w:val="bottom"/>
          </w:tcPr>
          <w:p>
            <w:pPr>
              <w:spacing w:after="0"/>
              <w:rPr>
                <w:sz w:val="14"/>
                <w:szCs w:val="14"/>
                <w:color w:val="auto"/>
              </w:rPr>
            </w:pP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w:t>
            </w:r>
          </w:p>
        </w:tc>
      </w:tr>
      <w:tr>
        <w:trPr>
          <w:trHeight w:val="167"/>
        </w:trPr>
        <w:tc>
          <w:tcPr>
            <w:tcW w:w="1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 expiry</w:t>
            </w:r>
          </w:p>
        </w:tc>
        <w:tc>
          <w:tcPr>
            <w:tcW w:w="5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2 229</w:t>
            </w:r>
          </w:p>
        </w:tc>
        <w:tc>
          <w:tcPr>
            <w:tcW w:w="5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18 457</w:t>
            </w:r>
          </w:p>
        </w:tc>
        <w:tc>
          <w:tcPr>
            <w:tcW w:w="60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20 686</w:t>
            </w:r>
          </w:p>
        </w:tc>
        <w:tc>
          <w:tcPr>
            <w:tcW w:w="64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2 095</w:t>
            </w:r>
          </w:p>
        </w:tc>
        <w:tc>
          <w:tcPr>
            <w:tcW w:w="68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17 073</w:t>
            </w:r>
          </w:p>
        </w:tc>
        <w:tc>
          <w:tcPr>
            <w:tcW w:w="5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19 168</w:t>
            </w:r>
          </w:p>
        </w:tc>
      </w:tr>
      <w:tr>
        <w:trPr>
          <w:trHeight w:val="142"/>
        </w:trPr>
        <w:tc>
          <w:tcPr>
            <w:tcW w:w="1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3 621</w:t>
            </w:r>
          </w:p>
        </w:tc>
        <w:tc>
          <w:tcPr>
            <w:tcW w:w="5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19 482</w:t>
            </w:r>
          </w:p>
        </w:tc>
        <w:tc>
          <w:tcPr>
            <w:tcW w:w="60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23 103</w:t>
            </w:r>
          </w:p>
        </w:tc>
        <w:tc>
          <w:tcPr>
            <w:tcW w:w="64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b w:val="1"/>
                <w:bCs w:val="1"/>
                <w:color w:val="auto"/>
              </w:rPr>
              <w:t>3 439</w:t>
            </w:r>
          </w:p>
        </w:tc>
        <w:tc>
          <w:tcPr>
            <w:tcW w:w="68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18 324</w:t>
            </w:r>
          </w:p>
        </w:tc>
        <w:tc>
          <w:tcPr>
            <w:tcW w:w="5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21 763</w:t>
            </w:r>
          </w:p>
        </w:tc>
      </w:tr>
      <w:tr>
        <w:trPr>
          <w:trHeight w:val="137"/>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Tax credits</w:t>
            </w:r>
          </w:p>
        </w:tc>
        <w:tc>
          <w:tcPr>
            <w:tcW w:w="58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60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500" w:type="dxa"/>
            <w:vAlign w:val="bottom"/>
          </w:tcPr>
          <w:p>
            <w:pPr>
              <w:spacing w:after="0"/>
              <w:rPr>
                <w:sz w:val="11"/>
                <w:szCs w:val="11"/>
                <w:color w:val="auto"/>
              </w:rPr>
            </w:pPr>
          </w:p>
        </w:tc>
      </w:tr>
      <w:tr>
        <w:trPr>
          <w:trHeight w:val="162"/>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Within 10 years</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143</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329</w:t>
            </w:r>
          </w:p>
        </w:tc>
        <w:tc>
          <w:tcPr>
            <w:tcW w:w="6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472</w:t>
            </w:r>
          </w:p>
        </w:tc>
        <w:tc>
          <w:tcPr>
            <w:tcW w:w="640" w:type="dxa"/>
            <w:vAlign w:val="bottom"/>
            <w:gridSpan w:val="2"/>
          </w:tcPr>
          <w:p>
            <w:pPr>
              <w:jc w:val="right"/>
              <w:ind w:right="14"/>
              <w:spacing w:after="0"/>
              <w:rPr>
                <w:sz w:val="20"/>
                <w:szCs w:val="20"/>
                <w:color w:val="auto"/>
              </w:rPr>
            </w:pPr>
            <w:r>
              <w:rPr>
                <w:rFonts w:ascii="Times New Roman" w:cs="Times New Roman" w:eastAsia="Times New Roman" w:hAnsi="Times New Roman"/>
                <w:sz w:val="10"/>
                <w:szCs w:val="10"/>
                <w:color w:val="0D0D0D"/>
              </w:rPr>
              <w:t>85</w:t>
            </w:r>
          </w:p>
        </w:tc>
        <w:tc>
          <w:tcPr>
            <w:tcW w:w="6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286</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371</w:t>
            </w:r>
          </w:p>
        </w:tc>
      </w:tr>
      <w:tr>
        <w:trPr>
          <w:trHeight w:val="162"/>
        </w:trPr>
        <w:tc>
          <w:tcPr>
            <w:tcW w:w="13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Thereafter</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48</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60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49</w:t>
            </w:r>
          </w:p>
        </w:tc>
        <w:tc>
          <w:tcPr>
            <w:tcW w:w="640" w:type="dxa"/>
            <w:vAlign w:val="bottom"/>
            <w:gridSpan w:val="2"/>
          </w:tcPr>
          <w:p>
            <w:pPr>
              <w:jc w:val="right"/>
              <w:ind w:right="14"/>
              <w:spacing w:after="0"/>
              <w:rPr>
                <w:sz w:val="20"/>
                <w:szCs w:val="20"/>
                <w:color w:val="auto"/>
              </w:rPr>
            </w:pPr>
            <w:r>
              <w:rPr>
                <w:rFonts w:ascii="Times New Roman" w:cs="Times New Roman" w:eastAsia="Times New Roman" w:hAnsi="Times New Roman"/>
                <w:sz w:val="10"/>
                <w:szCs w:val="10"/>
                <w:color w:val="0D0D0D"/>
              </w:rPr>
              <w:t>47</w:t>
            </w:r>
          </w:p>
        </w:tc>
        <w:tc>
          <w:tcPr>
            <w:tcW w:w="6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4</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51</w:t>
            </w:r>
          </w:p>
        </w:tc>
      </w:tr>
      <w:tr>
        <w:trPr>
          <w:trHeight w:val="167"/>
        </w:trPr>
        <w:tc>
          <w:tcPr>
            <w:tcW w:w="1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 expiry</w:t>
            </w:r>
          </w:p>
        </w:tc>
        <w:tc>
          <w:tcPr>
            <w:tcW w:w="5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154</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w:t>
            </w:r>
          </w:p>
        </w:tc>
        <w:tc>
          <w:tcPr>
            <w:tcW w:w="60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168</w:t>
            </w:r>
          </w:p>
        </w:tc>
        <w:tc>
          <w:tcPr>
            <w:tcW w:w="64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117</w:t>
            </w:r>
          </w:p>
        </w:tc>
        <w:tc>
          <w:tcPr>
            <w:tcW w:w="6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21</w:t>
            </w:r>
          </w:p>
        </w:tc>
        <w:tc>
          <w:tcPr>
            <w:tcW w:w="5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138</w:t>
            </w:r>
          </w:p>
        </w:tc>
      </w:tr>
      <w:tr>
        <w:trPr>
          <w:trHeight w:val="142"/>
        </w:trPr>
        <w:tc>
          <w:tcPr>
            <w:tcW w:w="1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345</w:t>
            </w:r>
          </w:p>
        </w:tc>
        <w:tc>
          <w:tcPr>
            <w:tcW w:w="5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344</w:t>
            </w:r>
          </w:p>
        </w:tc>
        <w:tc>
          <w:tcPr>
            <w:tcW w:w="60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689</w:t>
            </w:r>
          </w:p>
        </w:tc>
        <w:tc>
          <w:tcPr>
            <w:tcW w:w="64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b w:val="1"/>
                <w:bCs w:val="1"/>
                <w:color w:val="auto"/>
              </w:rPr>
              <w:t>249</w:t>
            </w:r>
          </w:p>
        </w:tc>
        <w:tc>
          <w:tcPr>
            <w:tcW w:w="6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311</w:t>
            </w:r>
          </w:p>
        </w:tc>
        <w:tc>
          <w:tcPr>
            <w:tcW w:w="5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560</w:t>
            </w:r>
          </w:p>
        </w:tc>
      </w:tr>
    </w:tbl>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continually evaluates the probability of utilizing its deferred tax assets and considers both</w:t>
      </w:r>
    </w:p>
    <w:p>
      <w:pPr>
        <w:spacing w:after="0" w:line="22"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positive and negative evidence in its assessment. At 31 December 2021 , Nokia concluded based on its assessment that it was not probable that it would have been able to utilize the unused</w:t>
      </w:r>
    </w:p>
    <w:p>
      <w:pPr>
        <w:ind w:right="460"/>
        <w:spacing w:after="0" w:line="265" w:lineRule="auto"/>
        <w:rPr>
          <w:sz w:val="20"/>
          <w:szCs w:val="20"/>
          <w:color w:val="auto"/>
        </w:rPr>
      </w:pPr>
      <w:r>
        <w:rPr>
          <w:rFonts w:ascii="Times New Roman" w:cs="Times New Roman" w:eastAsia="Times New Roman" w:hAnsi="Times New Roman"/>
          <w:sz w:val="11"/>
          <w:szCs w:val="11"/>
          <w:color w:val="auto"/>
        </w:rPr>
        <w:t>tax losses, unused tax credits and deductible temporary differences in Finland, which were generated over a longer period including as a result of historical operating performance and integration costs in Finland related to the 2016 acquisition of Alcatel-Lucent. This conclusion was based on the weighting of objective negative evidence of cumulative taxable losses against more subjective positive evidence. The primary factors in this weighting were the more objective record of a pattern of historical financial performance compared to the more inherently subjective expectations regarding future financial performance in Finland.</w:t>
      </w:r>
    </w:p>
    <w:p>
      <w:pPr>
        <w:spacing w:after="0" w:line="52" w:lineRule="exact"/>
        <w:rPr>
          <w:sz w:val="20"/>
          <w:szCs w:val="20"/>
          <w:color w:val="auto"/>
        </w:rPr>
      </w:pPr>
    </w:p>
    <w:p>
      <w:pPr>
        <w:ind w:right="460"/>
        <w:spacing w:after="0" w:line="263" w:lineRule="auto"/>
        <w:rPr>
          <w:sz w:val="20"/>
          <w:szCs w:val="20"/>
          <w:color w:val="auto"/>
        </w:rPr>
      </w:pPr>
      <w:r>
        <w:rPr>
          <w:rFonts w:ascii="Times New Roman" w:cs="Times New Roman" w:eastAsia="Times New Roman" w:hAnsi="Times New Roman"/>
          <w:sz w:val="11"/>
          <w:szCs w:val="11"/>
          <w:color w:val="auto"/>
        </w:rPr>
        <w:t>In 2022 , Nokia generated accounting and taxable profit in Finland and there were improvements in financial performance compared to preceding periods. The changes arose from the underlying improvements in operating performance. These improvements are expected to be sustained in the upcoming years, as well as over the longer term. In addition, Nokia has determined that, in 2022, a pattern of material taxable profits was re-established in Finland. Nokia’s re-established pattern of profitability together with Nokia’s forecasts of future taxable profit in Finland provides positive evidence about its ability to utilize the unused tax losses and deductible temporary differences in Finland. At 31 December 2022, Nokia concluded based on its assessment that it is probable that it will be able to utilize the unused tax losses and deductible</w:t>
      </w:r>
    </w:p>
    <w:p>
      <w:pPr>
        <w:spacing w:after="0" w:line="3" w:lineRule="exact"/>
        <w:rPr>
          <w:sz w:val="20"/>
          <w:szCs w:val="20"/>
          <w:color w:val="auto"/>
        </w:rPr>
      </w:pPr>
    </w:p>
    <w:p>
      <w:pPr>
        <w:spacing w:after="0"/>
        <w:tabs>
          <w:tab w:leader="none" w:pos="3500" w:val="left"/>
        </w:tabs>
        <w:rPr>
          <w:sz w:val="20"/>
          <w:szCs w:val="20"/>
          <w:color w:val="auto"/>
        </w:rPr>
      </w:pPr>
      <w:r>
        <w:rPr>
          <w:rFonts w:ascii="Times New Roman" w:cs="Times New Roman" w:eastAsia="Times New Roman" w:hAnsi="Times New Roman"/>
          <w:sz w:val="11"/>
          <w:szCs w:val="11"/>
          <w:color w:val="auto"/>
        </w:rPr>
        <w:t>temporary differences and re-recognized deferred tax assets of EUR</w:t>
      </w:r>
      <w:r>
        <w:rPr>
          <w:sz w:val="20"/>
          <w:szCs w:val="20"/>
          <w:color w:val="auto"/>
        </w:rPr>
        <w:tab/>
      </w:r>
      <w:r>
        <w:rPr>
          <w:rFonts w:ascii="Times New Roman" w:cs="Times New Roman" w:eastAsia="Times New Roman" w:hAnsi="Times New Roman"/>
          <w:sz w:val="11"/>
          <w:szCs w:val="11"/>
          <w:color w:val="auto"/>
        </w:rPr>
        <w:t>2.5 billion in the statement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financial position.</w:t>
      </w:r>
    </w:p>
    <w:p>
      <w:pPr>
        <w:spacing w:after="0" w:line="84" w:lineRule="exact"/>
        <w:rPr>
          <w:sz w:val="20"/>
          <w:szCs w:val="20"/>
          <w:color w:val="auto"/>
        </w:rPr>
      </w:pPr>
    </w:p>
    <w:p>
      <w:pPr>
        <w:ind w:right="560"/>
        <w:spacing w:after="0" w:line="269" w:lineRule="auto"/>
        <w:rPr>
          <w:sz w:val="20"/>
          <w:szCs w:val="20"/>
          <w:color w:val="auto"/>
        </w:rPr>
      </w:pPr>
      <w:r>
        <w:rPr>
          <w:rFonts w:ascii="Times New Roman" w:cs="Times New Roman" w:eastAsia="Times New Roman" w:hAnsi="Times New Roman"/>
          <w:sz w:val="11"/>
          <w:szCs w:val="11"/>
          <w:color w:val="auto"/>
        </w:rPr>
        <w:t>In 2023 , Nokia generated accounting and taxable profit in Finland and continued to recognize net deferred tax assets related to Finland. In performing its assessment, Nokia has not applied any cut-off period, other than expiry under the relevant tax legislation. A significant portion of Finnish deferred tax assets are indefinite in nature and available fully against future Finnish tax liabilities. Due to the non-expiry of these assets, the sensitivity of future profit projections affects mainly the period of time over which the deferred tax assets are expected to be utilized.</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Income tax related to items of other comprehensive income</w:t>
      </w:r>
    </w:p>
    <w:p>
      <w:pPr>
        <w:spacing w:after="0" w:line="54"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740" w:type="dxa"/>
            <w:vAlign w:val="bottom"/>
          </w:tcPr>
          <w:p>
            <w:pPr>
              <w:spacing w:after="0"/>
              <w:rPr>
                <w:sz w:val="9"/>
                <w:szCs w:val="9"/>
                <w:color w:val="auto"/>
              </w:rPr>
            </w:pPr>
          </w:p>
        </w:tc>
        <w:tc>
          <w:tcPr>
            <w:tcW w:w="320" w:type="dxa"/>
            <w:vAlign w:val="bottom"/>
            <w:tcBorders>
              <w:bottom w:val="single" w:sz="8" w:color="005AFF"/>
            </w:tcBorders>
          </w:tcPr>
          <w:p>
            <w:pPr>
              <w:spacing w:after="0"/>
              <w:rPr>
                <w:sz w:val="9"/>
                <w:szCs w:val="9"/>
                <w:color w:val="auto"/>
              </w:rPr>
            </w:pPr>
          </w:p>
        </w:tc>
        <w:tc>
          <w:tcPr>
            <w:tcW w:w="36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2023</w:t>
            </w:r>
          </w:p>
        </w:tc>
        <w:tc>
          <w:tcPr>
            <w:tcW w:w="36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360" w:type="dxa"/>
            <w:vAlign w:val="bottom"/>
            <w:tcBorders>
              <w:bottom w:val="single" w:sz="8" w:color="005AFF"/>
            </w:tcBorders>
          </w:tcPr>
          <w:p>
            <w:pPr>
              <w:spacing w:after="0"/>
              <w:rPr>
                <w:sz w:val="9"/>
                <w:szCs w:val="9"/>
                <w:color w:val="auto"/>
              </w:rPr>
            </w:pPr>
          </w:p>
        </w:tc>
        <w:tc>
          <w:tcPr>
            <w:tcW w:w="36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2022</w:t>
            </w:r>
          </w:p>
        </w:tc>
        <w:tc>
          <w:tcPr>
            <w:tcW w:w="30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360" w:type="dxa"/>
            <w:vAlign w:val="bottom"/>
            <w:tcBorders>
              <w:bottom w:val="single" w:sz="8" w:color="005AFF"/>
            </w:tcBorders>
          </w:tcPr>
          <w:p>
            <w:pPr>
              <w:spacing w:after="0"/>
              <w:rPr>
                <w:sz w:val="9"/>
                <w:szCs w:val="9"/>
                <w:color w:val="auto"/>
              </w:rPr>
            </w:pPr>
          </w:p>
        </w:tc>
        <w:tc>
          <w:tcPr>
            <w:tcW w:w="3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8"/>
                <w:szCs w:val="8"/>
                <w:b w:val="1"/>
                <w:bCs w:val="1"/>
                <w:color w:val="005AFF"/>
              </w:rPr>
              <w:t>2021</w:t>
            </w:r>
          </w:p>
        </w:tc>
        <w:tc>
          <w:tcPr>
            <w:tcW w:w="340" w:type="dxa"/>
            <w:vAlign w:val="bottom"/>
            <w:tcBorders>
              <w:bottom w:val="single" w:sz="8" w:color="005AFF"/>
            </w:tcBorders>
          </w:tcPr>
          <w:p>
            <w:pPr>
              <w:spacing w:after="0"/>
              <w:rPr>
                <w:sz w:val="9"/>
                <w:szCs w:val="9"/>
                <w:color w:val="auto"/>
              </w:rPr>
            </w:pPr>
          </w:p>
        </w:tc>
      </w:tr>
      <w:tr>
        <w:trPr>
          <w:trHeight w:val="142"/>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3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Gross</w:t>
            </w:r>
          </w:p>
        </w:tc>
        <w:tc>
          <w:tcPr>
            <w:tcW w:w="3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Tax</w:t>
            </w:r>
          </w:p>
        </w:tc>
        <w:tc>
          <w:tcPr>
            <w:tcW w:w="3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Net</w:t>
            </w:r>
          </w:p>
        </w:tc>
        <w:tc>
          <w:tcPr>
            <w:tcW w:w="4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ind w:right="60"/>
              <w:spacing w:after="0"/>
              <w:rPr>
                <w:sz w:val="20"/>
                <w:szCs w:val="20"/>
                <w:color w:val="auto"/>
              </w:rPr>
            </w:pPr>
            <w:r>
              <w:rPr>
                <w:rFonts w:ascii="Times New Roman" w:cs="Times New Roman" w:eastAsia="Times New Roman" w:hAnsi="Times New Roman"/>
                <w:sz w:val="8"/>
                <w:szCs w:val="8"/>
                <w:b w:val="1"/>
                <w:bCs w:val="1"/>
                <w:color w:val="005AFF"/>
              </w:rPr>
              <w:t>Gross</w:t>
            </w:r>
          </w:p>
        </w:tc>
        <w:tc>
          <w:tcPr>
            <w:tcW w:w="36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Tax</w:t>
            </w:r>
          </w:p>
        </w:tc>
        <w:tc>
          <w:tcPr>
            <w:tcW w:w="340" w:type="dxa"/>
            <w:vAlign w:val="bottom"/>
            <w:tcBorders>
              <w:bottom w:val="single" w:sz="8" w:color="005AFF"/>
            </w:tcBorders>
            <w:gridSpan w:val="2"/>
          </w:tcPr>
          <w:p>
            <w:pPr>
              <w:ind w:left="140"/>
              <w:spacing w:after="0"/>
              <w:rPr>
                <w:sz w:val="20"/>
                <w:szCs w:val="20"/>
                <w:color w:val="auto"/>
              </w:rPr>
            </w:pPr>
            <w:r>
              <w:rPr>
                <w:rFonts w:ascii="Times New Roman" w:cs="Times New Roman" w:eastAsia="Times New Roman" w:hAnsi="Times New Roman"/>
                <w:sz w:val="8"/>
                <w:szCs w:val="8"/>
                <w:b w:val="1"/>
                <w:bCs w:val="1"/>
                <w:color w:val="005AFF"/>
              </w:rPr>
              <w:t>Net</w:t>
            </w:r>
          </w:p>
        </w:tc>
        <w:tc>
          <w:tcPr>
            <w:tcW w:w="3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Gross</w:t>
            </w:r>
          </w:p>
        </w:tc>
        <w:tc>
          <w:tcPr>
            <w:tcW w:w="34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8"/>
                <w:szCs w:val="8"/>
                <w:b w:val="1"/>
                <w:bCs w:val="1"/>
                <w:color w:val="005AFF"/>
              </w:rPr>
              <w:t>Tax</w:t>
            </w:r>
          </w:p>
        </w:tc>
        <w:tc>
          <w:tcPr>
            <w:tcW w:w="3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Net</w:t>
            </w:r>
          </w:p>
        </w:tc>
      </w:tr>
      <w:tr>
        <w:trPr>
          <w:trHeight w:val="131"/>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 of defined benefit</w:t>
            </w:r>
          </w:p>
        </w:tc>
        <w:tc>
          <w:tcPr>
            <w:tcW w:w="320" w:type="dxa"/>
            <w:vAlign w:val="bottom"/>
            <w:shd w:val="clear" w:color="auto" w:fill="F0F5FF"/>
          </w:tcPr>
          <w:p>
            <w:pPr>
              <w:spacing w:after="0"/>
              <w:rPr>
                <w:sz w:val="11"/>
                <w:szCs w:val="11"/>
                <w:color w:val="auto"/>
              </w:rPr>
            </w:pPr>
          </w:p>
        </w:tc>
        <w:tc>
          <w:tcPr>
            <w:tcW w:w="360" w:type="dxa"/>
            <w:vAlign w:val="bottom"/>
            <w:shd w:val="clear" w:color="auto" w:fill="F0F5FF"/>
          </w:tcPr>
          <w:p>
            <w:pPr>
              <w:spacing w:after="0"/>
              <w:rPr>
                <w:sz w:val="11"/>
                <w:szCs w:val="11"/>
                <w:color w:val="auto"/>
              </w:rPr>
            </w:pPr>
          </w:p>
        </w:tc>
        <w:tc>
          <w:tcPr>
            <w:tcW w:w="36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340" w:type="dxa"/>
            <w:vAlign w:val="bottom"/>
          </w:tcPr>
          <w:p>
            <w:pPr>
              <w:spacing w:after="0"/>
              <w:rPr>
                <w:sz w:val="11"/>
                <w:szCs w:val="11"/>
                <w:color w:val="auto"/>
              </w:rPr>
            </w:pPr>
          </w:p>
        </w:tc>
        <w:tc>
          <w:tcPr>
            <w:tcW w:w="340" w:type="dxa"/>
            <w:vAlign w:val="bottom"/>
          </w:tcPr>
          <w:p>
            <w:pPr>
              <w:spacing w:after="0"/>
              <w:rPr>
                <w:sz w:val="11"/>
                <w:szCs w:val="11"/>
                <w:color w:val="auto"/>
              </w:rPr>
            </w:pPr>
          </w:p>
        </w:tc>
      </w:tr>
      <w:tr>
        <w:trPr>
          <w:trHeight w:val="13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plans</w:t>
            </w:r>
          </w:p>
        </w:tc>
        <w:tc>
          <w:tcPr>
            <w:tcW w:w="3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(343)</w:t>
            </w:r>
          </w:p>
        </w:tc>
        <w:tc>
          <w:tcPr>
            <w:tcW w:w="3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61</w:t>
            </w:r>
          </w:p>
        </w:tc>
        <w:tc>
          <w:tcPr>
            <w:tcW w:w="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(282)</w:t>
            </w:r>
          </w:p>
        </w:tc>
        <w:tc>
          <w:tcPr>
            <w:tcW w:w="400" w:type="dxa"/>
            <w:vAlign w:val="bottom"/>
            <w:gridSpan w:val="2"/>
          </w:tcPr>
          <w:p>
            <w:pPr>
              <w:jc w:val="right"/>
              <w:ind w:right="40"/>
              <w:spacing w:after="0"/>
              <w:rPr>
                <w:sz w:val="20"/>
                <w:szCs w:val="20"/>
                <w:color w:val="auto"/>
              </w:rPr>
            </w:pPr>
            <w:r>
              <w:rPr>
                <w:rFonts w:ascii="Times New Roman" w:cs="Times New Roman" w:eastAsia="Times New Roman" w:hAnsi="Times New Roman"/>
                <w:sz w:val="10"/>
                <w:szCs w:val="10"/>
                <w:color w:val="0D0D0D"/>
              </w:rPr>
              <w:t>(424)</w:t>
            </w:r>
          </w:p>
        </w:tc>
        <w:tc>
          <w:tcPr>
            <w:tcW w:w="36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77</w:t>
            </w:r>
          </w:p>
        </w:tc>
        <w:tc>
          <w:tcPr>
            <w:tcW w:w="3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(347)</w:t>
            </w:r>
          </w:p>
        </w:tc>
        <w:tc>
          <w:tcPr>
            <w:tcW w:w="40" w:type="dxa"/>
            <w:vAlign w:val="bottom"/>
          </w:tcPr>
          <w:p>
            <w:pPr>
              <w:spacing w:after="0"/>
              <w:rPr>
                <w:sz w:val="11"/>
                <w:szCs w:val="11"/>
                <w:color w:val="auto"/>
              </w:rPr>
            </w:pPr>
          </w:p>
        </w:tc>
        <w:tc>
          <w:tcPr>
            <w:tcW w:w="3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3 040</w:t>
            </w:r>
          </w:p>
        </w:tc>
        <w:tc>
          <w:tcPr>
            <w:tcW w:w="340" w:type="dxa"/>
            <w:vAlign w:val="bottom"/>
          </w:tcPr>
          <w:p>
            <w:pPr>
              <w:ind w:left="80"/>
              <w:spacing w:after="0"/>
              <w:rPr>
                <w:sz w:val="20"/>
                <w:szCs w:val="20"/>
                <w:color w:val="auto"/>
              </w:rPr>
            </w:pPr>
            <w:r>
              <w:rPr>
                <w:rFonts w:ascii="Times New Roman" w:cs="Times New Roman" w:eastAsia="Times New Roman" w:hAnsi="Times New Roman"/>
                <w:sz w:val="10"/>
                <w:szCs w:val="10"/>
                <w:color w:val="0D0D0D"/>
              </w:rPr>
              <w:t>(755)</w:t>
            </w:r>
          </w:p>
        </w:tc>
        <w:tc>
          <w:tcPr>
            <w:tcW w:w="3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2 285</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3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(535)</w:t>
            </w:r>
          </w:p>
        </w:tc>
        <w:tc>
          <w:tcPr>
            <w:tcW w:w="3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7</w:t>
            </w:r>
          </w:p>
        </w:tc>
        <w:tc>
          <w:tcPr>
            <w:tcW w:w="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(528)</w:t>
            </w:r>
          </w:p>
        </w:tc>
        <w:tc>
          <w:tcPr>
            <w:tcW w:w="400" w:type="dxa"/>
            <w:vAlign w:val="bottom"/>
            <w:gridSpan w:val="2"/>
          </w:tcPr>
          <w:p>
            <w:pPr>
              <w:jc w:val="right"/>
              <w:ind w:right="80"/>
              <w:spacing w:after="0"/>
              <w:rPr>
                <w:sz w:val="20"/>
                <w:szCs w:val="20"/>
                <w:color w:val="auto"/>
              </w:rPr>
            </w:pPr>
            <w:r>
              <w:rPr>
                <w:rFonts w:ascii="Times New Roman" w:cs="Times New Roman" w:eastAsia="Times New Roman" w:hAnsi="Times New Roman"/>
                <w:sz w:val="10"/>
                <w:szCs w:val="10"/>
                <w:color w:val="0D0D0D"/>
              </w:rPr>
              <w:t>710</w:t>
            </w:r>
          </w:p>
        </w:tc>
        <w:tc>
          <w:tcPr>
            <w:tcW w:w="36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1</w:t>
            </w:r>
          </w:p>
        </w:tc>
        <w:tc>
          <w:tcPr>
            <w:tcW w:w="3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711</w:t>
            </w:r>
          </w:p>
        </w:tc>
        <w:tc>
          <w:tcPr>
            <w:tcW w:w="40" w:type="dxa"/>
            <w:vAlign w:val="bottom"/>
          </w:tcPr>
          <w:p>
            <w:pPr>
              <w:spacing w:after="0"/>
              <w:rPr>
                <w:sz w:val="14"/>
                <w:szCs w:val="14"/>
                <w:color w:val="auto"/>
              </w:rPr>
            </w:pPr>
          </w:p>
        </w:tc>
        <w:tc>
          <w:tcPr>
            <w:tcW w:w="36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1 153</w:t>
            </w:r>
          </w:p>
        </w:tc>
        <w:tc>
          <w:tcPr>
            <w:tcW w:w="340" w:type="dxa"/>
            <w:vAlign w:val="bottom"/>
          </w:tcPr>
          <w:p>
            <w:pPr>
              <w:jc w:val="center"/>
              <w:ind w:left="112"/>
              <w:spacing w:after="0"/>
              <w:rPr>
                <w:sz w:val="20"/>
                <w:szCs w:val="20"/>
                <w:color w:val="auto"/>
              </w:rPr>
            </w:pPr>
            <w:r>
              <w:rPr>
                <w:rFonts w:ascii="Times New Roman" w:cs="Times New Roman" w:eastAsia="Times New Roman" w:hAnsi="Times New Roman"/>
                <w:sz w:val="10"/>
                <w:szCs w:val="10"/>
                <w:color w:val="0D0D0D"/>
              </w:rPr>
              <w:t>2</w:t>
            </w:r>
          </w:p>
        </w:tc>
        <w:tc>
          <w:tcPr>
            <w:tcW w:w="3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1 155</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hedges</w:t>
            </w:r>
          </w:p>
        </w:tc>
        <w:tc>
          <w:tcPr>
            <w:tcW w:w="3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135</w:t>
            </w:r>
          </w:p>
        </w:tc>
        <w:tc>
          <w:tcPr>
            <w:tcW w:w="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(27)</w:t>
            </w:r>
          </w:p>
        </w:tc>
        <w:tc>
          <w:tcPr>
            <w:tcW w:w="36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108</w:t>
            </w:r>
          </w:p>
        </w:tc>
        <w:tc>
          <w:tcPr>
            <w:tcW w:w="400" w:type="dxa"/>
            <w:vAlign w:val="bottom"/>
            <w:gridSpan w:val="2"/>
          </w:tcPr>
          <w:p>
            <w:pPr>
              <w:jc w:val="right"/>
              <w:ind w:right="40"/>
              <w:spacing w:after="0"/>
              <w:rPr>
                <w:sz w:val="20"/>
                <w:szCs w:val="20"/>
                <w:color w:val="auto"/>
              </w:rPr>
            </w:pPr>
            <w:r>
              <w:rPr>
                <w:rFonts w:ascii="Times New Roman" w:cs="Times New Roman" w:eastAsia="Times New Roman" w:hAnsi="Times New Roman"/>
                <w:sz w:val="10"/>
                <w:szCs w:val="10"/>
                <w:color w:val="0D0D0D"/>
              </w:rPr>
              <w:t>(127)</w:t>
            </w:r>
          </w:p>
        </w:tc>
        <w:tc>
          <w:tcPr>
            <w:tcW w:w="36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(20)</w:t>
            </w:r>
          </w:p>
        </w:tc>
        <w:tc>
          <w:tcPr>
            <w:tcW w:w="3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(147)</w:t>
            </w:r>
          </w:p>
        </w:tc>
        <w:tc>
          <w:tcPr>
            <w:tcW w:w="40" w:type="dxa"/>
            <w:vAlign w:val="bottom"/>
          </w:tcPr>
          <w:p>
            <w:pPr>
              <w:spacing w:after="0"/>
              <w:rPr>
                <w:sz w:val="14"/>
                <w:szCs w:val="14"/>
                <w:color w:val="auto"/>
              </w:rPr>
            </w:pPr>
          </w:p>
        </w:tc>
        <w:tc>
          <w:tcPr>
            <w:tcW w:w="3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(249)</w:t>
            </w:r>
          </w:p>
        </w:tc>
        <w:tc>
          <w:tcPr>
            <w:tcW w:w="340" w:type="dxa"/>
            <w:vAlign w:val="bottom"/>
          </w:tcPr>
          <w:p>
            <w:pPr>
              <w:jc w:val="center"/>
              <w:ind w:left="112"/>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(249)</w:t>
            </w:r>
          </w:p>
        </w:tc>
      </w:tr>
      <w:tr>
        <w:trPr>
          <w:trHeight w:val="162"/>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 and other hedges</w:t>
            </w:r>
          </w:p>
        </w:tc>
        <w:tc>
          <w:tcPr>
            <w:tcW w:w="3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(61)</w:t>
            </w:r>
          </w:p>
        </w:tc>
        <w:tc>
          <w:tcPr>
            <w:tcW w:w="3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10</w:t>
            </w:r>
          </w:p>
        </w:tc>
        <w:tc>
          <w:tcPr>
            <w:tcW w:w="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(51)</w:t>
            </w:r>
          </w:p>
        </w:tc>
        <w:tc>
          <w:tcPr>
            <w:tcW w:w="400" w:type="dxa"/>
            <w:vAlign w:val="bottom"/>
            <w:gridSpan w:val="2"/>
          </w:tcPr>
          <w:p>
            <w:pPr>
              <w:jc w:val="right"/>
              <w:ind w:right="60"/>
              <w:spacing w:after="0"/>
              <w:rPr>
                <w:sz w:val="20"/>
                <w:szCs w:val="20"/>
                <w:color w:val="auto"/>
              </w:rPr>
            </w:pPr>
            <w:r>
              <w:rPr>
                <w:rFonts w:ascii="Times New Roman" w:cs="Times New Roman" w:eastAsia="Times New Roman" w:hAnsi="Times New Roman"/>
                <w:sz w:val="10"/>
                <w:szCs w:val="10"/>
                <w:color w:val="0D0D0D"/>
              </w:rPr>
              <w:t>83</w:t>
            </w:r>
          </w:p>
        </w:tc>
        <w:tc>
          <w:tcPr>
            <w:tcW w:w="36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(15)</w:t>
            </w:r>
          </w:p>
        </w:tc>
        <w:tc>
          <w:tcPr>
            <w:tcW w:w="3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68</w:t>
            </w:r>
          </w:p>
        </w:tc>
        <w:tc>
          <w:tcPr>
            <w:tcW w:w="40" w:type="dxa"/>
            <w:vAlign w:val="bottom"/>
          </w:tcPr>
          <w:p>
            <w:pPr>
              <w:spacing w:after="0"/>
              <w:rPr>
                <w:sz w:val="14"/>
                <w:szCs w:val="14"/>
                <w:color w:val="auto"/>
              </w:rPr>
            </w:pPr>
          </w:p>
        </w:tc>
        <w:tc>
          <w:tcPr>
            <w:tcW w:w="360" w:type="dxa"/>
            <w:vAlign w:val="bottom"/>
          </w:tcPr>
          <w:p>
            <w:pPr>
              <w:jc w:val="center"/>
              <w:ind w:left="91"/>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Pr>
          <w:p>
            <w:pPr>
              <w:jc w:val="center"/>
              <w:ind w:left="112"/>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Pr>
          <w:p>
            <w:pPr>
              <w:jc w:val="center"/>
              <w:ind w:left="151"/>
              <w:spacing w:after="0"/>
              <w:rPr>
                <w:sz w:val="20"/>
                <w:szCs w:val="20"/>
                <w:color w:val="auto"/>
              </w:rPr>
            </w:pPr>
            <w:r>
              <w:rPr>
                <w:rFonts w:ascii="Times New Roman" w:cs="Times New Roman" w:eastAsia="Times New Roman" w:hAnsi="Times New Roman"/>
                <w:sz w:val="10"/>
                <w:szCs w:val="10"/>
                <w:color w:val="0D0D0D"/>
                <w:w w:val="99"/>
              </w:rPr>
              <w:t>—</w:t>
            </w:r>
          </w:p>
        </w:tc>
      </w:tr>
      <w:tr>
        <w:trPr>
          <w:trHeight w:val="163"/>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Financial assets at fair value through</w:t>
            </w:r>
          </w:p>
        </w:tc>
        <w:tc>
          <w:tcPr>
            <w:tcW w:w="320" w:type="dxa"/>
            <w:vAlign w:val="bottom"/>
            <w:shd w:val="clear" w:color="auto" w:fill="F0F5FF"/>
          </w:tcPr>
          <w:p>
            <w:pPr>
              <w:spacing w:after="0"/>
              <w:rPr>
                <w:sz w:val="14"/>
                <w:szCs w:val="14"/>
                <w:color w:val="auto"/>
              </w:rPr>
            </w:pPr>
          </w:p>
        </w:tc>
        <w:tc>
          <w:tcPr>
            <w:tcW w:w="360" w:type="dxa"/>
            <w:vAlign w:val="bottom"/>
            <w:shd w:val="clear" w:color="auto" w:fill="F0F5FF"/>
          </w:tcPr>
          <w:p>
            <w:pPr>
              <w:spacing w:after="0"/>
              <w:rPr>
                <w:sz w:val="14"/>
                <w:szCs w:val="14"/>
                <w:color w:val="auto"/>
              </w:rPr>
            </w:pPr>
          </w:p>
        </w:tc>
        <w:tc>
          <w:tcPr>
            <w:tcW w:w="36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30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340" w:type="dxa"/>
            <w:vAlign w:val="bottom"/>
          </w:tcPr>
          <w:p>
            <w:pPr>
              <w:spacing w:after="0"/>
              <w:rPr>
                <w:sz w:val="14"/>
                <w:szCs w:val="14"/>
                <w:color w:val="auto"/>
              </w:rPr>
            </w:pPr>
          </w:p>
        </w:tc>
        <w:tc>
          <w:tcPr>
            <w:tcW w:w="340" w:type="dxa"/>
            <w:vAlign w:val="bottom"/>
          </w:tcPr>
          <w:p>
            <w:pPr>
              <w:spacing w:after="0"/>
              <w:rPr>
                <w:sz w:val="14"/>
                <w:szCs w:val="14"/>
                <w:color w:val="auto"/>
              </w:rPr>
            </w:pPr>
          </w:p>
        </w:tc>
      </w:tr>
      <w:tr>
        <w:trPr>
          <w:trHeight w:val="130"/>
        </w:trPr>
        <w:tc>
          <w:tcPr>
            <w:tcW w:w="17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other comprehensive income</w:t>
            </w:r>
          </w:p>
        </w:tc>
        <w:tc>
          <w:tcPr>
            <w:tcW w:w="3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10</w:t>
            </w:r>
          </w:p>
        </w:tc>
        <w:tc>
          <w:tcPr>
            <w:tcW w:w="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3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10</w:t>
            </w:r>
          </w:p>
        </w:tc>
        <w:tc>
          <w:tcPr>
            <w:tcW w:w="400" w:type="dxa"/>
            <w:vAlign w:val="bottom"/>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(46)</w:t>
            </w:r>
          </w:p>
        </w:tc>
        <w:tc>
          <w:tcPr>
            <w:tcW w:w="36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13</w:t>
            </w:r>
          </w:p>
        </w:tc>
        <w:tc>
          <w:tcPr>
            <w:tcW w:w="3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(33)</w:t>
            </w:r>
          </w:p>
        </w:tc>
        <w:tc>
          <w:tcPr>
            <w:tcW w:w="40" w:type="dxa"/>
            <w:vAlign w:val="bottom"/>
          </w:tcPr>
          <w:p>
            <w:pPr>
              <w:spacing w:after="0"/>
              <w:rPr>
                <w:sz w:val="11"/>
                <w:szCs w:val="11"/>
                <w:color w:val="auto"/>
              </w:rPr>
            </w:pPr>
          </w:p>
        </w:tc>
        <w:tc>
          <w:tcPr>
            <w:tcW w:w="360" w:type="dxa"/>
            <w:vAlign w:val="bottom"/>
          </w:tcPr>
          <w:p>
            <w:pPr>
              <w:jc w:val="center"/>
              <w:ind w:left="91"/>
              <w:spacing w:after="0"/>
              <w:rPr>
                <w:sz w:val="20"/>
                <w:szCs w:val="20"/>
                <w:color w:val="auto"/>
              </w:rPr>
            </w:pPr>
            <w:r>
              <w:rPr>
                <w:rFonts w:ascii="Times New Roman" w:cs="Times New Roman" w:eastAsia="Times New Roman" w:hAnsi="Times New Roman"/>
                <w:sz w:val="10"/>
                <w:szCs w:val="10"/>
                <w:color w:val="0D0D0D"/>
              </w:rPr>
              <w:t>7</w:t>
            </w:r>
          </w:p>
        </w:tc>
        <w:tc>
          <w:tcPr>
            <w:tcW w:w="340" w:type="dxa"/>
            <w:vAlign w:val="bottom"/>
          </w:tcPr>
          <w:p>
            <w:pPr>
              <w:jc w:val="center"/>
              <w:ind w:left="112"/>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Pr>
          <w:p>
            <w:pPr>
              <w:jc w:val="center"/>
              <w:ind w:left="131"/>
              <w:spacing w:after="0"/>
              <w:rPr>
                <w:sz w:val="20"/>
                <w:szCs w:val="20"/>
                <w:color w:val="auto"/>
              </w:rPr>
            </w:pPr>
            <w:r>
              <w:rPr>
                <w:rFonts w:ascii="Times New Roman" w:cs="Times New Roman" w:eastAsia="Times New Roman" w:hAnsi="Times New Roman"/>
                <w:sz w:val="10"/>
                <w:szCs w:val="10"/>
                <w:color w:val="0D0D0D"/>
                <w:w w:val="79"/>
              </w:rPr>
              <w:t>7</w:t>
            </w:r>
          </w:p>
        </w:tc>
      </w:tr>
      <w:tr>
        <w:trPr>
          <w:trHeight w:val="167"/>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decrease</w:t>
            </w:r>
          </w:p>
        </w:tc>
        <w:tc>
          <w:tcPr>
            <w:tcW w:w="3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3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3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400" w:type="dxa"/>
            <w:vAlign w:val="bottom"/>
            <w:tcBorders>
              <w:bottom w:val="single" w:sz="8" w:color="005AFF"/>
            </w:tcBorders>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(3)</w:t>
            </w:r>
          </w:p>
        </w:tc>
        <w:tc>
          <w:tcPr>
            <w:tcW w:w="36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w:t>
            </w:r>
          </w:p>
        </w:tc>
        <w:tc>
          <w:tcPr>
            <w:tcW w:w="3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w:t>
            </w:r>
          </w:p>
        </w:tc>
        <w:tc>
          <w:tcPr>
            <w:tcW w:w="4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jc w:val="center"/>
              <w:ind w:left="91"/>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Borders>
              <w:bottom w:val="single" w:sz="8" w:color="005AFF"/>
            </w:tcBorders>
          </w:tcPr>
          <w:p>
            <w:pPr>
              <w:jc w:val="center"/>
              <w:ind w:left="112"/>
              <w:spacing w:after="0"/>
              <w:rPr>
                <w:sz w:val="20"/>
                <w:szCs w:val="20"/>
                <w:color w:val="auto"/>
              </w:rPr>
            </w:pPr>
            <w:r>
              <w:rPr>
                <w:rFonts w:ascii="Times New Roman" w:cs="Times New Roman" w:eastAsia="Times New Roman" w:hAnsi="Times New Roman"/>
                <w:sz w:val="10"/>
                <w:szCs w:val="10"/>
                <w:color w:val="0D0D0D"/>
                <w:w w:val="99"/>
              </w:rPr>
              <w:t>—</w:t>
            </w:r>
          </w:p>
        </w:tc>
        <w:tc>
          <w:tcPr>
            <w:tcW w:w="340" w:type="dxa"/>
            <w:vAlign w:val="bottom"/>
            <w:tcBorders>
              <w:bottom w:val="single" w:sz="8" w:color="005AFF"/>
            </w:tcBorders>
          </w:tcPr>
          <w:p>
            <w:pPr>
              <w:jc w:val="center"/>
              <w:ind w:left="151"/>
              <w:spacing w:after="0"/>
              <w:rPr>
                <w:sz w:val="20"/>
                <w:szCs w:val="20"/>
                <w:color w:val="auto"/>
              </w:rPr>
            </w:pPr>
            <w:r>
              <w:rPr>
                <w:rFonts w:ascii="Times New Roman" w:cs="Times New Roman" w:eastAsia="Times New Roman" w:hAnsi="Times New Roman"/>
                <w:sz w:val="10"/>
                <w:szCs w:val="10"/>
                <w:color w:val="0D0D0D"/>
                <w:w w:val="99"/>
              </w:rPr>
              <w:t>—</w:t>
            </w:r>
          </w:p>
        </w:tc>
      </w:tr>
      <w:tr>
        <w:trPr>
          <w:trHeight w:val="142"/>
        </w:trPr>
        <w:tc>
          <w:tcPr>
            <w:tcW w:w="17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3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(798)</w:t>
            </w:r>
          </w:p>
        </w:tc>
        <w:tc>
          <w:tcPr>
            <w:tcW w:w="3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51</w:t>
            </w:r>
          </w:p>
        </w:tc>
        <w:tc>
          <w:tcPr>
            <w:tcW w:w="3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(747)</w:t>
            </w:r>
          </w:p>
        </w:tc>
        <w:tc>
          <w:tcPr>
            <w:tcW w:w="400" w:type="dxa"/>
            <w:vAlign w:val="bottom"/>
            <w:tcBorders>
              <w:bottom w:val="single" w:sz="8" w:color="005AFF"/>
            </w:tcBorders>
            <w:gridSpan w:val="2"/>
          </w:tcPr>
          <w:p>
            <w:pPr>
              <w:jc w:val="right"/>
              <w:ind w:right="80"/>
              <w:spacing w:after="0"/>
              <w:rPr>
                <w:sz w:val="20"/>
                <w:szCs w:val="20"/>
                <w:color w:val="auto"/>
              </w:rPr>
            </w:pPr>
            <w:r>
              <w:rPr>
                <w:rFonts w:ascii="Times New Roman" w:cs="Times New Roman" w:eastAsia="Times New Roman" w:hAnsi="Times New Roman"/>
                <w:sz w:val="10"/>
                <w:szCs w:val="10"/>
                <w:b w:val="1"/>
                <w:bCs w:val="1"/>
                <w:color w:val="auto"/>
              </w:rPr>
              <w:t>193</w:t>
            </w:r>
          </w:p>
        </w:tc>
        <w:tc>
          <w:tcPr>
            <w:tcW w:w="36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10"/>
                <w:szCs w:val="10"/>
                <w:b w:val="1"/>
                <w:bCs w:val="1"/>
                <w:color w:val="auto"/>
              </w:rPr>
              <w:t>56</w:t>
            </w:r>
          </w:p>
        </w:tc>
        <w:tc>
          <w:tcPr>
            <w:tcW w:w="3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249</w:t>
            </w:r>
          </w:p>
        </w:tc>
        <w:tc>
          <w:tcPr>
            <w:tcW w:w="4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3 951</w:t>
            </w:r>
          </w:p>
        </w:tc>
        <w:tc>
          <w:tcPr>
            <w:tcW w:w="3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0"/>
                <w:szCs w:val="10"/>
                <w:b w:val="1"/>
                <w:bCs w:val="1"/>
                <w:color w:val="auto"/>
              </w:rPr>
              <w:t>(753)</w:t>
            </w:r>
          </w:p>
        </w:tc>
        <w:tc>
          <w:tcPr>
            <w:tcW w:w="3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3 198</w:t>
            </w:r>
          </w:p>
        </w:tc>
      </w:tr>
    </w:tbl>
    <w:p>
      <w:pPr>
        <w:spacing w:after="0" w:line="200" w:lineRule="exact"/>
        <w:rPr>
          <w:sz w:val="20"/>
          <w:szCs w:val="20"/>
          <w:color w:val="auto"/>
        </w:rPr>
      </w:pPr>
    </w:p>
    <w:p>
      <w:pPr>
        <w:sectPr>
          <w:pgSz w:w="11900" w:h="16838" w:orient="portrait"/>
          <w:cols w:equalWidth="0" w:num="2">
            <w:col w:w="4940" w:space="160"/>
            <w:col w:w="4920"/>
          </w:cols>
          <w:pgMar w:left="960" w:top="410" w:right="919" w:bottom="1440" w:gutter="0" w:footer="0" w:header="0"/>
          <w:type w:val="continuous"/>
        </w:sectPr>
      </w:pPr>
    </w:p>
    <w:p>
      <w:pPr>
        <w:spacing w:after="0" w:line="200" w:lineRule="exact"/>
        <w:rPr>
          <w:sz w:val="20"/>
          <w:szCs w:val="20"/>
          <w:color w:val="auto"/>
        </w:rPr>
      </w:pP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20"/>
          </w:cols>
          <w:pgMar w:left="960" w:top="410" w:right="919" w:bottom="1440" w:gutter="0" w:footer="0" w:header="0"/>
          <w:type w:val="continuous"/>
        </w:sectPr>
      </w:pPr>
    </w:p>
    <w:bookmarkStart w:id="167" w:name="page168"/>
    <w:bookmarkEnd w:id="167"/>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1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280" w:type="dxa"/>
            <w:vAlign w:val="bottom"/>
            <w:gridSpan w:val="3"/>
          </w:tcPr>
          <w:p>
            <w:pPr>
              <w:ind w:left="160"/>
              <w:spacing w:after="0"/>
              <w:rPr>
                <w:sz w:val="20"/>
                <w:szCs w:val="20"/>
                <w:color w:val="auto"/>
              </w:rPr>
            </w:pPr>
            <w:r>
              <w:rPr>
                <w:rFonts w:ascii="Times New Roman" w:cs="Times New Roman" w:eastAsia="Times New Roman" w:hAnsi="Times New Roman"/>
                <w:sz w:val="9"/>
                <w:szCs w:val="9"/>
                <w:color w:val="auto"/>
              </w:rPr>
              <w:t>Operating and financial</w:t>
            </w:r>
          </w:p>
        </w:tc>
        <w:tc>
          <w:tcPr>
            <w:tcW w:w="200" w:type="dxa"/>
            <w:vAlign w:val="bottom"/>
          </w:tcPr>
          <w:p>
            <w:pPr>
              <w:spacing w:after="0"/>
              <w:rPr>
                <w:sz w:val="9"/>
                <w:szCs w:val="9"/>
                <w:color w:val="auto"/>
              </w:rPr>
            </w:pP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43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64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160</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1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280" w:type="dxa"/>
            <w:vAlign w:val="bottom"/>
            <w:gridSpan w:val="3"/>
          </w:tcPr>
          <w:p>
            <w:pPr>
              <w:ind w:left="160"/>
              <w:spacing w:after="0"/>
              <w:rPr>
                <w:sz w:val="20"/>
                <w:szCs w:val="20"/>
                <w:color w:val="auto"/>
              </w:rPr>
            </w:pPr>
            <w:r>
              <w:rPr>
                <w:rFonts w:ascii="Times New Roman" w:cs="Times New Roman" w:eastAsia="Times New Roman" w:hAnsi="Times New Roman"/>
                <w:sz w:val="9"/>
                <w:szCs w:val="9"/>
                <w:color w:val="auto"/>
              </w:rPr>
              <w:t>review and prospects</w:t>
            </w:r>
          </w:p>
        </w:tc>
        <w:tc>
          <w:tcPr>
            <w:tcW w:w="200" w:type="dxa"/>
            <w:vAlign w:val="bottom"/>
          </w:tcPr>
          <w:p>
            <w:pPr>
              <w:spacing w:after="0"/>
              <w:rPr>
                <w:sz w:val="11"/>
                <w:szCs w:val="11"/>
                <w:color w:val="auto"/>
              </w:rPr>
            </w:pP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43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64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60" w:type="dxa"/>
            <w:vAlign w:val="bottom"/>
            <w:gridSpan w:val="4"/>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00" w:type="dxa"/>
            <w:vAlign w:val="bottom"/>
            <w:gridSpan w:val="2"/>
            <w:vMerge w:val="restart"/>
          </w:tcPr>
          <w:p>
            <w:pPr>
              <w:jc w:val="right"/>
              <w:ind w:right="83"/>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4340" w:type="dxa"/>
            <w:vAlign w:val="bottom"/>
          </w:tcPr>
          <w:p>
            <w:pPr>
              <w:spacing w:after="0"/>
              <w:rPr>
                <w:sz w:val="3"/>
                <w:szCs w:val="3"/>
                <w:color w:val="auto"/>
              </w:rPr>
            </w:pPr>
          </w:p>
        </w:tc>
        <w:tc>
          <w:tcPr>
            <w:tcW w:w="64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60" w:type="dxa"/>
            <w:vAlign w:val="bottom"/>
            <w:gridSpan w:val="4"/>
            <w:vMerge w:val="continue"/>
          </w:tcPr>
          <w:p>
            <w:pPr>
              <w:spacing w:after="0"/>
              <w:rPr>
                <w:sz w:val="24"/>
                <w:szCs w:val="24"/>
                <w:color w:val="auto"/>
              </w:rPr>
            </w:pPr>
          </w:p>
        </w:tc>
        <w:tc>
          <w:tcPr>
            <w:tcW w:w="700" w:type="dxa"/>
            <w:vAlign w:val="bottom"/>
            <w:gridSpan w:val="2"/>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43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56"/>
        </w:trPr>
        <w:tc>
          <w:tcPr>
            <w:tcW w:w="1780" w:type="dxa"/>
            <w:vAlign w:val="bottom"/>
            <w:gridSpan w:val="2"/>
          </w:tcPr>
          <w:p>
            <w:pPr>
              <w:spacing w:after="0"/>
              <w:rPr>
                <w:sz w:val="20"/>
                <w:szCs w:val="20"/>
                <w:color w:val="auto"/>
              </w:rPr>
            </w:pPr>
            <w:r>
              <w:rPr>
                <w:rFonts w:ascii="Times New Roman" w:cs="Times New Roman" w:eastAsia="Times New Roman" w:hAnsi="Times New Roman"/>
                <w:sz w:val="13"/>
                <w:szCs w:val="13"/>
                <w:color w:val="auto"/>
              </w:rPr>
              <w:t>OECD Pillar Two model rules</w:t>
            </w:r>
          </w:p>
        </w:tc>
        <w:tc>
          <w:tcPr>
            <w:tcW w:w="480" w:type="dxa"/>
            <w:vAlign w:val="bottom"/>
          </w:tcPr>
          <w:p>
            <w:pPr>
              <w:spacing w:after="0"/>
              <w:rPr>
                <w:sz w:val="24"/>
                <w:szCs w:val="24"/>
                <w:color w:val="auto"/>
              </w:rPr>
            </w:pPr>
          </w:p>
        </w:tc>
        <w:tc>
          <w:tcPr>
            <w:tcW w:w="300" w:type="dxa"/>
            <w:vAlign w:val="bottom"/>
          </w:tcPr>
          <w:p>
            <w:pPr>
              <w:spacing w:after="0"/>
              <w:rPr>
                <w:sz w:val="24"/>
                <w:szCs w:val="24"/>
                <w:color w:val="auto"/>
              </w:rPr>
            </w:pPr>
          </w:p>
        </w:tc>
        <w:tc>
          <w:tcPr>
            <w:tcW w:w="50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1740" w:type="dxa"/>
            <w:vAlign w:val="bottom"/>
            <w:gridSpan w:val="2"/>
          </w:tcPr>
          <w:p>
            <w:pPr>
              <w:ind w:left="140"/>
              <w:spacing w:after="0"/>
              <w:rPr>
                <w:sz w:val="20"/>
                <w:szCs w:val="20"/>
                <w:color w:val="auto"/>
              </w:rPr>
            </w:pPr>
            <w:r>
              <w:rPr>
                <w:rFonts w:ascii="Times New Roman" w:cs="Times New Roman" w:eastAsia="Times New Roman" w:hAnsi="Times New Roman"/>
                <w:sz w:val="16"/>
                <w:szCs w:val="16"/>
                <w:color w:val="005AFF"/>
              </w:rPr>
              <w:t>2.6. Earnings per share</w:t>
            </w:r>
          </w:p>
        </w:tc>
        <w:tc>
          <w:tcPr>
            <w:tcW w:w="43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39"/>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Nokia is within the scope of the OECD Pillar Two model rules,</w:t>
            </w:r>
          </w:p>
        </w:tc>
        <w:tc>
          <w:tcPr>
            <w:tcW w:w="200" w:type="dxa"/>
            <w:vAlign w:val="bottom"/>
          </w:tcPr>
          <w:p>
            <w:pPr>
              <w:spacing w:after="0"/>
              <w:rPr>
                <w:sz w:val="12"/>
                <w:szCs w:val="12"/>
                <w:color w:val="auto"/>
              </w:rPr>
            </w:pPr>
          </w:p>
        </w:tc>
        <w:tc>
          <w:tcPr>
            <w:tcW w:w="120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4340" w:type="dxa"/>
            <w:vAlign w:val="bottom"/>
          </w:tcPr>
          <w:p>
            <w:pPr>
              <w:spacing w:after="0"/>
              <w:rPr>
                <w:sz w:val="12"/>
                <w:szCs w:val="12"/>
                <w:color w:val="auto"/>
              </w:rPr>
            </w:pP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25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which introduce a global minimum tax rate of 15% per</w:t>
            </w:r>
          </w:p>
        </w:tc>
        <w:tc>
          <w:tcPr>
            <w:tcW w:w="500" w:type="dxa"/>
            <w:vAlign w:val="bottom"/>
          </w:tcPr>
          <w:p>
            <w:pPr>
              <w:spacing w:after="0"/>
              <w:rPr>
                <w:sz w:val="12"/>
                <w:szCs w:val="12"/>
                <w:color w:val="auto"/>
              </w:rPr>
            </w:pPr>
          </w:p>
        </w:tc>
        <w:tc>
          <w:tcPr>
            <w:tcW w:w="200" w:type="dxa"/>
            <w:vAlign w:val="bottom"/>
          </w:tcPr>
          <w:p>
            <w:pPr>
              <w:spacing w:after="0"/>
              <w:rPr>
                <w:sz w:val="12"/>
                <w:szCs w:val="12"/>
                <w:color w:val="auto"/>
              </w:rPr>
            </w:pPr>
          </w:p>
        </w:tc>
        <w:tc>
          <w:tcPr>
            <w:tcW w:w="1740" w:type="dxa"/>
            <w:vAlign w:val="bottom"/>
            <w:gridSpan w:val="2"/>
            <w:vMerge w:val="restart"/>
          </w:tcPr>
          <w:p>
            <w:pPr>
              <w:ind w:left="300"/>
              <w:spacing w:after="0"/>
              <w:rPr>
                <w:sz w:val="20"/>
                <w:szCs w:val="20"/>
                <w:color w:val="auto"/>
              </w:rPr>
            </w:pPr>
            <w:r>
              <w:rPr>
                <w:rFonts w:ascii="Times New Roman" w:cs="Times New Roman" w:eastAsia="Times New Roman" w:hAnsi="Times New Roman"/>
                <w:sz w:val="13"/>
                <w:szCs w:val="13"/>
                <w:color w:val="auto"/>
              </w:rPr>
              <w:t>Accounting policies</w:t>
            </w:r>
          </w:p>
        </w:tc>
        <w:tc>
          <w:tcPr>
            <w:tcW w:w="4340" w:type="dxa"/>
            <w:vAlign w:val="bottom"/>
          </w:tcPr>
          <w:p>
            <w:pPr>
              <w:spacing w:after="0"/>
              <w:rPr>
                <w:sz w:val="12"/>
                <w:szCs w:val="12"/>
                <w:color w:val="auto"/>
              </w:rPr>
            </w:pP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jurisdiction. Pillar Two legislation has been enacted in Finland</w:t>
            </w:r>
          </w:p>
        </w:tc>
        <w:tc>
          <w:tcPr>
            <w:tcW w:w="200" w:type="dxa"/>
            <w:vAlign w:val="bottom"/>
          </w:tcPr>
          <w:p>
            <w:pPr>
              <w:jc w:val="right"/>
              <w:ind w:right="83"/>
              <w:spacing w:after="0"/>
              <w:rPr>
                <w:sz w:val="20"/>
                <w:szCs w:val="20"/>
                <w:color w:val="auto"/>
              </w:rPr>
            </w:pPr>
            <w:r>
              <w:rPr>
                <w:rFonts w:ascii="Times New Roman" w:cs="Times New Roman" w:eastAsia="Times New Roman" w:hAnsi="Times New Roman"/>
                <w:sz w:val="11"/>
                <w:szCs w:val="11"/>
                <w:color w:val="auto"/>
              </w:rPr>
              <w:t>,</w:t>
            </w:r>
          </w:p>
        </w:tc>
        <w:tc>
          <w:tcPr>
            <w:tcW w:w="1740" w:type="dxa"/>
            <w:vAlign w:val="bottom"/>
            <w:gridSpan w:val="2"/>
            <w:vMerge w:val="continue"/>
          </w:tcPr>
          <w:p>
            <w:pPr>
              <w:spacing w:after="0"/>
              <w:rPr>
                <w:sz w:val="11"/>
                <w:szCs w:val="11"/>
                <w:color w:val="auto"/>
              </w:rPr>
            </w:pPr>
          </w:p>
        </w:tc>
        <w:tc>
          <w:tcPr>
            <w:tcW w:w="434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4"/>
        </w:trPr>
        <w:tc>
          <w:tcPr>
            <w:tcW w:w="22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jurisdiction in which Nokia is incorporated,</w:t>
            </w:r>
          </w:p>
        </w:tc>
        <w:tc>
          <w:tcPr>
            <w:tcW w:w="80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and will come</w:t>
            </w:r>
          </w:p>
        </w:tc>
        <w:tc>
          <w:tcPr>
            <w:tcW w:w="200" w:type="dxa"/>
            <w:vAlign w:val="bottom"/>
          </w:tcPr>
          <w:p>
            <w:pPr>
              <w:spacing w:after="0"/>
              <w:rPr>
                <w:sz w:val="12"/>
                <w:szCs w:val="12"/>
                <w:color w:val="auto"/>
              </w:rPr>
            </w:pPr>
          </w:p>
        </w:tc>
        <w:tc>
          <w:tcPr>
            <w:tcW w:w="6080" w:type="dxa"/>
            <w:vAlign w:val="bottom"/>
            <w:gridSpan w:val="3"/>
          </w:tcPr>
          <w:p>
            <w:pPr>
              <w:ind w:left="300"/>
              <w:spacing w:after="0"/>
              <w:rPr>
                <w:sz w:val="20"/>
                <w:szCs w:val="20"/>
                <w:color w:val="auto"/>
              </w:rPr>
            </w:pPr>
            <w:r>
              <w:rPr>
                <w:rFonts w:ascii="Times New Roman" w:cs="Times New Roman" w:eastAsia="Times New Roman" w:hAnsi="Times New Roman"/>
                <w:sz w:val="11"/>
                <w:szCs w:val="11"/>
                <w:color w:val="auto"/>
              </w:rPr>
              <w:t>Basic earnings per share is calculated by dividing the profit or loss attributable to equity holders of the parent by the</w:t>
            </w: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into effect from 1 January 2024. Since the Pillar Two legislation</w:t>
            </w:r>
          </w:p>
        </w:tc>
        <w:tc>
          <w:tcPr>
            <w:tcW w:w="200" w:type="dxa"/>
            <w:vAlign w:val="bottom"/>
          </w:tcPr>
          <w:p>
            <w:pPr>
              <w:spacing w:after="0"/>
              <w:rPr>
                <w:sz w:val="12"/>
                <w:szCs w:val="12"/>
                <w:color w:val="auto"/>
              </w:rPr>
            </w:pPr>
          </w:p>
        </w:tc>
        <w:tc>
          <w:tcPr>
            <w:tcW w:w="6080" w:type="dxa"/>
            <w:vAlign w:val="bottom"/>
            <w:gridSpan w:val="3"/>
          </w:tcPr>
          <w:p>
            <w:pPr>
              <w:ind w:left="300"/>
              <w:spacing w:after="0"/>
              <w:rPr>
                <w:sz w:val="20"/>
                <w:szCs w:val="20"/>
                <w:color w:val="auto"/>
              </w:rPr>
            </w:pPr>
            <w:r>
              <w:rPr>
                <w:rFonts w:ascii="Times New Roman" w:cs="Times New Roman" w:eastAsia="Times New Roman" w:hAnsi="Times New Roman"/>
                <w:sz w:val="11"/>
                <w:szCs w:val="11"/>
                <w:color w:val="auto"/>
              </w:rPr>
              <w:t>weighted average number of shares outstanding during the year. Diluted earnings per share is calculated by adjusting</w:t>
            </w: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was not effective at the reporting date, Nokia has no related</w:t>
            </w:r>
          </w:p>
        </w:tc>
        <w:tc>
          <w:tcPr>
            <w:tcW w:w="200" w:type="dxa"/>
            <w:vAlign w:val="bottom"/>
          </w:tcPr>
          <w:p>
            <w:pPr>
              <w:spacing w:after="0"/>
              <w:rPr>
                <w:sz w:val="11"/>
                <w:szCs w:val="11"/>
                <w:color w:val="auto"/>
              </w:rPr>
            </w:pPr>
          </w:p>
        </w:tc>
        <w:tc>
          <w:tcPr>
            <w:tcW w:w="6080" w:type="dxa"/>
            <w:vAlign w:val="bottom"/>
            <w:gridSpan w:val="3"/>
          </w:tcPr>
          <w:p>
            <w:pPr>
              <w:ind w:left="300"/>
              <w:spacing w:after="0"/>
              <w:rPr>
                <w:sz w:val="20"/>
                <w:szCs w:val="20"/>
                <w:color w:val="auto"/>
              </w:rPr>
            </w:pPr>
            <w:r>
              <w:rPr>
                <w:rFonts w:ascii="Times New Roman" w:cs="Times New Roman" w:eastAsia="Times New Roman" w:hAnsi="Times New Roman"/>
                <w:sz w:val="11"/>
                <w:szCs w:val="11"/>
                <w:color w:val="auto"/>
              </w:rPr>
              <w:t>the profit or loss attributable to equity holders of the parent, and the weighted average number of shares outstanding,</w:t>
            </w:r>
          </w:p>
        </w:tc>
        <w:tc>
          <w:tcPr>
            <w:tcW w:w="6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42"/>
        </w:trPr>
        <w:tc>
          <w:tcPr>
            <w:tcW w:w="25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current tax expense. Nokia applies the exemption to</w:t>
            </w:r>
          </w:p>
        </w:tc>
        <w:tc>
          <w:tcPr>
            <w:tcW w:w="500" w:type="dxa"/>
            <w:vAlign w:val="bottom"/>
          </w:tcPr>
          <w:p>
            <w:pPr>
              <w:spacing w:after="0"/>
              <w:rPr>
                <w:sz w:val="12"/>
                <w:szCs w:val="12"/>
                <w:color w:val="auto"/>
              </w:rPr>
            </w:pPr>
          </w:p>
        </w:tc>
        <w:tc>
          <w:tcPr>
            <w:tcW w:w="200" w:type="dxa"/>
            <w:vAlign w:val="bottom"/>
          </w:tcPr>
          <w:p>
            <w:pPr>
              <w:spacing w:after="0"/>
              <w:rPr>
                <w:sz w:val="12"/>
                <w:szCs w:val="12"/>
                <w:color w:val="auto"/>
              </w:rPr>
            </w:pPr>
          </w:p>
        </w:tc>
        <w:tc>
          <w:tcPr>
            <w:tcW w:w="6080" w:type="dxa"/>
            <w:vAlign w:val="bottom"/>
            <w:gridSpan w:val="3"/>
          </w:tcPr>
          <w:p>
            <w:pPr>
              <w:ind w:left="300"/>
              <w:spacing w:after="0"/>
              <w:rPr>
                <w:sz w:val="20"/>
                <w:szCs w:val="20"/>
                <w:color w:val="auto"/>
              </w:rPr>
            </w:pPr>
            <w:r>
              <w:rPr>
                <w:rFonts w:ascii="Times New Roman" w:cs="Times New Roman" w:eastAsia="Times New Roman" w:hAnsi="Times New Roman"/>
                <w:sz w:val="11"/>
                <w:szCs w:val="11"/>
                <w:color w:val="auto"/>
              </w:rPr>
              <w:t>for the effects of all dilutive potential ordinary shares. Potential ordinary shares are excluded from the calculation of</w:t>
            </w: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recognizing and disclosing information about deferred tax</w:t>
            </w:r>
          </w:p>
        </w:tc>
        <w:tc>
          <w:tcPr>
            <w:tcW w:w="200" w:type="dxa"/>
            <w:vAlign w:val="bottom"/>
          </w:tcPr>
          <w:p>
            <w:pPr>
              <w:spacing w:after="0"/>
              <w:rPr>
                <w:sz w:val="12"/>
                <w:szCs w:val="12"/>
                <w:color w:val="auto"/>
              </w:rPr>
            </w:pPr>
          </w:p>
        </w:tc>
        <w:tc>
          <w:tcPr>
            <w:tcW w:w="6080" w:type="dxa"/>
            <w:vAlign w:val="bottom"/>
            <w:gridSpan w:val="3"/>
          </w:tcPr>
          <w:p>
            <w:pPr>
              <w:ind w:left="300"/>
              <w:spacing w:after="0"/>
              <w:rPr>
                <w:sz w:val="20"/>
                <w:szCs w:val="20"/>
                <w:color w:val="auto"/>
              </w:rPr>
            </w:pPr>
            <w:r>
              <w:rPr>
                <w:rFonts w:ascii="Times New Roman" w:cs="Times New Roman" w:eastAsia="Times New Roman" w:hAnsi="Times New Roman"/>
                <w:sz w:val="11"/>
                <w:szCs w:val="11"/>
                <w:color w:val="auto"/>
              </w:rPr>
              <w:t>diluted earnings per share when they are determined to be antidilutive.</w:t>
            </w: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1"/>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assets and liabilities related to Pillar Two income taxes, as</w:t>
            </w:r>
          </w:p>
        </w:tc>
        <w:tc>
          <w:tcPr>
            <w:tcW w:w="200" w:type="dxa"/>
            <w:vAlign w:val="bottom"/>
          </w:tcPr>
          <w:p>
            <w:pPr>
              <w:spacing w:after="0"/>
              <w:rPr>
                <w:sz w:val="12"/>
                <w:szCs w:val="12"/>
                <w:color w:val="auto"/>
              </w:rPr>
            </w:pPr>
          </w:p>
        </w:tc>
        <w:tc>
          <w:tcPr>
            <w:tcW w:w="120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4340" w:type="dxa"/>
            <w:vAlign w:val="bottom"/>
          </w:tcPr>
          <w:p>
            <w:pPr>
              <w:spacing w:after="0"/>
              <w:rPr>
                <w:sz w:val="12"/>
                <w:szCs w:val="12"/>
                <w:color w:val="auto"/>
              </w:rPr>
            </w:pPr>
          </w:p>
        </w:tc>
        <w:tc>
          <w:tcPr>
            <w:tcW w:w="64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rPr>
          <w:sz w:val="20"/>
          <w:szCs w:val="20"/>
          <w:color w:val="auto"/>
        </w:rPr>
      </w:pPr>
      <w:r>
        <w:rPr>
          <w:rFonts w:ascii="Times New Roman" w:cs="Times New Roman" w:eastAsia="Times New Roman" w:hAnsi="Times New Roman"/>
          <w:sz w:val="11"/>
          <w:szCs w:val="11"/>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provided in the amendments to IAS 12 issued in May 2023.</w:t>
      </w:r>
    </w:p>
    <w:p>
      <w:pPr>
        <w:spacing w:after="0" w:line="4" w:lineRule="exact"/>
        <w:rPr>
          <w:sz w:val="20"/>
          <w:szCs w:val="20"/>
          <w:color w:val="auto"/>
        </w:rPr>
      </w:pPr>
    </w:p>
    <w:p>
      <w:pPr>
        <w:spacing w:after="0"/>
        <w:tabs>
          <w:tab w:leader="none" w:pos="3420" w:val="left"/>
          <w:tab w:leader="none" w:pos="8460" w:val="left"/>
          <w:tab w:leader="none" w:pos="9140" w:val="left"/>
          <w:tab w:leader="none" w:pos="9800" w:val="left"/>
        </w:tabs>
        <w:rPr>
          <w:sz w:val="20"/>
          <w:szCs w:val="20"/>
          <w:color w:val="auto"/>
        </w:rPr>
      </w:pPr>
      <w:r>
        <w:rPr>
          <w:rFonts w:ascii="Times New Roman" w:cs="Times New Roman" w:eastAsia="Times New Roman" w:hAnsi="Times New Roman"/>
          <w:sz w:val="11"/>
          <w:szCs w:val="11"/>
          <w:color w:val="auto"/>
        </w:rPr>
        <w:t>Nokia has performed an analysis of the expected impact of the</w:t>
      </w:r>
      <w:r>
        <w:rPr>
          <w:sz w:val="20"/>
          <w:szCs w:val="20"/>
          <w:color w:val="auto"/>
        </w:rPr>
        <w:tab/>
      </w:r>
      <w:r>
        <w:rPr>
          <w:rFonts w:ascii="Times New Roman" w:cs="Times New Roman" w:eastAsia="Times New Roman" w:hAnsi="Times New Roman"/>
          <w:sz w:val="16"/>
          <w:szCs w:val="16"/>
          <w:b w:val="1"/>
          <w:bCs w:val="1"/>
          <w:color w:val="005AFF"/>
          <w:vertAlign w:val="superscript"/>
        </w:rPr>
        <w:t>EURm</w:t>
      </w:r>
      <w:r>
        <w:rPr>
          <w:sz w:val="20"/>
          <w:szCs w:val="20"/>
          <w:color w:val="auto"/>
        </w:rPr>
        <w:tab/>
      </w:r>
      <w:r>
        <w:rPr>
          <w:rFonts w:ascii="Times New Roman" w:cs="Times New Roman" w:eastAsia="Times New Roman" w:hAnsi="Times New Roman"/>
          <w:sz w:val="16"/>
          <w:szCs w:val="16"/>
          <w:b w:val="1"/>
          <w:bCs w:val="1"/>
          <w:color w:val="005AFF"/>
          <w:vertAlign w:val="superscript"/>
        </w:rPr>
        <w:t>2023</w:t>
      </w:r>
      <w:r>
        <w:rPr>
          <w:sz w:val="20"/>
          <w:szCs w:val="20"/>
          <w:color w:val="auto"/>
        </w:rPr>
        <w:tab/>
      </w:r>
      <w:r>
        <w:rPr>
          <w:rFonts w:ascii="Times New Roman" w:cs="Times New Roman" w:eastAsia="Times New Roman" w:hAnsi="Times New Roman"/>
          <w:sz w:val="16"/>
          <w:szCs w:val="16"/>
          <w:b w:val="1"/>
          <w:bCs w:val="1"/>
          <w:color w:val="005AFF"/>
          <w:vertAlign w:val="superscript"/>
        </w:rPr>
        <w:t>2022</w:t>
      </w:r>
      <w:r>
        <w:rPr>
          <w:sz w:val="20"/>
          <w:szCs w:val="20"/>
          <w:color w:val="auto"/>
        </w:rPr>
        <w:tab/>
      </w:r>
      <w:r>
        <w:rPr>
          <w:rFonts w:ascii="Times New Roman" w:cs="Times New Roman" w:eastAsia="Times New Roman" w:hAnsi="Times New Roman"/>
          <w:sz w:val="13"/>
          <w:szCs w:val="13"/>
          <w:b w:val="1"/>
          <w:bCs w:val="1"/>
          <w:color w:val="005AFF"/>
          <w:vertAlign w:val="superscript"/>
        </w:rPr>
        <w:t>2021</w:t>
      </w:r>
    </w:p>
    <w:p>
      <w:pPr>
        <w:sectPr>
          <w:pgSz w:w="11900" w:h="16838" w:orient="portrait"/>
          <w:cols w:equalWidth="0" w:num="1">
            <w:col w:w="10060"/>
          </w:cols>
          <w:pgMar w:left="960" w:top="410" w:right="879" w:bottom="1440" w:gutter="0" w:footer="0" w:header="0"/>
        </w:sectPr>
      </w:pPr>
    </w:p>
    <w:p>
      <w:pPr>
        <w:spacing w:after="0" w:line="27" w:lineRule="exact"/>
        <w:rPr>
          <w:sz w:val="20"/>
          <w:szCs w:val="20"/>
          <w:color w:val="auto"/>
        </w:rPr>
      </w:pPr>
    </w:p>
    <w:p>
      <w:pPr>
        <w:spacing w:after="0" w:line="275" w:lineRule="auto"/>
        <w:rPr>
          <w:sz w:val="20"/>
          <w:szCs w:val="20"/>
          <w:color w:val="auto"/>
        </w:rPr>
      </w:pPr>
      <w:r>
        <w:rPr>
          <w:rFonts w:ascii="Times New Roman" w:cs="Times New Roman" w:eastAsia="Times New Roman" w:hAnsi="Times New Roman"/>
          <w:sz w:val="11"/>
          <w:szCs w:val="11"/>
          <w:color w:val="auto"/>
        </w:rPr>
        <w:t>Pillar Two legislation and based on this analysis the impact on income tax expense and effective tax rate in the short term is expected to be immaterial. The main elements of this analysis were the following:</w:t>
      </w:r>
    </w:p>
    <w:p>
      <w:pPr>
        <w:spacing w:after="0" w:line="47" w:lineRule="exact"/>
        <w:rPr>
          <w:sz w:val="20"/>
          <w:szCs w:val="20"/>
          <w:color w:val="auto"/>
        </w:rPr>
      </w:pPr>
    </w:p>
    <w:p>
      <w:pPr>
        <w:ind w:left="180" w:hanging="171"/>
        <w:spacing w:after="0"/>
        <w:tabs>
          <w:tab w:leader="none" w:pos="180" w:val="left"/>
        </w:tabs>
        <w:numPr>
          <w:ilvl w:val="0"/>
          <w:numId w:val="117"/>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Current understanding of the interpretation of the rules.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2"/>
        </w:trPr>
        <w:tc>
          <w:tcPr>
            <w:tcW w:w="4620" w:type="dxa"/>
            <w:vAlign w:val="bottom"/>
            <w:tcBorders>
              <w:top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Profit or loss attributable to equity holders of the parent</w:t>
            </w:r>
          </w:p>
        </w:tc>
        <w:tc>
          <w:tcPr>
            <w:tcW w:w="680" w:type="dxa"/>
            <w:vAlign w:val="bottom"/>
            <w:tcBorders>
              <w:top w:val="single" w:sz="8" w:color="005AFF"/>
            </w:tcBorders>
            <w:shd w:val="clear" w:color="auto" w:fill="F0F5FF"/>
          </w:tcPr>
          <w:p>
            <w:pPr>
              <w:spacing w:after="0"/>
              <w:rPr>
                <w:sz w:val="11"/>
                <w:szCs w:val="11"/>
                <w:color w:val="auto"/>
              </w:rPr>
            </w:pPr>
          </w:p>
        </w:tc>
        <w:tc>
          <w:tcPr>
            <w:tcW w:w="840" w:type="dxa"/>
            <w:vAlign w:val="bottom"/>
            <w:tcBorders>
              <w:top w:val="single" w:sz="8" w:color="005AFF"/>
            </w:tcBorders>
          </w:tcPr>
          <w:p>
            <w:pPr>
              <w:spacing w:after="0"/>
              <w:rPr>
                <w:sz w:val="11"/>
                <w:szCs w:val="11"/>
                <w:color w:val="auto"/>
              </w:rPr>
            </w:pPr>
          </w:p>
        </w:tc>
        <w:tc>
          <w:tcPr>
            <w:tcW w:w="520" w:type="dxa"/>
            <w:vAlign w:val="bottom"/>
            <w:tcBorders>
              <w:top w:val="single" w:sz="8" w:color="005AFF"/>
            </w:tcBorders>
          </w:tcPr>
          <w:p>
            <w:pPr>
              <w:spacing w:after="0"/>
              <w:rPr>
                <w:sz w:val="11"/>
                <w:szCs w:val="11"/>
                <w:color w:val="auto"/>
              </w:rPr>
            </w:pPr>
          </w:p>
        </w:tc>
      </w:tr>
      <w:tr>
        <w:trPr>
          <w:trHeight w:val="161"/>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Continuing operations</w:t>
            </w:r>
          </w:p>
        </w:tc>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660</w:t>
            </w:r>
          </w:p>
        </w:tc>
        <w:tc>
          <w:tcPr>
            <w:tcW w:w="84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4 201</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1 632</w:t>
            </w: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Discontinued operations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w:t>
            </w:r>
          </w:p>
        </w:tc>
        <w:tc>
          <w:tcPr>
            <w:tcW w:w="84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49</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w:t>
            </w:r>
          </w:p>
        </w:tc>
      </w:tr>
      <w:tr>
        <w:trPr>
          <w:trHeight w:val="167"/>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68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665</w:t>
            </w:r>
          </w:p>
        </w:tc>
        <w:tc>
          <w:tcPr>
            <w:tcW w:w="840" w:type="dxa"/>
            <w:vAlign w:val="bottom"/>
            <w:tcBorders>
              <w:bottom w:val="single" w:sz="8" w:color="005AFF"/>
            </w:tcBorders>
          </w:tcPr>
          <w:p>
            <w:pPr>
              <w:jc w:val="right"/>
              <w:ind w:right="189"/>
              <w:spacing w:after="0"/>
              <w:rPr>
                <w:sz w:val="20"/>
                <w:szCs w:val="20"/>
                <w:color w:val="auto"/>
              </w:rPr>
            </w:pPr>
            <w:r>
              <w:rPr>
                <w:rFonts w:ascii="Times New Roman" w:cs="Times New Roman" w:eastAsia="Times New Roman" w:hAnsi="Times New Roman"/>
                <w:sz w:val="10"/>
                <w:szCs w:val="10"/>
                <w:color w:val="0D0D0D"/>
              </w:rPr>
              <w:t>4 250</w:t>
            </w:r>
          </w:p>
        </w:tc>
        <w:tc>
          <w:tcPr>
            <w:tcW w:w="52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1 623</w:t>
            </w:r>
          </w:p>
        </w:tc>
      </w:tr>
    </w:tbl>
    <w:p>
      <w:pPr>
        <w:spacing w:after="0" w:line="170" w:lineRule="exact"/>
        <w:rPr>
          <w:sz w:val="20"/>
          <w:szCs w:val="20"/>
          <w:color w:val="auto"/>
        </w:rPr>
      </w:pPr>
    </w:p>
    <w:p>
      <w:pPr>
        <w:sectPr>
          <w:pgSz w:w="11900" w:h="16838" w:orient="portrait"/>
          <w:cols w:equalWidth="0" w:num="2">
            <w:col w:w="2860" w:space="540"/>
            <w:col w:w="6660"/>
          </w:cols>
          <w:pgMar w:left="960" w:top="410" w:right="879" w:bottom="1440" w:gutter="0" w:footer="0" w:header="0"/>
          <w:type w:val="continuous"/>
        </w:sectPr>
      </w:pPr>
    </w:p>
    <w:p>
      <w:pPr>
        <w:spacing w:after="0" w:line="49" w:lineRule="exact"/>
        <w:rPr>
          <w:sz w:val="20"/>
          <w:szCs w:val="20"/>
          <w:color w:val="auto"/>
        </w:rPr>
      </w:pPr>
    </w:p>
    <w:p>
      <w:pPr>
        <w:ind w:left="180" w:hanging="171"/>
        <w:spacing w:after="0" w:line="309" w:lineRule="auto"/>
        <w:tabs>
          <w:tab w:leader="none" w:pos="180" w:val="left"/>
        </w:tabs>
        <w:numPr>
          <w:ilvl w:val="0"/>
          <w:numId w:val="11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Applicability of the safe harbors for recent years provided for in the Pillar Two legislation.</w:t>
      </w:r>
    </w:p>
    <w:p>
      <w:pPr>
        <w:spacing w:after="0" w:line="28" w:lineRule="exact"/>
        <w:rPr>
          <w:rFonts w:ascii="Times New Roman" w:cs="Times New Roman" w:eastAsia="Times New Roman" w:hAnsi="Times New Roman"/>
          <w:sz w:val="11"/>
          <w:szCs w:val="11"/>
          <w:color w:val="005AFF"/>
        </w:rPr>
      </w:pPr>
    </w:p>
    <w:p>
      <w:pPr>
        <w:ind w:left="180" w:right="180" w:hanging="171"/>
        <w:spacing w:after="0" w:line="309" w:lineRule="auto"/>
        <w:tabs>
          <w:tab w:leader="none" w:pos="180" w:val="left"/>
        </w:tabs>
        <w:numPr>
          <w:ilvl w:val="0"/>
          <w:numId w:val="118"/>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Analysis of potential income tax expense in respect of jurisdictions not meeting safe harbor tests.</w:t>
      </w:r>
    </w:p>
    <w:p>
      <w:pPr>
        <w:spacing w:after="0" w:line="20" w:lineRule="exact"/>
        <w:rPr>
          <w:sz w:val="20"/>
          <w:szCs w:val="20"/>
          <w:color w:val="auto"/>
        </w:rPr>
      </w:pPr>
      <w:r>
        <w:rPr>
          <w:sz w:val="20"/>
          <w:szCs w:val="20"/>
          <w:color w:val="auto"/>
        </w:rPr>
        <w:br w:type="column"/>
      </w:r>
    </w:p>
    <w:p>
      <w:pPr>
        <w:ind w:left="40"/>
        <w:spacing w:after="0"/>
        <w:rPr>
          <w:sz w:val="20"/>
          <w:szCs w:val="20"/>
          <w:color w:val="auto"/>
        </w:rPr>
      </w:pPr>
      <w:r>
        <w:rPr>
          <w:rFonts w:ascii="Times New Roman" w:cs="Times New Roman" w:eastAsia="Times New Roman" w:hAnsi="Times New Roman"/>
          <w:sz w:val="8"/>
          <w:szCs w:val="8"/>
          <w:b w:val="1"/>
          <w:bCs w:val="1"/>
          <w:color w:val="005AFF"/>
        </w:rPr>
        <w:t>Number of shares (000s)</w:t>
      </w:r>
    </w:p>
    <w:p>
      <w:pPr>
        <w:spacing w:after="0" w:line="14"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4620" w:type="dxa"/>
            <w:vAlign w:val="bottom"/>
            <w:tcBorders>
              <w:top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Weighted average number of shares outstanding</w:t>
            </w:r>
          </w:p>
        </w:tc>
        <w:tc>
          <w:tcPr>
            <w:tcW w:w="680" w:type="dxa"/>
            <w:vAlign w:val="bottom"/>
            <w:tcBorders>
              <w:top w:val="single" w:sz="8" w:color="005AFF"/>
            </w:tcBorders>
            <w:shd w:val="clear" w:color="auto" w:fill="F0F5FF"/>
          </w:tcPr>
          <w:p>
            <w:pPr>
              <w:jc w:val="right"/>
              <w:ind w:right="49"/>
              <w:spacing w:after="0"/>
              <w:rPr>
                <w:sz w:val="20"/>
                <w:szCs w:val="20"/>
                <w:color w:val="auto"/>
              </w:rPr>
            </w:pPr>
            <w:r>
              <w:rPr>
                <w:rFonts w:ascii="Times New Roman" w:cs="Times New Roman" w:eastAsia="Times New Roman" w:hAnsi="Times New Roman"/>
                <w:sz w:val="10"/>
                <w:szCs w:val="10"/>
                <w:b w:val="1"/>
                <w:bCs w:val="1"/>
                <w:color w:val="005AFF"/>
              </w:rPr>
              <w:t>5 549 468</w:t>
            </w:r>
          </w:p>
        </w:tc>
        <w:tc>
          <w:tcPr>
            <w:tcW w:w="720" w:type="dxa"/>
            <w:vAlign w:val="bottom"/>
            <w:tcBorders>
              <w:top w:val="single" w:sz="8" w:color="005AFF"/>
            </w:tcBorders>
          </w:tcPr>
          <w:p>
            <w:pPr>
              <w:jc w:val="right"/>
              <w:ind w:right="89"/>
              <w:spacing w:after="0"/>
              <w:rPr>
                <w:sz w:val="20"/>
                <w:szCs w:val="20"/>
                <w:color w:val="auto"/>
              </w:rPr>
            </w:pPr>
            <w:r>
              <w:rPr>
                <w:rFonts w:ascii="Times New Roman" w:cs="Times New Roman" w:eastAsia="Times New Roman" w:hAnsi="Times New Roman"/>
                <w:sz w:val="10"/>
                <w:szCs w:val="10"/>
                <w:b w:val="1"/>
                <w:bCs w:val="1"/>
                <w:color w:val="auto"/>
              </w:rPr>
              <w:t>5 614 182</w:t>
            </w:r>
          </w:p>
        </w:tc>
        <w:tc>
          <w:tcPr>
            <w:tcW w:w="640" w:type="dxa"/>
            <w:vAlign w:val="bottom"/>
            <w:tcBorders>
              <w:top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5 630 025</w:t>
            </w: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Effect of potentially dilutive shares</w:t>
            </w:r>
          </w:p>
        </w:tc>
        <w:tc>
          <w:tcPr>
            <w:tcW w:w="680" w:type="dxa"/>
            <w:vAlign w:val="bottom"/>
            <w:shd w:val="clear" w:color="auto" w:fill="F0F5FF"/>
          </w:tcPr>
          <w:p>
            <w:pPr>
              <w:spacing w:after="0"/>
              <w:rPr>
                <w:sz w:val="14"/>
                <w:szCs w:val="14"/>
                <w:color w:val="auto"/>
              </w:rPr>
            </w:pPr>
          </w:p>
        </w:tc>
        <w:tc>
          <w:tcPr>
            <w:tcW w:w="720" w:type="dxa"/>
            <w:vAlign w:val="bottom"/>
          </w:tcPr>
          <w:p>
            <w:pPr>
              <w:spacing w:after="0"/>
              <w:rPr>
                <w:sz w:val="14"/>
                <w:szCs w:val="14"/>
                <w:color w:val="auto"/>
              </w:rPr>
            </w:pPr>
          </w:p>
        </w:tc>
        <w:tc>
          <w:tcPr>
            <w:tcW w:w="640" w:type="dxa"/>
            <w:vAlign w:val="bottom"/>
          </w:tcPr>
          <w:p>
            <w:pPr>
              <w:spacing w:after="0"/>
              <w:rPr>
                <w:sz w:val="14"/>
                <w:szCs w:val="14"/>
                <w:color w:val="auto"/>
              </w:rPr>
            </w:pPr>
          </w:p>
        </w:tc>
      </w:tr>
      <w:tr>
        <w:trPr>
          <w:trHeight w:val="162"/>
        </w:trPr>
        <w:tc>
          <w:tcPr>
            <w:tcW w:w="462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Performance shares</w:t>
            </w:r>
          </w:p>
        </w:tc>
        <w:tc>
          <w:tcPr>
            <w:tcW w:w="68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8 190</w:t>
            </w:r>
          </w:p>
        </w:tc>
        <w:tc>
          <w:tcPr>
            <w:tcW w:w="72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46 187</w:t>
            </w:r>
          </w:p>
        </w:tc>
        <w:tc>
          <w:tcPr>
            <w:tcW w:w="640" w:type="dxa"/>
            <w:vAlign w:val="bottom"/>
          </w:tcPr>
          <w:p>
            <w:pPr>
              <w:jc w:val="right"/>
              <w:ind w:right="49"/>
              <w:spacing w:after="0"/>
              <w:rPr>
                <w:sz w:val="20"/>
                <w:szCs w:val="20"/>
                <w:color w:val="auto"/>
              </w:rPr>
            </w:pPr>
            <w:r>
              <w:rPr>
                <w:rFonts w:ascii="Times New Roman" w:cs="Times New Roman" w:eastAsia="Times New Roman" w:hAnsi="Times New Roman"/>
                <w:sz w:val="10"/>
                <w:szCs w:val="10"/>
                <w:color w:val="0D0D0D"/>
              </w:rPr>
              <w:t>50 300</w:t>
            </w:r>
          </w:p>
        </w:tc>
      </w:tr>
      <w:tr>
        <w:trPr>
          <w:trHeight w:val="167"/>
        </w:trPr>
        <w:tc>
          <w:tcPr>
            <w:tcW w:w="462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Restricted shares and other</w:t>
            </w:r>
          </w:p>
        </w:tc>
        <w:tc>
          <w:tcPr>
            <w:tcW w:w="680" w:type="dxa"/>
            <w:vAlign w:val="bottom"/>
            <w:tcBorders>
              <w:bottom w:val="single" w:sz="8" w:color="005AFF"/>
            </w:tcBorders>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28 265</w:t>
            </w:r>
          </w:p>
        </w:tc>
        <w:tc>
          <w:tcPr>
            <w:tcW w:w="720" w:type="dxa"/>
            <w:vAlign w:val="bottom"/>
            <w:tcBorders>
              <w:bottom w:val="single" w:sz="8" w:color="005AFF"/>
            </w:tcBorders>
          </w:tcPr>
          <w:p>
            <w:pPr>
              <w:jc w:val="right"/>
              <w:ind w:right="69"/>
              <w:spacing w:after="0"/>
              <w:rPr>
                <w:sz w:val="20"/>
                <w:szCs w:val="20"/>
                <w:color w:val="auto"/>
              </w:rPr>
            </w:pPr>
            <w:r>
              <w:rPr>
                <w:rFonts w:ascii="Times New Roman" w:cs="Times New Roman" w:eastAsia="Times New Roman" w:hAnsi="Times New Roman"/>
                <w:sz w:val="10"/>
                <w:szCs w:val="10"/>
                <w:color w:val="0D0D0D"/>
              </w:rPr>
              <w:t>9 651</w:t>
            </w:r>
          </w:p>
        </w:tc>
        <w:tc>
          <w:tcPr>
            <w:tcW w:w="64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3 910</w:t>
            </w:r>
          </w:p>
        </w:tc>
      </w:tr>
      <w:tr>
        <w:trPr>
          <w:trHeight w:val="142"/>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 effect of potentially dilutive shares</w:t>
            </w:r>
          </w:p>
        </w:tc>
        <w:tc>
          <w:tcPr>
            <w:tcW w:w="680" w:type="dxa"/>
            <w:vAlign w:val="bottom"/>
            <w:tcBorders>
              <w:bottom w:val="single" w:sz="8" w:color="005AFF"/>
            </w:tcBorders>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36 455</w:t>
            </w:r>
          </w:p>
        </w:tc>
        <w:tc>
          <w:tcPr>
            <w:tcW w:w="720" w:type="dxa"/>
            <w:vAlign w:val="bottom"/>
            <w:tcBorders>
              <w:bottom w:val="single" w:sz="8" w:color="005AFF"/>
            </w:tcBorders>
          </w:tcPr>
          <w:p>
            <w:pPr>
              <w:jc w:val="right"/>
              <w:ind w:right="69"/>
              <w:spacing w:after="0"/>
              <w:rPr>
                <w:sz w:val="20"/>
                <w:szCs w:val="20"/>
                <w:color w:val="auto"/>
              </w:rPr>
            </w:pPr>
            <w:r>
              <w:rPr>
                <w:rFonts w:ascii="Times New Roman" w:cs="Times New Roman" w:eastAsia="Times New Roman" w:hAnsi="Times New Roman"/>
                <w:sz w:val="10"/>
                <w:szCs w:val="10"/>
                <w:b w:val="1"/>
                <w:bCs w:val="1"/>
                <w:color w:val="auto"/>
              </w:rPr>
              <w:t>55 838</w:t>
            </w:r>
          </w:p>
        </w:tc>
        <w:tc>
          <w:tcPr>
            <w:tcW w:w="6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54 210</w:t>
            </w:r>
          </w:p>
        </w:tc>
      </w:tr>
      <w:tr>
        <w:trPr>
          <w:trHeight w:val="142"/>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Adjusted weighted average number of shares</w:t>
            </w:r>
          </w:p>
        </w:tc>
        <w:tc>
          <w:tcPr>
            <w:tcW w:w="680" w:type="dxa"/>
            <w:vAlign w:val="bottom"/>
            <w:tcBorders>
              <w:bottom w:val="single" w:sz="8" w:color="005AFF"/>
            </w:tcBorders>
            <w:shd w:val="clear" w:color="auto" w:fill="F0F5FF"/>
          </w:tcPr>
          <w:p>
            <w:pPr>
              <w:jc w:val="right"/>
              <w:ind w:right="49"/>
              <w:spacing w:after="0"/>
              <w:rPr>
                <w:sz w:val="20"/>
                <w:szCs w:val="20"/>
                <w:color w:val="auto"/>
              </w:rPr>
            </w:pPr>
            <w:r>
              <w:rPr>
                <w:rFonts w:ascii="Times New Roman" w:cs="Times New Roman" w:eastAsia="Times New Roman" w:hAnsi="Times New Roman"/>
                <w:sz w:val="10"/>
                <w:szCs w:val="10"/>
                <w:b w:val="1"/>
                <w:bCs w:val="1"/>
                <w:color w:val="005AFF"/>
              </w:rPr>
              <w:t>5 585 923</w:t>
            </w:r>
          </w:p>
        </w:tc>
        <w:tc>
          <w:tcPr>
            <w:tcW w:w="720" w:type="dxa"/>
            <w:vAlign w:val="bottom"/>
            <w:tcBorders>
              <w:bottom w:val="single" w:sz="8" w:color="005AFF"/>
            </w:tcBorders>
          </w:tcPr>
          <w:p>
            <w:pPr>
              <w:jc w:val="right"/>
              <w:ind w:right="89"/>
              <w:spacing w:after="0"/>
              <w:rPr>
                <w:sz w:val="20"/>
                <w:szCs w:val="20"/>
                <w:color w:val="auto"/>
              </w:rPr>
            </w:pPr>
            <w:r>
              <w:rPr>
                <w:rFonts w:ascii="Times New Roman" w:cs="Times New Roman" w:eastAsia="Times New Roman" w:hAnsi="Times New Roman"/>
                <w:sz w:val="10"/>
                <w:szCs w:val="10"/>
                <w:b w:val="1"/>
                <w:bCs w:val="1"/>
                <w:color w:val="auto"/>
              </w:rPr>
              <w:t>5 670 020</w:t>
            </w:r>
          </w:p>
        </w:tc>
        <w:tc>
          <w:tcPr>
            <w:tcW w:w="640" w:type="dxa"/>
            <w:vAlign w:val="bottom"/>
            <w:tcBorders>
              <w:bottom w:val="single" w:sz="8" w:color="005AFF"/>
            </w:tcBorders>
          </w:tcPr>
          <w:p>
            <w:pPr>
              <w:jc w:val="right"/>
              <w:ind w:right="49"/>
              <w:spacing w:after="0"/>
              <w:rPr>
                <w:sz w:val="20"/>
                <w:szCs w:val="20"/>
                <w:color w:val="auto"/>
              </w:rPr>
            </w:pPr>
            <w:r>
              <w:rPr>
                <w:rFonts w:ascii="Times New Roman" w:cs="Times New Roman" w:eastAsia="Times New Roman" w:hAnsi="Times New Roman"/>
                <w:sz w:val="10"/>
                <w:szCs w:val="10"/>
                <w:b w:val="1"/>
                <w:bCs w:val="1"/>
                <w:color w:val="auto"/>
              </w:rPr>
              <w:t>5 684 235</w:t>
            </w:r>
          </w:p>
        </w:tc>
      </w:tr>
      <w:tr>
        <w:trPr>
          <w:trHeight w:val="280"/>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Earnings per share, EUR</w:t>
            </w:r>
          </w:p>
        </w:tc>
        <w:tc>
          <w:tcPr>
            <w:tcW w:w="680" w:type="dxa"/>
            <w:vAlign w:val="bottom"/>
            <w:tcBorders>
              <w:bottom w:val="single" w:sz="8" w:color="005AFF"/>
            </w:tcBorders>
          </w:tcPr>
          <w:p>
            <w:pPr>
              <w:spacing w:after="0"/>
              <w:rPr>
                <w:sz w:val="24"/>
                <w:szCs w:val="24"/>
                <w:color w:val="auto"/>
              </w:rPr>
            </w:pPr>
          </w:p>
        </w:tc>
        <w:tc>
          <w:tcPr>
            <w:tcW w:w="720" w:type="dxa"/>
            <w:vAlign w:val="bottom"/>
            <w:tcBorders>
              <w:bottom w:val="single" w:sz="8" w:color="005AFF"/>
            </w:tcBorders>
          </w:tcPr>
          <w:p>
            <w:pPr>
              <w:spacing w:after="0"/>
              <w:rPr>
                <w:sz w:val="24"/>
                <w:szCs w:val="24"/>
                <w:color w:val="auto"/>
              </w:rPr>
            </w:pPr>
          </w:p>
        </w:tc>
        <w:tc>
          <w:tcPr>
            <w:tcW w:w="640" w:type="dxa"/>
            <w:vAlign w:val="bottom"/>
            <w:tcBorders>
              <w:bottom w:val="single" w:sz="8" w:color="005AFF"/>
            </w:tcBorders>
          </w:tcPr>
          <w:p>
            <w:pPr>
              <w:spacing w:after="0"/>
              <w:rPr>
                <w:sz w:val="24"/>
                <w:szCs w:val="24"/>
                <w:color w:val="auto"/>
              </w:rPr>
            </w:pPr>
          </w:p>
        </w:tc>
      </w:tr>
      <w:tr>
        <w:trPr>
          <w:trHeight w:val="140"/>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Basic earnings per share</w:t>
            </w:r>
          </w:p>
        </w:tc>
        <w:tc>
          <w:tcPr>
            <w:tcW w:w="680" w:type="dxa"/>
            <w:vAlign w:val="bottom"/>
            <w:shd w:val="clear" w:color="auto" w:fill="F0F5FF"/>
          </w:tcPr>
          <w:p>
            <w:pPr>
              <w:spacing w:after="0"/>
              <w:rPr>
                <w:sz w:val="12"/>
                <w:szCs w:val="12"/>
                <w:color w:val="auto"/>
              </w:rPr>
            </w:pPr>
          </w:p>
        </w:tc>
        <w:tc>
          <w:tcPr>
            <w:tcW w:w="720" w:type="dxa"/>
            <w:vAlign w:val="bottom"/>
          </w:tcPr>
          <w:p>
            <w:pPr>
              <w:spacing w:after="0"/>
              <w:rPr>
                <w:sz w:val="12"/>
                <w:szCs w:val="12"/>
                <w:color w:val="auto"/>
              </w:rPr>
            </w:pPr>
          </w:p>
        </w:tc>
        <w:tc>
          <w:tcPr>
            <w:tcW w:w="640" w:type="dxa"/>
            <w:vAlign w:val="bottom"/>
          </w:tcPr>
          <w:p>
            <w:pPr>
              <w:spacing w:after="0"/>
              <w:rPr>
                <w:sz w:val="12"/>
                <w:szCs w:val="12"/>
                <w:color w:val="auto"/>
              </w:rPr>
            </w:pP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Continuing operations</w:t>
            </w:r>
          </w:p>
        </w:tc>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0.12</w:t>
            </w:r>
          </w:p>
        </w:tc>
        <w:tc>
          <w:tcPr>
            <w:tcW w:w="72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0.75</w:t>
            </w:r>
          </w:p>
        </w:tc>
        <w:tc>
          <w:tcPr>
            <w:tcW w:w="6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0.29</w:t>
            </w: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Discontinued operations</w:t>
            </w:r>
          </w:p>
        </w:tc>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0.00</w:t>
            </w:r>
          </w:p>
        </w:tc>
        <w:tc>
          <w:tcPr>
            <w:tcW w:w="72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0.01</w:t>
            </w:r>
          </w:p>
        </w:tc>
        <w:tc>
          <w:tcPr>
            <w:tcW w:w="6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0.00</w:t>
            </w:r>
          </w:p>
        </w:tc>
      </w:tr>
      <w:tr>
        <w:trPr>
          <w:trHeight w:val="167"/>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68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0.12</w:t>
            </w:r>
          </w:p>
        </w:tc>
        <w:tc>
          <w:tcPr>
            <w:tcW w:w="720" w:type="dxa"/>
            <w:vAlign w:val="bottom"/>
            <w:tcBorders>
              <w:bottom w:val="single" w:sz="8" w:color="005AFF"/>
            </w:tcBorders>
          </w:tcPr>
          <w:p>
            <w:pPr>
              <w:jc w:val="right"/>
              <w:ind w:right="69"/>
              <w:spacing w:after="0"/>
              <w:rPr>
                <w:sz w:val="20"/>
                <w:szCs w:val="20"/>
                <w:color w:val="auto"/>
              </w:rPr>
            </w:pPr>
            <w:r>
              <w:rPr>
                <w:rFonts w:ascii="Times New Roman" w:cs="Times New Roman" w:eastAsia="Times New Roman" w:hAnsi="Times New Roman"/>
                <w:sz w:val="10"/>
                <w:szCs w:val="10"/>
                <w:color w:val="0D0D0D"/>
              </w:rPr>
              <w:t>0.76</w:t>
            </w:r>
          </w:p>
        </w:tc>
        <w:tc>
          <w:tcPr>
            <w:tcW w:w="64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0.29</w:t>
            </w:r>
          </w:p>
        </w:tc>
      </w:tr>
      <w:tr>
        <w:trPr>
          <w:trHeight w:val="137"/>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Diluted earnings per share</w:t>
            </w:r>
          </w:p>
        </w:tc>
        <w:tc>
          <w:tcPr>
            <w:tcW w:w="680" w:type="dxa"/>
            <w:vAlign w:val="bottom"/>
            <w:shd w:val="clear" w:color="auto" w:fill="F0F5FF"/>
          </w:tcPr>
          <w:p>
            <w:pPr>
              <w:spacing w:after="0"/>
              <w:rPr>
                <w:sz w:val="11"/>
                <w:szCs w:val="11"/>
                <w:color w:val="auto"/>
              </w:rPr>
            </w:pPr>
          </w:p>
        </w:tc>
        <w:tc>
          <w:tcPr>
            <w:tcW w:w="720" w:type="dxa"/>
            <w:vAlign w:val="bottom"/>
          </w:tcPr>
          <w:p>
            <w:pPr>
              <w:spacing w:after="0"/>
              <w:rPr>
                <w:sz w:val="11"/>
                <w:szCs w:val="11"/>
                <w:color w:val="auto"/>
              </w:rPr>
            </w:pPr>
          </w:p>
        </w:tc>
        <w:tc>
          <w:tcPr>
            <w:tcW w:w="640" w:type="dxa"/>
            <w:vAlign w:val="bottom"/>
          </w:tcPr>
          <w:p>
            <w:pPr>
              <w:spacing w:after="0"/>
              <w:rPr>
                <w:sz w:val="11"/>
                <w:szCs w:val="11"/>
                <w:color w:val="auto"/>
              </w:rPr>
            </w:pP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Continuing operations</w:t>
            </w:r>
          </w:p>
        </w:tc>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0.12</w:t>
            </w:r>
          </w:p>
        </w:tc>
        <w:tc>
          <w:tcPr>
            <w:tcW w:w="72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0.74</w:t>
            </w:r>
          </w:p>
        </w:tc>
        <w:tc>
          <w:tcPr>
            <w:tcW w:w="6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0.29</w:t>
            </w:r>
          </w:p>
        </w:tc>
      </w:tr>
      <w:tr>
        <w:trPr>
          <w:trHeight w:val="162"/>
        </w:trPr>
        <w:tc>
          <w:tcPr>
            <w:tcW w:w="46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Discontinued operations</w:t>
            </w:r>
          </w:p>
        </w:tc>
        <w:tc>
          <w:tcPr>
            <w:tcW w:w="68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0.00</w:t>
            </w:r>
          </w:p>
        </w:tc>
        <w:tc>
          <w:tcPr>
            <w:tcW w:w="720" w:type="dxa"/>
            <w:vAlign w:val="bottom"/>
          </w:tcPr>
          <w:p>
            <w:pPr>
              <w:jc w:val="right"/>
              <w:ind w:right="69"/>
              <w:spacing w:after="0"/>
              <w:rPr>
                <w:sz w:val="20"/>
                <w:szCs w:val="20"/>
                <w:color w:val="auto"/>
              </w:rPr>
            </w:pPr>
            <w:r>
              <w:rPr>
                <w:rFonts w:ascii="Times New Roman" w:cs="Times New Roman" w:eastAsia="Times New Roman" w:hAnsi="Times New Roman"/>
                <w:sz w:val="10"/>
                <w:szCs w:val="10"/>
                <w:color w:val="0D0D0D"/>
              </w:rPr>
              <w:t>0.01</w:t>
            </w:r>
          </w:p>
        </w:tc>
        <w:tc>
          <w:tcPr>
            <w:tcW w:w="64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0.00</w:t>
            </w:r>
          </w:p>
        </w:tc>
      </w:tr>
      <w:tr>
        <w:trPr>
          <w:trHeight w:val="167"/>
        </w:trPr>
        <w:tc>
          <w:tcPr>
            <w:tcW w:w="46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Profit for the year</w:t>
            </w:r>
          </w:p>
        </w:tc>
        <w:tc>
          <w:tcPr>
            <w:tcW w:w="68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0.12</w:t>
            </w:r>
          </w:p>
        </w:tc>
        <w:tc>
          <w:tcPr>
            <w:tcW w:w="720" w:type="dxa"/>
            <w:vAlign w:val="bottom"/>
            <w:tcBorders>
              <w:bottom w:val="single" w:sz="8" w:color="005AFF"/>
            </w:tcBorders>
          </w:tcPr>
          <w:p>
            <w:pPr>
              <w:jc w:val="right"/>
              <w:ind w:right="69"/>
              <w:spacing w:after="0"/>
              <w:rPr>
                <w:sz w:val="20"/>
                <w:szCs w:val="20"/>
                <w:color w:val="auto"/>
              </w:rPr>
            </w:pPr>
            <w:r>
              <w:rPr>
                <w:rFonts w:ascii="Times New Roman" w:cs="Times New Roman" w:eastAsia="Times New Roman" w:hAnsi="Times New Roman"/>
                <w:sz w:val="10"/>
                <w:szCs w:val="10"/>
                <w:color w:val="0D0D0D"/>
              </w:rPr>
              <w:t>0.75</w:t>
            </w:r>
          </w:p>
        </w:tc>
        <w:tc>
          <w:tcPr>
            <w:tcW w:w="64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0.29</w:t>
            </w:r>
          </w:p>
        </w:tc>
      </w:tr>
    </w:tbl>
    <w:p>
      <w:pPr>
        <w:spacing w:after="0" w:line="200" w:lineRule="exact"/>
        <w:rPr>
          <w:sz w:val="20"/>
          <w:szCs w:val="20"/>
          <w:color w:val="auto"/>
        </w:rPr>
      </w:pPr>
    </w:p>
    <w:p>
      <w:pPr>
        <w:sectPr>
          <w:pgSz w:w="11900" w:h="16838" w:orient="portrait"/>
          <w:cols w:equalWidth="0" w:num="2">
            <w:col w:w="2840" w:space="560"/>
            <w:col w:w="6660"/>
          </w:cols>
          <w:pgMar w:left="960" w:top="410" w:right="87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60"/>
          </w:cols>
          <w:pgMar w:left="960" w:top="410" w:right="879" w:bottom="1440" w:gutter="0" w:footer="0" w:header="0"/>
          <w:type w:val="continuous"/>
        </w:sectPr>
      </w:pPr>
    </w:p>
    <w:bookmarkStart w:id="168" w:name="page169"/>
    <w:bookmarkEnd w:id="168"/>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161</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06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38" w:lineRule="exact"/>
        <w:rPr>
          <w:sz w:val="20"/>
          <w:szCs w:val="20"/>
          <w:color w:val="auto"/>
        </w:rPr>
      </w:pPr>
    </w:p>
    <w:p>
      <w:pPr>
        <w:sectPr>
          <w:pgSz w:w="11900" w:h="16838" w:orient="portrait"/>
          <w:cols w:equalWidth="0" w:num="2">
            <w:col w:w="3120" w:space="280"/>
            <w:col w:w="6660"/>
          </w:cols>
          <w:pgMar w:left="960" w:top="410" w:right="879" w:bottom="1440" w:gutter="0" w:footer="0" w:header="0"/>
        </w:sect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3</w:t>
      </w:r>
    </w:p>
    <w:p>
      <w:pPr>
        <w:spacing w:after="0" w:line="54" w:lineRule="exact"/>
        <w:rPr>
          <w:sz w:val="20"/>
          <w:szCs w:val="20"/>
          <w:color w:val="auto"/>
        </w:rPr>
      </w:pPr>
    </w:p>
    <w:p>
      <w:pPr>
        <w:ind w:right="160"/>
        <w:spacing w:after="0" w:line="249" w:lineRule="auto"/>
        <w:rPr>
          <w:sz w:val="20"/>
          <w:szCs w:val="20"/>
          <w:color w:val="auto"/>
        </w:rPr>
      </w:pPr>
      <w:r>
        <w:rPr>
          <w:rFonts w:ascii="Times New Roman" w:cs="Times New Roman" w:eastAsia="Times New Roman" w:hAnsi="Times New Roman"/>
          <w:sz w:val="45"/>
          <w:szCs w:val="45"/>
          <w:color w:val="auto"/>
        </w:rPr>
        <w:t>Compensation and benefits</w:t>
      </w:r>
    </w:p>
    <w:p>
      <w:pPr>
        <w:spacing w:after="0" w:line="72"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3"/>
          <w:szCs w:val="13"/>
          <w:color w:val="auto"/>
        </w:rPr>
        <w:t>This section provides information on Nokia’s employee benefits including remuneration of the management and Board of Directors. Employee benefits comprise salaries and wages, short-term cash incentives and share-based payments, as well as post-employment benefits in accordance with the local conditions and practices in the countries in which Nokia operates.</w:t>
      </w:r>
    </w:p>
    <w:p>
      <w:pPr>
        <w:spacing w:after="0" w:line="105" w:lineRule="exact"/>
        <w:rPr>
          <w:sz w:val="20"/>
          <w:szCs w:val="20"/>
          <w:color w:val="auto"/>
        </w:rPr>
      </w:pPr>
    </w:p>
    <w:p>
      <w:pPr>
        <w:spacing w:after="0" w:line="279" w:lineRule="auto"/>
        <w:rPr>
          <w:sz w:val="20"/>
          <w:szCs w:val="20"/>
          <w:color w:val="auto"/>
        </w:rPr>
      </w:pPr>
      <w:r>
        <w:rPr>
          <w:rFonts w:ascii="Times New Roman" w:cs="Times New Roman" w:eastAsia="Times New Roman" w:hAnsi="Times New Roman"/>
          <w:sz w:val="13"/>
          <w:szCs w:val="13"/>
          <w:color w:val="auto"/>
        </w:rPr>
        <w:t>Information about the remuneration of the President and CEO and Board of Directors is provided in compliance with Finnish Accounting Standards.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3.1. Summary of personnel expenses</w:t>
      </w:r>
    </w:p>
    <w:p>
      <w:pPr>
        <w:spacing w:after="0" w:line="9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7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4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6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2022</w:t>
            </w:r>
          </w:p>
        </w:tc>
        <w:tc>
          <w:tcPr>
            <w:tcW w:w="48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71"/>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Salaries and wages  </w:t>
            </w:r>
            <w:r>
              <w:rPr>
                <w:rFonts w:ascii="Times New Roman" w:cs="Times New Roman" w:eastAsia="Times New Roman" w:hAnsi="Times New Roman"/>
                <w:sz w:val="13"/>
                <w:szCs w:val="13"/>
                <w:color w:val="0D0D0D"/>
                <w:vertAlign w:val="superscript"/>
              </w:rPr>
              <w:t>(1)</w:t>
            </w:r>
          </w:p>
        </w:tc>
        <w:tc>
          <w:tcPr>
            <w:tcW w:w="100" w:type="dxa"/>
            <w:vAlign w:val="bottom"/>
            <w:shd w:val="clear" w:color="auto" w:fill="F0F5FF"/>
          </w:tcPr>
          <w:p>
            <w:pPr>
              <w:spacing w:after="0"/>
              <w:rPr>
                <w:sz w:val="14"/>
                <w:szCs w:val="14"/>
                <w:color w:val="auto"/>
              </w:rPr>
            </w:pPr>
          </w:p>
        </w:tc>
        <w:tc>
          <w:tcPr>
            <w:tcW w:w="44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5 988</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6 439</w:t>
            </w:r>
          </w:p>
        </w:tc>
        <w:tc>
          <w:tcPr>
            <w:tcW w:w="48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6 191</w:t>
            </w:r>
          </w:p>
        </w:tc>
      </w:tr>
      <w:tr>
        <w:trPr>
          <w:trHeight w:val="121"/>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Pensions and other post-</w:t>
            </w:r>
          </w:p>
        </w:tc>
        <w:tc>
          <w:tcPr>
            <w:tcW w:w="100" w:type="dxa"/>
            <w:vAlign w:val="bottom"/>
            <w:shd w:val="clear" w:color="auto" w:fill="F0F5FF"/>
          </w:tcPr>
          <w:p>
            <w:pPr>
              <w:spacing w:after="0"/>
              <w:rPr>
                <w:sz w:val="10"/>
                <w:szCs w:val="10"/>
                <w:color w:val="auto"/>
              </w:rPr>
            </w:pPr>
          </w:p>
        </w:tc>
        <w:tc>
          <w:tcPr>
            <w:tcW w:w="440" w:type="dxa"/>
            <w:vAlign w:val="bottom"/>
            <w:shd w:val="clear" w:color="auto" w:fill="F0F5FF"/>
          </w:tcPr>
          <w:p>
            <w:pPr>
              <w:spacing w:after="0"/>
              <w:rPr>
                <w:sz w:val="10"/>
                <w:szCs w:val="10"/>
                <w:color w:val="auto"/>
              </w:rPr>
            </w:pPr>
          </w:p>
        </w:tc>
        <w:tc>
          <w:tcPr>
            <w:tcW w:w="600" w:type="dxa"/>
            <w:vAlign w:val="bottom"/>
          </w:tcPr>
          <w:p>
            <w:pPr>
              <w:spacing w:after="0"/>
              <w:rPr>
                <w:sz w:val="10"/>
                <w:szCs w:val="10"/>
                <w:color w:val="auto"/>
              </w:rPr>
            </w:pPr>
          </w:p>
        </w:tc>
        <w:tc>
          <w:tcPr>
            <w:tcW w:w="480" w:type="dxa"/>
            <w:vAlign w:val="bottom"/>
          </w:tcPr>
          <w:p>
            <w:pPr>
              <w:spacing w:after="0"/>
              <w:rPr>
                <w:sz w:val="10"/>
                <w:szCs w:val="10"/>
                <w:color w:val="auto"/>
              </w:rPr>
            </w:pPr>
          </w:p>
        </w:tc>
      </w:tr>
      <w:tr>
        <w:trPr>
          <w:trHeight w:val="13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employment benefits</w:t>
            </w:r>
          </w:p>
        </w:tc>
        <w:tc>
          <w:tcPr>
            <w:tcW w:w="10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60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62"/>
        </w:trPr>
        <w:tc>
          <w:tcPr>
            <w:tcW w:w="1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Defined contribution plans</w:t>
            </w:r>
          </w:p>
        </w:tc>
        <w:tc>
          <w:tcPr>
            <w:tcW w:w="100" w:type="dxa"/>
            <w:vAlign w:val="bottom"/>
            <w:shd w:val="clear" w:color="auto" w:fill="F0F5FF"/>
          </w:tcPr>
          <w:p>
            <w:pPr>
              <w:spacing w:after="0"/>
              <w:rPr>
                <w:sz w:val="14"/>
                <w:szCs w:val="14"/>
                <w:color w:val="auto"/>
              </w:rPr>
            </w:pPr>
          </w:p>
        </w:tc>
        <w:tc>
          <w:tcPr>
            <w:tcW w:w="44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251</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241</w:t>
            </w:r>
          </w:p>
        </w:tc>
        <w:tc>
          <w:tcPr>
            <w:tcW w:w="48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223</w:t>
            </w:r>
          </w:p>
        </w:tc>
      </w:tr>
      <w:tr>
        <w:trPr>
          <w:trHeight w:val="194"/>
        </w:trPr>
        <w:tc>
          <w:tcPr>
            <w:tcW w:w="16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xml:space="preserve">Defined benefit plans  </w:t>
            </w:r>
            <w:r>
              <w:rPr>
                <w:rFonts w:ascii="Times New Roman" w:cs="Times New Roman" w:eastAsia="Times New Roman" w:hAnsi="Times New Roman"/>
                <w:sz w:val="13"/>
                <w:szCs w:val="13"/>
                <w:color w:val="0D0D0D"/>
                <w:vertAlign w:val="superscript"/>
              </w:rPr>
              <w:t>(2)</w:t>
            </w:r>
          </w:p>
        </w:tc>
        <w:tc>
          <w:tcPr>
            <w:tcW w:w="100" w:type="dxa"/>
            <w:vAlign w:val="bottom"/>
            <w:shd w:val="clear" w:color="auto" w:fill="F0F5FF"/>
          </w:tcPr>
          <w:p>
            <w:pPr>
              <w:spacing w:after="0"/>
              <w:rPr>
                <w:sz w:val="16"/>
                <w:szCs w:val="16"/>
                <w:color w:val="auto"/>
              </w:rPr>
            </w:pPr>
          </w:p>
        </w:tc>
        <w:tc>
          <w:tcPr>
            <w:tcW w:w="44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156</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193</w:t>
            </w:r>
          </w:p>
        </w:tc>
        <w:tc>
          <w:tcPr>
            <w:tcW w:w="48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183</w:t>
            </w:r>
          </w:p>
        </w:tc>
      </w:tr>
      <w:tr>
        <w:trPr>
          <w:trHeight w:val="130"/>
        </w:trPr>
        <w:tc>
          <w:tcPr>
            <w:tcW w:w="16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100" w:type="dxa"/>
            <w:vAlign w:val="bottom"/>
            <w:shd w:val="clear" w:color="auto" w:fill="F0F5FF"/>
          </w:tcPr>
          <w:p>
            <w:pPr>
              <w:spacing w:after="0"/>
              <w:rPr>
                <w:sz w:val="11"/>
                <w:szCs w:val="11"/>
                <w:color w:val="auto"/>
              </w:rPr>
            </w:pPr>
          </w:p>
        </w:tc>
        <w:tc>
          <w:tcPr>
            <w:tcW w:w="44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202</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149</w:t>
            </w:r>
          </w:p>
        </w:tc>
        <w:tc>
          <w:tcPr>
            <w:tcW w:w="48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118</w:t>
            </w:r>
          </w:p>
        </w:tc>
      </w:tr>
      <w:tr>
        <w:trPr>
          <w:trHeight w:val="167"/>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Social security costs</w:t>
            </w:r>
          </w:p>
        </w:tc>
        <w:tc>
          <w:tcPr>
            <w:tcW w:w="100" w:type="dxa"/>
            <w:vAlign w:val="bottom"/>
            <w:tcBorders>
              <w:bottom w:val="single" w:sz="8" w:color="005AFF"/>
            </w:tcBorders>
            <w:shd w:val="clear" w:color="auto" w:fill="F0F5FF"/>
          </w:tcPr>
          <w:p>
            <w:pPr>
              <w:spacing w:after="0"/>
              <w:rPr>
                <w:sz w:val="14"/>
                <w:szCs w:val="14"/>
                <w:color w:val="auto"/>
              </w:rPr>
            </w:pPr>
          </w:p>
        </w:tc>
        <w:tc>
          <w:tcPr>
            <w:tcW w:w="44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873</w:t>
            </w:r>
          </w:p>
        </w:tc>
        <w:tc>
          <w:tcPr>
            <w:tcW w:w="6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10"/>
                <w:szCs w:val="10"/>
                <w:color w:val="0D0D0D"/>
              </w:rPr>
              <w:t>881</w:t>
            </w:r>
          </w:p>
        </w:tc>
        <w:tc>
          <w:tcPr>
            <w:tcW w:w="48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826</w:t>
            </w:r>
          </w:p>
        </w:tc>
      </w:tr>
      <w:tr>
        <w:trPr>
          <w:trHeight w:val="142"/>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00" w:type="dxa"/>
            <w:vAlign w:val="bottom"/>
            <w:tcBorders>
              <w:bottom w:val="single" w:sz="8" w:color="005AFF"/>
            </w:tcBorders>
            <w:shd w:val="clear" w:color="auto" w:fill="F0F5FF"/>
          </w:tcPr>
          <w:p>
            <w:pPr>
              <w:spacing w:after="0"/>
              <w:rPr>
                <w:sz w:val="12"/>
                <w:szCs w:val="12"/>
                <w:color w:val="auto"/>
              </w:rPr>
            </w:pPr>
          </w:p>
        </w:tc>
        <w:tc>
          <w:tcPr>
            <w:tcW w:w="44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7 470</w:t>
            </w:r>
          </w:p>
        </w:tc>
        <w:tc>
          <w:tcPr>
            <w:tcW w:w="6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10"/>
                <w:szCs w:val="10"/>
                <w:b w:val="1"/>
                <w:bCs w:val="1"/>
                <w:color w:val="auto"/>
              </w:rPr>
              <w:t>7 903</w:t>
            </w:r>
          </w:p>
        </w:tc>
        <w:tc>
          <w:tcPr>
            <w:tcW w:w="48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7 541</w:t>
            </w:r>
          </w:p>
        </w:tc>
      </w:tr>
      <w:tr>
        <w:trPr>
          <w:trHeight w:val="148"/>
        </w:trPr>
        <w:tc>
          <w:tcPr>
            <w:tcW w:w="1740" w:type="dxa"/>
            <w:vAlign w:val="bottom"/>
            <w:gridSpan w:val="2"/>
          </w:tcPr>
          <w:p>
            <w:pPr>
              <w:spacing w:after="0"/>
              <w:rPr>
                <w:sz w:val="20"/>
                <w:szCs w:val="20"/>
                <w:color w:val="auto"/>
              </w:rPr>
            </w:pPr>
            <w:r>
              <w:rPr>
                <w:rFonts w:ascii="Times New Roman" w:cs="Times New Roman" w:eastAsia="Times New Roman" w:hAnsi="Times New Roman"/>
                <w:sz w:val="8"/>
                <w:szCs w:val="8"/>
                <w:color w:val="auto"/>
              </w:rPr>
              <w:t>(1)   Includes termination benefits.</w:t>
            </w:r>
          </w:p>
        </w:tc>
        <w:tc>
          <w:tcPr>
            <w:tcW w:w="440" w:type="dxa"/>
            <w:vAlign w:val="bottom"/>
          </w:tcPr>
          <w:p>
            <w:pPr>
              <w:spacing w:after="0"/>
              <w:rPr>
                <w:sz w:val="12"/>
                <w:szCs w:val="12"/>
                <w:color w:val="auto"/>
              </w:rPr>
            </w:pPr>
          </w:p>
        </w:tc>
        <w:tc>
          <w:tcPr>
            <w:tcW w:w="600" w:type="dxa"/>
            <w:vAlign w:val="bottom"/>
          </w:tcPr>
          <w:p>
            <w:pPr>
              <w:spacing w:after="0"/>
              <w:rPr>
                <w:sz w:val="12"/>
                <w:szCs w:val="12"/>
                <w:color w:val="auto"/>
              </w:rPr>
            </w:pPr>
          </w:p>
        </w:tc>
        <w:tc>
          <w:tcPr>
            <w:tcW w:w="480" w:type="dxa"/>
            <w:vAlign w:val="bottom"/>
          </w:tcPr>
          <w:p>
            <w:pPr>
              <w:spacing w:after="0"/>
              <w:rPr>
                <w:sz w:val="12"/>
                <w:szCs w:val="12"/>
                <w:color w:val="auto"/>
              </w:rPr>
            </w:pPr>
          </w:p>
        </w:tc>
      </w:tr>
      <w:tr>
        <w:trPr>
          <w:trHeight w:val="101"/>
        </w:trPr>
        <w:tc>
          <w:tcPr>
            <w:tcW w:w="2780" w:type="dxa"/>
            <w:vAlign w:val="bottom"/>
            <w:gridSpan w:val="4"/>
          </w:tcPr>
          <w:p>
            <w:pPr>
              <w:jc w:val="right"/>
              <w:ind w:right="92"/>
              <w:spacing w:after="0"/>
              <w:rPr>
                <w:sz w:val="20"/>
                <w:szCs w:val="20"/>
                <w:color w:val="auto"/>
              </w:rPr>
            </w:pPr>
            <w:r>
              <w:rPr>
                <w:rFonts w:ascii="Times New Roman" w:cs="Times New Roman" w:eastAsia="Times New Roman" w:hAnsi="Times New Roman"/>
                <w:sz w:val="8"/>
                <w:szCs w:val="8"/>
                <w:color w:val="auto"/>
              </w:rPr>
              <w:t>(2)   Excludes amounts recorded in financial income and expenses, refer to Note</w:t>
            </w:r>
          </w:p>
        </w:tc>
        <w:tc>
          <w:tcPr>
            <w:tcW w:w="480" w:type="dxa"/>
            <w:vAlign w:val="bottom"/>
          </w:tcPr>
          <w:p>
            <w:pPr>
              <w:jc w:val="right"/>
              <w:ind w:right="132"/>
              <w:spacing w:after="0"/>
              <w:rPr>
                <w:sz w:val="20"/>
                <w:szCs w:val="20"/>
                <w:color w:val="auto"/>
              </w:rPr>
            </w:pPr>
            <w:r>
              <w:rPr>
                <w:rFonts w:ascii="Times New Roman" w:cs="Times New Roman" w:eastAsia="Times New Roman" w:hAnsi="Times New Roman"/>
                <w:sz w:val="8"/>
                <w:szCs w:val="8"/>
                <w:color w:val="auto"/>
              </w:rPr>
              <w:t>3.4.</w:t>
            </w:r>
          </w:p>
        </w:tc>
      </w:tr>
      <w:tr>
        <w:trPr>
          <w:trHeight w:val="104"/>
        </w:trPr>
        <w:tc>
          <w:tcPr>
            <w:tcW w:w="1740" w:type="dxa"/>
            <w:vAlign w:val="bottom"/>
            <w:gridSpan w:val="2"/>
          </w:tcPr>
          <w:p>
            <w:pPr>
              <w:ind w:left="200"/>
              <w:spacing w:after="0"/>
              <w:rPr>
                <w:sz w:val="20"/>
                <w:szCs w:val="20"/>
                <w:color w:val="auto"/>
              </w:rPr>
            </w:pPr>
            <w:r>
              <w:rPr>
                <w:rFonts w:ascii="Times New Roman" w:cs="Times New Roman" w:eastAsia="Times New Roman" w:hAnsi="Times New Roman"/>
                <w:sz w:val="8"/>
                <w:szCs w:val="8"/>
                <w:color w:val="auto"/>
              </w:rPr>
              <w:t>Pensions and other post-employment benefits</w:t>
            </w:r>
          </w:p>
        </w:tc>
        <w:tc>
          <w:tcPr>
            <w:tcW w:w="440" w:type="dxa"/>
            <w:vAlign w:val="bottom"/>
          </w:tcPr>
          <w:p>
            <w:pPr>
              <w:jc w:val="right"/>
              <w:ind w:right="232"/>
              <w:spacing w:after="0"/>
              <w:rPr>
                <w:sz w:val="20"/>
                <w:szCs w:val="20"/>
                <w:color w:val="auto"/>
              </w:rPr>
            </w:pPr>
            <w:r>
              <w:rPr>
                <w:rFonts w:ascii="Times New Roman" w:cs="Times New Roman" w:eastAsia="Times New Roman" w:hAnsi="Times New Roman"/>
                <w:sz w:val="8"/>
                <w:szCs w:val="8"/>
                <w:color w:val="auto"/>
              </w:rPr>
              <w:t>.</w:t>
            </w:r>
          </w:p>
        </w:tc>
        <w:tc>
          <w:tcPr>
            <w:tcW w:w="600" w:type="dxa"/>
            <w:vAlign w:val="bottom"/>
          </w:tcPr>
          <w:p>
            <w:pPr>
              <w:spacing w:after="0"/>
              <w:rPr>
                <w:sz w:val="9"/>
                <w:szCs w:val="9"/>
                <w:color w:val="auto"/>
              </w:rPr>
            </w:pPr>
          </w:p>
        </w:tc>
        <w:tc>
          <w:tcPr>
            <w:tcW w:w="480" w:type="dxa"/>
            <w:vAlign w:val="bottom"/>
          </w:tcPr>
          <w:p>
            <w:pPr>
              <w:spacing w:after="0"/>
              <w:rPr>
                <w:sz w:val="9"/>
                <w:szCs w:val="9"/>
                <w:color w:val="auto"/>
              </w:rPr>
            </w:pPr>
          </w:p>
        </w:tc>
      </w:tr>
      <w:tr>
        <w:trPr>
          <w:trHeight w:val="251"/>
        </w:trPr>
        <w:tc>
          <w:tcPr>
            <w:tcW w:w="1640" w:type="dxa"/>
            <w:vAlign w:val="bottom"/>
            <w:tcBorders>
              <w:bottom w:val="single" w:sz="8" w:color="005AFF"/>
            </w:tcBorders>
          </w:tcPr>
          <w:p>
            <w:pPr>
              <w:spacing w:after="0"/>
              <w:rPr>
                <w:sz w:val="21"/>
                <w:szCs w:val="21"/>
                <w:color w:val="auto"/>
              </w:rPr>
            </w:pPr>
          </w:p>
        </w:tc>
        <w:tc>
          <w:tcPr>
            <w:tcW w:w="100" w:type="dxa"/>
            <w:vAlign w:val="bottom"/>
            <w:tcBorders>
              <w:bottom w:val="single" w:sz="8" w:color="005AFF"/>
            </w:tcBorders>
          </w:tcPr>
          <w:p>
            <w:pPr>
              <w:spacing w:after="0"/>
              <w:rPr>
                <w:sz w:val="21"/>
                <w:szCs w:val="21"/>
                <w:color w:val="auto"/>
              </w:rPr>
            </w:pPr>
          </w:p>
        </w:tc>
        <w:tc>
          <w:tcPr>
            <w:tcW w:w="44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6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2022</w:t>
            </w:r>
          </w:p>
        </w:tc>
        <w:tc>
          <w:tcPr>
            <w:tcW w:w="48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55"/>
        </w:trPr>
        <w:tc>
          <w:tcPr>
            <w:tcW w:w="16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Average number of employees</w:t>
            </w:r>
          </w:p>
        </w:tc>
        <w:tc>
          <w:tcPr>
            <w:tcW w:w="100" w:type="dxa"/>
            <w:vAlign w:val="bottom"/>
            <w:tcBorders>
              <w:bottom w:val="single" w:sz="8" w:color="005AFF"/>
            </w:tcBorders>
            <w:shd w:val="clear" w:color="auto" w:fill="F0F5FF"/>
          </w:tcPr>
          <w:p>
            <w:pPr>
              <w:spacing w:after="0"/>
              <w:rPr>
                <w:sz w:val="13"/>
                <w:szCs w:val="13"/>
                <w:color w:val="auto"/>
              </w:rPr>
            </w:pPr>
          </w:p>
        </w:tc>
        <w:tc>
          <w:tcPr>
            <w:tcW w:w="44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86 689</w:t>
            </w:r>
          </w:p>
        </w:tc>
        <w:tc>
          <w:tcPr>
            <w:tcW w:w="600" w:type="dxa"/>
            <w:vAlign w:val="bottom"/>
            <w:tcBorders>
              <w:bottom w:val="single" w:sz="8" w:color="005AFF"/>
            </w:tcBorders>
          </w:tcPr>
          <w:p>
            <w:pPr>
              <w:jc w:val="right"/>
              <w:ind w:right="72"/>
              <w:spacing w:after="0"/>
              <w:rPr>
                <w:sz w:val="20"/>
                <w:szCs w:val="20"/>
                <w:color w:val="auto"/>
              </w:rPr>
            </w:pPr>
            <w:r>
              <w:rPr>
                <w:rFonts w:ascii="Times New Roman" w:cs="Times New Roman" w:eastAsia="Times New Roman" w:hAnsi="Times New Roman"/>
                <w:sz w:val="10"/>
                <w:szCs w:val="10"/>
                <w:color w:val="0D0D0D"/>
              </w:rPr>
              <w:t>86 896</w:t>
            </w:r>
          </w:p>
        </w:tc>
        <w:tc>
          <w:tcPr>
            <w:tcW w:w="48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87 927</w:t>
            </w:r>
          </w:p>
        </w:tc>
      </w:tr>
    </w:tbl>
    <w:p>
      <w:pPr>
        <w:spacing w:after="0" w:line="182" w:lineRule="exact"/>
        <w:rPr>
          <w:sz w:val="20"/>
          <w:szCs w:val="20"/>
          <w:color w:val="auto"/>
        </w:rPr>
      </w:pPr>
    </w:p>
    <w:p>
      <w:pPr>
        <w:ind w:right="740"/>
        <w:spacing w:after="0" w:line="268" w:lineRule="auto"/>
        <w:rPr>
          <w:sz w:val="20"/>
          <w:szCs w:val="20"/>
          <w:color w:val="auto"/>
        </w:rPr>
      </w:pPr>
      <w:r>
        <w:rPr>
          <w:rFonts w:ascii="Times New Roman" w:cs="Times New Roman" w:eastAsia="Times New Roman" w:hAnsi="Times New Roman"/>
          <w:sz w:val="16"/>
          <w:szCs w:val="16"/>
          <w:color w:val="005AFF"/>
        </w:rPr>
        <w:t xml:space="preserve">3.2. Remuneration of key management </w:t>
      </w:r>
      <w:r>
        <w:rPr>
          <w:rFonts w:ascii="Times New Roman" w:cs="Times New Roman" w:eastAsia="Times New Roman" w:hAnsi="Times New Roman"/>
          <w:sz w:val="13"/>
          <w:szCs w:val="13"/>
          <w:color w:val="000000"/>
        </w:rPr>
        <w:t>Remuneration of the Group Leadership Team</w:t>
      </w:r>
    </w:p>
    <w:p>
      <w:pPr>
        <w:spacing w:after="0" w:line="1" w:lineRule="exact"/>
        <w:rPr>
          <w:sz w:val="20"/>
          <w:szCs w:val="20"/>
          <w:color w:val="auto"/>
        </w:rPr>
      </w:pPr>
    </w:p>
    <w:p>
      <w:pPr>
        <w:ind w:right="640"/>
        <w:spacing w:after="0" w:line="290" w:lineRule="auto"/>
        <w:rPr>
          <w:sz w:val="20"/>
          <w:szCs w:val="20"/>
          <w:color w:val="auto"/>
        </w:rPr>
      </w:pPr>
      <w:r>
        <w:rPr>
          <w:rFonts w:ascii="Times New Roman" w:cs="Times New Roman" w:eastAsia="Times New Roman" w:hAnsi="Times New Roman"/>
          <w:sz w:val="11"/>
          <w:szCs w:val="11"/>
          <w:color w:val="auto"/>
        </w:rPr>
        <w:t>The amounts below represent each member’s time on the Group Leadership Team.</w:t>
      </w:r>
    </w:p>
    <w:p>
      <w:pPr>
        <w:spacing w:after="0" w:line="10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9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220" w:type="dxa"/>
            <w:vAlign w:val="bottom"/>
            <w:tcBorders>
              <w:bottom w:val="single" w:sz="8" w:color="005AFF"/>
            </w:tcBorders>
          </w:tcPr>
          <w:p>
            <w:pPr>
              <w:spacing w:after="0"/>
              <w:rPr>
                <w:sz w:val="9"/>
                <w:szCs w:val="9"/>
                <w:color w:val="auto"/>
              </w:rPr>
            </w:pPr>
          </w:p>
        </w:tc>
        <w:tc>
          <w:tcPr>
            <w:tcW w:w="46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40"/>
        </w:trPr>
        <w:tc>
          <w:tcPr>
            <w:tcW w:w="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Short-term benefits</w:t>
            </w:r>
          </w:p>
        </w:tc>
        <w:tc>
          <w:tcPr>
            <w:tcW w:w="220" w:type="dxa"/>
            <w:vAlign w:val="bottom"/>
          </w:tcPr>
          <w:p>
            <w:pPr>
              <w:spacing w:after="0"/>
              <w:rPr>
                <w:sz w:val="12"/>
                <w:szCs w:val="12"/>
                <w:color w:val="auto"/>
              </w:rPr>
            </w:pPr>
          </w:p>
        </w:tc>
        <w:tc>
          <w:tcPr>
            <w:tcW w:w="460" w:type="dxa"/>
            <w:vAlign w:val="bottom"/>
          </w:tcPr>
          <w:p>
            <w:pPr>
              <w:spacing w:after="0"/>
              <w:rPr>
                <w:sz w:val="12"/>
                <w:szCs w:val="12"/>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13</w:t>
            </w:r>
          </w:p>
        </w:tc>
        <w:tc>
          <w:tcPr>
            <w:tcW w:w="66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17</w:t>
            </w:r>
          </w:p>
        </w:tc>
        <w:tc>
          <w:tcPr>
            <w:tcW w:w="4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w:t>
            </w:r>
          </w:p>
        </w:tc>
        <w:tc>
          <w:tcPr>
            <w:tcW w:w="0" w:type="dxa"/>
            <w:vAlign w:val="bottom"/>
          </w:tcPr>
          <w:p>
            <w:pPr>
              <w:spacing w:after="0"/>
              <w:rPr>
                <w:sz w:val="1"/>
                <w:szCs w:val="1"/>
                <w:color w:val="auto"/>
              </w:rPr>
            </w:pPr>
          </w:p>
        </w:tc>
      </w:tr>
      <w:tr>
        <w:trPr>
          <w:trHeight w:val="111"/>
        </w:trPr>
        <w:tc>
          <w:tcPr>
            <w:tcW w:w="118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Post-employment benefits</w:t>
            </w:r>
          </w:p>
        </w:tc>
        <w:tc>
          <w:tcPr>
            <w:tcW w:w="460" w:type="dxa"/>
            <w:vAlign w:val="bottom"/>
          </w:tcPr>
          <w:p>
            <w:pPr>
              <w:jc w:val="right"/>
              <w:ind w:right="287"/>
              <w:spacing w:after="0"/>
              <w:rPr>
                <w:sz w:val="20"/>
                <w:szCs w:val="20"/>
                <w:color w:val="auto"/>
              </w:rPr>
            </w:pPr>
            <w:r>
              <w:rPr>
                <w:rFonts w:ascii="Times New Roman" w:cs="Times New Roman" w:eastAsia="Times New Roman" w:hAnsi="Times New Roman"/>
                <w:sz w:val="7"/>
                <w:szCs w:val="7"/>
                <w:color w:val="0D0D0D"/>
              </w:rPr>
              <w:t>(1)</w:t>
            </w:r>
          </w:p>
        </w:tc>
        <w:tc>
          <w:tcPr>
            <w:tcW w:w="54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w:t>
            </w:r>
          </w:p>
        </w:tc>
        <w:tc>
          <w:tcPr>
            <w:tcW w:w="66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1</w:t>
            </w:r>
          </w:p>
        </w:tc>
        <w:tc>
          <w:tcPr>
            <w:tcW w:w="420" w:type="dxa"/>
            <w:vAlign w:val="bottom"/>
            <w:vMerge w:val="restart"/>
          </w:tcPr>
          <w:p>
            <w:pPr>
              <w:jc w:val="right"/>
              <w:ind w:right="11"/>
              <w:spacing w:after="0"/>
              <w:rPr>
                <w:sz w:val="20"/>
                <w:szCs w:val="20"/>
                <w:color w:val="auto"/>
              </w:rPr>
            </w:pPr>
            <w:r>
              <w:rPr>
                <w:rFonts w:ascii="Times New Roman" w:cs="Times New Roman" w:eastAsia="Times New Roman" w:hAnsi="Times New Roman"/>
                <w:sz w:val="10"/>
                <w:szCs w:val="10"/>
                <w:color w:val="0D0D0D"/>
              </w:rPr>
              <w:t>2</w:t>
            </w:r>
          </w:p>
        </w:tc>
        <w:tc>
          <w:tcPr>
            <w:tcW w:w="0" w:type="dxa"/>
            <w:vAlign w:val="bottom"/>
          </w:tcPr>
          <w:p>
            <w:pPr>
              <w:spacing w:after="0"/>
              <w:rPr>
                <w:sz w:val="1"/>
                <w:szCs w:val="1"/>
                <w:color w:val="auto"/>
              </w:rPr>
            </w:pPr>
          </w:p>
        </w:tc>
      </w:tr>
      <w:tr>
        <w:trPr>
          <w:trHeight w:val="50"/>
        </w:trPr>
        <w:tc>
          <w:tcPr>
            <w:tcW w:w="1180" w:type="dxa"/>
            <w:vAlign w:val="bottom"/>
            <w:gridSpan w:val="2"/>
            <w:vMerge w:val="continue"/>
          </w:tcPr>
          <w:p>
            <w:pPr>
              <w:spacing w:after="0"/>
              <w:rPr>
                <w:sz w:val="4"/>
                <w:szCs w:val="4"/>
                <w:color w:val="auto"/>
              </w:rPr>
            </w:pPr>
          </w:p>
        </w:tc>
        <w:tc>
          <w:tcPr>
            <w:tcW w:w="460" w:type="dxa"/>
            <w:vAlign w:val="bottom"/>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660" w:type="dxa"/>
            <w:vAlign w:val="bottom"/>
            <w:vMerge w:val="continue"/>
          </w:tcPr>
          <w:p>
            <w:pPr>
              <w:spacing w:after="0"/>
              <w:rPr>
                <w:sz w:val="4"/>
                <w:szCs w:val="4"/>
                <w:color w:val="auto"/>
              </w:rPr>
            </w:pPr>
          </w:p>
        </w:tc>
        <w:tc>
          <w:tcPr>
            <w:tcW w:w="4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Share-based payments</w:t>
            </w:r>
          </w:p>
        </w:tc>
        <w:tc>
          <w:tcPr>
            <w:tcW w:w="22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13</w:t>
            </w:r>
          </w:p>
        </w:tc>
        <w:tc>
          <w:tcPr>
            <w:tcW w:w="66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13</w:t>
            </w:r>
          </w:p>
        </w:tc>
        <w:tc>
          <w:tcPr>
            <w:tcW w:w="4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12</w:t>
            </w:r>
          </w:p>
        </w:tc>
        <w:tc>
          <w:tcPr>
            <w:tcW w:w="0" w:type="dxa"/>
            <w:vAlign w:val="bottom"/>
          </w:tcPr>
          <w:p>
            <w:pPr>
              <w:spacing w:after="0"/>
              <w:rPr>
                <w:sz w:val="1"/>
                <w:szCs w:val="1"/>
                <w:color w:val="auto"/>
              </w:rPr>
            </w:pPr>
          </w:p>
        </w:tc>
      </w:tr>
      <w:tr>
        <w:trPr>
          <w:trHeight w:val="111"/>
        </w:trPr>
        <w:tc>
          <w:tcPr>
            <w:tcW w:w="96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Termination benefits</w:t>
            </w:r>
          </w:p>
        </w:tc>
        <w:tc>
          <w:tcPr>
            <w:tcW w:w="220" w:type="dxa"/>
            <w:vAlign w:val="bottom"/>
          </w:tcPr>
          <w:p>
            <w:pPr>
              <w:jc w:val="right"/>
              <w:ind w:right="87"/>
              <w:spacing w:after="0"/>
              <w:rPr>
                <w:sz w:val="20"/>
                <w:szCs w:val="20"/>
                <w:color w:val="auto"/>
              </w:rPr>
            </w:pPr>
            <w:r>
              <w:rPr>
                <w:rFonts w:ascii="Times New Roman" w:cs="Times New Roman" w:eastAsia="Times New Roman" w:hAnsi="Times New Roman"/>
                <w:sz w:val="7"/>
                <w:szCs w:val="7"/>
                <w:color w:val="0D0D0D"/>
                <w:w w:val="97"/>
              </w:rPr>
              <w:t>(2)</w:t>
            </w:r>
          </w:p>
        </w:tc>
        <w:tc>
          <w:tcPr>
            <w:tcW w:w="460" w:type="dxa"/>
            <w:vAlign w:val="bottom"/>
          </w:tcPr>
          <w:p>
            <w:pPr>
              <w:spacing w:after="0"/>
              <w:rPr>
                <w:sz w:val="9"/>
                <w:szCs w:val="9"/>
                <w:color w:val="auto"/>
              </w:rPr>
            </w:pPr>
          </w:p>
        </w:tc>
        <w:tc>
          <w:tcPr>
            <w:tcW w:w="540" w:type="dxa"/>
            <w:vAlign w:val="bottom"/>
            <w:vMerge w:val="restart"/>
            <w:shd w:val="clear" w:color="auto" w:fill="F0F5FF"/>
          </w:tcPr>
          <w:p>
            <w:pPr>
              <w:jc w:val="center"/>
              <w:ind w:left="351"/>
              <w:spacing w:after="0"/>
              <w:rPr>
                <w:sz w:val="20"/>
                <w:szCs w:val="20"/>
                <w:color w:val="auto"/>
              </w:rPr>
            </w:pPr>
            <w:r>
              <w:rPr>
                <w:rFonts w:ascii="Times New Roman" w:cs="Times New Roman" w:eastAsia="Times New Roman" w:hAnsi="Times New Roman"/>
                <w:sz w:val="10"/>
                <w:szCs w:val="10"/>
                <w:color w:val="005AFF"/>
                <w:w w:val="99"/>
              </w:rPr>
              <w:t>—</w:t>
            </w:r>
          </w:p>
        </w:tc>
        <w:tc>
          <w:tcPr>
            <w:tcW w:w="660" w:type="dxa"/>
            <w:vAlign w:val="bottom"/>
            <w:vMerge w:val="restart"/>
          </w:tcPr>
          <w:p>
            <w:pPr>
              <w:jc w:val="right"/>
              <w:ind w:right="131"/>
              <w:spacing w:after="0"/>
              <w:rPr>
                <w:sz w:val="20"/>
                <w:szCs w:val="20"/>
                <w:color w:val="auto"/>
              </w:rPr>
            </w:pPr>
            <w:r>
              <w:rPr>
                <w:rFonts w:ascii="Times New Roman" w:cs="Times New Roman" w:eastAsia="Times New Roman" w:hAnsi="Times New Roman"/>
                <w:sz w:val="10"/>
                <w:szCs w:val="10"/>
                <w:color w:val="0D0D0D"/>
              </w:rPr>
              <w:t>1</w:t>
            </w:r>
          </w:p>
        </w:tc>
        <w:tc>
          <w:tcPr>
            <w:tcW w:w="420" w:type="dxa"/>
            <w:vAlign w:val="bottom"/>
            <w:vMerge w:val="restart"/>
          </w:tcPr>
          <w:p>
            <w:pPr>
              <w:jc w:val="center"/>
              <w:ind w:left="191"/>
              <w:spacing w:after="0"/>
              <w:rPr>
                <w:sz w:val="20"/>
                <w:szCs w:val="20"/>
                <w:color w:val="auto"/>
              </w:rPr>
            </w:pPr>
            <w:r>
              <w:rPr>
                <w:rFonts w:ascii="Times New Roman" w:cs="Times New Roman" w:eastAsia="Times New Roman" w:hAnsi="Times New Roman"/>
                <w:sz w:val="10"/>
                <w:szCs w:val="10"/>
                <w:color w:val="0D0D0D"/>
                <w:w w:val="99"/>
              </w:rPr>
              <w:t>—</w:t>
            </w:r>
          </w:p>
        </w:tc>
        <w:tc>
          <w:tcPr>
            <w:tcW w:w="0" w:type="dxa"/>
            <w:vAlign w:val="bottom"/>
          </w:tcPr>
          <w:p>
            <w:pPr>
              <w:spacing w:after="0"/>
              <w:rPr>
                <w:sz w:val="1"/>
                <w:szCs w:val="1"/>
                <w:color w:val="auto"/>
              </w:rPr>
            </w:pPr>
          </w:p>
        </w:tc>
      </w:tr>
      <w:tr>
        <w:trPr>
          <w:trHeight w:val="56"/>
        </w:trPr>
        <w:tc>
          <w:tcPr>
            <w:tcW w:w="960" w:type="dxa"/>
            <w:vAlign w:val="bottom"/>
            <w:tcBorders>
              <w:bottom w:val="single" w:sz="8" w:color="005AFF"/>
            </w:tcBorders>
            <w:vMerge w:val="continue"/>
          </w:tcPr>
          <w:p>
            <w:pPr>
              <w:spacing w:after="0"/>
              <w:rPr>
                <w:sz w:val="4"/>
                <w:szCs w:val="4"/>
                <w:color w:val="auto"/>
              </w:rPr>
            </w:pPr>
          </w:p>
        </w:tc>
        <w:tc>
          <w:tcPr>
            <w:tcW w:w="220" w:type="dxa"/>
            <w:vAlign w:val="bottom"/>
            <w:tcBorders>
              <w:bottom w:val="single" w:sz="8" w:color="005AFF"/>
            </w:tcBorders>
          </w:tcPr>
          <w:p>
            <w:pPr>
              <w:spacing w:after="0"/>
              <w:rPr>
                <w:sz w:val="4"/>
                <w:szCs w:val="4"/>
                <w:color w:val="auto"/>
              </w:rPr>
            </w:pPr>
          </w:p>
        </w:tc>
        <w:tc>
          <w:tcPr>
            <w:tcW w:w="46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vMerge w:val="continue"/>
            <w:shd w:val="clear" w:color="auto" w:fill="F0F5FF"/>
          </w:tcPr>
          <w:p>
            <w:pPr>
              <w:spacing w:after="0"/>
              <w:rPr>
                <w:sz w:val="4"/>
                <w:szCs w:val="4"/>
                <w:color w:val="auto"/>
              </w:rPr>
            </w:pPr>
          </w:p>
        </w:tc>
        <w:tc>
          <w:tcPr>
            <w:tcW w:w="660" w:type="dxa"/>
            <w:vAlign w:val="bottom"/>
            <w:tcBorders>
              <w:bottom w:val="single" w:sz="8" w:color="005AFF"/>
            </w:tcBorders>
            <w:vMerge w:val="continue"/>
          </w:tcPr>
          <w:p>
            <w:pPr>
              <w:spacing w:after="0"/>
              <w:rPr>
                <w:sz w:val="4"/>
                <w:szCs w:val="4"/>
                <w:color w:val="auto"/>
              </w:rPr>
            </w:pPr>
          </w:p>
        </w:tc>
        <w:tc>
          <w:tcPr>
            <w:tcW w:w="42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42"/>
        </w:trPr>
        <w:tc>
          <w:tcPr>
            <w:tcW w:w="9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220" w:type="dxa"/>
            <w:vAlign w:val="bottom"/>
            <w:tcBorders>
              <w:bottom w:val="single" w:sz="8" w:color="005AFF"/>
            </w:tcBorders>
          </w:tcPr>
          <w:p>
            <w:pPr>
              <w:spacing w:after="0"/>
              <w:rPr>
                <w:sz w:val="12"/>
                <w:szCs w:val="12"/>
                <w:color w:val="auto"/>
              </w:rPr>
            </w:pPr>
          </w:p>
        </w:tc>
        <w:tc>
          <w:tcPr>
            <w:tcW w:w="46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27</w:t>
            </w:r>
          </w:p>
        </w:tc>
        <w:tc>
          <w:tcPr>
            <w:tcW w:w="66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32</w:t>
            </w: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34</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right="520" w:hanging="199"/>
        <w:spacing w:after="0" w:line="254" w:lineRule="auto"/>
        <w:tabs>
          <w:tab w:leader="none" w:pos="200" w:val="left"/>
        </w:tabs>
        <w:numPr>
          <w:ilvl w:val="0"/>
          <w:numId w:val="1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members of the Group Leadership Team participate in the local retirement programs applicable to employees in the country where they reside.</w:t>
      </w:r>
    </w:p>
    <w:p>
      <w:pPr>
        <w:ind w:left="200" w:right="640" w:hanging="199"/>
        <w:spacing w:after="0" w:line="261" w:lineRule="auto"/>
        <w:tabs>
          <w:tab w:leader="none" w:pos="200" w:val="left"/>
        </w:tabs>
        <w:numPr>
          <w:ilvl w:val="0"/>
          <w:numId w:val="11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both termination payments and payments made under exceptional contractual arrangements for lapsed equity awards.</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Remuneration of the President and CEO</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w:t>
            </w:r>
          </w:p>
        </w:tc>
        <w:tc>
          <w:tcPr>
            <w:tcW w:w="106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0" w:type="dxa"/>
            <w:vAlign w:val="bottom"/>
          </w:tcPr>
          <w:p>
            <w:pPr>
              <w:spacing w:after="0"/>
              <w:rPr>
                <w:sz w:val="1"/>
                <w:szCs w:val="1"/>
                <w:color w:val="auto"/>
              </w:rPr>
            </w:pPr>
          </w:p>
        </w:tc>
      </w:tr>
      <w:tr>
        <w:trPr>
          <w:trHeight w:val="135"/>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Base salary</w:t>
            </w:r>
          </w:p>
        </w:tc>
        <w:tc>
          <w:tcPr>
            <w:tcW w:w="580" w:type="dxa"/>
            <w:vAlign w:val="bottom"/>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1 322 750</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1 300 000</w:t>
            </w:r>
          </w:p>
        </w:tc>
        <w:tc>
          <w:tcPr>
            <w:tcW w:w="6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1 300 000</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Cash incentive payments</w:t>
            </w:r>
          </w:p>
        </w:tc>
        <w:tc>
          <w:tcPr>
            <w:tcW w:w="580" w:type="dxa"/>
            <w:vAlign w:val="bottom"/>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1 079 695</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2 342 438</w:t>
            </w:r>
          </w:p>
        </w:tc>
        <w:tc>
          <w:tcPr>
            <w:tcW w:w="60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2 975 781</w:t>
            </w:r>
          </w:p>
        </w:tc>
        <w:tc>
          <w:tcPr>
            <w:tcW w:w="0" w:type="dxa"/>
            <w:vAlign w:val="bottom"/>
          </w:tcPr>
          <w:p>
            <w:pPr>
              <w:spacing w:after="0"/>
              <w:rPr>
                <w:sz w:val="1"/>
                <w:szCs w:val="1"/>
                <w:color w:val="auto"/>
              </w:rPr>
            </w:pPr>
          </w:p>
        </w:tc>
      </w:tr>
      <w:tr>
        <w:trPr>
          <w:trHeight w:val="148"/>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Share-based payment</w:t>
            </w:r>
          </w:p>
        </w:tc>
        <w:tc>
          <w:tcPr>
            <w:tcW w:w="580" w:type="dxa"/>
            <w:vAlign w:val="bottom"/>
            <w:vMerge w:val="restart"/>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5 041 885</w:t>
            </w:r>
          </w:p>
        </w:tc>
        <w:tc>
          <w:tcPr>
            <w:tcW w:w="580" w:type="dxa"/>
            <w:vAlign w:val="bottom"/>
            <w:vMerge w:val="restart"/>
          </w:tcPr>
          <w:p>
            <w:pPr>
              <w:jc w:val="right"/>
              <w:ind w:right="51"/>
              <w:spacing w:after="0"/>
              <w:rPr>
                <w:sz w:val="20"/>
                <w:szCs w:val="20"/>
                <w:color w:val="auto"/>
              </w:rPr>
            </w:pPr>
            <w:r>
              <w:rPr>
                <w:rFonts w:ascii="Times New Roman" w:cs="Times New Roman" w:eastAsia="Times New Roman" w:hAnsi="Times New Roman"/>
                <w:sz w:val="10"/>
                <w:szCs w:val="10"/>
                <w:color w:val="0D0D0D"/>
              </w:rPr>
              <w:t>5 425 169</w:t>
            </w:r>
          </w:p>
        </w:tc>
        <w:tc>
          <w:tcPr>
            <w:tcW w:w="600" w:type="dxa"/>
            <w:vAlign w:val="bottom"/>
            <w:vMerge w:val="restart"/>
          </w:tcPr>
          <w:p>
            <w:pPr>
              <w:jc w:val="right"/>
              <w:ind w:right="71"/>
              <w:spacing w:after="0"/>
              <w:rPr>
                <w:sz w:val="20"/>
                <w:szCs w:val="20"/>
                <w:color w:val="auto"/>
              </w:rPr>
            </w:pPr>
            <w:r>
              <w:rPr>
                <w:rFonts w:ascii="Times New Roman" w:cs="Times New Roman" w:eastAsia="Times New Roman" w:hAnsi="Times New Roman"/>
                <w:sz w:val="10"/>
                <w:szCs w:val="10"/>
                <w:color w:val="0D0D0D"/>
              </w:rPr>
              <w:t>4 263 505</w:t>
            </w:r>
          </w:p>
        </w:tc>
        <w:tc>
          <w:tcPr>
            <w:tcW w:w="0" w:type="dxa"/>
            <w:vAlign w:val="bottom"/>
          </w:tcPr>
          <w:p>
            <w:pPr>
              <w:spacing w:after="0"/>
              <w:rPr>
                <w:sz w:val="1"/>
                <w:szCs w:val="1"/>
                <w:color w:val="auto"/>
              </w:rPr>
            </w:pPr>
          </w:p>
        </w:tc>
      </w:tr>
      <w:tr>
        <w:trPr>
          <w:trHeight w:val="135"/>
        </w:trPr>
        <w:tc>
          <w:tcPr>
            <w:tcW w:w="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expenses</w:t>
            </w:r>
          </w:p>
        </w:tc>
        <w:tc>
          <w:tcPr>
            <w:tcW w:w="1060" w:type="dxa"/>
            <w:vAlign w:val="bottom"/>
          </w:tcPr>
          <w:p>
            <w:pPr>
              <w:jc w:val="right"/>
              <w:ind w:right="927"/>
              <w:spacing w:after="0"/>
              <w:rPr>
                <w:sz w:val="20"/>
                <w:szCs w:val="20"/>
                <w:color w:val="auto"/>
              </w:rPr>
            </w:pPr>
            <w:r>
              <w:rPr>
                <w:rFonts w:ascii="Times New Roman" w:cs="Times New Roman" w:eastAsia="Times New Roman" w:hAnsi="Times New Roman"/>
                <w:sz w:val="7"/>
                <w:szCs w:val="7"/>
                <w:color w:val="0D0D0D"/>
                <w:w w:val="97"/>
              </w:rPr>
              <w:t>(1)</w:t>
            </w:r>
          </w:p>
        </w:tc>
        <w:tc>
          <w:tcPr>
            <w:tcW w:w="580" w:type="dxa"/>
            <w:vAlign w:val="bottom"/>
            <w:vMerge w:val="continue"/>
            <w:shd w:val="clear" w:color="auto" w:fill="F0F5FF"/>
          </w:tcPr>
          <w:p>
            <w:pPr>
              <w:spacing w:after="0"/>
              <w:rPr>
                <w:sz w:val="11"/>
                <w:szCs w:val="11"/>
                <w:color w:val="auto"/>
              </w:rPr>
            </w:pPr>
          </w:p>
        </w:tc>
        <w:tc>
          <w:tcPr>
            <w:tcW w:w="580" w:type="dxa"/>
            <w:vAlign w:val="bottom"/>
            <w:vMerge w:val="continue"/>
          </w:tcPr>
          <w:p>
            <w:pPr>
              <w:spacing w:after="0"/>
              <w:rPr>
                <w:sz w:val="11"/>
                <w:szCs w:val="11"/>
                <w:color w:val="auto"/>
              </w:rPr>
            </w:pPr>
          </w:p>
        </w:tc>
        <w:tc>
          <w:tcPr>
            <w:tcW w:w="6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Pension expenses</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422 274</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406 806</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589 873</w:t>
            </w:r>
          </w:p>
        </w:tc>
        <w:tc>
          <w:tcPr>
            <w:tcW w:w="0" w:type="dxa"/>
            <w:vAlign w:val="bottom"/>
          </w:tcPr>
          <w:p>
            <w:pPr>
              <w:spacing w:after="0"/>
              <w:rPr>
                <w:sz w:val="1"/>
                <w:szCs w:val="1"/>
                <w:color w:val="auto"/>
              </w:rPr>
            </w:pPr>
          </w:p>
        </w:tc>
      </w:tr>
      <w:tr>
        <w:trPr>
          <w:trHeight w:val="172"/>
        </w:trPr>
        <w:tc>
          <w:tcPr>
            <w:tcW w:w="150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Other benefits  </w:t>
            </w:r>
            <w:r>
              <w:rPr>
                <w:rFonts w:ascii="Times New Roman" w:cs="Times New Roman" w:eastAsia="Times New Roman" w:hAnsi="Times New Roman"/>
                <w:sz w:val="13"/>
                <w:szCs w:val="13"/>
                <w:color w:val="0D0D0D"/>
                <w:vertAlign w:val="superscript"/>
              </w:rPr>
              <w:t>(2)</w:t>
            </w:r>
          </w:p>
        </w:tc>
        <w:tc>
          <w:tcPr>
            <w:tcW w:w="5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95 756</w:t>
            </w:r>
          </w:p>
        </w:tc>
        <w:tc>
          <w:tcPr>
            <w:tcW w:w="5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113 850</w:t>
            </w:r>
          </w:p>
        </w:tc>
        <w:tc>
          <w:tcPr>
            <w:tcW w:w="6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35 731</w:t>
            </w:r>
          </w:p>
        </w:tc>
        <w:tc>
          <w:tcPr>
            <w:tcW w:w="0" w:type="dxa"/>
            <w:vAlign w:val="bottom"/>
          </w:tcPr>
          <w:p>
            <w:pPr>
              <w:spacing w:after="0"/>
              <w:rPr>
                <w:sz w:val="1"/>
                <w:szCs w:val="1"/>
                <w:color w:val="auto"/>
              </w:rPr>
            </w:pPr>
          </w:p>
        </w:tc>
      </w:tr>
      <w:tr>
        <w:trPr>
          <w:trHeight w:val="137"/>
        </w:trPr>
        <w:tc>
          <w:tcPr>
            <w:tcW w:w="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060" w:type="dxa"/>
            <w:vAlign w:val="bottom"/>
            <w:tcBorders>
              <w:bottom w:val="single" w:sz="8" w:color="005AFF"/>
            </w:tcBorders>
          </w:tcPr>
          <w:p>
            <w:pPr>
              <w:spacing w:after="0"/>
              <w:rPr>
                <w:sz w:val="11"/>
                <w:szCs w:val="11"/>
                <w:color w:val="auto"/>
              </w:rPr>
            </w:pPr>
          </w:p>
        </w:tc>
        <w:tc>
          <w:tcPr>
            <w:tcW w:w="5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7 962 360</w:t>
            </w:r>
          </w:p>
        </w:tc>
        <w:tc>
          <w:tcPr>
            <w:tcW w:w="5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9 588 263</w:t>
            </w:r>
          </w:p>
        </w:tc>
        <w:tc>
          <w:tcPr>
            <w:tcW w:w="60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9 164 890</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hanging="198"/>
        <w:spacing w:after="0"/>
        <w:tabs>
          <w:tab w:leader="none" w:pos="200" w:val="left"/>
        </w:tabs>
        <w:numPr>
          <w:ilvl w:val="0"/>
          <w:numId w:val="12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Represents the expense for all outstanding equity grants recorded during the year.</w:t>
      </w:r>
    </w:p>
    <w:p>
      <w:pPr>
        <w:spacing w:after="0" w:line="12" w:lineRule="exact"/>
        <w:rPr>
          <w:rFonts w:ascii="Times New Roman" w:cs="Times New Roman" w:eastAsia="Times New Roman" w:hAnsi="Times New Roman"/>
          <w:sz w:val="8"/>
          <w:szCs w:val="8"/>
          <w:color w:val="auto"/>
        </w:rPr>
      </w:pPr>
    </w:p>
    <w:p>
      <w:pPr>
        <w:ind w:left="200" w:right="460" w:hanging="198"/>
        <w:spacing w:after="0" w:line="261" w:lineRule="auto"/>
        <w:tabs>
          <w:tab w:leader="none" w:pos="200" w:val="left"/>
        </w:tabs>
        <w:numPr>
          <w:ilvl w:val="0"/>
          <w:numId w:val="12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Other benefits consist of telephone, car, driver, mobility, tax compliance support and medical insurance.</w:t>
      </w:r>
    </w:p>
    <w:p>
      <w:pPr>
        <w:spacing w:after="0" w:line="64" w:lineRule="exact"/>
        <w:rPr>
          <w:sz w:val="20"/>
          <w:szCs w:val="20"/>
          <w:color w:val="auto"/>
        </w:rPr>
      </w:pPr>
    </w:p>
    <w:p>
      <w:pPr>
        <w:ind w:right="660"/>
        <w:spacing w:after="0" w:line="272" w:lineRule="auto"/>
        <w:rPr>
          <w:sz w:val="20"/>
          <w:szCs w:val="20"/>
          <w:color w:val="auto"/>
        </w:rPr>
      </w:pPr>
      <w:r>
        <w:rPr>
          <w:rFonts w:ascii="Times New Roman" w:cs="Times New Roman" w:eastAsia="Times New Roman" w:hAnsi="Times New Roman"/>
          <w:sz w:val="11"/>
          <w:szCs w:val="11"/>
          <w:b w:val="1"/>
          <w:bCs w:val="1"/>
          <w:color w:val="auto"/>
        </w:rPr>
        <w:t>Terms of termination of employment of the President and CEO</w:t>
      </w:r>
    </w:p>
    <w:p>
      <w:pPr>
        <w:ind w:right="340"/>
        <w:spacing w:after="0" w:line="263" w:lineRule="auto"/>
        <w:rPr>
          <w:sz w:val="20"/>
          <w:szCs w:val="20"/>
          <w:color w:val="auto"/>
        </w:rPr>
      </w:pPr>
      <w:r>
        <w:rPr>
          <w:rFonts w:ascii="Times New Roman" w:cs="Times New Roman" w:eastAsia="Times New Roman" w:hAnsi="Times New Roman"/>
          <w:sz w:val="11"/>
          <w:szCs w:val="11"/>
          <w:color w:val="auto"/>
        </w:rPr>
        <w:t>The President and CEO, Pekka Lundmark, may terminate his service agreement at any time with 12 months’ prior notice. The President and CEO would either continue to receive salary and benefits during the notice period or, at Nokia’s discretion, a lump sum of equivalent value. Additionally, the President and CEO would be entitled to any short- or long-term incentives that would normally vest during the notice period. Any unvested equity awards would be forfeited after termination.</w:t>
      </w:r>
    </w:p>
    <w:p>
      <w:pPr>
        <w:spacing w:after="0" w:line="62" w:lineRule="exact"/>
        <w:rPr>
          <w:sz w:val="20"/>
          <w:szCs w:val="20"/>
          <w:color w:val="auto"/>
        </w:rPr>
      </w:pPr>
    </w:p>
    <w:p>
      <w:pPr>
        <w:ind w:right="360"/>
        <w:spacing w:after="0" w:line="269" w:lineRule="auto"/>
        <w:rPr>
          <w:sz w:val="20"/>
          <w:szCs w:val="20"/>
          <w:color w:val="auto"/>
        </w:rPr>
      </w:pPr>
      <w:r>
        <w:rPr>
          <w:rFonts w:ascii="Times New Roman" w:cs="Times New Roman" w:eastAsia="Times New Roman" w:hAnsi="Times New Roman"/>
          <w:sz w:val="11"/>
          <w:szCs w:val="11"/>
          <w:color w:val="auto"/>
        </w:rPr>
        <w:t>In the event that the President and CEO terminates his service agreement based on a final arbitration award demonstrating Nokia’s material breach of the service agreement, he is entitled to a severance payment equaling up to 12 months of compensation, including annual base salary, benefits and target incentive. Any unvested equity awards would be forfeited after termination.</w:t>
      </w:r>
    </w:p>
    <w:p>
      <w:pPr>
        <w:sectPr>
          <w:pgSz w:w="11900" w:h="16838" w:orient="portrait"/>
          <w:cols w:equalWidth="0" w:num="3">
            <w:col w:w="2800" w:space="600"/>
            <w:col w:w="3260" w:space="140"/>
            <w:col w:w="3260"/>
          </w:cols>
          <w:pgMar w:left="960" w:top="410" w:right="879" w:bottom="1440" w:gutter="0" w:footer="0" w:header="0"/>
          <w:type w:val="continuous"/>
        </w:sectPr>
      </w:pPr>
    </w:p>
    <w:bookmarkStart w:id="169" w:name="page170"/>
    <w:bookmarkEnd w:id="169"/>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162</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30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auto"/>
        </w:rPr>
        <w:t>Remuneration of the Board of Directors</w:t>
      </w:r>
    </w:p>
    <w:p>
      <w:pPr>
        <w:spacing w:after="0" w:line="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annual remuneration paid to the members of the Board of Directors, as decided by the Annual General Meetings in the respective years:</w:t>
      </w:r>
    </w:p>
    <w:p>
      <w:pPr>
        <w:spacing w:after="0" w:line="12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860" w:type="dxa"/>
            <w:vAlign w:val="bottom"/>
          </w:tcPr>
          <w:p>
            <w:pPr>
              <w:spacing w:after="0"/>
              <w:rPr>
                <w:sz w:val="9"/>
                <w:szCs w:val="9"/>
                <w:color w:val="auto"/>
              </w:rPr>
            </w:pPr>
          </w:p>
        </w:tc>
        <w:tc>
          <w:tcPr>
            <w:tcW w:w="100" w:type="dxa"/>
            <w:vAlign w:val="bottom"/>
          </w:tcPr>
          <w:p>
            <w:pPr>
              <w:spacing w:after="0"/>
              <w:rPr>
                <w:sz w:val="9"/>
                <w:szCs w:val="9"/>
                <w:color w:val="auto"/>
              </w:rPr>
            </w:pPr>
          </w:p>
        </w:tc>
        <w:tc>
          <w:tcPr>
            <w:tcW w:w="1540" w:type="dxa"/>
            <w:vAlign w:val="bottom"/>
          </w:tcPr>
          <w:p>
            <w:pPr>
              <w:spacing w:after="0"/>
              <w:rPr>
                <w:sz w:val="9"/>
                <w:szCs w:val="9"/>
                <w:color w:val="auto"/>
              </w:rPr>
            </w:pPr>
          </w:p>
        </w:tc>
        <w:tc>
          <w:tcPr>
            <w:tcW w:w="800" w:type="dxa"/>
            <w:vAlign w:val="bottom"/>
            <w:tcBorders>
              <w:bottom w:val="single" w:sz="8" w:color="005AFF"/>
            </w:tcBorders>
          </w:tcPr>
          <w:p>
            <w:pPr>
              <w:spacing w:after="0"/>
              <w:rPr>
                <w:sz w:val="9"/>
                <w:szCs w:val="9"/>
                <w:color w:val="auto"/>
              </w:rPr>
            </w:pPr>
          </w:p>
        </w:tc>
        <w:tc>
          <w:tcPr>
            <w:tcW w:w="820" w:type="dxa"/>
            <w:vAlign w:val="bottom"/>
            <w:tcBorders>
              <w:bottom w:val="single" w:sz="8" w:color="005AFF"/>
            </w:tcBorders>
          </w:tcPr>
          <w:p>
            <w:pPr>
              <w:jc w:val="right"/>
              <w:ind w:right="291"/>
              <w:spacing w:after="0"/>
              <w:rPr>
                <w:sz w:val="20"/>
                <w:szCs w:val="20"/>
                <w:color w:val="auto"/>
              </w:rPr>
            </w:pPr>
            <w:r>
              <w:rPr>
                <w:rFonts w:ascii="Times New Roman" w:cs="Times New Roman" w:eastAsia="Times New Roman" w:hAnsi="Times New Roman"/>
                <w:sz w:val="8"/>
                <w:szCs w:val="8"/>
                <w:b w:val="1"/>
                <w:bCs w:val="1"/>
                <w:color w:val="005AFF"/>
              </w:rPr>
              <w:t>2023</w:t>
            </w:r>
          </w:p>
        </w:tc>
        <w:tc>
          <w:tcPr>
            <w:tcW w:w="800" w:type="dxa"/>
            <w:vAlign w:val="bottom"/>
            <w:tcBorders>
              <w:bottom w:val="single" w:sz="8" w:color="005AFF"/>
            </w:tcBorders>
          </w:tcPr>
          <w:p>
            <w:pPr>
              <w:spacing w:after="0"/>
              <w:rPr>
                <w:sz w:val="9"/>
                <w:szCs w:val="9"/>
                <w:color w:val="auto"/>
              </w:rPr>
            </w:pPr>
          </w:p>
        </w:tc>
        <w:tc>
          <w:tcPr>
            <w:tcW w:w="140" w:type="dxa"/>
            <w:vAlign w:val="bottom"/>
          </w:tcPr>
          <w:p>
            <w:pPr>
              <w:spacing w:after="0"/>
              <w:rPr>
                <w:sz w:val="9"/>
                <w:szCs w:val="9"/>
                <w:color w:val="auto"/>
              </w:rPr>
            </w:pPr>
          </w:p>
        </w:tc>
        <w:tc>
          <w:tcPr>
            <w:tcW w:w="920" w:type="dxa"/>
            <w:vAlign w:val="bottom"/>
            <w:tcBorders>
              <w:bottom w:val="single" w:sz="8" w:color="005AFF"/>
            </w:tcBorders>
          </w:tcPr>
          <w:p>
            <w:pPr>
              <w:spacing w:after="0"/>
              <w:rPr>
                <w:sz w:val="9"/>
                <w:szCs w:val="9"/>
                <w:color w:val="auto"/>
              </w:rPr>
            </w:pPr>
          </w:p>
        </w:tc>
        <w:tc>
          <w:tcPr>
            <w:tcW w:w="740" w:type="dxa"/>
            <w:vAlign w:val="bottom"/>
            <w:tcBorders>
              <w:bottom w:val="single" w:sz="8" w:color="005AFF"/>
            </w:tcBorders>
          </w:tcPr>
          <w:p>
            <w:pPr>
              <w:jc w:val="right"/>
              <w:ind w:right="331"/>
              <w:spacing w:after="0"/>
              <w:rPr>
                <w:sz w:val="20"/>
                <w:szCs w:val="20"/>
                <w:color w:val="auto"/>
              </w:rPr>
            </w:pPr>
            <w:r>
              <w:rPr>
                <w:rFonts w:ascii="Times New Roman" w:cs="Times New Roman" w:eastAsia="Times New Roman" w:hAnsi="Times New Roman"/>
                <w:sz w:val="8"/>
                <w:szCs w:val="8"/>
                <w:b w:val="1"/>
                <w:bCs w:val="1"/>
                <w:color w:val="005AFF"/>
              </w:rPr>
              <w:t>2022</w:t>
            </w:r>
          </w:p>
        </w:tc>
        <w:tc>
          <w:tcPr>
            <w:tcW w:w="760" w:type="dxa"/>
            <w:vAlign w:val="bottom"/>
            <w:tcBorders>
              <w:bottom w:val="single" w:sz="8" w:color="005AFF"/>
            </w:tcBorders>
          </w:tcPr>
          <w:p>
            <w:pPr>
              <w:spacing w:after="0"/>
              <w:rPr>
                <w:sz w:val="9"/>
                <w:szCs w:val="9"/>
                <w:color w:val="auto"/>
              </w:rPr>
            </w:pPr>
          </w:p>
        </w:tc>
        <w:tc>
          <w:tcPr>
            <w:tcW w:w="140" w:type="dxa"/>
            <w:vAlign w:val="bottom"/>
          </w:tcPr>
          <w:p>
            <w:pPr>
              <w:spacing w:after="0"/>
              <w:rPr>
                <w:sz w:val="9"/>
                <w:szCs w:val="9"/>
                <w:color w:val="auto"/>
              </w:rPr>
            </w:pPr>
          </w:p>
        </w:tc>
        <w:tc>
          <w:tcPr>
            <w:tcW w:w="920" w:type="dxa"/>
            <w:vAlign w:val="bottom"/>
            <w:tcBorders>
              <w:bottom w:val="single" w:sz="8" w:color="005AFF"/>
            </w:tcBorders>
          </w:tcPr>
          <w:p>
            <w:pPr>
              <w:spacing w:after="0"/>
              <w:rPr>
                <w:sz w:val="9"/>
                <w:szCs w:val="9"/>
                <w:color w:val="auto"/>
              </w:rPr>
            </w:pPr>
          </w:p>
        </w:tc>
        <w:tc>
          <w:tcPr>
            <w:tcW w:w="740" w:type="dxa"/>
            <w:vAlign w:val="bottom"/>
            <w:tcBorders>
              <w:bottom w:val="single" w:sz="8" w:color="005AFF"/>
            </w:tcBorders>
          </w:tcPr>
          <w:p>
            <w:pPr>
              <w:jc w:val="right"/>
              <w:ind w:right="331"/>
              <w:spacing w:after="0"/>
              <w:rPr>
                <w:sz w:val="20"/>
                <w:szCs w:val="20"/>
                <w:color w:val="auto"/>
              </w:rPr>
            </w:pPr>
            <w:r>
              <w:rPr>
                <w:rFonts w:ascii="Times New Roman" w:cs="Times New Roman" w:eastAsia="Times New Roman" w:hAnsi="Times New Roman"/>
                <w:sz w:val="8"/>
                <w:szCs w:val="8"/>
                <w:b w:val="1"/>
                <w:bCs w:val="1"/>
                <w:color w:val="005AFF"/>
              </w:rPr>
              <w:t>2021</w:t>
            </w:r>
          </w:p>
        </w:tc>
        <w:tc>
          <w:tcPr>
            <w:tcW w:w="760" w:type="dxa"/>
            <w:vAlign w:val="bottom"/>
            <w:tcBorders>
              <w:bottom w:val="single" w:sz="8" w:color="005AFF"/>
            </w:tcBorders>
          </w:tcPr>
          <w:p>
            <w:pPr>
              <w:spacing w:after="0"/>
              <w:rPr>
                <w:sz w:val="9"/>
                <w:szCs w:val="9"/>
                <w:color w:val="auto"/>
              </w:rPr>
            </w:pPr>
          </w:p>
        </w:tc>
      </w:tr>
      <w:tr>
        <w:trPr>
          <w:trHeight w:val="179"/>
        </w:trPr>
        <w:tc>
          <w:tcPr>
            <w:tcW w:w="860" w:type="dxa"/>
            <w:vAlign w:val="bottom"/>
          </w:tcPr>
          <w:p>
            <w:pPr>
              <w:spacing w:after="0"/>
              <w:rPr>
                <w:sz w:val="15"/>
                <w:szCs w:val="15"/>
                <w:color w:val="auto"/>
              </w:rPr>
            </w:pPr>
          </w:p>
        </w:tc>
        <w:tc>
          <w:tcPr>
            <w:tcW w:w="100" w:type="dxa"/>
            <w:vAlign w:val="bottom"/>
          </w:tcPr>
          <w:p>
            <w:pPr>
              <w:spacing w:after="0"/>
              <w:rPr>
                <w:sz w:val="15"/>
                <w:szCs w:val="15"/>
                <w:color w:val="auto"/>
              </w:rPr>
            </w:pPr>
          </w:p>
        </w:tc>
        <w:tc>
          <w:tcPr>
            <w:tcW w:w="1540" w:type="dxa"/>
            <w:vAlign w:val="bottom"/>
          </w:tcPr>
          <w:p>
            <w:pPr>
              <w:spacing w:after="0"/>
              <w:rPr>
                <w:sz w:val="15"/>
                <w:szCs w:val="15"/>
                <w:color w:val="auto"/>
              </w:rPr>
            </w:pPr>
          </w:p>
        </w:tc>
        <w:tc>
          <w:tcPr>
            <w:tcW w:w="80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Annual fee </w:t>
            </w:r>
            <w:r>
              <w:rPr>
                <w:rFonts w:ascii="Times New Roman" w:cs="Times New Roman" w:eastAsia="Times New Roman" w:hAnsi="Times New Roman"/>
                <w:sz w:val="10"/>
                <w:szCs w:val="10"/>
                <w:b w:val="1"/>
                <w:bCs w:val="1"/>
                <w:color w:val="005AFF"/>
                <w:vertAlign w:val="superscript"/>
              </w:rPr>
              <w:t>(1)</w:t>
            </w:r>
          </w:p>
        </w:tc>
        <w:tc>
          <w:tcPr>
            <w:tcW w:w="8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Meeting fees </w:t>
            </w:r>
            <w:r>
              <w:rPr>
                <w:rFonts w:ascii="Times New Roman" w:cs="Times New Roman" w:eastAsia="Times New Roman" w:hAnsi="Times New Roman"/>
                <w:sz w:val="10"/>
                <w:szCs w:val="10"/>
                <w:b w:val="1"/>
                <w:bCs w:val="1"/>
                <w:color w:val="005AFF"/>
                <w:vertAlign w:val="superscript"/>
              </w:rPr>
              <w:t>(2)</w:t>
            </w:r>
          </w:p>
        </w:tc>
        <w:tc>
          <w:tcPr>
            <w:tcW w:w="80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Shares received </w:t>
            </w:r>
            <w:r>
              <w:rPr>
                <w:rFonts w:ascii="Times New Roman" w:cs="Times New Roman" w:eastAsia="Times New Roman" w:hAnsi="Times New Roman"/>
                <w:sz w:val="10"/>
                <w:szCs w:val="10"/>
                <w:b w:val="1"/>
                <w:bCs w:val="1"/>
                <w:color w:val="005AFF"/>
                <w:vertAlign w:val="superscript"/>
              </w:rPr>
              <w:t>(3)</w:t>
            </w:r>
          </w:p>
        </w:tc>
        <w:tc>
          <w:tcPr>
            <w:tcW w:w="140" w:type="dxa"/>
            <w:vAlign w:val="bottom"/>
          </w:tcPr>
          <w:p>
            <w:pPr>
              <w:spacing w:after="0"/>
              <w:rPr>
                <w:sz w:val="15"/>
                <w:szCs w:val="15"/>
                <w:color w:val="auto"/>
              </w:rPr>
            </w:pPr>
          </w:p>
        </w:tc>
        <w:tc>
          <w:tcPr>
            <w:tcW w:w="920" w:type="dxa"/>
            <w:vAlign w:val="bottom"/>
          </w:tcPr>
          <w:p>
            <w:pPr>
              <w:jc w:val="right"/>
              <w:ind w:right="113"/>
              <w:spacing w:after="0"/>
              <w:rPr>
                <w:sz w:val="20"/>
                <w:szCs w:val="20"/>
                <w:color w:val="auto"/>
              </w:rPr>
            </w:pPr>
            <w:r>
              <w:rPr>
                <w:rFonts w:ascii="Times New Roman" w:cs="Times New Roman" w:eastAsia="Times New Roman" w:hAnsi="Times New Roman"/>
                <w:sz w:val="8"/>
                <w:szCs w:val="8"/>
                <w:b w:val="1"/>
                <w:bCs w:val="1"/>
                <w:color w:val="005AFF"/>
              </w:rPr>
              <w:t xml:space="preserve">Annual fee </w:t>
            </w:r>
            <w:r>
              <w:rPr>
                <w:rFonts w:ascii="Times New Roman" w:cs="Times New Roman" w:eastAsia="Times New Roman" w:hAnsi="Times New Roman"/>
                <w:sz w:val="10"/>
                <w:szCs w:val="10"/>
                <w:b w:val="1"/>
                <w:bCs w:val="1"/>
                <w:color w:val="005AFF"/>
                <w:vertAlign w:val="superscript"/>
              </w:rPr>
              <w:t>(1)</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 xml:space="preserve">Meeting fees </w:t>
            </w:r>
            <w:r>
              <w:rPr>
                <w:rFonts w:ascii="Times New Roman" w:cs="Times New Roman" w:eastAsia="Times New Roman" w:hAnsi="Times New Roman"/>
                <w:sz w:val="10"/>
                <w:szCs w:val="10"/>
                <w:b w:val="1"/>
                <w:bCs w:val="1"/>
                <w:color w:val="005AFF"/>
                <w:vertAlign w:val="superscript"/>
              </w:rPr>
              <w:t>(2)</w:t>
            </w:r>
          </w:p>
        </w:tc>
        <w:tc>
          <w:tcPr>
            <w:tcW w:w="900" w:type="dxa"/>
            <w:vAlign w:val="bottom"/>
            <w:gridSpan w:val="2"/>
          </w:tcPr>
          <w:p>
            <w:pPr>
              <w:ind w:left="80"/>
              <w:spacing w:after="0"/>
              <w:rPr>
                <w:sz w:val="20"/>
                <w:szCs w:val="20"/>
                <w:color w:val="auto"/>
              </w:rPr>
            </w:pPr>
            <w:r>
              <w:rPr>
                <w:rFonts w:ascii="Times New Roman" w:cs="Times New Roman" w:eastAsia="Times New Roman" w:hAnsi="Times New Roman"/>
                <w:sz w:val="8"/>
                <w:szCs w:val="8"/>
                <w:b w:val="1"/>
                <w:bCs w:val="1"/>
                <w:color w:val="005AFF"/>
              </w:rPr>
              <w:t xml:space="preserve">Shares received </w:t>
            </w:r>
            <w:r>
              <w:rPr>
                <w:rFonts w:ascii="Times New Roman" w:cs="Times New Roman" w:eastAsia="Times New Roman" w:hAnsi="Times New Roman"/>
                <w:sz w:val="10"/>
                <w:szCs w:val="10"/>
                <w:b w:val="1"/>
                <w:bCs w:val="1"/>
                <w:color w:val="005AFF"/>
                <w:vertAlign w:val="superscript"/>
              </w:rPr>
              <w:t>(3)</w:t>
            </w:r>
          </w:p>
        </w:tc>
        <w:tc>
          <w:tcPr>
            <w:tcW w:w="920" w:type="dxa"/>
            <w:vAlign w:val="bottom"/>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 xml:space="preserve">Annual fee </w:t>
            </w:r>
            <w:r>
              <w:rPr>
                <w:rFonts w:ascii="Times New Roman" w:cs="Times New Roman" w:eastAsia="Times New Roman" w:hAnsi="Times New Roman"/>
                <w:sz w:val="10"/>
                <w:szCs w:val="10"/>
                <w:b w:val="1"/>
                <w:bCs w:val="1"/>
                <w:color w:val="005AFF"/>
                <w:vertAlign w:val="superscript"/>
              </w:rPr>
              <w:t>(1)</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 xml:space="preserve">Meeting fees </w:t>
            </w:r>
            <w:r>
              <w:rPr>
                <w:rFonts w:ascii="Times New Roman" w:cs="Times New Roman" w:eastAsia="Times New Roman" w:hAnsi="Times New Roman"/>
                <w:sz w:val="10"/>
                <w:szCs w:val="10"/>
                <w:b w:val="1"/>
                <w:bCs w:val="1"/>
                <w:color w:val="005AFF"/>
                <w:vertAlign w:val="superscript"/>
              </w:rPr>
              <w:t>(2)</w:t>
            </w:r>
          </w:p>
        </w:tc>
        <w:tc>
          <w:tcPr>
            <w:tcW w:w="7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Shares received </w:t>
            </w:r>
            <w:r>
              <w:rPr>
                <w:rFonts w:ascii="Times New Roman" w:cs="Times New Roman" w:eastAsia="Times New Roman" w:hAnsi="Times New Roman"/>
                <w:sz w:val="10"/>
                <w:szCs w:val="10"/>
                <w:b w:val="1"/>
                <w:bCs w:val="1"/>
                <w:color w:val="005AFF"/>
                <w:vertAlign w:val="superscript"/>
              </w:rPr>
              <w:t>(3)</w:t>
            </w:r>
          </w:p>
        </w:tc>
      </w:tr>
      <w:tr>
        <w:trPr>
          <w:trHeight w:val="114"/>
        </w:trPr>
        <w:tc>
          <w:tcPr>
            <w:tcW w:w="860" w:type="dxa"/>
            <w:vAlign w:val="bottom"/>
            <w:tcBorders>
              <w:bottom w:val="single" w:sz="8" w:color="005AFF"/>
            </w:tcBorders>
          </w:tcPr>
          <w:p>
            <w:pPr>
              <w:spacing w:after="0"/>
              <w:rPr>
                <w:sz w:val="9"/>
                <w:szCs w:val="9"/>
                <w:color w:val="auto"/>
              </w:rPr>
            </w:pPr>
          </w:p>
        </w:tc>
        <w:tc>
          <w:tcPr>
            <w:tcW w:w="100" w:type="dxa"/>
            <w:vAlign w:val="bottom"/>
            <w:tcBorders>
              <w:bottom w:val="single" w:sz="8" w:color="005AFF"/>
            </w:tcBorders>
          </w:tcPr>
          <w:p>
            <w:pPr>
              <w:spacing w:after="0"/>
              <w:rPr>
                <w:sz w:val="9"/>
                <w:szCs w:val="9"/>
                <w:color w:val="auto"/>
              </w:rPr>
            </w:pPr>
          </w:p>
        </w:tc>
        <w:tc>
          <w:tcPr>
            <w:tcW w:w="1540" w:type="dxa"/>
            <w:vAlign w:val="bottom"/>
            <w:tcBorders>
              <w:bottom w:val="single" w:sz="8" w:color="005AFF"/>
            </w:tcBorders>
          </w:tcPr>
          <w:p>
            <w:pPr>
              <w:spacing w:after="0"/>
              <w:rPr>
                <w:sz w:val="9"/>
                <w:szCs w:val="9"/>
                <w:color w:val="auto"/>
              </w:rPr>
            </w:pPr>
          </w:p>
        </w:tc>
        <w:tc>
          <w:tcPr>
            <w:tcW w:w="8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c>
          <w:tcPr>
            <w:tcW w:w="8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w:t>
            </w:r>
          </w:p>
        </w:tc>
        <w:tc>
          <w:tcPr>
            <w:tcW w:w="8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number</w:t>
            </w:r>
          </w:p>
        </w:tc>
        <w:tc>
          <w:tcPr>
            <w:tcW w:w="140" w:type="dxa"/>
            <w:vAlign w:val="bottom"/>
            <w:tcBorders>
              <w:bottom w:val="single" w:sz="8" w:color="005AFF"/>
            </w:tcBorders>
          </w:tcPr>
          <w:p>
            <w:pPr>
              <w:spacing w:after="0"/>
              <w:rPr>
                <w:sz w:val="9"/>
                <w:szCs w:val="9"/>
                <w:color w:val="auto"/>
              </w:rPr>
            </w:pPr>
          </w:p>
        </w:tc>
        <w:tc>
          <w:tcPr>
            <w:tcW w:w="920" w:type="dxa"/>
            <w:vAlign w:val="bottom"/>
            <w:tcBorders>
              <w:bottom w:val="single" w:sz="8" w:color="005AFF"/>
            </w:tcBorders>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EUR</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EUR</w:t>
            </w:r>
          </w:p>
        </w:tc>
        <w:tc>
          <w:tcPr>
            <w:tcW w:w="900" w:type="dxa"/>
            <w:vAlign w:val="bottom"/>
            <w:tcBorders>
              <w:bottom w:val="single" w:sz="8" w:color="005AFF"/>
            </w:tcBorders>
            <w:gridSpan w:val="2"/>
          </w:tcPr>
          <w:p>
            <w:pPr>
              <w:ind w:left="440"/>
              <w:spacing w:after="0"/>
              <w:rPr>
                <w:sz w:val="20"/>
                <w:szCs w:val="20"/>
                <w:color w:val="auto"/>
              </w:rPr>
            </w:pPr>
            <w:r>
              <w:rPr>
                <w:rFonts w:ascii="Times New Roman" w:cs="Times New Roman" w:eastAsia="Times New Roman" w:hAnsi="Times New Roman"/>
                <w:sz w:val="8"/>
                <w:szCs w:val="8"/>
                <w:b w:val="1"/>
                <w:bCs w:val="1"/>
                <w:color w:val="005AFF"/>
              </w:rPr>
              <w:t>number</w:t>
            </w:r>
          </w:p>
        </w:tc>
        <w:tc>
          <w:tcPr>
            <w:tcW w:w="9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EUR</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EUR</w:t>
            </w:r>
          </w:p>
        </w:tc>
        <w:tc>
          <w:tcPr>
            <w:tcW w:w="7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number</w:t>
            </w:r>
          </w:p>
        </w:tc>
      </w:tr>
      <w:tr>
        <w:trPr>
          <w:trHeight w:val="140"/>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Sari Baldauf, Chair</w:t>
            </w:r>
          </w:p>
        </w:tc>
        <w:tc>
          <w:tcPr>
            <w:tcW w:w="1640" w:type="dxa"/>
            <w:vAlign w:val="bottom"/>
            <w:gridSpan w:val="2"/>
          </w:tcPr>
          <w:p>
            <w:pPr>
              <w:jc w:val="right"/>
              <w:ind w:right="1427"/>
              <w:spacing w:after="0"/>
              <w:rPr>
                <w:sz w:val="20"/>
                <w:szCs w:val="20"/>
                <w:color w:val="auto"/>
              </w:rPr>
            </w:pPr>
            <w:r>
              <w:rPr>
                <w:rFonts w:ascii="Times New Roman" w:cs="Times New Roman" w:eastAsia="Times New Roman" w:hAnsi="Times New Roman"/>
                <w:sz w:val="7"/>
                <w:szCs w:val="7"/>
                <w:color w:val="0D0D0D"/>
                <w:w w:val="97"/>
              </w:rPr>
              <w:t>(4)(5)</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465 000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10 000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47 427</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440 000</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36 217</w:t>
            </w:r>
          </w:p>
        </w:tc>
        <w:tc>
          <w:tcPr>
            <w:tcW w:w="140" w:type="dxa"/>
            <w:vAlign w:val="bottom"/>
          </w:tcPr>
          <w:p>
            <w:pPr>
              <w:spacing w:after="0"/>
              <w:rPr>
                <w:sz w:val="12"/>
                <w:szCs w:val="12"/>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440 000</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43 711</w:t>
            </w:r>
          </w:p>
        </w:tc>
      </w:tr>
      <w:tr>
        <w:trPr>
          <w:trHeight w:val="172"/>
        </w:trPr>
        <w:tc>
          <w:tcPr>
            <w:tcW w:w="250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 xml:space="preserve">Søren Skou, Vice Chair </w:t>
            </w:r>
            <w:r>
              <w:rPr>
                <w:rFonts w:ascii="Times New Roman" w:cs="Times New Roman" w:eastAsia="Times New Roman" w:hAnsi="Times New Roman"/>
                <w:sz w:val="13"/>
                <w:szCs w:val="13"/>
                <w:color w:val="0D0D0D"/>
                <w:vertAlign w:val="superscript"/>
              </w:rPr>
              <w:t>(4)</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225 000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14 000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22 948</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210 000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17 285</w:t>
            </w:r>
          </w:p>
        </w:tc>
        <w:tc>
          <w:tcPr>
            <w:tcW w:w="140" w:type="dxa"/>
            <w:vAlign w:val="bottom"/>
          </w:tcPr>
          <w:p>
            <w:pPr>
              <w:spacing w:after="0"/>
              <w:rPr>
                <w:sz w:val="14"/>
                <w:szCs w:val="14"/>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175 000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17 385</w:t>
            </w:r>
          </w:p>
        </w:tc>
      </w:tr>
      <w:tr>
        <w:trPr>
          <w:trHeight w:val="183"/>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5"/>
              </w:rPr>
              <w:t xml:space="preserve">Timo Ahopelto </w:t>
            </w:r>
            <w:r>
              <w:rPr>
                <w:rFonts w:ascii="Times New Roman" w:cs="Times New Roman" w:eastAsia="Times New Roman" w:hAnsi="Times New Roman"/>
                <w:sz w:val="13"/>
                <w:szCs w:val="13"/>
                <w:color w:val="0D0D0D"/>
                <w:w w:val="95"/>
                <w:vertAlign w:val="superscript"/>
              </w:rPr>
              <w:t>(5)(6)</w:t>
            </w:r>
          </w:p>
        </w:tc>
        <w:tc>
          <w:tcPr>
            <w:tcW w:w="100" w:type="dxa"/>
            <w:vAlign w:val="bottom"/>
          </w:tcPr>
          <w:p>
            <w:pPr>
              <w:spacing w:after="0"/>
              <w:rPr>
                <w:sz w:val="15"/>
                <w:szCs w:val="15"/>
                <w:color w:val="auto"/>
              </w:rPr>
            </w:pPr>
          </w:p>
        </w:tc>
        <w:tc>
          <w:tcPr>
            <w:tcW w:w="1540" w:type="dxa"/>
            <w:vAlign w:val="bottom"/>
          </w:tcPr>
          <w:p>
            <w:pPr>
              <w:spacing w:after="0"/>
              <w:rPr>
                <w:sz w:val="15"/>
                <w:szCs w:val="15"/>
                <w:color w:val="auto"/>
              </w:rPr>
            </w:pP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210 000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10 000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21 418</w:t>
            </w:r>
          </w:p>
        </w:tc>
        <w:tc>
          <w:tcPr>
            <w:tcW w:w="140" w:type="dxa"/>
            <w:vAlign w:val="bottom"/>
          </w:tcPr>
          <w:p>
            <w:pPr>
              <w:spacing w:after="0"/>
              <w:rPr>
                <w:sz w:val="15"/>
                <w:szCs w:val="15"/>
                <w:color w:val="auto"/>
              </w:rPr>
            </w:pPr>
          </w:p>
        </w:tc>
        <w:tc>
          <w:tcPr>
            <w:tcW w:w="920" w:type="dxa"/>
            <w:vAlign w:val="bottom"/>
          </w:tcPr>
          <w:p>
            <w:pPr>
              <w:jc w:val="right"/>
              <w:ind w:right="93"/>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900" w:type="dxa"/>
            <w:vAlign w:val="bottom"/>
            <w:gridSpan w:val="2"/>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9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0"/>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Bruce Brown</w:t>
            </w:r>
          </w:p>
        </w:tc>
        <w:tc>
          <w:tcPr>
            <w:tcW w:w="100" w:type="dxa"/>
            <w:vAlign w:val="bottom"/>
          </w:tcPr>
          <w:p>
            <w:pPr>
              <w:spacing w:after="0"/>
              <w:rPr>
                <w:sz w:val="11"/>
                <w:szCs w:val="11"/>
                <w:color w:val="auto"/>
              </w:rPr>
            </w:pPr>
          </w:p>
        </w:tc>
        <w:tc>
          <w:tcPr>
            <w:tcW w:w="1540" w:type="dxa"/>
            <w:vAlign w:val="bottom"/>
          </w:tcPr>
          <w:p>
            <w:pPr>
              <w:spacing w:after="0"/>
              <w:rPr>
                <w:sz w:val="11"/>
                <w:szCs w:val="11"/>
                <w:color w:val="auto"/>
              </w:rPr>
            </w:pP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5 000</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210 000</w:t>
            </w:r>
          </w:p>
        </w:tc>
        <w:tc>
          <w:tcPr>
            <w:tcW w:w="7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17 285</w:t>
            </w:r>
          </w:p>
        </w:tc>
        <w:tc>
          <w:tcPr>
            <w:tcW w:w="140" w:type="dxa"/>
            <w:vAlign w:val="bottom"/>
          </w:tcPr>
          <w:p>
            <w:pPr>
              <w:spacing w:after="0"/>
              <w:rPr>
                <w:sz w:val="11"/>
                <w:szCs w:val="11"/>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200 000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19 868</w:t>
            </w:r>
          </w:p>
        </w:tc>
      </w:tr>
      <w:tr>
        <w:trPr>
          <w:trHeight w:val="189"/>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3"/>
              </w:rPr>
              <w:t xml:space="preserve">Elizabeth Crain </w:t>
            </w:r>
            <w:r>
              <w:rPr>
                <w:rFonts w:ascii="Times New Roman" w:cs="Times New Roman" w:eastAsia="Times New Roman" w:hAnsi="Times New Roman"/>
                <w:sz w:val="13"/>
                <w:szCs w:val="13"/>
                <w:color w:val="0D0D0D"/>
                <w:w w:val="93"/>
                <w:vertAlign w:val="superscript"/>
              </w:rPr>
              <w:t>(4)(6)</w:t>
            </w:r>
          </w:p>
        </w:tc>
        <w:tc>
          <w:tcPr>
            <w:tcW w:w="100" w:type="dxa"/>
            <w:vAlign w:val="bottom"/>
          </w:tcPr>
          <w:p>
            <w:pPr>
              <w:spacing w:after="0"/>
              <w:rPr>
                <w:sz w:val="16"/>
                <w:szCs w:val="16"/>
                <w:color w:val="auto"/>
              </w:rPr>
            </w:pPr>
          </w:p>
        </w:tc>
        <w:tc>
          <w:tcPr>
            <w:tcW w:w="1540" w:type="dxa"/>
            <w:vAlign w:val="bottom"/>
          </w:tcPr>
          <w:p>
            <w:pPr>
              <w:spacing w:after="0"/>
              <w:rPr>
                <w:sz w:val="16"/>
                <w:szCs w:val="16"/>
                <w:color w:val="auto"/>
              </w:rPr>
            </w:pP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215 000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15 000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21 928</w:t>
            </w:r>
          </w:p>
        </w:tc>
        <w:tc>
          <w:tcPr>
            <w:tcW w:w="140" w:type="dxa"/>
            <w:vAlign w:val="bottom"/>
          </w:tcPr>
          <w:p>
            <w:pPr>
              <w:spacing w:after="0"/>
              <w:rPr>
                <w:sz w:val="16"/>
                <w:szCs w:val="16"/>
                <w:color w:val="auto"/>
              </w:rPr>
            </w:pPr>
          </w:p>
        </w:tc>
        <w:tc>
          <w:tcPr>
            <w:tcW w:w="920" w:type="dxa"/>
            <w:vAlign w:val="bottom"/>
          </w:tcPr>
          <w:p>
            <w:pPr>
              <w:jc w:val="right"/>
              <w:ind w:right="93"/>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900" w:type="dxa"/>
            <w:vAlign w:val="bottom"/>
            <w:gridSpan w:val="2"/>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9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5"/>
        </w:trPr>
        <w:tc>
          <w:tcPr>
            <w:tcW w:w="9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Thomas Dannenfeldt</w:t>
            </w:r>
          </w:p>
        </w:tc>
        <w:tc>
          <w:tcPr>
            <w:tcW w:w="1540" w:type="dxa"/>
            <w:vAlign w:val="bottom"/>
          </w:tcPr>
          <w:p>
            <w:pPr>
              <w:jc w:val="right"/>
              <w:ind w:right="1327"/>
              <w:spacing w:after="0"/>
              <w:rPr>
                <w:sz w:val="20"/>
                <w:szCs w:val="20"/>
                <w:color w:val="auto"/>
              </w:rPr>
            </w:pPr>
            <w:r>
              <w:rPr>
                <w:rFonts w:ascii="Times New Roman" w:cs="Times New Roman" w:eastAsia="Times New Roman" w:hAnsi="Times New Roman"/>
                <w:sz w:val="7"/>
                <w:szCs w:val="7"/>
                <w:color w:val="0D0D0D"/>
                <w:w w:val="97"/>
              </w:rPr>
              <w:t>(4)(6)</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230 000</w:t>
            </w:r>
          </w:p>
        </w:tc>
        <w:tc>
          <w:tcPr>
            <w:tcW w:w="8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9 000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23 458</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200 000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16 462</w:t>
            </w:r>
          </w:p>
        </w:tc>
        <w:tc>
          <w:tcPr>
            <w:tcW w:w="140" w:type="dxa"/>
            <w:vAlign w:val="bottom"/>
          </w:tcPr>
          <w:p>
            <w:pPr>
              <w:spacing w:after="0"/>
              <w:rPr>
                <w:sz w:val="11"/>
                <w:szCs w:val="11"/>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185 000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18 378</w:t>
            </w:r>
          </w:p>
        </w:tc>
      </w:tr>
      <w:tr>
        <w:trPr>
          <w:trHeight w:val="189"/>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Lisa Hook</w:t>
            </w:r>
            <w:r>
              <w:rPr>
                <w:rFonts w:ascii="Times New Roman" w:cs="Times New Roman" w:eastAsia="Times New Roman" w:hAnsi="Times New Roman"/>
                <w:sz w:val="13"/>
                <w:szCs w:val="13"/>
                <w:color w:val="0D0D0D"/>
                <w:vertAlign w:val="superscript"/>
              </w:rPr>
              <w:t>(4)</w:t>
            </w:r>
          </w:p>
        </w:tc>
        <w:tc>
          <w:tcPr>
            <w:tcW w:w="100" w:type="dxa"/>
            <w:vAlign w:val="bottom"/>
          </w:tcPr>
          <w:p>
            <w:pPr>
              <w:spacing w:after="0"/>
              <w:rPr>
                <w:sz w:val="16"/>
                <w:szCs w:val="16"/>
                <w:color w:val="auto"/>
              </w:rPr>
            </w:pPr>
          </w:p>
        </w:tc>
        <w:tc>
          <w:tcPr>
            <w:tcW w:w="1540" w:type="dxa"/>
            <w:vAlign w:val="bottom"/>
          </w:tcPr>
          <w:p>
            <w:pPr>
              <w:spacing w:after="0"/>
              <w:rPr>
                <w:sz w:val="16"/>
                <w:szCs w:val="16"/>
                <w:color w:val="auto"/>
              </w:rPr>
            </w:pP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200 000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17 000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20 399</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185 000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15 227</w:t>
            </w:r>
          </w:p>
        </w:tc>
        <w:tc>
          <w:tcPr>
            <w:tcW w:w="140" w:type="dxa"/>
            <w:vAlign w:val="bottom"/>
          </w:tcPr>
          <w:p>
            <w:pPr>
              <w:spacing w:after="0"/>
              <w:rPr>
                <w:sz w:val="16"/>
                <w:szCs w:val="16"/>
                <w:color w:val="auto"/>
              </w:rPr>
            </w:pPr>
          </w:p>
        </w:tc>
        <w:tc>
          <w:tcPr>
            <w:tcW w:w="9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7"/>
        </w:trPr>
        <w:tc>
          <w:tcPr>
            <w:tcW w:w="9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Jeanette Horan  </w:t>
            </w:r>
            <w:r>
              <w:rPr>
                <w:rFonts w:ascii="Times New Roman" w:cs="Times New Roman" w:eastAsia="Times New Roman" w:hAnsi="Times New Roman"/>
                <w:sz w:val="13"/>
                <w:szCs w:val="13"/>
                <w:color w:val="0D0D0D"/>
                <w:vertAlign w:val="superscript"/>
              </w:rPr>
              <w:t>(5)(6)</w:t>
            </w:r>
          </w:p>
        </w:tc>
        <w:tc>
          <w:tcPr>
            <w:tcW w:w="1540" w:type="dxa"/>
            <w:vAlign w:val="bottom"/>
          </w:tcPr>
          <w:p>
            <w:pPr>
              <w:spacing w:after="0"/>
              <w:rPr>
                <w:sz w:val="14"/>
                <w:szCs w:val="14"/>
                <w:color w:val="auto"/>
              </w:rPr>
            </w:pP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210 000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10 000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21 418</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195 000</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16 050</w:t>
            </w:r>
          </w:p>
        </w:tc>
        <w:tc>
          <w:tcPr>
            <w:tcW w:w="140" w:type="dxa"/>
            <w:vAlign w:val="bottom"/>
          </w:tcPr>
          <w:p>
            <w:pPr>
              <w:spacing w:after="0"/>
              <w:rPr>
                <w:sz w:val="14"/>
                <w:szCs w:val="14"/>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185 000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18 378</w:t>
            </w:r>
          </w:p>
        </w:tc>
      </w:tr>
      <w:tr>
        <w:trPr>
          <w:trHeight w:val="130"/>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Edward Kozel</w:t>
            </w:r>
          </w:p>
        </w:tc>
        <w:tc>
          <w:tcPr>
            <w:tcW w:w="100" w:type="dxa"/>
            <w:vAlign w:val="bottom"/>
          </w:tcPr>
          <w:p>
            <w:pPr>
              <w:spacing w:after="0"/>
              <w:rPr>
                <w:sz w:val="11"/>
                <w:szCs w:val="11"/>
                <w:color w:val="auto"/>
              </w:rPr>
            </w:pPr>
          </w:p>
        </w:tc>
        <w:tc>
          <w:tcPr>
            <w:tcW w:w="1540" w:type="dxa"/>
            <w:vAlign w:val="bottom"/>
          </w:tcPr>
          <w:p>
            <w:pPr>
              <w:spacing w:after="0"/>
              <w:rPr>
                <w:sz w:val="11"/>
                <w:szCs w:val="11"/>
                <w:color w:val="auto"/>
              </w:rPr>
            </w:pP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5 000</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205 000</w:t>
            </w:r>
          </w:p>
        </w:tc>
        <w:tc>
          <w:tcPr>
            <w:tcW w:w="7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12 000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16 874</w:t>
            </w:r>
          </w:p>
        </w:tc>
        <w:tc>
          <w:tcPr>
            <w:tcW w:w="140" w:type="dxa"/>
            <w:vAlign w:val="bottom"/>
          </w:tcPr>
          <w:p>
            <w:pPr>
              <w:spacing w:after="0"/>
              <w:rPr>
                <w:sz w:val="11"/>
                <w:szCs w:val="11"/>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195 000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19 372</w:t>
            </w:r>
          </w:p>
        </w:tc>
      </w:tr>
      <w:tr>
        <w:trPr>
          <w:trHeight w:val="162"/>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Thomas Saueressig</w:t>
            </w:r>
          </w:p>
        </w:tc>
        <w:tc>
          <w:tcPr>
            <w:tcW w:w="1640" w:type="dxa"/>
            <w:vAlign w:val="bottom"/>
            <w:gridSpan w:val="2"/>
          </w:tcPr>
          <w:p>
            <w:pPr>
              <w:jc w:val="right"/>
              <w:ind w:right="1487"/>
              <w:spacing w:after="0"/>
              <w:rPr>
                <w:sz w:val="20"/>
                <w:szCs w:val="20"/>
                <w:color w:val="auto"/>
              </w:rPr>
            </w:pPr>
            <w:r>
              <w:rPr>
                <w:rFonts w:ascii="Times New Roman" w:cs="Times New Roman" w:eastAsia="Times New Roman" w:hAnsi="Times New Roman"/>
                <w:sz w:val="7"/>
                <w:szCs w:val="7"/>
                <w:color w:val="0D0D0D"/>
              </w:rPr>
              <w:t>(5)</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195 000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14 000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19 889</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180 000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14 816</w:t>
            </w:r>
          </w:p>
        </w:tc>
        <w:tc>
          <w:tcPr>
            <w:tcW w:w="140" w:type="dxa"/>
            <w:vAlign w:val="bottom"/>
          </w:tcPr>
          <w:p>
            <w:pPr>
              <w:spacing w:after="0"/>
              <w:rPr>
                <w:sz w:val="14"/>
                <w:szCs w:val="14"/>
                <w:color w:val="auto"/>
              </w:rPr>
            </w:pPr>
          </w:p>
        </w:tc>
        <w:tc>
          <w:tcPr>
            <w:tcW w:w="9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9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Carla Smits-Nusteling</w:t>
            </w:r>
          </w:p>
        </w:tc>
        <w:tc>
          <w:tcPr>
            <w:tcW w:w="1540" w:type="dxa"/>
            <w:vAlign w:val="bottom"/>
          </w:tcPr>
          <w:p>
            <w:pPr>
              <w:jc w:val="right"/>
              <w:ind w:right="1387"/>
              <w:spacing w:after="0"/>
              <w:rPr>
                <w:sz w:val="20"/>
                <w:szCs w:val="20"/>
                <w:color w:val="auto"/>
              </w:rPr>
            </w:pPr>
            <w:r>
              <w:rPr>
                <w:rFonts w:ascii="Times New Roman" w:cs="Times New Roman" w:eastAsia="Times New Roman" w:hAnsi="Times New Roman"/>
                <w:sz w:val="7"/>
                <w:szCs w:val="7"/>
                <w:color w:val="0D0D0D"/>
              </w:rPr>
              <w:t>(6)</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215 000</w:t>
            </w:r>
          </w:p>
        </w:tc>
        <w:tc>
          <w:tcPr>
            <w:tcW w:w="82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14 000</w:t>
            </w:r>
          </w:p>
        </w:tc>
        <w:tc>
          <w:tcPr>
            <w:tcW w:w="80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21 928</w:t>
            </w:r>
          </w:p>
        </w:tc>
        <w:tc>
          <w:tcPr>
            <w:tcW w:w="1060" w:type="dxa"/>
            <w:vAlign w:val="bottom"/>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200 000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16 462</w:t>
            </w:r>
          </w:p>
        </w:tc>
        <w:tc>
          <w:tcPr>
            <w:tcW w:w="140" w:type="dxa"/>
            <w:vAlign w:val="bottom"/>
          </w:tcPr>
          <w:p>
            <w:pPr>
              <w:spacing w:after="0"/>
              <w:rPr>
                <w:sz w:val="14"/>
                <w:szCs w:val="14"/>
                <w:color w:val="auto"/>
              </w:rPr>
            </w:pP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190 000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9 000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18 875</w:t>
            </w:r>
          </w:p>
        </w:tc>
      </w:tr>
      <w:tr>
        <w:trPr>
          <w:trHeight w:val="162"/>
        </w:trPr>
        <w:tc>
          <w:tcPr>
            <w:tcW w:w="8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Kari Stadigh</w:t>
            </w:r>
          </w:p>
        </w:tc>
        <w:tc>
          <w:tcPr>
            <w:tcW w:w="100" w:type="dxa"/>
            <w:vAlign w:val="bottom"/>
          </w:tcPr>
          <w:p>
            <w:pPr>
              <w:spacing w:after="0"/>
              <w:rPr>
                <w:sz w:val="14"/>
                <w:szCs w:val="14"/>
                <w:color w:val="auto"/>
              </w:rPr>
            </w:pPr>
          </w:p>
        </w:tc>
        <w:tc>
          <w:tcPr>
            <w:tcW w:w="1540" w:type="dxa"/>
            <w:vAlign w:val="bottom"/>
          </w:tcPr>
          <w:p>
            <w:pPr>
              <w:spacing w:after="0"/>
              <w:rPr>
                <w:sz w:val="14"/>
                <w:szCs w:val="14"/>
                <w:color w:val="auto"/>
              </w:rPr>
            </w:pP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40" w:type="dxa"/>
            <w:vAlign w:val="bottom"/>
          </w:tcPr>
          <w:p>
            <w:pPr>
              <w:spacing w:after="0"/>
              <w:rPr>
                <w:sz w:val="14"/>
                <w:szCs w:val="14"/>
                <w:color w:val="auto"/>
              </w:rPr>
            </w:pPr>
          </w:p>
        </w:tc>
        <w:tc>
          <w:tcPr>
            <w:tcW w:w="920" w:type="dxa"/>
            <w:vAlign w:val="bottom"/>
          </w:tcPr>
          <w:p>
            <w:pPr>
              <w:jc w:val="right"/>
              <w:ind w:right="93"/>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900" w:type="dxa"/>
            <w:vAlign w:val="bottom"/>
            <w:gridSpan w:val="2"/>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92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200 000</w:t>
            </w:r>
          </w:p>
        </w:tc>
        <w:tc>
          <w:tcPr>
            <w:tcW w:w="74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7 000</w:t>
            </w:r>
          </w:p>
        </w:tc>
        <w:tc>
          <w:tcPr>
            <w:tcW w:w="76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19 868</w:t>
            </w:r>
          </w:p>
        </w:tc>
      </w:tr>
      <w:tr>
        <w:trPr>
          <w:trHeight w:val="172"/>
        </w:trPr>
        <w:tc>
          <w:tcPr>
            <w:tcW w:w="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Kai Öistämö </w:t>
            </w:r>
            <w:r>
              <w:rPr>
                <w:rFonts w:ascii="Times New Roman" w:cs="Times New Roman" w:eastAsia="Times New Roman" w:hAnsi="Times New Roman"/>
                <w:sz w:val="13"/>
                <w:szCs w:val="13"/>
                <w:color w:val="0D0D0D"/>
                <w:vertAlign w:val="superscript"/>
              </w:rPr>
              <w:t>(5)</w:t>
            </w:r>
          </w:p>
        </w:tc>
        <w:tc>
          <w:tcPr>
            <w:tcW w:w="100" w:type="dxa"/>
            <w:vAlign w:val="bottom"/>
            <w:tcBorders>
              <w:bottom w:val="single" w:sz="8" w:color="005AFF"/>
            </w:tcBorders>
          </w:tcPr>
          <w:p>
            <w:pPr>
              <w:spacing w:after="0"/>
              <w:rPr>
                <w:sz w:val="14"/>
                <w:szCs w:val="14"/>
                <w:color w:val="auto"/>
              </w:rPr>
            </w:pPr>
          </w:p>
        </w:tc>
        <w:tc>
          <w:tcPr>
            <w:tcW w:w="154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205 000</w:t>
            </w:r>
          </w:p>
        </w:tc>
        <w:tc>
          <w:tcPr>
            <w:tcW w:w="82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10 000</w:t>
            </w:r>
          </w:p>
        </w:tc>
        <w:tc>
          <w:tcPr>
            <w:tcW w:w="80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20 908</w:t>
            </w:r>
          </w:p>
        </w:tc>
        <w:tc>
          <w:tcPr>
            <w:tcW w:w="1060" w:type="dxa"/>
            <w:vAlign w:val="bottom"/>
            <w:tcBorders>
              <w:bottom w:val="single" w:sz="8" w:color="005AFF"/>
            </w:tcBorders>
            <w:gridSpan w:val="2"/>
          </w:tcPr>
          <w:p>
            <w:pPr>
              <w:jc w:val="right"/>
              <w:ind w:right="173"/>
              <w:spacing w:after="0"/>
              <w:rPr>
                <w:sz w:val="20"/>
                <w:szCs w:val="20"/>
                <w:color w:val="auto"/>
              </w:rPr>
            </w:pPr>
            <w:r>
              <w:rPr>
                <w:rFonts w:ascii="Times New Roman" w:cs="Times New Roman" w:eastAsia="Times New Roman" w:hAnsi="Times New Roman"/>
                <w:sz w:val="10"/>
                <w:szCs w:val="10"/>
                <w:color w:val="0D0D0D"/>
              </w:rPr>
              <w:t>180 000</w:t>
            </w:r>
          </w:p>
        </w:tc>
        <w:tc>
          <w:tcPr>
            <w:tcW w:w="74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5 000</w:t>
            </w:r>
          </w:p>
        </w:tc>
        <w:tc>
          <w:tcPr>
            <w:tcW w:w="7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14 816</w:t>
            </w:r>
          </w:p>
        </w:tc>
        <w:tc>
          <w:tcPr>
            <w:tcW w:w="140" w:type="dxa"/>
            <w:vAlign w:val="bottom"/>
            <w:tcBorders>
              <w:bottom w:val="single" w:sz="8" w:color="005AFF"/>
            </w:tcBorders>
          </w:tcPr>
          <w:p>
            <w:pPr>
              <w:spacing w:after="0"/>
              <w:rPr>
                <w:sz w:val="14"/>
                <w:szCs w:val="14"/>
                <w:color w:val="auto"/>
              </w:rPr>
            </w:pPr>
          </w:p>
        </w:tc>
        <w:tc>
          <w:tcPr>
            <w:tcW w:w="9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7"/>
        </w:trPr>
        <w:tc>
          <w:tcPr>
            <w:tcW w:w="8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00" w:type="dxa"/>
            <w:vAlign w:val="bottom"/>
            <w:tcBorders>
              <w:bottom w:val="single" w:sz="8" w:color="005AFF"/>
            </w:tcBorders>
          </w:tcPr>
          <w:p>
            <w:pPr>
              <w:spacing w:after="0"/>
              <w:rPr>
                <w:sz w:val="11"/>
                <w:szCs w:val="11"/>
                <w:color w:val="auto"/>
              </w:rPr>
            </w:pPr>
          </w:p>
        </w:tc>
        <w:tc>
          <w:tcPr>
            <w:tcW w:w="154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2 370 000</w:t>
            </w:r>
          </w:p>
        </w:tc>
        <w:tc>
          <w:tcPr>
            <w:tcW w:w="82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133 000</w:t>
            </w:r>
          </w:p>
        </w:tc>
        <w:tc>
          <w:tcPr>
            <w:tcW w:w="800" w:type="dxa"/>
            <w:vAlign w:val="bottom"/>
            <w:tcBorders>
              <w:bottom w:val="single" w:sz="8" w:color="005AFF"/>
            </w:tcBorders>
            <w:shd w:val="clear" w:color="auto" w:fill="F0F5FF"/>
          </w:tcPr>
          <w:p>
            <w:pPr>
              <w:spacing w:after="0"/>
              <w:rPr>
                <w:sz w:val="11"/>
                <w:szCs w:val="11"/>
                <w:color w:val="auto"/>
              </w:rPr>
            </w:pPr>
          </w:p>
        </w:tc>
        <w:tc>
          <w:tcPr>
            <w:tcW w:w="1060" w:type="dxa"/>
            <w:vAlign w:val="bottom"/>
            <w:tcBorders>
              <w:bottom w:val="single" w:sz="8" w:color="005AFF"/>
            </w:tcBorders>
            <w:gridSpan w:val="2"/>
          </w:tcPr>
          <w:p>
            <w:pPr>
              <w:jc w:val="right"/>
              <w:ind w:right="173"/>
              <w:spacing w:after="0"/>
              <w:rPr>
                <w:sz w:val="20"/>
                <w:szCs w:val="20"/>
                <w:color w:val="auto"/>
              </w:rPr>
            </w:pPr>
            <w:r>
              <w:rPr>
                <w:rFonts w:ascii="Times New Roman" w:cs="Times New Roman" w:eastAsia="Times New Roman" w:hAnsi="Times New Roman"/>
                <w:sz w:val="10"/>
                <w:szCs w:val="10"/>
                <w:b w:val="1"/>
                <w:bCs w:val="1"/>
                <w:color w:val="auto"/>
              </w:rPr>
              <w:t>2 205 000</w:t>
            </w:r>
          </w:p>
        </w:tc>
        <w:tc>
          <w:tcPr>
            <w:tcW w:w="74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75 000</w:t>
            </w:r>
          </w:p>
        </w:tc>
        <w:tc>
          <w:tcPr>
            <w:tcW w:w="760" w:type="dxa"/>
            <w:vAlign w:val="bottom"/>
            <w:tcBorders>
              <w:bottom w:val="single" w:sz="8" w:color="005AFF"/>
            </w:tcBorders>
          </w:tcPr>
          <w:p>
            <w:pPr>
              <w:spacing w:after="0"/>
              <w:rPr>
                <w:sz w:val="11"/>
                <w:szCs w:val="11"/>
                <w:color w:val="auto"/>
              </w:rPr>
            </w:pPr>
          </w:p>
        </w:tc>
        <w:tc>
          <w:tcPr>
            <w:tcW w:w="140" w:type="dxa"/>
            <w:vAlign w:val="bottom"/>
            <w:tcBorders>
              <w:bottom w:val="single" w:sz="8" w:color="005AFF"/>
            </w:tcBorders>
          </w:tcPr>
          <w:p>
            <w:pPr>
              <w:spacing w:after="0"/>
              <w:rPr>
                <w:sz w:val="11"/>
                <w:szCs w:val="11"/>
                <w:color w:val="auto"/>
              </w:rPr>
            </w:pPr>
          </w:p>
        </w:tc>
        <w:tc>
          <w:tcPr>
            <w:tcW w:w="92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b w:val="1"/>
                <w:bCs w:val="1"/>
                <w:color w:val="auto"/>
              </w:rPr>
              <w:t>1 770 000</w:t>
            </w:r>
          </w:p>
        </w:tc>
        <w:tc>
          <w:tcPr>
            <w:tcW w:w="74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51 000</w:t>
            </w:r>
          </w:p>
        </w:tc>
        <w:tc>
          <w:tcPr>
            <w:tcW w:w="760" w:type="dxa"/>
            <w:vAlign w:val="bottom"/>
            <w:tcBorders>
              <w:bottom w:val="single" w:sz="8" w:color="005AFF"/>
            </w:tcBorders>
          </w:tcPr>
          <w:p>
            <w:pPr>
              <w:spacing w:after="0"/>
              <w:rPr>
                <w:sz w:val="11"/>
                <w:szCs w:val="11"/>
                <w:color w:val="auto"/>
              </w:rPr>
            </w:pPr>
          </w:p>
        </w:tc>
      </w:tr>
    </w:tbl>
    <w:p>
      <w:pPr>
        <w:spacing w:after="0" w:line="72" w:lineRule="exact"/>
        <w:rPr>
          <w:sz w:val="20"/>
          <w:szCs w:val="20"/>
          <w:color w:val="auto"/>
        </w:rPr>
      </w:pPr>
    </w:p>
    <w:p>
      <w:pPr>
        <w:ind w:left="220" w:hanging="184"/>
        <w:spacing w:after="0"/>
        <w:tabs>
          <w:tab w:leader="none" w:pos="220" w:val="left"/>
        </w:tabs>
        <w:numPr>
          <w:ilvl w:val="0"/>
          <w:numId w:val="12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Annual fees consist of Board member fees and Committee chair and member fees.</w:t>
      </w:r>
    </w:p>
    <w:p>
      <w:pPr>
        <w:spacing w:after="0" w:line="7" w:lineRule="exact"/>
        <w:rPr>
          <w:sz w:val="20"/>
          <w:szCs w:val="20"/>
          <w:color w:val="auto"/>
        </w:rPr>
      </w:pPr>
    </w:p>
    <w:tbl>
      <w:tblPr>
        <w:tblLayout w:type="fixed"/>
        <w:tblInd w:w="40" w:type="dxa"/>
        <w:tblCellMar>
          <w:top w:w="0" w:type="dxa"/>
          <w:left w:w="0" w:type="dxa"/>
          <w:bottom w:w="0" w:type="dxa"/>
          <w:right w:w="0" w:type="dxa"/>
        </w:tblCellMar>
      </w:tblPr>
      <w:tr>
        <w:trPr>
          <w:trHeight w:val="93"/>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(2)</w:t>
            </w:r>
          </w:p>
        </w:tc>
        <w:tc>
          <w:tcPr>
            <w:tcW w:w="3920" w:type="dxa"/>
            <w:vAlign w:val="bottom"/>
            <w:gridSpan w:val="5"/>
          </w:tcPr>
          <w:p>
            <w:pPr>
              <w:ind w:left="40"/>
              <w:spacing w:after="0"/>
              <w:rPr>
                <w:sz w:val="20"/>
                <w:szCs w:val="20"/>
                <w:color w:val="auto"/>
              </w:rPr>
            </w:pPr>
            <w:r>
              <w:rPr>
                <w:rFonts w:ascii="Times New Roman" w:cs="Times New Roman" w:eastAsia="Times New Roman" w:hAnsi="Times New Roman"/>
                <w:sz w:val="8"/>
                <w:szCs w:val="8"/>
                <w:color w:val="auto"/>
              </w:rPr>
              <w:t>Meeting fees include all meeting fees paid for the term that ended at the Annual General Meeting held on 4 April</w:t>
            </w:r>
          </w:p>
        </w:tc>
        <w:tc>
          <w:tcPr>
            <w:tcW w:w="1660" w:type="dxa"/>
            <w:vAlign w:val="bottom"/>
          </w:tcPr>
          <w:p>
            <w:pPr>
              <w:ind w:left="200"/>
              <w:spacing w:after="0"/>
              <w:rPr>
                <w:sz w:val="20"/>
                <w:szCs w:val="20"/>
                <w:color w:val="auto"/>
              </w:rPr>
            </w:pPr>
            <w:r>
              <w:rPr>
                <w:rFonts w:ascii="Times New Roman" w:cs="Times New Roman" w:eastAsia="Times New Roman" w:hAnsi="Times New Roman"/>
                <w:sz w:val="8"/>
                <w:szCs w:val="8"/>
                <w:color w:val="auto"/>
              </w:rPr>
              <w:t>2023 , and meeting fees accrued and paid in</w:t>
            </w:r>
          </w:p>
        </w:tc>
        <w:tc>
          <w:tcPr>
            <w:tcW w:w="1780" w:type="dxa"/>
            <w:vAlign w:val="bottom"/>
          </w:tcPr>
          <w:p>
            <w:pPr>
              <w:ind w:left="160"/>
              <w:spacing w:after="0"/>
              <w:rPr>
                <w:sz w:val="20"/>
                <w:szCs w:val="20"/>
                <w:color w:val="auto"/>
              </w:rPr>
            </w:pPr>
            <w:r>
              <w:rPr>
                <w:rFonts w:ascii="Times New Roman" w:cs="Times New Roman" w:eastAsia="Times New Roman" w:hAnsi="Times New Roman"/>
                <w:sz w:val="8"/>
                <w:szCs w:val="8"/>
                <w:color w:val="auto"/>
              </w:rPr>
              <w:t>2023 for the term that began at the same meeting.</w:t>
            </w:r>
          </w:p>
        </w:tc>
      </w:tr>
      <w:tr>
        <w:trPr>
          <w:trHeight w:val="91"/>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(3)</w:t>
            </w:r>
          </w:p>
        </w:tc>
        <w:tc>
          <w:tcPr>
            <w:tcW w:w="560" w:type="dxa"/>
            <w:vAlign w:val="bottom"/>
          </w:tcPr>
          <w:p>
            <w:pPr>
              <w:ind w:left="40"/>
              <w:spacing w:after="0"/>
              <w:rPr>
                <w:sz w:val="20"/>
                <w:szCs w:val="20"/>
                <w:color w:val="auto"/>
              </w:rPr>
            </w:pPr>
            <w:r>
              <w:rPr>
                <w:rFonts w:ascii="Times New Roman" w:cs="Times New Roman" w:eastAsia="Times New Roman" w:hAnsi="Times New Roman"/>
                <w:sz w:val="8"/>
                <w:szCs w:val="8"/>
                <w:color w:val="auto"/>
              </w:rPr>
              <w:t>Approximately</w:t>
            </w:r>
          </w:p>
        </w:tc>
        <w:tc>
          <w:tcPr>
            <w:tcW w:w="200" w:type="dxa"/>
            <w:vAlign w:val="bottom"/>
          </w:tcPr>
          <w:p>
            <w:pPr>
              <w:jc w:val="right"/>
              <w:spacing w:after="0"/>
              <w:rPr>
                <w:sz w:val="20"/>
                <w:szCs w:val="20"/>
                <w:color w:val="auto"/>
              </w:rPr>
            </w:pPr>
            <w:r>
              <w:rPr>
                <w:rFonts w:ascii="Times New Roman" w:cs="Times New Roman" w:eastAsia="Times New Roman" w:hAnsi="Times New Roman"/>
                <w:sz w:val="8"/>
                <w:szCs w:val="8"/>
                <w:color w:val="auto"/>
              </w:rPr>
              <w:t>40%</w:t>
            </w:r>
          </w:p>
        </w:tc>
        <w:tc>
          <w:tcPr>
            <w:tcW w:w="4820" w:type="dxa"/>
            <w:vAlign w:val="bottom"/>
            <w:gridSpan w:val="4"/>
          </w:tcPr>
          <w:p>
            <w:pPr>
              <w:ind w:left="20"/>
              <w:spacing w:after="0"/>
              <w:rPr>
                <w:sz w:val="20"/>
                <w:szCs w:val="20"/>
                <w:color w:val="auto"/>
              </w:rPr>
            </w:pPr>
            <w:r>
              <w:rPr>
                <w:rFonts w:ascii="Times New Roman" w:cs="Times New Roman" w:eastAsia="Times New Roman" w:hAnsi="Times New Roman"/>
                <w:sz w:val="8"/>
                <w:szCs w:val="8"/>
                <w:color w:val="auto"/>
              </w:rPr>
              <w:t>of each Board member’s annual compensation is paid in Nokia shares purchased from the market, and the remaining approximately</w:t>
            </w:r>
          </w:p>
        </w:tc>
        <w:tc>
          <w:tcPr>
            <w:tcW w:w="1780" w:type="dxa"/>
            <w:vAlign w:val="bottom"/>
          </w:tcPr>
          <w:p>
            <w:pPr>
              <w:ind w:left="20"/>
              <w:spacing w:after="0"/>
              <w:rPr>
                <w:sz w:val="20"/>
                <w:szCs w:val="20"/>
                <w:color w:val="auto"/>
              </w:rPr>
            </w:pPr>
            <w:r>
              <w:rPr>
                <w:rFonts w:ascii="Times New Roman" w:cs="Times New Roman" w:eastAsia="Times New Roman" w:hAnsi="Times New Roman"/>
                <w:sz w:val="8"/>
                <w:szCs w:val="8"/>
                <w:color w:val="auto"/>
              </w:rPr>
              <w:t>60% is paid in cash.</w:t>
            </w:r>
          </w:p>
        </w:tc>
      </w:tr>
      <w:tr>
        <w:trPr>
          <w:trHeight w:val="101"/>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(4)</w:t>
            </w:r>
          </w:p>
        </w:tc>
        <w:tc>
          <w:tcPr>
            <w:tcW w:w="1480" w:type="dxa"/>
            <w:vAlign w:val="bottom"/>
            <w:gridSpan w:val="3"/>
          </w:tcPr>
          <w:p>
            <w:pPr>
              <w:ind w:left="40"/>
              <w:spacing w:after="0"/>
              <w:rPr>
                <w:sz w:val="20"/>
                <w:szCs w:val="20"/>
                <w:color w:val="auto"/>
              </w:rPr>
            </w:pPr>
            <w:r>
              <w:rPr>
                <w:rFonts w:ascii="Times New Roman" w:cs="Times New Roman" w:eastAsia="Times New Roman" w:hAnsi="Times New Roman"/>
                <w:sz w:val="8"/>
                <w:szCs w:val="8"/>
                <w:color w:val="auto"/>
              </w:rPr>
              <w:t>Annual fees in 2023 include EUR  30 000</w:t>
            </w:r>
          </w:p>
        </w:tc>
        <w:tc>
          <w:tcPr>
            <w:tcW w:w="1500" w:type="dxa"/>
            <w:vAlign w:val="bottom"/>
          </w:tcPr>
          <w:p>
            <w:pPr>
              <w:ind w:left="40"/>
              <w:spacing w:after="0"/>
              <w:rPr>
                <w:sz w:val="20"/>
                <w:szCs w:val="20"/>
                <w:color w:val="auto"/>
              </w:rPr>
            </w:pPr>
            <w:r>
              <w:rPr>
                <w:rFonts w:ascii="Times New Roman" w:cs="Times New Roman" w:eastAsia="Times New Roman" w:hAnsi="Times New Roman"/>
                <w:sz w:val="8"/>
                <w:szCs w:val="8"/>
                <w:color w:val="auto"/>
              </w:rPr>
              <w:t>for Thomas Dannenfeldt as Chair and EUR</w:t>
            </w:r>
          </w:p>
        </w:tc>
        <w:tc>
          <w:tcPr>
            <w:tcW w:w="4380" w:type="dxa"/>
            <w:vAlign w:val="bottom"/>
            <w:gridSpan w:val="3"/>
          </w:tcPr>
          <w:p>
            <w:pPr>
              <w:ind w:left="80"/>
              <w:spacing w:after="0"/>
              <w:rPr>
                <w:sz w:val="20"/>
                <w:szCs w:val="20"/>
                <w:color w:val="auto"/>
              </w:rPr>
            </w:pPr>
            <w:r>
              <w:rPr>
                <w:rFonts w:ascii="Times New Roman" w:cs="Times New Roman" w:eastAsia="Times New Roman" w:hAnsi="Times New Roman"/>
                <w:sz w:val="8"/>
                <w:szCs w:val="8"/>
                <w:color w:val="auto"/>
              </w:rPr>
              <w:t>15 000  for Sari Baldauf, Elizabeth Crain, Lisa Hook and Søren Skou as members of the Personnel Committee.</w:t>
            </w:r>
          </w:p>
        </w:tc>
      </w:tr>
      <w:tr>
        <w:trPr>
          <w:trHeight w:val="101"/>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(5)</w:t>
            </w:r>
          </w:p>
        </w:tc>
        <w:tc>
          <w:tcPr>
            <w:tcW w:w="560" w:type="dxa"/>
            <w:vAlign w:val="bottom"/>
          </w:tcPr>
          <w:p>
            <w:pPr>
              <w:ind w:left="40"/>
              <w:spacing w:after="0"/>
              <w:rPr>
                <w:sz w:val="20"/>
                <w:szCs w:val="20"/>
                <w:color w:val="auto"/>
              </w:rPr>
            </w:pPr>
            <w:r>
              <w:rPr>
                <w:rFonts w:ascii="Times New Roman" w:cs="Times New Roman" w:eastAsia="Times New Roman" w:hAnsi="Times New Roman"/>
                <w:sz w:val="8"/>
                <w:szCs w:val="8"/>
                <w:color w:val="auto"/>
              </w:rPr>
              <w:t>Annual fees in</w:t>
            </w:r>
          </w:p>
        </w:tc>
        <w:tc>
          <w:tcPr>
            <w:tcW w:w="200" w:type="dxa"/>
            <w:vAlign w:val="bottom"/>
          </w:tcPr>
          <w:p>
            <w:pPr>
              <w:jc w:val="right"/>
              <w:spacing w:after="0"/>
              <w:rPr>
                <w:sz w:val="20"/>
                <w:szCs w:val="20"/>
                <w:color w:val="auto"/>
              </w:rPr>
            </w:pPr>
            <w:r>
              <w:rPr>
                <w:rFonts w:ascii="Times New Roman" w:cs="Times New Roman" w:eastAsia="Times New Roman" w:hAnsi="Times New Roman"/>
                <w:sz w:val="8"/>
                <w:szCs w:val="8"/>
                <w:color w:val="auto"/>
                <w:w w:val="99"/>
              </w:rPr>
              <w:t>2023</w:t>
            </w:r>
          </w:p>
        </w:tc>
        <w:tc>
          <w:tcPr>
            <w:tcW w:w="720" w:type="dxa"/>
            <w:vAlign w:val="bottom"/>
          </w:tcPr>
          <w:p>
            <w:pPr>
              <w:ind w:left="20"/>
              <w:spacing w:after="0"/>
              <w:rPr>
                <w:sz w:val="20"/>
                <w:szCs w:val="20"/>
                <w:color w:val="auto"/>
              </w:rPr>
            </w:pPr>
            <w:r>
              <w:rPr>
                <w:rFonts w:ascii="Times New Roman" w:cs="Times New Roman" w:eastAsia="Times New Roman" w:hAnsi="Times New Roman"/>
                <w:sz w:val="8"/>
                <w:szCs w:val="8"/>
                <w:color w:val="auto"/>
              </w:rPr>
              <w:t>include EUR 20 000</w:t>
            </w:r>
          </w:p>
        </w:tc>
        <w:tc>
          <w:tcPr>
            <w:tcW w:w="1500" w:type="dxa"/>
            <w:vAlign w:val="bottom"/>
          </w:tcPr>
          <w:p>
            <w:pPr>
              <w:ind w:left="40"/>
              <w:spacing w:after="0"/>
              <w:rPr>
                <w:sz w:val="20"/>
                <w:szCs w:val="20"/>
                <w:color w:val="auto"/>
              </w:rPr>
            </w:pPr>
            <w:r>
              <w:rPr>
                <w:rFonts w:ascii="Times New Roman" w:cs="Times New Roman" w:eastAsia="Times New Roman" w:hAnsi="Times New Roman"/>
                <w:sz w:val="8"/>
                <w:szCs w:val="8"/>
                <w:color w:val="auto"/>
              </w:rPr>
              <w:t>for Kai Öistämö as Chair and EUR  10 000</w:t>
            </w:r>
          </w:p>
        </w:tc>
        <w:tc>
          <w:tcPr>
            <w:tcW w:w="4380" w:type="dxa"/>
            <w:vAlign w:val="bottom"/>
            <w:gridSpan w:val="3"/>
          </w:tcPr>
          <w:p>
            <w:pPr>
              <w:ind w:left="20"/>
              <w:spacing w:after="0"/>
              <w:rPr>
                <w:sz w:val="20"/>
                <w:szCs w:val="20"/>
                <w:color w:val="auto"/>
              </w:rPr>
            </w:pPr>
            <w:r>
              <w:rPr>
                <w:rFonts w:ascii="Times New Roman" w:cs="Times New Roman" w:eastAsia="Times New Roman" w:hAnsi="Times New Roman"/>
                <w:sz w:val="8"/>
                <w:szCs w:val="8"/>
                <w:color w:val="auto"/>
              </w:rPr>
              <w:t>for, Timo Ahopelto, Sari Baldauf, Jeanette Horan and Thomas Saueressig as members of the Technology Committee.</w:t>
            </w:r>
          </w:p>
        </w:tc>
      </w:tr>
      <w:tr>
        <w:trPr>
          <w:trHeight w:val="104"/>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(6)</w:t>
            </w:r>
          </w:p>
        </w:tc>
        <w:tc>
          <w:tcPr>
            <w:tcW w:w="560" w:type="dxa"/>
            <w:vAlign w:val="bottom"/>
          </w:tcPr>
          <w:p>
            <w:pPr>
              <w:ind w:left="40"/>
              <w:spacing w:after="0"/>
              <w:rPr>
                <w:sz w:val="20"/>
                <w:szCs w:val="20"/>
                <w:color w:val="auto"/>
              </w:rPr>
            </w:pPr>
            <w:r>
              <w:rPr>
                <w:rFonts w:ascii="Times New Roman" w:cs="Times New Roman" w:eastAsia="Times New Roman" w:hAnsi="Times New Roman"/>
                <w:sz w:val="8"/>
                <w:szCs w:val="8"/>
                <w:color w:val="auto"/>
              </w:rPr>
              <w:t>Annual fees in</w:t>
            </w:r>
          </w:p>
        </w:tc>
        <w:tc>
          <w:tcPr>
            <w:tcW w:w="200" w:type="dxa"/>
            <w:vAlign w:val="bottom"/>
          </w:tcPr>
          <w:p>
            <w:pPr>
              <w:jc w:val="right"/>
              <w:spacing w:after="0"/>
              <w:rPr>
                <w:sz w:val="20"/>
                <w:szCs w:val="20"/>
                <w:color w:val="auto"/>
              </w:rPr>
            </w:pPr>
            <w:r>
              <w:rPr>
                <w:rFonts w:ascii="Times New Roman" w:cs="Times New Roman" w:eastAsia="Times New Roman" w:hAnsi="Times New Roman"/>
                <w:sz w:val="8"/>
                <w:szCs w:val="8"/>
                <w:color w:val="auto"/>
                <w:w w:val="99"/>
              </w:rPr>
              <w:t>2023</w:t>
            </w:r>
          </w:p>
        </w:tc>
        <w:tc>
          <w:tcPr>
            <w:tcW w:w="720" w:type="dxa"/>
            <w:vAlign w:val="bottom"/>
          </w:tcPr>
          <w:p>
            <w:pPr>
              <w:ind w:left="20"/>
              <w:spacing w:after="0"/>
              <w:rPr>
                <w:sz w:val="20"/>
                <w:szCs w:val="20"/>
                <w:color w:val="auto"/>
              </w:rPr>
            </w:pPr>
            <w:r>
              <w:rPr>
                <w:rFonts w:ascii="Times New Roman" w:cs="Times New Roman" w:eastAsia="Times New Roman" w:hAnsi="Times New Roman"/>
                <w:sz w:val="8"/>
                <w:szCs w:val="8"/>
                <w:color w:val="auto"/>
              </w:rPr>
              <w:t>include EUR 30 000</w:t>
            </w:r>
          </w:p>
        </w:tc>
        <w:tc>
          <w:tcPr>
            <w:tcW w:w="1500" w:type="dxa"/>
            <w:vAlign w:val="bottom"/>
          </w:tcPr>
          <w:p>
            <w:pPr>
              <w:ind w:left="40"/>
              <w:spacing w:after="0"/>
              <w:rPr>
                <w:sz w:val="20"/>
                <w:szCs w:val="20"/>
                <w:color w:val="auto"/>
              </w:rPr>
            </w:pPr>
            <w:r>
              <w:rPr>
                <w:rFonts w:ascii="Times New Roman" w:cs="Times New Roman" w:eastAsia="Times New Roman" w:hAnsi="Times New Roman"/>
                <w:sz w:val="8"/>
                <w:szCs w:val="8"/>
                <w:color w:val="auto"/>
              </w:rPr>
              <w:t>for Carla Smits-Nusteling as Chair and EUR</w:t>
            </w:r>
          </w:p>
        </w:tc>
        <w:tc>
          <w:tcPr>
            <w:tcW w:w="4380" w:type="dxa"/>
            <w:vAlign w:val="bottom"/>
            <w:gridSpan w:val="3"/>
          </w:tcPr>
          <w:p>
            <w:pPr>
              <w:ind w:left="100"/>
              <w:spacing w:after="0"/>
              <w:rPr>
                <w:sz w:val="20"/>
                <w:szCs w:val="20"/>
                <w:color w:val="auto"/>
              </w:rPr>
            </w:pPr>
            <w:r>
              <w:rPr>
                <w:rFonts w:ascii="Times New Roman" w:cs="Times New Roman" w:eastAsia="Times New Roman" w:hAnsi="Times New Roman"/>
                <w:sz w:val="8"/>
                <w:szCs w:val="8"/>
                <w:color w:val="auto"/>
              </w:rPr>
              <w:t>15 000  for Timo Ahopelto, Elizabeth Crain, Thomas Dannenfeldt and Jeanette Horan as members of the Audit Committee.</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10" w:right="899" w:bottom="1440" w:gutter="0" w:footer="0" w:header="0"/>
        </w:sectPr>
      </w:pPr>
    </w:p>
    <w:bookmarkStart w:id="170" w:name="page171"/>
    <w:bookmarkEnd w:id="170"/>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00"/>
          </w:cols>
          <w:pgMar w:left="960" w:top="410" w:right="93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3.3. Share-based payments</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100"/>
        <w:spacing w:after="0" w:line="269" w:lineRule="auto"/>
        <w:rPr>
          <w:sz w:val="20"/>
          <w:szCs w:val="20"/>
          <w:color w:val="auto"/>
        </w:rPr>
      </w:pPr>
      <w:r>
        <w:rPr>
          <w:rFonts w:ascii="Times New Roman" w:cs="Times New Roman" w:eastAsia="Times New Roman" w:hAnsi="Times New Roman"/>
          <w:sz w:val="11"/>
          <w:szCs w:val="11"/>
          <w:color w:val="auto"/>
        </w:rPr>
        <w:t>Nokia offers three types of global share-based compensation plans for employees: performance shares, restricted shares and the employee share purchase plan. All plans are equity-settled.</w:t>
      </w:r>
    </w:p>
    <w:p>
      <w:pPr>
        <w:spacing w:after="0" w:line="60" w:lineRule="exact"/>
        <w:rPr>
          <w:sz w:val="20"/>
          <w:szCs w:val="20"/>
          <w:color w:val="auto"/>
        </w:rPr>
      </w:pPr>
    </w:p>
    <w:p>
      <w:pPr>
        <w:ind w:left="160"/>
        <w:spacing w:after="0" w:line="263" w:lineRule="auto"/>
        <w:rPr>
          <w:sz w:val="20"/>
          <w:szCs w:val="20"/>
          <w:color w:val="auto"/>
        </w:rPr>
      </w:pPr>
      <w:r>
        <w:rPr>
          <w:rFonts w:ascii="Times New Roman" w:cs="Times New Roman" w:eastAsia="Times New Roman" w:hAnsi="Times New Roman"/>
          <w:sz w:val="11"/>
          <w:szCs w:val="11"/>
          <w:color w:val="auto"/>
        </w:rPr>
        <w:t>Employee services received and the corresponding increase in equity are measured by reference to the fair value of the equity instruments at the grant date, excluding the impact of any non-market vesting conditions. Plans that apply tranched vesting are accounted for under the graded vesting model. Share-based compensation plans are generally conditional on continued employment as well as the fulfillment of any performance conditions specified in the award terms. Until the Nokia shares are delivered, the participants do not have any shareholder rights, such as voting or dividend rights, associated with the shares. The share grants are generally forfeited if the employment relationship with Nokia terminates prior to vesting. Share-based compensation is recognized as an expense over the relevant service periods.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Share-based payment expense</w:t>
      </w:r>
    </w:p>
    <w:p>
      <w:pPr>
        <w:spacing w:after="0" w:line="32" w:lineRule="exact"/>
        <w:rPr>
          <w:sz w:val="20"/>
          <w:szCs w:val="20"/>
          <w:color w:val="auto"/>
        </w:rPr>
      </w:pPr>
    </w:p>
    <w:p>
      <w:pPr>
        <w:ind w:right="300"/>
        <w:spacing w:after="0" w:line="275" w:lineRule="auto"/>
        <w:rPr>
          <w:sz w:val="20"/>
          <w:szCs w:val="20"/>
          <w:color w:val="auto"/>
        </w:rPr>
      </w:pPr>
      <w:r>
        <w:rPr>
          <w:rFonts w:ascii="Times New Roman" w:cs="Times New Roman" w:eastAsia="Times New Roman" w:hAnsi="Times New Roman"/>
          <w:sz w:val="11"/>
          <w:szCs w:val="11"/>
          <w:color w:val="auto"/>
        </w:rPr>
        <w:t>In 2023 , the share-based payment expense recognized in the income statement for all share- based compensation plans amounted to EUR 202 million (EUR149 million in 2022 and EUR 118 million in 2021 ).</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Performance shares</w:t>
      </w:r>
    </w:p>
    <w:p>
      <w:pPr>
        <w:spacing w:after="0" w:line="1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2023 , Nokia had outstanding Performance shares from</w:t>
      </w:r>
    </w:p>
    <w:p>
      <w:pPr>
        <w:spacing w:after="0" w:line="10" w:lineRule="exact"/>
        <w:rPr>
          <w:sz w:val="20"/>
          <w:szCs w:val="20"/>
          <w:color w:val="auto"/>
        </w:rPr>
      </w:pPr>
    </w:p>
    <w:p>
      <w:pPr>
        <w:ind w:right="200"/>
        <w:spacing w:after="0" w:line="273" w:lineRule="auto"/>
        <w:rPr>
          <w:sz w:val="20"/>
          <w:szCs w:val="20"/>
          <w:color w:val="auto"/>
        </w:rPr>
      </w:pPr>
      <w:r>
        <w:rPr>
          <w:rFonts w:ascii="Times New Roman" w:cs="Times New Roman" w:eastAsia="Times New Roman" w:hAnsi="Times New Roman"/>
          <w:sz w:val="11"/>
          <w:szCs w:val="11"/>
          <w:color w:val="auto"/>
        </w:rPr>
        <w:t>grants made in 2020, 2021, 2022 and 2023 . Starting in 2021, grants made for Performance shares have been targeted on a more limited basis to senior level employees and executives.</w:t>
      </w:r>
    </w:p>
    <w:p>
      <w:pPr>
        <w:spacing w:after="0" w:line="57" w:lineRule="exact"/>
        <w:rPr>
          <w:sz w:val="20"/>
          <w:szCs w:val="20"/>
          <w:color w:val="auto"/>
        </w:rPr>
      </w:pPr>
    </w:p>
    <w:tbl>
      <w:tblPr>
        <w:tblLayout w:type="fixed"/>
        <w:tblInd w:w="0" w:type="dxa"/>
        <w:tblCellMar>
          <w:top w:w="0" w:type="dxa"/>
          <w:left w:w="0" w:type="dxa"/>
          <w:bottom w:w="0" w:type="dxa"/>
          <w:right w:w="0" w:type="dxa"/>
        </w:tblCellMar>
      </w:tblPr>
      <w:tr>
        <w:trPr>
          <w:trHeight w:val="148"/>
        </w:trPr>
        <w:tc>
          <w:tcPr>
            <w:tcW w:w="1320" w:type="dxa"/>
            <w:vAlign w:val="bottom"/>
            <w:gridSpan w:val="2"/>
          </w:tcPr>
          <w:p>
            <w:pPr>
              <w:jc w:val="right"/>
              <w:ind w:right="34"/>
              <w:spacing w:after="0"/>
              <w:rPr>
                <w:sz w:val="20"/>
                <w:szCs w:val="20"/>
                <w:color w:val="auto"/>
              </w:rPr>
            </w:pPr>
            <w:r>
              <w:rPr>
                <w:rFonts w:ascii="Times New Roman" w:cs="Times New Roman" w:eastAsia="Times New Roman" w:hAnsi="Times New Roman"/>
                <w:sz w:val="11"/>
                <w:szCs w:val="11"/>
                <w:color w:val="auto"/>
              </w:rPr>
              <w:t>Performance share plans at</w:t>
            </w:r>
          </w:p>
        </w:tc>
        <w:tc>
          <w:tcPr>
            <w:tcW w:w="1240" w:type="dxa"/>
            <w:vAlign w:val="bottom"/>
            <w:gridSpan w:val="3"/>
          </w:tcPr>
          <w:p>
            <w:pPr>
              <w:jc w:val="right"/>
              <w:ind w:right="53"/>
              <w:spacing w:after="0"/>
              <w:rPr>
                <w:sz w:val="20"/>
                <w:szCs w:val="20"/>
                <w:color w:val="auto"/>
              </w:rPr>
            </w:pPr>
            <w:r>
              <w:rPr>
                <w:rFonts w:ascii="Times New Roman" w:cs="Times New Roman" w:eastAsia="Times New Roman" w:hAnsi="Times New Roman"/>
                <w:sz w:val="11"/>
                <w:szCs w:val="11"/>
                <w:color w:val="auto"/>
              </w:rPr>
              <w:t>31 December 2023  :</w:t>
            </w:r>
          </w:p>
        </w:tc>
        <w:tc>
          <w:tcPr>
            <w:tcW w:w="700" w:type="dxa"/>
            <w:vAlign w:val="bottom"/>
          </w:tcPr>
          <w:p>
            <w:pPr>
              <w:spacing w:after="0"/>
              <w:rPr>
                <w:sz w:val="12"/>
                <w:szCs w:val="12"/>
                <w:color w:val="auto"/>
              </w:rPr>
            </w:pPr>
          </w:p>
        </w:tc>
      </w:tr>
      <w:tr>
        <w:trPr>
          <w:trHeight w:val="208"/>
        </w:trPr>
        <w:tc>
          <w:tcPr>
            <w:tcW w:w="440" w:type="dxa"/>
            <w:vAlign w:val="bottom"/>
          </w:tcPr>
          <w:p>
            <w:pPr>
              <w:spacing w:after="0"/>
              <w:rPr>
                <w:sz w:val="18"/>
                <w:szCs w:val="18"/>
                <w:color w:val="auto"/>
              </w:rPr>
            </w:pPr>
          </w:p>
        </w:tc>
        <w:tc>
          <w:tcPr>
            <w:tcW w:w="880" w:type="dxa"/>
            <w:vAlign w:val="bottom"/>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Performance</w:t>
            </w:r>
          </w:p>
        </w:tc>
        <w:tc>
          <w:tcPr>
            <w:tcW w:w="460" w:type="dxa"/>
            <w:vAlign w:val="bottom"/>
          </w:tcPr>
          <w:p>
            <w:pPr>
              <w:spacing w:after="0"/>
              <w:rPr>
                <w:sz w:val="18"/>
                <w:szCs w:val="18"/>
                <w:color w:val="auto"/>
              </w:rPr>
            </w:pPr>
          </w:p>
        </w:tc>
        <w:tc>
          <w:tcPr>
            <w:tcW w:w="160" w:type="dxa"/>
            <w:vAlign w:val="bottom"/>
          </w:tcPr>
          <w:p>
            <w:pPr>
              <w:spacing w:after="0"/>
              <w:rPr>
                <w:sz w:val="18"/>
                <w:szCs w:val="18"/>
                <w:color w:val="auto"/>
              </w:rPr>
            </w:pPr>
          </w:p>
        </w:tc>
        <w:tc>
          <w:tcPr>
            <w:tcW w:w="620" w:type="dxa"/>
            <w:vAlign w:val="bottom"/>
          </w:tcPr>
          <w:p>
            <w:pPr>
              <w:spacing w:after="0"/>
              <w:rPr>
                <w:sz w:val="18"/>
                <w:szCs w:val="18"/>
                <w:color w:val="auto"/>
              </w:rPr>
            </w:pPr>
          </w:p>
        </w:tc>
        <w:tc>
          <w:tcPr>
            <w:tcW w:w="700" w:type="dxa"/>
            <w:vAlign w:val="bottom"/>
          </w:tcPr>
          <w:p>
            <w:pPr>
              <w:spacing w:after="0"/>
              <w:rPr>
                <w:sz w:val="18"/>
                <w:szCs w:val="18"/>
                <w:color w:val="auto"/>
              </w:rPr>
            </w:pPr>
          </w:p>
        </w:tc>
      </w:tr>
      <w:tr>
        <w:trPr>
          <w:trHeight w:val="101"/>
        </w:trPr>
        <w:tc>
          <w:tcPr>
            <w:tcW w:w="440" w:type="dxa"/>
            <w:vAlign w:val="bottom"/>
          </w:tcPr>
          <w:p>
            <w:pPr>
              <w:spacing w:after="0"/>
              <w:rPr>
                <w:sz w:val="8"/>
                <w:szCs w:val="8"/>
                <w:color w:val="auto"/>
              </w:rPr>
            </w:pPr>
          </w:p>
        </w:tc>
        <w:tc>
          <w:tcPr>
            <w:tcW w:w="880" w:type="dxa"/>
            <w:vAlign w:val="bottom"/>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shares</w:t>
            </w:r>
          </w:p>
        </w:tc>
        <w:tc>
          <w:tcPr>
            <w:tcW w:w="620" w:type="dxa"/>
            <w:vAlign w:val="bottom"/>
            <w:gridSpan w:val="2"/>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Confirmed</w:t>
            </w:r>
          </w:p>
        </w:tc>
        <w:tc>
          <w:tcPr>
            <w:tcW w:w="620" w:type="dxa"/>
            <w:vAlign w:val="bottom"/>
          </w:tcPr>
          <w:p>
            <w:pPr>
              <w:spacing w:after="0"/>
              <w:rPr>
                <w:sz w:val="8"/>
                <w:szCs w:val="8"/>
                <w:color w:val="auto"/>
              </w:rPr>
            </w:pPr>
          </w:p>
        </w:tc>
        <w:tc>
          <w:tcPr>
            <w:tcW w:w="700" w:type="dxa"/>
            <w:vAlign w:val="bottom"/>
          </w:tcPr>
          <w:p>
            <w:pPr>
              <w:spacing w:after="0"/>
              <w:rPr>
                <w:sz w:val="8"/>
                <w:szCs w:val="8"/>
                <w:color w:val="auto"/>
              </w:rPr>
            </w:pPr>
          </w:p>
        </w:tc>
      </w:tr>
      <w:tr>
        <w:trPr>
          <w:trHeight w:val="91"/>
        </w:trPr>
        <w:tc>
          <w:tcPr>
            <w:tcW w:w="440" w:type="dxa"/>
            <w:vAlign w:val="bottom"/>
          </w:tcPr>
          <w:p>
            <w:pPr>
              <w:spacing w:after="0"/>
              <w:rPr>
                <w:sz w:val="7"/>
                <w:szCs w:val="7"/>
                <w:color w:val="auto"/>
              </w:rPr>
            </w:pPr>
          </w:p>
        </w:tc>
        <w:tc>
          <w:tcPr>
            <w:tcW w:w="880" w:type="dxa"/>
            <w:vAlign w:val="bottom"/>
          </w:tcPr>
          <w:p>
            <w:pPr>
              <w:jc w:val="right"/>
              <w:ind w:right="114"/>
              <w:spacing w:after="0"/>
              <w:rPr>
                <w:sz w:val="20"/>
                <w:szCs w:val="20"/>
                <w:color w:val="auto"/>
              </w:rPr>
            </w:pPr>
            <w:r>
              <w:rPr>
                <w:rFonts w:ascii="Times New Roman" w:cs="Times New Roman" w:eastAsia="Times New Roman" w:hAnsi="Times New Roman"/>
                <w:sz w:val="8"/>
                <w:szCs w:val="8"/>
                <w:b w:val="1"/>
                <w:bCs w:val="1"/>
                <w:color w:val="005AFF"/>
              </w:rPr>
              <w:t>outstanding</w:t>
            </w:r>
          </w:p>
        </w:tc>
        <w:tc>
          <w:tcPr>
            <w:tcW w:w="620" w:type="dxa"/>
            <w:vAlign w:val="bottom"/>
            <w:gridSpan w:val="2"/>
          </w:tcPr>
          <w:p>
            <w:pPr>
              <w:jc w:val="center"/>
              <w:ind w:left="172"/>
              <w:spacing w:after="0"/>
              <w:rPr>
                <w:sz w:val="20"/>
                <w:szCs w:val="20"/>
                <w:color w:val="auto"/>
              </w:rPr>
            </w:pPr>
            <w:r>
              <w:rPr>
                <w:rFonts w:ascii="Times New Roman" w:cs="Times New Roman" w:eastAsia="Times New Roman" w:hAnsi="Times New Roman"/>
                <w:sz w:val="8"/>
                <w:szCs w:val="8"/>
                <w:b w:val="1"/>
                <w:bCs w:val="1"/>
                <w:color w:val="005AFF"/>
              </w:rPr>
              <w:t>payout</w:t>
            </w:r>
          </w:p>
        </w:tc>
        <w:tc>
          <w:tcPr>
            <w:tcW w:w="620" w:type="dxa"/>
            <w:vAlign w:val="bottom"/>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Performance</w:t>
            </w:r>
          </w:p>
        </w:tc>
        <w:tc>
          <w:tcPr>
            <w:tcW w:w="700" w:type="dxa"/>
            <w:vAlign w:val="bottom"/>
          </w:tcPr>
          <w:p>
            <w:pPr>
              <w:spacing w:after="0"/>
              <w:rPr>
                <w:sz w:val="7"/>
                <w:szCs w:val="7"/>
                <w:color w:val="auto"/>
              </w:rPr>
            </w:pPr>
          </w:p>
        </w:tc>
      </w:tr>
      <w:tr>
        <w:trPr>
          <w:trHeight w:val="114"/>
        </w:trPr>
        <w:tc>
          <w:tcPr>
            <w:tcW w:w="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Plan</w:t>
            </w:r>
          </w:p>
        </w:tc>
        <w:tc>
          <w:tcPr>
            <w:tcW w:w="880" w:type="dxa"/>
            <w:vAlign w:val="bottom"/>
            <w:tcBorders>
              <w:bottom w:val="single" w:sz="8" w:color="005AFF"/>
            </w:tcBorders>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at target</w:t>
            </w:r>
          </w:p>
        </w:tc>
        <w:tc>
          <w:tcPr>
            <w:tcW w:w="620" w:type="dxa"/>
            <w:vAlign w:val="bottom"/>
            <w:tcBorders>
              <w:bottom w:val="single" w:sz="8" w:color="005AFF"/>
            </w:tcBorders>
            <w:gridSpan w:val="2"/>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 of target)</w:t>
            </w:r>
          </w:p>
        </w:tc>
        <w:tc>
          <w:tcPr>
            <w:tcW w:w="6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period</w:t>
            </w:r>
          </w:p>
        </w:tc>
        <w:tc>
          <w:tcPr>
            <w:tcW w:w="7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Settlement year</w:t>
            </w:r>
          </w:p>
        </w:tc>
      </w:tr>
      <w:tr>
        <w:trPr>
          <w:trHeight w:val="140"/>
        </w:trPr>
        <w:tc>
          <w:tcPr>
            <w:tcW w:w="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2020</w:t>
            </w:r>
          </w:p>
        </w:tc>
        <w:tc>
          <w:tcPr>
            <w:tcW w:w="880" w:type="dxa"/>
            <w:vAlign w:val="bottom"/>
          </w:tcPr>
          <w:p>
            <w:pPr>
              <w:jc w:val="right"/>
              <w:ind w:right="74"/>
              <w:spacing w:after="0"/>
              <w:rPr>
                <w:sz w:val="20"/>
                <w:szCs w:val="20"/>
                <w:color w:val="auto"/>
              </w:rPr>
            </w:pPr>
            <w:r>
              <w:rPr>
                <w:rFonts w:ascii="Times New Roman" w:cs="Times New Roman" w:eastAsia="Times New Roman" w:hAnsi="Times New Roman"/>
                <w:sz w:val="10"/>
                <w:szCs w:val="10"/>
                <w:color w:val="0D0D0D"/>
              </w:rPr>
              <w:t>—</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38</w:t>
            </w:r>
          </w:p>
        </w:tc>
        <w:tc>
          <w:tcPr>
            <w:tcW w:w="1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w w:val="95"/>
              </w:rPr>
              <w:t>%</w:t>
            </w:r>
          </w:p>
        </w:tc>
        <w:tc>
          <w:tcPr>
            <w:tcW w:w="620" w:type="dxa"/>
            <w:vAlign w:val="bottom"/>
          </w:tcPr>
          <w:p>
            <w:pPr>
              <w:jc w:val="right"/>
              <w:ind w:right="53"/>
              <w:spacing w:after="0"/>
              <w:rPr>
                <w:sz w:val="20"/>
                <w:szCs w:val="20"/>
                <w:color w:val="auto"/>
              </w:rPr>
            </w:pPr>
            <w:r>
              <w:rPr>
                <w:rFonts w:ascii="Times New Roman" w:cs="Times New Roman" w:eastAsia="Times New Roman" w:hAnsi="Times New Roman"/>
                <w:sz w:val="10"/>
                <w:szCs w:val="10"/>
                <w:color w:val="0D0D0D"/>
              </w:rPr>
              <w:t>2020-2023</w:t>
            </w:r>
          </w:p>
        </w:tc>
        <w:tc>
          <w:tcPr>
            <w:tcW w:w="7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2023</w:t>
            </w:r>
          </w:p>
        </w:tc>
      </w:tr>
      <w:tr>
        <w:trPr>
          <w:trHeight w:val="162"/>
        </w:trPr>
        <w:tc>
          <w:tcPr>
            <w:tcW w:w="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2021</w:t>
            </w:r>
          </w:p>
        </w:tc>
        <w:tc>
          <w:tcPr>
            <w:tcW w:w="880" w:type="dxa"/>
            <w:vAlign w:val="bottom"/>
          </w:tcPr>
          <w:p>
            <w:pPr>
              <w:jc w:val="right"/>
              <w:ind w:right="174"/>
              <w:spacing w:after="0"/>
              <w:rPr>
                <w:sz w:val="20"/>
                <w:szCs w:val="20"/>
                <w:color w:val="auto"/>
              </w:rPr>
            </w:pPr>
            <w:r>
              <w:rPr>
                <w:rFonts w:ascii="Times New Roman" w:cs="Times New Roman" w:eastAsia="Times New Roman" w:hAnsi="Times New Roman"/>
                <w:sz w:val="10"/>
                <w:szCs w:val="10"/>
                <w:color w:val="0D0D0D"/>
              </w:rPr>
              <w:t>16 086 604</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w:t>
            </w:r>
          </w:p>
        </w:tc>
        <w:tc>
          <w:tcPr>
            <w:tcW w:w="1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w w:val="95"/>
              </w:rPr>
              <w:t>%</w:t>
            </w:r>
          </w:p>
        </w:tc>
        <w:tc>
          <w:tcPr>
            <w:tcW w:w="620" w:type="dxa"/>
            <w:vAlign w:val="bottom"/>
          </w:tcPr>
          <w:p>
            <w:pPr>
              <w:jc w:val="right"/>
              <w:ind w:right="53"/>
              <w:spacing w:after="0"/>
              <w:rPr>
                <w:sz w:val="20"/>
                <w:szCs w:val="20"/>
                <w:color w:val="auto"/>
              </w:rPr>
            </w:pPr>
            <w:r>
              <w:rPr>
                <w:rFonts w:ascii="Times New Roman" w:cs="Times New Roman" w:eastAsia="Times New Roman" w:hAnsi="Times New Roman"/>
                <w:sz w:val="10"/>
                <w:szCs w:val="10"/>
                <w:color w:val="0D0D0D"/>
              </w:rPr>
              <w:t>2021-2023</w:t>
            </w:r>
          </w:p>
        </w:tc>
        <w:tc>
          <w:tcPr>
            <w:tcW w:w="7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2024</w:t>
            </w:r>
          </w:p>
        </w:tc>
      </w:tr>
      <w:tr>
        <w:trPr>
          <w:trHeight w:val="162"/>
        </w:trPr>
        <w:tc>
          <w:tcPr>
            <w:tcW w:w="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2022</w:t>
            </w:r>
          </w:p>
        </w:tc>
        <w:tc>
          <w:tcPr>
            <w:tcW w:w="880" w:type="dxa"/>
            <w:vAlign w:val="bottom"/>
          </w:tcPr>
          <w:p>
            <w:pPr>
              <w:jc w:val="right"/>
              <w:ind w:right="174"/>
              <w:spacing w:after="0"/>
              <w:rPr>
                <w:sz w:val="20"/>
                <w:szCs w:val="20"/>
                <w:color w:val="auto"/>
              </w:rPr>
            </w:pPr>
            <w:r>
              <w:rPr>
                <w:rFonts w:ascii="Times New Roman" w:cs="Times New Roman" w:eastAsia="Times New Roman" w:hAnsi="Times New Roman"/>
                <w:sz w:val="10"/>
                <w:szCs w:val="10"/>
                <w:color w:val="0D0D0D"/>
              </w:rPr>
              <w:t>12 141 600</w:t>
            </w:r>
          </w:p>
        </w:tc>
        <w:tc>
          <w:tcPr>
            <w:tcW w:w="460" w:type="dxa"/>
            <w:vAlign w:val="bottom"/>
          </w:tcPr>
          <w:p>
            <w:pPr>
              <w:jc w:val="center"/>
              <w:ind w:left="312"/>
              <w:spacing w:after="0"/>
              <w:rPr>
                <w:sz w:val="20"/>
                <w:szCs w:val="20"/>
                <w:color w:val="auto"/>
              </w:rPr>
            </w:pPr>
            <w:r>
              <w:rPr>
                <w:rFonts w:ascii="Times New Roman" w:cs="Times New Roman" w:eastAsia="Times New Roman" w:hAnsi="Times New Roman"/>
                <w:sz w:val="10"/>
                <w:szCs w:val="10"/>
                <w:color w:val="0D0D0D"/>
                <w:w w:val="99"/>
              </w:rPr>
              <w:t>—</w:t>
            </w:r>
          </w:p>
        </w:tc>
        <w:tc>
          <w:tcPr>
            <w:tcW w:w="160" w:type="dxa"/>
            <w:vAlign w:val="bottom"/>
          </w:tcPr>
          <w:p>
            <w:pPr>
              <w:spacing w:after="0"/>
              <w:rPr>
                <w:sz w:val="14"/>
                <w:szCs w:val="14"/>
                <w:color w:val="auto"/>
              </w:rPr>
            </w:pPr>
          </w:p>
        </w:tc>
        <w:tc>
          <w:tcPr>
            <w:tcW w:w="620" w:type="dxa"/>
            <w:vAlign w:val="bottom"/>
          </w:tcPr>
          <w:p>
            <w:pPr>
              <w:jc w:val="right"/>
              <w:ind w:right="53"/>
              <w:spacing w:after="0"/>
              <w:rPr>
                <w:sz w:val="20"/>
                <w:szCs w:val="20"/>
                <w:color w:val="auto"/>
              </w:rPr>
            </w:pPr>
            <w:r>
              <w:rPr>
                <w:rFonts w:ascii="Times New Roman" w:cs="Times New Roman" w:eastAsia="Times New Roman" w:hAnsi="Times New Roman"/>
                <w:sz w:val="10"/>
                <w:szCs w:val="10"/>
                <w:color w:val="0D0D0D"/>
              </w:rPr>
              <w:t>2022-2024</w:t>
            </w:r>
          </w:p>
        </w:tc>
        <w:tc>
          <w:tcPr>
            <w:tcW w:w="7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2025</w:t>
            </w:r>
          </w:p>
        </w:tc>
      </w:tr>
      <w:tr>
        <w:trPr>
          <w:trHeight w:val="167"/>
        </w:trPr>
        <w:tc>
          <w:tcPr>
            <w:tcW w:w="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2023</w:t>
            </w:r>
          </w:p>
        </w:tc>
        <w:tc>
          <w:tcPr>
            <w:tcW w:w="880" w:type="dxa"/>
            <w:vAlign w:val="bottom"/>
            <w:tcBorders>
              <w:bottom w:val="single" w:sz="8" w:color="005AFF"/>
            </w:tcBorders>
          </w:tcPr>
          <w:p>
            <w:pPr>
              <w:jc w:val="right"/>
              <w:ind w:right="174"/>
              <w:spacing w:after="0"/>
              <w:rPr>
                <w:sz w:val="20"/>
                <w:szCs w:val="20"/>
                <w:color w:val="auto"/>
              </w:rPr>
            </w:pPr>
            <w:r>
              <w:rPr>
                <w:rFonts w:ascii="Times New Roman" w:cs="Times New Roman" w:eastAsia="Times New Roman" w:hAnsi="Times New Roman"/>
                <w:sz w:val="10"/>
                <w:szCs w:val="10"/>
                <w:color w:val="0D0D0D"/>
              </w:rPr>
              <w:t>15 118 600</w:t>
            </w:r>
          </w:p>
        </w:tc>
        <w:tc>
          <w:tcPr>
            <w:tcW w:w="460" w:type="dxa"/>
            <w:vAlign w:val="bottom"/>
            <w:tcBorders>
              <w:bottom w:val="single" w:sz="8" w:color="005AFF"/>
            </w:tcBorders>
          </w:tcPr>
          <w:p>
            <w:pPr>
              <w:jc w:val="center"/>
              <w:ind w:left="312"/>
              <w:spacing w:after="0"/>
              <w:rPr>
                <w:sz w:val="20"/>
                <w:szCs w:val="20"/>
                <w:color w:val="auto"/>
              </w:rPr>
            </w:pPr>
            <w:r>
              <w:rPr>
                <w:rFonts w:ascii="Times New Roman" w:cs="Times New Roman" w:eastAsia="Times New Roman" w:hAnsi="Times New Roman"/>
                <w:sz w:val="10"/>
                <w:szCs w:val="10"/>
                <w:color w:val="0D0D0D"/>
                <w:w w:val="99"/>
              </w:rPr>
              <w:t>—</w:t>
            </w:r>
          </w:p>
        </w:tc>
        <w:tc>
          <w:tcPr>
            <w:tcW w:w="160" w:type="dxa"/>
            <w:vAlign w:val="bottom"/>
            <w:tcBorders>
              <w:bottom w:val="single" w:sz="8" w:color="005AFF"/>
            </w:tcBorders>
          </w:tcPr>
          <w:p>
            <w:pPr>
              <w:spacing w:after="0"/>
              <w:rPr>
                <w:sz w:val="14"/>
                <w:szCs w:val="14"/>
                <w:color w:val="auto"/>
              </w:rPr>
            </w:pPr>
          </w:p>
        </w:tc>
        <w:tc>
          <w:tcPr>
            <w:tcW w:w="620" w:type="dxa"/>
            <w:vAlign w:val="bottom"/>
            <w:tcBorders>
              <w:bottom w:val="single" w:sz="8" w:color="005AFF"/>
            </w:tcBorders>
          </w:tcPr>
          <w:p>
            <w:pPr>
              <w:jc w:val="right"/>
              <w:ind w:right="53"/>
              <w:spacing w:after="0"/>
              <w:rPr>
                <w:sz w:val="20"/>
                <w:szCs w:val="20"/>
                <w:color w:val="auto"/>
              </w:rPr>
            </w:pPr>
            <w:r>
              <w:rPr>
                <w:rFonts w:ascii="Times New Roman" w:cs="Times New Roman" w:eastAsia="Times New Roman" w:hAnsi="Times New Roman"/>
                <w:sz w:val="10"/>
                <w:szCs w:val="10"/>
                <w:color w:val="0D0D0D"/>
              </w:rPr>
              <w:t>2023-2025</w:t>
            </w:r>
          </w:p>
        </w:tc>
        <w:tc>
          <w:tcPr>
            <w:tcW w:w="7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2026</w:t>
            </w:r>
          </w:p>
        </w:tc>
      </w:tr>
    </w:tbl>
    <w:p>
      <w:pPr>
        <w:spacing w:after="0" w:line="119" w:lineRule="exact"/>
        <w:rPr>
          <w:sz w:val="20"/>
          <w:szCs w:val="20"/>
          <w:color w:val="auto"/>
        </w:rPr>
      </w:pPr>
    </w:p>
    <w:p>
      <w:pPr>
        <w:ind w:right="440"/>
        <w:spacing w:after="0" w:line="265" w:lineRule="auto"/>
        <w:rPr>
          <w:sz w:val="20"/>
          <w:szCs w:val="20"/>
          <w:color w:val="auto"/>
        </w:rPr>
      </w:pPr>
      <w:r>
        <w:rPr>
          <w:rFonts w:ascii="Times New Roman" w:cs="Times New Roman" w:eastAsia="Times New Roman" w:hAnsi="Times New Roman"/>
          <w:sz w:val="11"/>
          <w:szCs w:val="11"/>
          <w:color w:val="auto"/>
        </w:rPr>
        <w:t>The 2020, 2021, and 2022 Performance share grants have a three -yea r vesting period where Nokia’s actual total shareholder return (ATSR) is compared to the target total shareholder return to determine the number of Nokia shares that will be delivered at settlement. The 2020, 2021 and 2022 Performance share grants do not include a minimum payout guarantee.</w:t>
      </w:r>
    </w:p>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2023 Performance share grants apply the ATSR</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performance metric to two-thirds of the grant. For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remaining one-third of the granted shares, the metrics are</w:t>
      </w:r>
    </w:p>
    <w:p>
      <w:pPr>
        <w:spacing w:after="0" w:line="10" w:lineRule="exact"/>
        <w:rPr>
          <w:sz w:val="20"/>
          <w:szCs w:val="20"/>
          <w:color w:val="auto"/>
        </w:rPr>
      </w:pPr>
    </w:p>
    <w:p>
      <w:pPr>
        <w:spacing w:after="0"/>
        <w:tabs>
          <w:tab w:leader="none" w:pos="1820" w:val="left"/>
        </w:tabs>
        <w:rPr>
          <w:sz w:val="20"/>
          <w:szCs w:val="20"/>
          <w:color w:val="auto"/>
        </w:rPr>
      </w:pPr>
      <w:r>
        <w:rPr>
          <w:rFonts w:ascii="Times New Roman" w:cs="Times New Roman" w:eastAsia="Times New Roman" w:hAnsi="Times New Roman"/>
          <w:sz w:val="11"/>
          <w:szCs w:val="11"/>
          <w:color w:val="auto"/>
        </w:rPr>
        <w:t>either a service condition alone or a</w:t>
      </w:r>
      <w:r>
        <w:rPr>
          <w:sz w:val="20"/>
          <w:szCs w:val="20"/>
          <w:color w:val="auto"/>
        </w:rPr>
        <w:tab/>
      </w:r>
      <w:r>
        <w:rPr>
          <w:rFonts w:ascii="Times New Roman" w:cs="Times New Roman" w:eastAsia="Times New Roman" w:hAnsi="Times New Roman"/>
          <w:sz w:val="11"/>
          <w:szCs w:val="11"/>
          <w:color w:val="auto"/>
        </w:rPr>
        <w:t>Relative total shareholder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return  (RTSR). RTSR grants measure Nokia’s share performance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against its peer group companies where minimum payout for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this metric requires Nokia to be at least in the 25th percentile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when compared with the peer group.</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Restricted shares</w:t>
      </w:r>
    </w:p>
    <w:p>
      <w:pPr>
        <w:spacing w:after="0" w:line="32"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In 2023 , there were outstanding Restricted shares from grants made in 2020 , 2021 , 2022 and 2023 . Starting in 2021, Nokia has granted Restricted shares to selected employees as the primary method of equity compensation. Restricted shares</w:t>
      </w:r>
    </w:p>
    <w:p>
      <w:pPr>
        <w:spacing w:after="0" w:line="2" w:lineRule="exact"/>
        <w:rPr>
          <w:sz w:val="20"/>
          <w:szCs w:val="20"/>
          <w:color w:val="auto"/>
        </w:rPr>
      </w:pPr>
    </w:p>
    <w:p>
      <w:pPr>
        <w:ind w:right="340"/>
        <w:spacing w:after="0" w:line="266" w:lineRule="auto"/>
        <w:rPr>
          <w:sz w:val="20"/>
          <w:szCs w:val="20"/>
          <w:color w:val="auto"/>
        </w:rPr>
      </w:pPr>
      <w:r>
        <w:rPr>
          <w:rFonts w:ascii="Times New Roman" w:cs="Times New Roman" w:eastAsia="Times New Roman" w:hAnsi="Times New Roman"/>
          <w:sz w:val="11"/>
          <w:szCs w:val="11"/>
          <w:color w:val="auto"/>
        </w:rPr>
        <w:t>are Nokia shares that will be delivered to eligible participants at a future point in time, subject to the fulfillment of predetermined service conditions. Restricted shares will either vest on the third anniversary of the award or follow a tranche vesting schedule whereby each plan vests in one or more tranches determined at the award date.</w:t>
      </w:r>
    </w:p>
    <w:p>
      <w:pPr>
        <w:spacing w:after="0" w:line="52" w:lineRule="exact"/>
        <w:rPr>
          <w:sz w:val="20"/>
          <w:szCs w:val="20"/>
          <w:color w:val="auto"/>
        </w:rPr>
      </w:pPr>
    </w:p>
    <w:p>
      <w:pPr>
        <w:ind w:right="280"/>
        <w:spacing w:after="0" w:line="289" w:lineRule="auto"/>
        <w:rPr>
          <w:sz w:val="20"/>
          <w:szCs w:val="20"/>
          <w:color w:val="auto"/>
        </w:rPr>
      </w:pPr>
      <w:r>
        <w:rPr>
          <w:rFonts w:ascii="Times New Roman" w:cs="Times New Roman" w:eastAsia="Times New Roman" w:hAnsi="Times New Roman"/>
          <w:sz w:val="11"/>
          <w:szCs w:val="11"/>
          <w:color w:val="auto"/>
        </w:rPr>
        <w:t>The Restricted share grants are generally forfeited if the employment relationship with Nokia terminates prior to vesting of the applicable tranche or tranches.</w:t>
      </w:r>
    </w:p>
    <w:p>
      <w:pPr>
        <w:spacing w:after="0" w:line="3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Employee share purchase plan</w:t>
      </w:r>
    </w:p>
    <w:p>
      <w:pPr>
        <w:spacing w:after="0" w:line="32" w:lineRule="exact"/>
        <w:rPr>
          <w:sz w:val="20"/>
          <w:szCs w:val="20"/>
          <w:color w:val="auto"/>
        </w:rPr>
      </w:pPr>
    </w:p>
    <w:p>
      <w:pPr>
        <w:ind w:right="260"/>
        <w:spacing w:after="0" w:line="266" w:lineRule="auto"/>
        <w:rPr>
          <w:sz w:val="20"/>
          <w:szCs w:val="20"/>
          <w:color w:val="auto"/>
        </w:rPr>
      </w:pPr>
      <w:r>
        <w:rPr>
          <w:rFonts w:ascii="Times New Roman" w:cs="Times New Roman" w:eastAsia="Times New Roman" w:hAnsi="Times New Roman"/>
          <w:sz w:val="11"/>
          <w:szCs w:val="11"/>
          <w:color w:val="auto"/>
        </w:rPr>
        <w:t>Nokia offers a voluntary Employee Share Purchase Plan (ESPP) to its employees. Participating employees make contributions from their net salary to purchase Nokia shares on a monthly</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35"/>
        </w:trPr>
        <w:tc>
          <w:tcPr>
            <w:tcW w:w="660" w:type="dxa"/>
            <w:vAlign w:val="bottom"/>
          </w:tcPr>
          <w:p>
            <w:pPr>
              <w:spacing w:after="0"/>
              <w:rPr>
                <w:sz w:val="20"/>
                <w:szCs w:val="20"/>
                <w:color w:val="auto"/>
              </w:rPr>
            </w:pPr>
            <w:r>
              <w:rPr>
                <w:rFonts w:ascii="Times New Roman" w:cs="Times New Roman" w:eastAsia="Times New Roman" w:hAnsi="Times New Roman"/>
                <w:sz w:val="11"/>
                <w:szCs w:val="11"/>
                <w:color w:val="auto"/>
              </w:rPr>
              <w:t>basis during a</w:t>
            </w:r>
          </w:p>
        </w:tc>
        <w:tc>
          <w:tcPr>
            <w:tcW w:w="2080" w:type="dxa"/>
            <w:vAlign w:val="bottom"/>
            <w:gridSpan w:val="3"/>
          </w:tcPr>
          <w:p>
            <w:pPr>
              <w:ind w:left="80"/>
              <w:spacing w:after="0"/>
              <w:rPr>
                <w:sz w:val="20"/>
                <w:szCs w:val="20"/>
                <w:color w:val="auto"/>
              </w:rPr>
            </w:pPr>
            <w:r>
              <w:rPr>
                <w:rFonts w:ascii="Times New Roman" w:cs="Times New Roman" w:eastAsia="Times New Roman" w:hAnsi="Times New Roman"/>
                <w:sz w:val="11"/>
                <w:szCs w:val="11"/>
                <w:color w:val="auto"/>
              </w:rPr>
              <w:t>12 -month  savings period. Nokia delivers</w:t>
            </w:r>
          </w:p>
        </w:tc>
        <w:tc>
          <w:tcPr>
            <w:tcW w:w="460" w:type="dxa"/>
            <w:vAlign w:val="bottom"/>
          </w:tcPr>
          <w:p>
            <w:pPr>
              <w:jc w:val="right"/>
              <w:ind w:right="163"/>
              <w:spacing w:after="0"/>
              <w:rPr>
                <w:sz w:val="20"/>
                <w:szCs w:val="20"/>
                <w:color w:val="auto"/>
              </w:rPr>
            </w:pPr>
            <w:r>
              <w:rPr>
                <w:rFonts w:ascii="Times New Roman" w:cs="Times New Roman" w:eastAsia="Times New Roman" w:hAnsi="Times New Roman"/>
                <w:sz w:val="11"/>
                <w:szCs w:val="11"/>
                <w:color w:val="auto"/>
              </w:rPr>
              <w:t>one</w:t>
            </w:r>
          </w:p>
        </w:tc>
      </w:tr>
      <w:tr>
        <w:trPr>
          <w:trHeight w:val="131"/>
        </w:trPr>
        <w:tc>
          <w:tcPr>
            <w:tcW w:w="11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matching share for every</w:t>
            </w:r>
          </w:p>
        </w:tc>
        <w:tc>
          <w:tcPr>
            <w:tcW w:w="2040" w:type="dxa"/>
            <w:vAlign w:val="bottom"/>
            <w:gridSpan w:val="3"/>
          </w:tcPr>
          <w:p>
            <w:pPr>
              <w:ind w:left="140"/>
              <w:spacing w:after="0"/>
              <w:rPr>
                <w:sz w:val="20"/>
                <w:szCs w:val="20"/>
                <w:color w:val="auto"/>
              </w:rPr>
            </w:pPr>
            <w:r>
              <w:rPr>
                <w:rFonts w:ascii="Times New Roman" w:cs="Times New Roman" w:eastAsia="Times New Roman" w:hAnsi="Times New Roman"/>
                <w:sz w:val="11"/>
                <w:szCs w:val="11"/>
                <w:color w:val="auto"/>
              </w:rPr>
              <w:t>two purchased shares the employee</w:t>
            </w:r>
          </w:p>
        </w:tc>
      </w:tr>
      <w:tr>
        <w:trPr>
          <w:trHeight w:val="142"/>
        </w:trPr>
        <w:tc>
          <w:tcPr>
            <w:tcW w:w="178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holds at the end of the plan cycle. In</w:t>
            </w:r>
          </w:p>
        </w:tc>
        <w:tc>
          <w:tcPr>
            <w:tcW w:w="960" w:type="dxa"/>
            <w:vAlign w:val="bottom"/>
          </w:tcPr>
          <w:p>
            <w:pPr>
              <w:jc w:val="right"/>
              <w:ind w:right="23"/>
              <w:spacing w:after="0"/>
              <w:rPr>
                <w:sz w:val="20"/>
                <w:szCs w:val="20"/>
                <w:color w:val="auto"/>
              </w:rPr>
            </w:pPr>
            <w:r>
              <w:rPr>
                <w:rFonts w:ascii="Times New Roman" w:cs="Times New Roman" w:eastAsia="Times New Roman" w:hAnsi="Times New Roman"/>
                <w:sz w:val="11"/>
                <w:szCs w:val="11"/>
                <w:color w:val="auto"/>
              </w:rPr>
              <w:t>2023 , 6 726 190</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matching</w:t>
            </w:r>
          </w:p>
        </w:tc>
      </w:tr>
      <w:tr>
        <w:trPr>
          <w:trHeight w:val="131"/>
        </w:trPr>
        <w:tc>
          <w:tcPr>
            <w:tcW w:w="274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shares were issued as a settlement to the participants of the</w:t>
            </w:r>
          </w:p>
        </w:tc>
        <w:tc>
          <w:tcPr>
            <w:tcW w:w="460" w:type="dxa"/>
            <w:vAlign w:val="bottom"/>
          </w:tcPr>
          <w:p>
            <w:pPr>
              <w:spacing w:after="0"/>
              <w:rPr>
                <w:sz w:val="11"/>
                <w:szCs w:val="11"/>
                <w:color w:val="auto"/>
              </w:rPr>
            </w:pPr>
          </w:p>
        </w:tc>
      </w:tr>
      <w:tr>
        <w:trPr>
          <w:trHeight w:val="142"/>
        </w:trPr>
        <w:tc>
          <w:tcPr>
            <w:tcW w:w="11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ESPP 2022 (5 243 560</w:t>
            </w:r>
          </w:p>
        </w:tc>
        <w:tc>
          <w:tcPr>
            <w:tcW w:w="1580" w:type="dxa"/>
            <w:vAlign w:val="bottom"/>
            <w:gridSpan w:val="2"/>
          </w:tcPr>
          <w:p>
            <w:pPr>
              <w:ind w:left="20"/>
              <w:spacing w:after="0"/>
              <w:rPr>
                <w:sz w:val="20"/>
                <w:szCs w:val="20"/>
                <w:color w:val="auto"/>
              </w:rPr>
            </w:pPr>
            <w:r>
              <w:rPr>
                <w:rFonts w:ascii="Times New Roman" w:cs="Times New Roman" w:eastAsia="Times New Roman" w:hAnsi="Times New Roman"/>
                <w:sz w:val="11"/>
                <w:szCs w:val="11"/>
                <w:color w:val="auto"/>
              </w:rPr>
              <w:t>matching shares issued under the</w:t>
            </w:r>
          </w:p>
        </w:tc>
        <w:tc>
          <w:tcPr>
            <w:tcW w:w="4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2021</w:t>
            </w:r>
          </w:p>
        </w:tc>
      </w:tr>
      <w:tr>
        <w:trPr>
          <w:trHeight w:val="142"/>
        </w:trPr>
        <w:tc>
          <w:tcPr>
            <w:tcW w:w="660" w:type="dxa"/>
            <w:vAlign w:val="bottom"/>
          </w:tcPr>
          <w:p>
            <w:pPr>
              <w:spacing w:after="0"/>
              <w:rPr>
                <w:sz w:val="20"/>
                <w:szCs w:val="20"/>
                <w:color w:val="auto"/>
              </w:rPr>
            </w:pPr>
            <w:r>
              <w:rPr>
                <w:rFonts w:ascii="Times New Roman" w:cs="Times New Roman" w:eastAsia="Times New Roman" w:hAnsi="Times New Roman"/>
                <w:sz w:val="11"/>
                <w:szCs w:val="11"/>
                <w:color w:val="auto"/>
              </w:rPr>
              <w:t>Plan in 2022</w:t>
            </w:r>
          </w:p>
        </w:tc>
        <w:tc>
          <w:tcPr>
            <w:tcW w:w="500" w:type="dxa"/>
            <w:vAlign w:val="bottom"/>
          </w:tcPr>
          <w:p>
            <w:pPr>
              <w:spacing w:after="0"/>
              <w:rPr>
                <w:sz w:val="20"/>
                <w:szCs w:val="20"/>
                <w:color w:val="auto"/>
              </w:rPr>
            </w:pPr>
            <w:r>
              <w:rPr>
                <w:rFonts w:ascii="Times New Roman" w:cs="Times New Roman" w:eastAsia="Times New Roman" w:hAnsi="Times New Roman"/>
                <w:sz w:val="11"/>
                <w:szCs w:val="11"/>
                <w:color w:val="auto"/>
              </w:rPr>
              <w:t>and 4 851</w:t>
            </w:r>
          </w:p>
        </w:tc>
        <w:tc>
          <w:tcPr>
            <w:tcW w:w="20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070  matching shares issued under the</w:t>
            </w:r>
          </w:p>
        </w:tc>
      </w:tr>
      <w:tr>
        <w:trPr>
          <w:trHeight w:val="148"/>
        </w:trPr>
        <w:tc>
          <w:tcPr>
            <w:tcW w:w="660" w:type="dxa"/>
            <w:vAlign w:val="bottom"/>
          </w:tcPr>
          <w:p>
            <w:pPr>
              <w:spacing w:after="0"/>
              <w:rPr>
                <w:sz w:val="20"/>
                <w:szCs w:val="20"/>
                <w:color w:val="auto"/>
              </w:rPr>
            </w:pPr>
            <w:r>
              <w:rPr>
                <w:rFonts w:ascii="Times New Roman" w:cs="Times New Roman" w:eastAsia="Times New Roman" w:hAnsi="Times New Roman"/>
                <w:sz w:val="11"/>
                <w:szCs w:val="11"/>
                <w:color w:val="auto"/>
              </w:rPr>
              <w:t>2020 Plan in</w:t>
            </w:r>
          </w:p>
        </w:tc>
        <w:tc>
          <w:tcPr>
            <w:tcW w:w="500" w:type="dxa"/>
            <w:vAlign w:val="bottom"/>
          </w:tcPr>
          <w:p>
            <w:pPr>
              <w:spacing w:after="0"/>
              <w:rPr>
                <w:sz w:val="20"/>
                <w:szCs w:val="20"/>
                <w:color w:val="auto"/>
              </w:rPr>
            </w:pPr>
            <w:r>
              <w:rPr>
                <w:rFonts w:ascii="Times New Roman" w:cs="Times New Roman" w:eastAsia="Times New Roman" w:hAnsi="Times New Roman"/>
                <w:sz w:val="11"/>
                <w:szCs w:val="11"/>
                <w:color w:val="auto"/>
              </w:rPr>
              <w:t>2021 ).</w:t>
            </w:r>
          </w:p>
        </w:tc>
        <w:tc>
          <w:tcPr>
            <w:tcW w:w="620" w:type="dxa"/>
            <w:vAlign w:val="bottom"/>
          </w:tcPr>
          <w:p>
            <w:pPr>
              <w:spacing w:after="0"/>
              <w:rPr>
                <w:sz w:val="12"/>
                <w:szCs w:val="12"/>
                <w:color w:val="auto"/>
              </w:rPr>
            </w:pPr>
          </w:p>
        </w:tc>
        <w:tc>
          <w:tcPr>
            <w:tcW w:w="960" w:type="dxa"/>
            <w:vAlign w:val="bottom"/>
          </w:tcPr>
          <w:p>
            <w:pPr>
              <w:spacing w:after="0"/>
              <w:rPr>
                <w:sz w:val="12"/>
                <w:szCs w:val="12"/>
                <w:color w:val="auto"/>
              </w:rPr>
            </w:pPr>
          </w:p>
        </w:tc>
        <w:tc>
          <w:tcPr>
            <w:tcW w:w="460" w:type="dxa"/>
            <w:vAlign w:val="bottom"/>
          </w:tcPr>
          <w:p>
            <w:pPr>
              <w:spacing w:after="0"/>
              <w:rPr>
                <w:sz w:val="12"/>
                <w:szCs w:val="12"/>
                <w:color w:val="auto"/>
              </w:rPr>
            </w:pPr>
          </w:p>
        </w:tc>
      </w:tr>
    </w:tbl>
    <w:p>
      <w:pPr>
        <w:sectPr>
          <w:pgSz w:w="11900" w:h="16838" w:orient="portrait"/>
          <w:cols w:equalWidth="0" w:num="3">
            <w:col w:w="2820" w:space="580"/>
            <w:col w:w="3260" w:space="140"/>
            <w:col w:w="3200"/>
          </w:cols>
          <w:pgMar w:left="960" w:top="410" w:right="939" w:bottom="1440" w:gutter="0" w:footer="0" w:header="0"/>
          <w:type w:val="continuous"/>
        </w:sectPr>
      </w:pPr>
    </w:p>
    <w:bookmarkStart w:id="171" w:name="page172"/>
    <w:bookmarkEnd w:id="171"/>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50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440" w:type="dxa"/>
            <w:vAlign w:val="bottom"/>
          </w:tcPr>
          <w:p>
            <w:pPr>
              <w:ind w:left="420"/>
              <w:spacing w:after="0"/>
              <w:rPr>
                <w:sz w:val="20"/>
                <w:szCs w:val="20"/>
                <w:color w:val="auto"/>
              </w:rPr>
            </w:pPr>
            <w:r>
              <w:rPr>
                <w:rFonts w:ascii="Times New Roman" w:cs="Times New Roman" w:eastAsia="Times New Roman" w:hAnsi="Times New Roman"/>
                <w:sz w:val="9"/>
                <w:szCs w:val="9"/>
                <w:color w:val="auto"/>
              </w:rPr>
              <w:t>Corporate</w:t>
            </w:r>
          </w:p>
        </w:tc>
        <w:tc>
          <w:tcPr>
            <w:tcW w:w="1440" w:type="dxa"/>
            <w:vAlign w:val="bottom"/>
            <w:gridSpan w:val="3"/>
          </w:tcPr>
          <w:p>
            <w:pPr>
              <w:spacing w:after="0"/>
              <w:rPr>
                <w:sz w:val="20"/>
                <w:szCs w:val="20"/>
                <w:color w:val="auto"/>
              </w:rPr>
            </w:pPr>
            <w:r>
              <w:rPr>
                <w:rFonts w:ascii="Times New Roman" w:cs="Times New Roman" w:eastAsia="Times New Roman" w:hAnsi="Times New Roman"/>
                <w:sz w:val="9"/>
                <w:szCs w:val="9"/>
                <w:color w:val="auto"/>
              </w:rPr>
              <w:t>Operating and financial</w:t>
            </w:r>
          </w:p>
        </w:tc>
        <w:tc>
          <w:tcPr>
            <w:tcW w:w="110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auto"/>
              </w:rPr>
              <w:t>General facts</w:t>
            </w:r>
          </w:p>
        </w:tc>
        <w:tc>
          <w:tcPr>
            <w:tcW w:w="460" w:type="dxa"/>
            <w:vAlign w:val="bottom"/>
            <w:gridSpan w:val="3"/>
          </w:tcPr>
          <w:p>
            <w:pPr>
              <w:spacing w:after="0"/>
              <w:rPr>
                <w:sz w:val="20"/>
                <w:szCs w:val="20"/>
                <w:color w:val="auto"/>
              </w:rPr>
            </w:pPr>
            <w:r>
              <w:rPr>
                <w:rFonts w:ascii="Times New Roman" w:cs="Times New Roman" w:eastAsia="Times New Roman" w:hAnsi="Times New Roman"/>
                <w:sz w:val="9"/>
                <w:szCs w:val="9"/>
                <w:color w:val="005AFF"/>
              </w:rPr>
              <w:t>Financial</w:t>
            </w:r>
          </w:p>
        </w:tc>
        <w:tc>
          <w:tcPr>
            <w:tcW w:w="60" w:type="dxa"/>
            <w:vAlign w:val="bottom"/>
          </w:tcPr>
          <w:p>
            <w:pPr>
              <w:spacing w:after="0"/>
              <w:rPr>
                <w:sz w:val="9"/>
                <w:szCs w:val="9"/>
                <w:color w:val="auto"/>
              </w:rPr>
            </w:pPr>
          </w:p>
        </w:tc>
        <w:tc>
          <w:tcPr>
            <w:tcW w:w="800" w:type="dxa"/>
            <w:vAlign w:val="bottom"/>
          </w:tcPr>
          <w:p>
            <w:pPr>
              <w:jc w:val="right"/>
              <w:ind w:right="36"/>
              <w:spacing w:after="0"/>
              <w:rPr>
                <w:sz w:val="20"/>
                <w:szCs w:val="20"/>
                <w:color w:val="auto"/>
              </w:rPr>
            </w:pPr>
            <w:r>
              <w:rPr>
                <w:rFonts w:ascii="Times New Roman" w:cs="Times New Roman" w:eastAsia="Times New Roman" w:hAnsi="Times New Roman"/>
                <w:sz w:val="9"/>
                <w:szCs w:val="9"/>
                <w:color w:val="auto"/>
              </w:rPr>
              <w:t>Other</w:t>
            </w:r>
          </w:p>
        </w:tc>
        <w:tc>
          <w:tcPr>
            <w:tcW w:w="160" w:type="dxa"/>
            <w:vAlign w:val="bottom"/>
          </w:tcPr>
          <w:p>
            <w:pPr>
              <w:spacing w:after="0"/>
              <w:rPr>
                <w:sz w:val="9"/>
                <w:szCs w:val="9"/>
                <w:color w:val="auto"/>
              </w:rPr>
            </w:pPr>
          </w:p>
        </w:tc>
        <w:tc>
          <w:tcPr>
            <w:tcW w:w="4020" w:type="dxa"/>
            <w:vAlign w:val="bottom"/>
            <w:gridSpan w:val="2"/>
            <w:vMerge w:val="restart"/>
          </w:tcPr>
          <w:p>
            <w:pPr>
              <w:jc w:val="right"/>
              <w:spacing w:after="0"/>
              <w:rPr>
                <w:sz w:val="20"/>
                <w:szCs w:val="20"/>
                <w:color w:val="auto"/>
              </w:rPr>
            </w:pPr>
            <w:r>
              <w:rPr>
                <w:rFonts w:ascii="Times New Roman" w:cs="Times New Roman" w:eastAsia="Times New Roman" w:hAnsi="Times New Roman"/>
                <w:sz w:val="12"/>
                <w:szCs w:val="12"/>
                <w:color w:val="auto"/>
              </w:rPr>
              <w:t>164</w:t>
            </w:r>
          </w:p>
        </w:tc>
        <w:tc>
          <w:tcPr>
            <w:tcW w:w="0" w:type="dxa"/>
            <w:vAlign w:val="bottom"/>
          </w:tcPr>
          <w:p>
            <w:pPr>
              <w:spacing w:after="0"/>
              <w:rPr>
                <w:sz w:val="1"/>
                <w:szCs w:val="1"/>
                <w:color w:val="auto"/>
              </w:rPr>
            </w:pPr>
          </w:p>
        </w:tc>
      </w:tr>
      <w:tr>
        <w:trPr>
          <w:trHeight w:val="130"/>
        </w:trPr>
        <w:tc>
          <w:tcPr>
            <w:tcW w:w="50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440" w:type="dxa"/>
            <w:vAlign w:val="bottom"/>
          </w:tcPr>
          <w:p>
            <w:pPr>
              <w:ind w:left="420"/>
              <w:spacing w:after="0"/>
              <w:rPr>
                <w:sz w:val="20"/>
                <w:szCs w:val="20"/>
                <w:color w:val="auto"/>
              </w:rPr>
            </w:pPr>
            <w:r>
              <w:rPr>
                <w:rFonts w:ascii="Times New Roman" w:cs="Times New Roman" w:eastAsia="Times New Roman" w:hAnsi="Times New Roman"/>
                <w:sz w:val="9"/>
                <w:szCs w:val="9"/>
                <w:color w:val="auto"/>
              </w:rPr>
              <w:t>governance</w:t>
            </w:r>
          </w:p>
        </w:tc>
        <w:tc>
          <w:tcPr>
            <w:tcW w:w="1440" w:type="dxa"/>
            <w:vAlign w:val="bottom"/>
            <w:gridSpan w:val="3"/>
          </w:tcPr>
          <w:p>
            <w:pPr>
              <w:spacing w:after="0"/>
              <w:rPr>
                <w:sz w:val="20"/>
                <w:szCs w:val="20"/>
                <w:color w:val="auto"/>
              </w:rPr>
            </w:pPr>
            <w:r>
              <w:rPr>
                <w:rFonts w:ascii="Times New Roman" w:cs="Times New Roman" w:eastAsia="Times New Roman" w:hAnsi="Times New Roman"/>
                <w:sz w:val="9"/>
                <w:szCs w:val="9"/>
                <w:color w:val="auto"/>
              </w:rPr>
              <w:t>review and prospects</w:t>
            </w:r>
          </w:p>
        </w:tc>
        <w:tc>
          <w:tcPr>
            <w:tcW w:w="1100" w:type="dxa"/>
            <w:vAlign w:val="bottom"/>
            <w:gridSpan w:val="2"/>
          </w:tcPr>
          <w:p>
            <w:pPr>
              <w:jc w:val="right"/>
              <w:ind w:right="720"/>
              <w:spacing w:after="0"/>
              <w:rPr>
                <w:sz w:val="20"/>
                <w:szCs w:val="20"/>
                <w:color w:val="auto"/>
              </w:rPr>
            </w:pPr>
            <w:r>
              <w:rPr>
                <w:rFonts w:ascii="Times New Roman" w:cs="Times New Roman" w:eastAsia="Times New Roman" w:hAnsi="Times New Roman"/>
                <w:sz w:val="9"/>
                <w:szCs w:val="9"/>
                <w:color w:val="auto"/>
              </w:rPr>
              <w:t>on Nokia</w:t>
            </w:r>
          </w:p>
        </w:tc>
        <w:tc>
          <w:tcPr>
            <w:tcW w:w="460" w:type="dxa"/>
            <w:vAlign w:val="bottom"/>
            <w:gridSpan w:val="3"/>
          </w:tcPr>
          <w:p>
            <w:pPr>
              <w:spacing w:after="0"/>
              <w:rPr>
                <w:sz w:val="20"/>
                <w:szCs w:val="20"/>
                <w:color w:val="auto"/>
              </w:rPr>
            </w:pPr>
            <w:r>
              <w:rPr>
                <w:rFonts w:ascii="Times New Roman" w:cs="Times New Roman" w:eastAsia="Times New Roman" w:hAnsi="Times New Roman"/>
                <w:sz w:val="9"/>
                <w:szCs w:val="9"/>
                <w:color w:val="005AFF"/>
              </w:rPr>
              <w:t>statements</w:t>
            </w:r>
          </w:p>
        </w:tc>
        <w:tc>
          <w:tcPr>
            <w:tcW w:w="60" w:type="dxa"/>
            <w:vAlign w:val="bottom"/>
          </w:tcPr>
          <w:p>
            <w:pPr>
              <w:spacing w:after="0"/>
              <w:rPr>
                <w:sz w:val="11"/>
                <w:szCs w:val="11"/>
                <w:color w:val="auto"/>
              </w:rPr>
            </w:pPr>
          </w:p>
        </w:tc>
        <w:tc>
          <w:tcPr>
            <w:tcW w:w="960" w:type="dxa"/>
            <w:vAlign w:val="bottom"/>
            <w:gridSpan w:val="2"/>
          </w:tcPr>
          <w:p>
            <w:pPr>
              <w:jc w:val="right"/>
              <w:spacing w:after="0"/>
              <w:rPr>
                <w:sz w:val="20"/>
                <w:szCs w:val="20"/>
                <w:color w:val="auto"/>
              </w:rPr>
            </w:pPr>
            <w:r>
              <w:rPr>
                <w:rFonts w:ascii="Times New Roman" w:cs="Times New Roman" w:eastAsia="Times New Roman" w:hAnsi="Times New Roman"/>
                <w:sz w:val="9"/>
                <w:szCs w:val="9"/>
                <w:color w:val="auto"/>
              </w:rPr>
              <w:t>information</w:t>
            </w:r>
          </w:p>
        </w:tc>
        <w:tc>
          <w:tcPr>
            <w:tcW w:w="402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4"/>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86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080" w:type="dxa"/>
            <w:vAlign w:val="bottom"/>
          </w:tcPr>
          <w:p>
            <w:pPr>
              <w:spacing w:after="0"/>
              <w:rPr>
                <w:sz w:val="3"/>
                <w:szCs w:val="3"/>
                <w:color w:val="auto"/>
              </w:rPr>
            </w:pPr>
          </w:p>
        </w:tc>
        <w:tc>
          <w:tcPr>
            <w:tcW w:w="20" w:type="dxa"/>
            <w:vAlign w:val="bottom"/>
            <w:tcBorders>
              <w:bottom w:val="single" w:sz="8" w:color="005AFF"/>
            </w:tcBorders>
          </w:tcPr>
          <w:p>
            <w:pPr>
              <w:spacing w:after="0"/>
              <w:rPr>
                <w:sz w:val="3"/>
                <w:szCs w:val="3"/>
                <w:color w:val="auto"/>
              </w:rPr>
            </w:pPr>
          </w:p>
        </w:tc>
        <w:tc>
          <w:tcPr>
            <w:tcW w:w="40" w:type="dxa"/>
            <w:vAlign w:val="bottom"/>
            <w:tcBorders>
              <w:bottom w:val="single" w:sz="8" w:color="005AFF"/>
            </w:tcBorders>
          </w:tcPr>
          <w:p>
            <w:pPr>
              <w:spacing w:after="0"/>
              <w:rPr>
                <w:sz w:val="3"/>
                <w:szCs w:val="3"/>
                <w:color w:val="auto"/>
              </w:rPr>
            </w:pPr>
          </w:p>
        </w:tc>
        <w:tc>
          <w:tcPr>
            <w:tcW w:w="60" w:type="dxa"/>
            <w:vAlign w:val="bottom"/>
            <w:tcBorders>
              <w:bottom w:val="single" w:sz="8" w:color="005AFF"/>
            </w:tcBorders>
          </w:tcPr>
          <w:p>
            <w:pPr>
              <w:spacing w:after="0"/>
              <w:rPr>
                <w:sz w:val="3"/>
                <w:szCs w:val="3"/>
                <w:color w:val="auto"/>
              </w:rPr>
            </w:pPr>
          </w:p>
        </w:tc>
        <w:tc>
          <w:tcPr>
            <w:tcW w:w="360" w:type="dxa"/>
            <w:vAlign w:val="bottom"/>
            <w:tcBorders>
              <w:bottom w:val="single" w:sz="8" w:color="005AFF"/>
            </w:tcBorders>
          </w:tcPr>
          <w:p>
            <w:pPr>
              <w:spacing w:after="0"/>
              <w:rPr>
                <w:sz w:val="3"/>
                <w:szCs w:val="3"/>
                <w:color w:val="auto"/>
              </w:rPr>
            </w:pPr>
          </w:p>
        </w:tc>
        <w:tc>
          <w:tcPr>
            <w:tcW w:w="60" w:type="dxa"/>
            <w:vAlign w:val="bottom"/>
            <w:tcBorders>
              <w:bottom w:val="single" w:sz="8" w:color="005AFF"/>
            </w:tcBorders>
          </w:tcPr>
          <w:p>
            <w:pPr>
              <w:spacing w:after="0"/>
              <w:rPr>
                <w:sz w:val="3"/>
                <w:szCs w:val="3"/>
                <w:color w:val="auto"/>
              </w:rPr>
            </w:pPr>
          </w:p>
        </w:tc>
        <w:tc>
          <w:tcPr>
            <w:tcW w:w="800" w:type="dxa"/>
            <w:vAlign w:val="bottom"/>
          </w:tcPr>
          <w:p>
            <w:pPr>
              <w:spacing w:after="0"/>
              <w:rPr>
                <w:sz w:val="3"/>
                <w:szCs w:val="3"/>
                <w:color w:val="auto"/>
              </w:rPr>
            </w:pPr>
          </w:p>
        </w:tc>
        <w:tc>
          <w:tcPr>
            <w:tcW w:w="160" w:type="dxa"/>
            <w:vAlign w:val="bottom"/>
          </w:tcPr>
          <w:p>
            <w:pPr>
              <w:spacing w:after="0"/>
              <w:rPr>
                <w:sz w:val="3"/>
                <w:szCs w:val="3"/>
                <w:color w:val="auto"/>
              </w:rPr>
            </w:pPr>
          </w:p>
        </w:tc>
        <w:tc>
          <w:tcPr>
            <w:tcW w:w="800" w:type="dxa"/>
            <w:vAlign w:val="bottom"/>
          </w:tcPr>
          <w:p>
            <w:pPr>
              <w:spacing w:after="0"/>
              <w:rPr>
                <w:sz w:val="3"/>
                <w:szCs w:val="3"/>
                <w:color w:val="auto"/>
              </w:rPr>
            </w:pPr>
          </w:p>
        </w:tc>
        <w:tc>
          <w:tcPr>
            <w:tcW w:w="32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4"/>
            <w:vMerge w:val="continue"/>
          </w:tcPr>
          <w:p>
            <w:pPr>
              <w:spacing w:after="0"/>
              <w:rPr>
                <w:sz w:val="24"/>
                <w:szCs w:val="24"/>
                <w:color w:val="auto"/>
              </w:rPr>
            </w:pPr>
          </w:p>
        </w:tc>
        <w:tc>
          <w:tcPr>
            <w:tcW w:w="860" w:type="dxa"/>
            <w:vAlign w:val="bottom"/>
            <w:vMerge w:val="continue"/>
          </w:tcPr>
          <w:p>
            <w:pPr>
              <w:spacing w:after="0"/>
              <w:rPr>
                <w:sz w:val="24"/>
                <w:szCs w:val="24"/>
                <w:color w:val="auto"/>
              </w:rPr>
            </w:pPr>
          </w:p>
        </w:tc>
        <w:tc>
          <w:tcPr>
            <w:tcW w:w="108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16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32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2520" w:type="dxa"/>
            <w:vAlign w:val="bottom"/>
            <w:gridSpan w:val="4"/>
          </w:tcPr>
          <w:p>
            <w:pPr>
              <w:spacing w:after="0"/>
              <w:rPr>
                <w:sz w:val="20"/>
                <w:szCs w:val="20"/>
                <w:color w:val="auto"/>
              </w:rPr>
            </w:pPr>
            <w:r>
              <w:rPr>
                <w:rFonts w:ascii="Times New Roman" w:cs="Times New Roman" w:eastAsia="Times New Roman" w:hAnsi="Times New Roman"/>
                <w:sz w:val="13"/>
                <w:szCs w:val="13"/>
                <w:color w:val="auto"/>
              </w:rPr>
              <w:t>Share-based payment plans by instrument</w:t>
            </w:r>
          </w:p>
        </w:tc>
        <w:tc>
          <w:tcPr>
            <w:tcW w:w="860" w:type="dxa"/>
            <w:vAlign w:val="bottom"/>
          </w:tcPr>
          <w:p>
            <w:pPr>
              <w:spacing w:after="0"/>
              <w:rPr>
                <w:sz w:val="24"/>
                <w:szCs w:val="24"/>
                <w:color w:val="auto"/>
              </w:rPr>
            </w:pPr>
          </w:p>
        </w:tc>
        <w:tc>
          <w:tcPr>
            <w:tcW w:w="108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6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16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32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40"/>
        </w:trPr>
        <w:tc>
          <w:tcPr>
            <w:tcW w:w="500" w:type="dxa"/>
            <w:vAlign w:val="bottom"/>
          </w:tcPr>
          <w:p>
            <w:pPr>
              <w:spacing w:after="0"/>
              <w:rPr>
                <w:sz w:val="20"/>
                <w:szCs w:val="20"/>
                <w:color w:val="auto"/>
              </w:rPr>
            </w:pPr>
          </w:p>
        </w:tc>
        <w:tc>
          <w:tcPr>
            <w:tcW w:w="1440" w:type="dxa"/>
            <w:vAlign w:val="bottom"/>
          </w:tcPr>
          <w:p>
            <w:pPr>
              <w:spacing w:after="0"/>
              <w:rPr>
                <w:sz w:val="20"/>
                <w:szCs w:val="20"/>
                <w:color w:val="auto"/>
              </w:rPr>
            </w:pPr>
          </w:p>
        </w:tc>
        <w:tc>
          <w:tcPr>
            <w:tcW w:w="420" w:type="dxa"/>
            <w:vAlign w:val="bottom"/>
          </w:tcPr>
          <w:p>
            <w:pPr>
              <w:spacing w:after="0"/>
              <w:rPr>
                <w:sz w:val="20"/>
                <w:szCs w:val="20"/>
                <w:color w:val="auto"/>
              </w:rPr>
            </w:pPr>
          </w:p>
        </w:tc>
        <w:tc>
          <w:tcPr>
            <w:tcW w:w="160" w:type="dxa"/>
            <w:vAlign w:val="bottom"/>
            <w:tcBorders>
              <w:bottom w:val="single" w:sz="8" w:color="005AFF"/>
            </w:tcBorders>
          </w:tcPr>
          <w:p>
            <w:pPr>
              <w:spacing w:after="0"/>
              <w:rPr>
                <w:sz w:val="20"/>
                <w:szCs w:val="20"/>
                <w:color w:val="auto"/>
              </w:rPr>
            </w:pPr>
          </w:p>
        </w:tc>
        <w:tc>
          <w:tcPr>
            <w:tcW w:w="1960" w:type="dxa"/>
            <w:vAlign w:val="bottom"/>
            <w:tcBorders>
              <w:bottom w:val="single" w:sz="8" w:color="005AFF"/>
            </w:tcBorders>
            <w:gridSpan w:val="3"/>
          </w:tcPr>
          <w:p>
            <w:pPr>
              <w:jc w:val="right"/>
              <w:ind w:right="720"/>
              <w:spacing w:after="0"/>
              <w:rPr>
                <w:sz w:val="20"/>
                <w:szCs w:val="20"/>
                <w:color w:val="auto"/>
              </w:rPr>
            </w:pPr>
            <w:r>
              <w:rPr>
                <w:rFonts w:ascii="Times New Roman" w:cs="Times New Roman" w:eastAsia="Times New Roman" w:hAnsi="Times New Roman"/>
                <w:sz w:val="8"/>
                <w:szCs w:val="8"/>
                <w:b w:val="1"/>
                <w:bCs w:val="1"/>
                <w:color w:val="005AFF"/>
              </w:rPr>
              <w:t>Performance shares</w:t>
            </w:r>
          </w:p>
        </w:tc>
        <w:tc>
          <w:tcPr>
            <w:tcW w:w="40" w:type="dxa"/>
            <w:vAlign w:val="bottom"/>
            <w:tcBorders>
              <w:bottom w:val="single" w:sz="8" w:color="005AFF"/>
            </w:tcBorders>
          </w:tcPr>
          <w:p>
            <w:pPr>
              <w:spacing w:after="0"/>
              <w:rPr>
                <w:sz w:val="20"/>
                <w:szCs w:val="20"/>
                <w:color w:val="auto"/>
              </w:rPr>
            </w:pPr>
          </w:p>
        </w:tc>
        <w:tc>
          <w:tcPr>
            <w:tcW w:w="60" w:type="dxa"/>
            <w:vAlign w:val="bottom"/>
          </w:tcPr>
          <w:p>
            <w:pPr>
              <w:spacing w:after="0"/>
              <w:rPr>
                <w:sz w:val="20"/>
                <w:szCs w:val="20"/>
                <w:color w:val="auto"/>
              </w:rPr>
            </w:pPr>
          </w:p>
        </w:tc>
        <w:tc>
          <w:tcPr>
            <w:tcW w:w="360" w:type="dxa"/>
            <w:vAlign w:val="bottom"/>
            <w:tcBorders>
              <w:bottom w:val="single" w:sz="8" w:color="005AFF"/>
            </w:tcBorders>
          </w:tcPr>
          <w:p>
            <w:pPr>
              <w:spacing w:after="0"/>
              <w:rPr>
                <w:sz w:val="20"/>
                <w:szCs w:val="20"/>
                <w:color w:val="auto"/>
              </w:rPr>
            </w:pPr>
          </w:p>
        </w:tc>
        <w:tc>
          <w:tcPr>
            <w:tcW w:w="60" w:type="dxa"/>
            <w:vAlign w:val="bottom"/>
            <w:tcBorders>
              <w:bottom w:val="single" w:sz="8" w:color="005AFF"/>
            </w:tcBorders>
          </w:tcPr>
          <w:p>
            <w:pPr>
              <w:spacing w:after="0"/>
              <w:rPr>
                <w:sz w:val="20"/>
                <w:szCs w:val="20"/>
                <w:color w:val="auto"/>
              </w:rPr>
            </w:pPr>
          </w:p>
        </w:tc>
        <w:tc>
          <w:tcPr>
            <w:tcW w:w="96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Restricted shares</w:t>
            </w:r>
          </w:p>
        </w:tc>
        <w:tc>
          <w:tcPr>
            <w:tcW w:w="800" w:type="dxa"/>
            <w:vAlign w:val="bottom"/>
            <w:tcBorders>
              <w:bottom w:val="single" w:sz="8" w:color="005AFF"/>
            </w:tcBorders>
          </w:tcPr>
          <w:p>
            <w:pPr>
              <w:spacing w:after="0"/>
              <w:rPr>
                <w:sz w:val="20"/>
                <w:szCs w:val="20"/>
                <w:color w:val="auto"/>
              </w:rPr>
            </w:pPr>
          </w:p>
        </w:tc>
        <w:tc>
          <w:tcPr>
            <w:tcW w:w="3220" w:type="dxa"/>
            <w:vAlign w:val="bottom"/>
          </w:tcPr>
          <w:p>
            <w:pPr>
              <w:spacing w:after="0"/>
              <w:rPr>
                <w:sz w:val="20"/>
                <w:szCs w:val="20"/>
                <w:color w:val="auto"/>
              </w:rPr>
            </w:pPr>
          </w:p>
        </w:tc>
        <w:tc>
          <w:tcPr>
            <w:tcW w:w="0" w:type="dxa"/>
            <w:vAlign w:val="bottom"/>
          </w:tcPr>
          <w:p>
            <w:pPr>
              <w:spacing w:after="0"/>
              <w:rPr>
                <w:sz w:val="1"/>
                <w:szCs w:val="1"/>
                <w:color w:val="auto"/>
              </w:rPr>
            </w:pPr>
          </w:p>
        </w:tc>
      </w:tr>
      <w:tr>
        <w:trPr>
          <w:trHeight w:val="103"/>
        </w:trPr>
        <w:tc>
          <w:tcPr>
            <w:tcW w:w="500" w:type="dxa"/>
            <w:vAlign w:val="bottom"/>
          </w:tcPr>
          <w:p>
            <w:pPr>
              <w:spacing w:after="0"/>
              <w:rPr>
                <w:sz w:val="8"/>
                <w:szCs w:val="8"/>
                <w:color w:val="auto"/>
              </w:rPr>
            </w:pPr>
          </w:p>
        </w:tc>
        <w:tc>
          <w:tcPr>
            <w:tcW w:w="1440" w:type="dxa"/>
            <w:vAlign w:val="bottom"/>
          </w:tcPr>
          <w:p>
            <w:pPr>
              <w:spacing w:after="0"/>
              <w:rPr>
                <w:sz w:val="8"/>
                <w:szCs w:val="8"/>
                <w:color w:val="auto"/>
              </w:rPr>
            </w:pPr>
          </w:p>
        </w:tc>
        <w:tc>
          <w:tcPr>
            <w:tcW w:w="420" w:type="dxa"/>
            <w:vAlign w:val="bottom"/>
          </w:tcPr>
          <w:p>
            <w:pPr>
              <w:spacing w:after="0"/>
              <w:rPr>
                <w:sz w:val="8"/>
                <w:szCs w:val="8"/>
                <w:color w:val="auto"/>
              </w:rPr>
            </w:pPr>
          </w:p>
        </w:tc>
        <w:tc>
          <w:tcPr>
            <w:tcW w:w="160" w:type="dxa"/>
            <w:vAlign w:val="bottom"/>
          </w:tcPr>
          <w:p>
            <w:pPr>
              <w:spacing w:after="0"/>
              <w:rPr>
                <w:sz w:val="8"/>
                <w:szCs w:val="8"/>
                <w:color w:val="auto"/>
              </w:rPr>
            </w:pPr>
          </w:p>
        </w:tc>
        <w:tc>
          <w:tcPr>
            <w:tcW w:w="8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Number of shares</w:t>
            </w:r>
          </w:p>
        </w:tc>
        <w:tc>
          <w:tcPr>
            <w:tcW w:w="1100" w:type="dxa"/>
            <w:vAlign w:val="bottom"/>
            <w:gridSpan w:val="2"/>
          </w:tcPr>
          <w:p>
            <w:pPr>
              <w:ind w:left="220"/>
              <w:spacing w:after="0"/>
              <w:rPr>
                <w:sz w:val="20"/>
                <w:szCs w:val="20"/>
                <w:color w:val="auto"/>
              </w:rPr>
            </w:pPr>
            <w:r>
              <w:rPr>
                <w:rFonts w:ascii="Times New Roman" w:cs="Times New Roman" w:eastAsia="Times New Roman" w:hAnsi="Times New Roman"/>
                <w:sz w:val="8"/>
                <w:szCs w:val="8"/>
                <w:b w:val="1"/>
                <w:bCs w:val="1"/>
                <w:color w:val="005AFF"/>
              </w:rPr>
              <w:t>Weighted average grant</w:t>
            </w:r>
          </w:p>
        </w:tc>
        <w:tc>
          <w:tcPr>
            <w:tcW w:w="40" w:type="dxa"/>
            <w:vAlign w:val="bottom"/>
          </w:tcPr>
          <w:p>
            <w:pPr>
              <w:spacing w:after="0"/>
              <w:rPr>
                <w:sz w:val="8"/>
                <w:szCs w:val="8"/>
                <w:color w:val="auto"/>
              </w:rPr>
            </w:pPr>
          </w:p>
        </w:tc>
        <w:tc>
          <w:tcPr>
            <w:tcW w:w="60" w:type="dxa"/>
            <w:vAlign w:val="bottom"/>
          </w:tcPr>
          <w:p>
            <w:pPr>
              <w:spacing w:after="0"/>
              <w:rPr>
                <w:sz w:val="8"/>
                <w:szCs w:val="8"/>
                <w:color w:val="auto"/>
              </w:rPr>
            </w:pPr>
          </w:p>
        </w:tc>
        <w:tc>
          <w:tcPr>
            <w:tcW w:w="360" w:type="dxa"/>
            <w:vAlign w:val="bottom"/>
          </w:tcPr>
          <w:p>
            <w:pPr>
              <w:spacing w:after="0"/>
              <w:rPr>
                <w:sz w:val="8"/>
                <w:szCs w:val="8"/>
                <w:color w:val="auto"/>
              </w:rPr>
            </w:pPr>
          </w:p>
        </w:tc>
        <w:tc>
          <w:tcPr>
            <w:tcW w:w="860" w:type="dxa"/>
            <w:vAlign w:val="bottom"/>
            <w:gridSpan w:val="2"/>
          </w:tcPr>
          <w:p>
            <w:pPr>
              <w:jc w:val="right"/>
              <w:ind w:right="156"/>
              <w:spacing w:after="0"/>
              <w:rPr>
                <w:sz w:val="20"/>
                <w:szCs w:val="20"/>
                <w:color w:val="auto"/>
              </w:rPr>
            </w:pPr>
            <w:r>
              <w:rPr>
                <w:rFonts w:ascii="Times New Roman" w:cs="Times New Roman" w:eastAsia="Times New Roman" w:hAnsi="Times New Roman"/>
                <w:sz w:val="8"/>
                <w:szCs w:val="8"/>
                <w:b w:val="1"/>
                <w:bCs w:val="1"/>
                <w:color w:val="005AFF"/>
              </w:rPr>
              <w:t>Number of shares</w:t>
            </w:r>
          </w:p>
        </w:tc>
        <w:tc>
          <w:tcPr>
            <w:tcW w:w="4180" w:type="dxa"/>
            <w:vAlign w:val="bottom"/>
            <w:gridSpan w:val="3"/>
          </w:tcPr>
          <w:p>
            <w:pPr>
              <w:jc w:val="right"/>
              <w:ind w:right="3320"/>
              <w:spacing w:after="0"/>
              <w:rPr>
                <w:sz w:val="20"/>
                <w:szCs w:val="20"/>
                <w:color w:val="auto"/>
              </w:rPr>
            </w:pPr>
            <w:r>
              <w:rPr>
                <w:rFonts w:ascii="Times New Roman" w:cs="Times New Roman" w:eastAsia="Times New Roman" w:hAnsi="Times New Roman"/>
                <w:sz w:val="8"/>
                <w:szCs w:val="8"/>
                <w:b w:val="1"/>
                <w:bCs w:val="1"/>
                <w:color w:val="005AFF"/>
              </w:rPr>
              <w:t>Weighted average grant</w:t>
            </w:r>
          </w:p>
        </w:tc>
        <w:tc>
          <w:tcPr>
            <w:tcW w:w="0" w:type="dxa"/>
            <w:vAlign w:val="bottom"/>
          </w:tcPr>
          <w:p>
            <w:pPr>
              <w:spacing w:after="0"/>
              <w:rPr>
                <w:sz w:val="1"/>
                <w:szCs w:val="1"/>
                <w:color w:val="auto"/>
              </w:rPr>
            </w:pPr>
          </w:p>
        </w:tc>
      </w:tr>
      <w:tr>
        <w:trPr>
          <w:trHeight w:val="119"/>
        </w:trPr>
        <w:tc>
          <w:tcPr>
            <w:tcW w:w="500" w:type="dxa"/>
            <w:vAlign w:val="bottom"/>
          </w:tcPr>
          <w:p>
            <w:pPr>
              <w:spacing w:after="0"/>
              <w:rPr>
                <w:sz w:val="10"/>
                <w:szCs w:val="10"/>
                <w:color w:val="auto"/>
              </w:rPr>
            </w:pPr>
          </w:p>
        </w:tc>
        <w:tc>
          <w:tcPr>
            <w:tcW w:w="1440" w:type="dxa"/>
            <w:vAlign w:val="bottom"/>
          </w:tcPr>
          <w:p>
            <w:pPr>
              <w:spacing w:after="0"/>
              <w:rPr>
                <w:sz w:val="10"/>
                <w:szCs w:val="10"/>
                <w:color w:val="auto"/>
              </w:rPr>
            </w:pPr>
          </w:p>
        </w:tc>
        <w:tc>
          <w:tcPr>
            <w:tcW w:w="420" w:type="dxa"/>
            <w:vAlign w:val="bottom"/>
          </w:tcPr>
          <w:p>
            <w:pPr>
              <w:spacing w:after="0"/>
              <w:rPr>
                <w:sz w:val="10"/>
                <w:szCs w:val="10"/>
                <w:color w:val="auto"/>
              </w:rPr>
            </w:pPr>
          </w:p>
        </w:tc>
        <w:tc>
          <w:tcPr>
            <w:tcW w:w="160" w:type="dxa"/>
            <w:vAlign w:val="bottom"/>
          </w:tcPr>
          <w:p>
            <w:pPr>
              <w:spacing w:after="0"/>
              <w:rPr>
                <w:sz w:val="10"/>
                <w:szCs w:val="10"/>
                <w:color w:val="auto"/>
              </w:rPr>
            </w:pPr>
          </w:p>
        </w:tc>
        <w:tc>
          <w:tcPr>
            <w:tcW w:w="860" w:type="dxa"/>
            <w:vAlign w:val="bottom"/>
          </w:tcPr>
          <w:p>
            <w:pPr>
              <w:ind w:left="80"/>
              <w:spacing w:after="0"/>
              <w:rPr>
                <w:sz w:val="20"/>
                <w:szCs w:val="20"/>
                <w:color w:val="auto"/>
              </w:rPr>
            </w:pPr>
            <w:r>
              <w:rPr>
                <w:rFonts w:ascii="Times New Roman" w:cs="Times New Roman" w:eastAsia="Times New Roman" w:hAnsi="Times New Roman"/>
                <w:sz w:val="8"/>
                <w:szCs w:val="8"/>
                <w:b w:val="1"/>
                <w:bCs w:val="1"/>
                <w:color w:val="005AFF"/>
              </w:rPr>
              <w:t>outstanding at target</w:t>
            </w:r>
          </w:p>
        </w:tc>
        <w:tc>
          <w:tcPr>
            <w:tcW w:w="1100" w:type="dxa"/>
            <w:vAlign w:val="bottom"/>
            <w:gridSpan w:val="2"/>
          </w:tcPr>
          <w:p>
            <w:pPr>
              <w:ind w:left="360"/>
              <w:spacing w:after="0"/>
              <w:rPr>
                <w:sz w:val="20"/>
                <w:szCs w:val="20"/>
                <w:color w:val="auto"/>
              </w:rPr>
            </w:pPr>
            <w:r>
              <w:rPr>
                <w:rFonts w:ascii="Times New Roman" w:cs="Times New Roman" w:eastAsia="Times New Roman" w:hAnsi="Times New Roman"/>
                <w:sz w:val="8"/>
                <w:szCs w:val="8"/>
                <w:b w:val="1"/>
                <w:bCs w:val="1"/>
                <w:color w:val="005AFF"/>
                <w:w w:val="97"/>
              </w:rPr>
              <w:t>date fair value (EUR)</w:t>
            </w:r>
          </w:p>
        </w:tc>
        <w:tc>
          <w:tcPr>
            <w:tcW w:w="40" w:type="dxa"/>
            <w:vAlign w:val="bottom"/>
          </w:tcPr>
          <w:p>
            <w:pPr>
              <w:spacing w:after="0"/>
              <w:rPr>
                <w:sz w:val="10"/>
                <w:szCs w:val="10"/>
                <w:color w:val="auto"/>
              </w:rPr>
            </w:pPr>
          </w:p>
        </w:tc>
        <w:tc>
          <w:tcPr>
            <w:tcW w:w="60" w:type="dxa"/>
            <w:vAlign w:val="bottom"/>
          </w:tcPr>
          <w:p>
            <w:pPr>
              <w:spacing w:after="0"/>
              <w:rPr>
                <w:sz w:val="10"/>
                <w:szCs w:val="10"/>
                <w:color w:val="auto"/>
              </w:rPr>
            </w:pPr>
          </w:p>
        </w:tc>
        <w:tc>
          <w:tcPr>
            <w:tcW w:w="360" w:type="dxa"/>
            <w:vAlign w:val="bottom"/>
          </w:tcPr>
          <w:p>
            <w:pPr>
              <w:spacing w:after="0"/>
              <w:rPr>
                <w:sz w:val="10"/>
                <w:szCs w:val="10"/>
                <w:color w:val="auto"/>
              </w:rPr>
            </w:pPr>
          </w:p>
        </w:tc>
        <w:tc>
          <w:tcPr>
            <w:tcW w:w="60" w:type="dxa"/>
            <w:vAlign w:val="bottom"/>
          </w:tcPr>
          <w:p>
            <w:pPr>
              <w:spacing w:after="0"/>
              <w:rPr>
                <w:sz w:val="10"/>
                <w:szCs w:val="10"/>
                <w:color w:val="auto"/>
              </w:rPr>
            </w:pPr>
          </w:p>
        </w:tc>
        <w:tc>
          <w:tcPr>
            <w:tcW w:w="800" w:type="dxa"/>
            <w:vAlign w:val="bottom"/>
          </w:tcPr>
          <w:p>
            <w:pPr>
              <w:jc w:val="right"/>
              <w:ind w:right="156"/>
              <w:spacing w:after="0"/>
              <w:rPr>
                <w:sz w:val="20"/>
                <w:szCs w:val="20"/>
                <w:color w:val="auto"/>
              </w:rPr>
            </w:pPr>
            <w:r>
              <w:rPr>
                <w:rFonts w:ascii="Times New Roman" w:cs="Times New Roman" w:eastAsia="Times New Roman" w:hAnsi="Times New Roman"/>
                <w:sz w:val="8"/>
                <w:szCs w:val="8"/>
                <w:b w:val="1"/>
                <w:bCs w:val="1"/>
                <w:color w:val="005AFF"/>
              </w:rPr>
              <w:t>outstanding</w:t>
            </w:r>
          </w:p>
        </w:tc>
        <w:tc>
          <w:tcPr>
            <w:tcW w:w="160" w:type="dxa"/>
            <w:vAlign w:val="bottom"/>
          </w:tcPr>
          <w:p>
            <w:pPr>
              <w:spacing w:after="0"/>
              <w:rPr>
                <w:sz w:val="10"/>
                <w:szCs w:val="10"/>
                <w:color w:val="auto"/>
              </w:rPr>
            </w:pPr>
          </w:p>
        </w:tc>
        <w:tc>
          <w:tcPr>
            <w:tcW w:w="4020" w:type="dxa"/>
            <w:vAlign w:val="bottom"/>
            <w:gridSpan w:val="2"/>
          </w:tcPr>
          <w:p>
            <w:pPr>
              <w:jc w:val="right"/>
              <w:ind w:right="3260"/>
              <w:spacing w:after="0"/>
              <w:rPr>
                <w:sz w:val="20"/>
                <w:szCs w:val="20"/>
                <w:color w:val="auto"/>
              </w:rPr>
            </w:pPr>
            <w:r>
              <w:rPr>
                <w:rFonts w:ascii="Times New Roman" w:cs="Times New Roman" w:eastAsia="Times New Roman" w:hAnsi="Times New Roman"/>
                <w:sz w:val="8"/>
                <w:szCs w:val="8"/>
                <w:b w:val="1"/>
                <w:bCs w:val="1"/>
                <w:color w:val="005AFF"/>
              </w:rPr>
              <w:t>date fair value (EUR)</w:t>
            </w:r>
          </w:p>
        </w:tc>
        <w:tc>
          <w:tcPr>
            <w:tcW w:w="0" w:type="dxa"/>
            <w:vAlign w:val="bottom"/>
          </w:tcPr>
          <w:p>
            <w:pPr>
              <w:spacing w:after="0"/>
              <w:rPr>
                <w:sz w:val="1"/>
                <w:szCs w:val="1"/>
                <w:color w:val="auto"/>
              </w:rPr>
            </w:pPr>
          </w:p>
        </w:tc>
      </w:tr>
      <w:tr>
        <w:trPr>
          <w:trHeight w:val="135"/>
        </w:trPr>
        <w:tc>
          <w:tcPr>
            <w:tcW w:w="1940" w:type="dxa"/>
            <w:vAlign w:val="bottom"/>
            <w:tcBorders>
              <w:top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2021</w:t>
            </w:r>
          </w:p>
        </w:tc>
        <w:tc>
          <w:tcPr>
            <w:tcW w:w="420" w:type="dxa"/>
            <w:vAlign w:val="bottom"/>
            <w:tcBorders>
              <w:top w:val="single" w:sz="8" w:color="005AFF"/>
            </w:tcBorders>
          </w:tcPr>
          <w:p>
            <w:pPr>
              <w:spacing w:after="0"/>
              <w:rPr>
                <w:sz w:val="11"/>
                <w:szCs w:val="11"/>
                <w:color w:val="auto"/>
              </w:rPr>
            </w:pPr>
          </w:p>
        </w:tc>
        <w:tc>
          <w:tcPr>
            <w:tcW w:w="160" w:type="dxa"/>
            <w:vAlign w:val="bottom"/>
            <w:tcBorders>
              <w:top w:val="single" w:sz="8" w:color="005AFF"/>
            </w:tcBorders>
          </w:tcPr>
          <w:p>
            <w:pPr>
              <w:spacing w:after="0"/>
              <w:rPr>
                <w:sz w:val="11"/>
                <w:szCs w:val="11"/>
                <w:color w:val="auto"/>
              </w:rPr>
            </w:pPr>
          </w:p>
        </w:tc>
        <w:tc>
          <w:tcPr>
            <w:tcW w:w="860" w:type="dxa"/>
            <w:vAlign w:val="bottom"/>
            <w:tcBorders>
              <w:top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99 472 193</w:t>
            </w:r>
          </w:p>
        </w:tc>
        <w:tc>
          <w:tcPr>
            <w:tcW w:w="1080" w:type="dxa"/>
            <w:vAlign w:val="bottom"/>
            <w:tcBorders>
              <w:top w:val="single" w:sz="8" w:color="005AFF"/>
            </w:tcBorders>
          </w:tcPr>
          <w:p>
            <w:pPr>
              <w:spacing w:after="0"/>
              <w:rPr>
                <w:sz w:val="11"/>
                <w:szCs w:val="11"/>
                <w:color w:val="auto"/>
              </w:rPr>
            </w:pPr>
          </w:p>
        </w:tc>
        <w:tc>
          <w:tcPr>
            <w:tcW w:w="20" w:type="dxa"/>
            <w:vAlign w:val="bottom"/>
            <w:tcBorders>
              <w:top w:val="single" w:sz="8" w:color="005AFF"/>
            </w:tcBorders>
          </w:tcPr>
          <w:p>
            <w:pPr>
              <w:spacing w:after="0"/>
              <w:rPr>
                <w:sz w:val="11"/>
                <w:szCs w:val="11"/>
                <w:color w:val="auto"/>
              </w:rPr>
            </w:pPr>
          </w:p>
        </w:tc>
        <w:tc>
          <w:tcPr>
            <w:tcW w:w="40" w:type="dxa"/>
            <w:vAlign w:val="bottom"/>
            <w:tcBorders>
              <w:top w:val="single" w:sz="8" w:color="005AFF"/>
            </w:tcBorders>
          </w:tcPr>
          <w:p>
            <w:pPr>
              <w:spacing w:after="0"/>
              <w:rPr>
                <w:sz w:val="11"/>
                <w:szCs w:val="11"/>
                <w:color w:val="auto"/>
              </w:rPr>
            </w:pPr>
          </w:p>
        </w:tc>
        <w:tc>
          <w:tcPr>
            <w:tcW w:w="60" w:type="dxa"/>
            <w:vAlign w:val="bottom"/>
            <w:tcBorders>
              <w:top w:val="single" w:sz="8" w:color="005AFF"/>
            </w:tcBorders>
          </w:tcPr>
          <w:p>
            <w:pPr>
              <w:spacing w:after="0"/>
              <w:rPr>
                <w:sz w:val="11"/>
                <w:szCs w:val="11"/>
                <w:color w:val="auto"/>
              </w:rPr>
            </w:pPr>
          </w:p>
        </w:tc>
        <w:tc>
          <w:tcPr>
            <w:tcW w:w="360" w:type="dxa"/>
            <w:vAlign w:val="bottom"/>
            <w:tcBorders>
              <w:top w:val="single" w:sz="8" w:color="005AFF"/>
            </w:tcBorders>
          </w:tcPr>
          <w:p>
            <w:pPr>
              <w:spacing w:after="0"/>
              <w:rPr>
                <w:sz w:val="11"/>
                <w:szCs w:val="11"/>
                <w:color w:val="auto"/>
              </w:rPr>
            </w:pPr>
          </w:p>
        </w:tc>
        <w:tc>
          <w:tcPr>
            <w:tcW w:w="860" w:type="dxa"/>
            <w:vAlign w:val="bottom"/>
            <w:tcBorders>
              <w:top w:val="single" w:sz="8" w:color="005AFF"/>
            </w:tcBorders>
            <w:gridSpan w:val="2"/>
          </w:tcPr>
          <w:p>
            <w:pPr>
              <w:jc w:val="right"/>
              <w:ind w:right="196"/>
              <w:spacing w:after="0"/>
              <w:rPr>
                <w:sz w:val="20"/>
                <w:szCs w:val="20"/>
                <w:color w:val="auto"/>
              </w:rPr>
            </w:pPr>
            <w:r>
              <w:rPr>
                <w:rFonts w:ascii="Times New Roman" w:cs="Times New Roman" w:eastAsia="Times New Roman" w:hAnsi="Times New Roman"/>
                <w:sz w:val="10"/>
                <w:szCs w:val="10"/>
                <w:b w:val="1"/>
                <w:bCs w:val="1"/>
                <w:color w:val="auto"/>
              </w:rPr>
              <w:t>4 527 593</w:t>
            </w:r>
          </w:p>
        </w:tc>
        <w:tc>
          <w:tcPr>
            <w:tcW w:w="160" w:type="dxa"/>
            <w:vAlign w:val="bottom"/>
            <w:tcBorders>
              <w:top w:val="single" w:sz="8" w:color="005AFF"/>
            </w:tcBorders>
          </w:tcPr>
          <w:p>
            <w:pPr>
              <w:spacing w:after="0"/>
              <w:rPr>
                <w:sz w:val="11"/>
                <w:szCs w:val="11"/>
                <w:color w:val="auto"/>
              </w:rPr>
            </w:pPr>
          </w:p>
        </w:tc>
        <w:tc>
          <w:tcPr>
            <w:tcW w:w="800" w:type="dxa"/>
            <w:vAlign w:val="bottom"/>
            <w:tcBorders>
              <w:top w:val="single" w:sz="8" w:color="005AFF"/>
            </w:tcBorders>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Granted</w:t>
            </w:r>
          </w:p>
        </w:tc>
        <w:tc>
          <w:tcPr>
            <w:tcW w:w="14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60" w:type="dxa"/>
            <w:vAlign w:val="bottom"/>
          </w:tcPr>
          <w:p>
            <w:pPr>
              <w:spacing w:after="0"/>
              <w:rPr>
                <w:sz w:val="14"/>
                <w:szCs w:val="14"/>
                <w:color w:val="auto"/>
              </w:rPr>
            </w:pPr>
          </w:p>
        </w:tc>
        <w:tc>
          <w:tcPr>
            <w:tcW w:w="8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17 749 650</w:t>
            </w:r>
          </w:p>
        </w:tc>
        <w:tc>
          <w:tcPr>
            <w:tcW w:w="10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5.11</w:t>
            </w:r>
          </w:p>
        </w:tc>
        <w:tc>
          <w:tcPr>
            <w:tcW w:w="2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6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860" w:type="dxa"/>
            <w:vAlign w:val="bottom"/>
            <w:gridSpan w:val="2"/>
          </w:tcPr>
          <w:p>
            <w:pPr>
              <w:jc w:val="right"/>
              <w:ind w:right="196"/>
              <w:spacing w:after="0"/>
              <w:rPr>
                <w:sz w:val="20"/>
                <w:szCs w:val="20"/>
                <w:color w:val="auto"/>
              </w:rPr>
            </w:pPr>
            <w:r>
              <w:rPr>
                <w:rFonts w:ascii="Times New Roman" w:cs="Times New Roman" w:eastAsia="Times New Roman" w:hAnsi="Times New Roman"/>
                <w:sz w:val="10"/>
                <w:szCs w:val="10"/>
                <w:color w:val="0D0D0D"/>
              </w:rPr>
              <w:t>25 046 200</w:t>
            </w:r>
          </w:p>
        </w:tc>
        <w:tc>
          <w:tcPr>
            <w:tcW w:w="160" w:type="dxa"/>
            <w:vAlign w:val="bottom"/>
          </w:tcPr>
          <w:p>
            <w:pPr>
              <w:spacing w:after="0"/>
              <w:rPr>
                <w:sz w:val="14"/>
                <w:szCs w:val="14"/>
                <w:color w:val="auto"/>
              </w:rPr>
            </w:pPr>
          </w:p>
        </w:tc>
        <w:tc>
          <w:tcPr>
            <w:tcW w:w="80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5.05</w:t>
            </w: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Forfeited</w:t>
            </w:r>
          </w:p>
        </w:tc>
        <w:tc>
          <w:tcPr>
            <w:tcW w:w="14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60" w:type="dxa"/>
            <w:vAlign w:val="bottom"/>
          </w:tcPr>
          <w:p>
            <w:pPr>
              <w:spacing w:after="0"/>
              <w:rPr>
                <w:sz w:val="14"/>
                <w:szCs w:val="14"/>
                <w:color w:val="auto"/>
              </w:rPr>
            </w:pPr>
          </w:p>
        </w:tc>
        <w:tc>
          <w:tcPr>
            <w:tcW w:w="8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(5 783 031)</w:t>
            </w:r>
          </w:p>
        </w:tc>
        <w:tc>
          <w:tcPr>
            <w:tcW w:w="1080" w:type="dxa"/>
            <w:vAlign w:val="bottom"/>
          </w:tcPr>
          <w:p>
            <w:pPr>
              <w:spacing w:after="0"/>
              <w:rPr>
                <w:sz w:val="14"/>
                <w:szCs w:val="14"/>
                <w:color w:val="auto"/>
              </w:rPr>
            </w:pPr>
          </w:p>
        </w:tc>
        <w:tc>
          <w:tcPr>
            <w:tcW w:w="2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6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860" w:type="dxa"/>
            <w:vAlign w:val="bottom"/>
            <w:gridSpan w:val="2"/>
          </w:tcPr>
          <w:p>
            <w:pPr>
              <w:jc w:val="right"/>
              <w:ind w:right="136"/>
              <w:spacing w:after="0"/>
              <w:rPr>
                <w:sz w:val="20"/>
                <w:szCs w:val="20"/>
                <w:color w:val="auto"/>
              </w:rPr>
            </w:pPr>
            <w:r>
              <w:rPr>
                <w:rFonts w:ascii="Times New Roman" w:cs="Times New Roman" w:eastAsia="Times New Roman" w:hAnsi="Times New Roman"/>
                <w:sz w:val="10"/>
                <w:szCs w:val="10"/>
                <w:color w:val="0D0D0D"/>
              </w:rPr>
              <w:t>(783 950)</w:t>
            </w:r>
          </w:p>
        </w:tc>
        <w:tc>
          <w:tcPr>
            <w:tcW w:w="160" w:type="dxa"/>
            <w:vAlign w:val="bottom"/>
          </w:tcPr>
          <w:p>
            <w:pPr>
              <w:spacing w:after="0"/>
              <w:rPr>
                <w:sz w:val="14"/>
                <w:szCs w:val="14"/>
                <w:color w:val="auto"/>
              </w:rPr>
            </w:pPr>
          </w:p>
        </w:tc>
        <w:tc>
          <w:tcPr>
            <w:tcW w:w="800" w:type="dxa"/>
            <w:vAlign w:val="bottom"/>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72"/>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Vested </w:t>
            </w:r>
            <w:r>
              <w:rPr>
                <w:rFonts w:ascii="Times New Roman" w:cs="Times New Roman" w:eastAsia="Times New Roman" w:hAnsi="Times New Roman"/>
                <w:sz w:val="13"/>
                <w:szCs w:val="13"/>
                <w:color w:val="0D0D0D"/>
                <w:vertAlign w:val="superscript"/>
              </w:rPr>
              <w:t>(1)</w:t>
            </w:r>
          </w:p>
        </w:tc>
        <w:tc>
          <w:tcPr>
            <w:tcW w:w="144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160" w:type="dxa"/>
            <w:vAlign w:val="bottom"/>
            <w:tcBorders>
              <w:bottom w:val="single" w:sz="8" w:color="005AFF"/>
            </w:tcBorders>
          </w:tcPr>
          <w:p>
            <w:pPr>
              <w:spacing w:after="0"/>
              <w:rPr>
                <w:sz w:val="14"/>
                <w:szCs w:val="14"/>
                <w:color w:val="auto"/>
              </w:rPr>
            </w:pPr>
          </w:p>
        </w:tc>
        <w:tc>
          <w:tcPr>
            <w:tcW w:w="8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(31 611 804)</w:t>
            </w:r>
          </w:p>
        </w:tc>
        <w:tc>
          <w:tcPr>
            <w:tcW w:w="1080" w:type="dxa"/>
            <w:vAlign w:val="bottom"/>
            <w:tcBorders>
              <w:bottom w:val="single" w:sz="8" w:color="005AFF"/>
            </w:tcBorders>
          </w:tcPr>
          <w:p>
            <w:pPr>
              <w:spacing w:after="0"/>
              <w:rPr>
                <w:sz w:val="14"/>
                <w:szCs w:val="14"/>
                <w:color w:val="auto"/>
              </w:rPr>
            </w:pPr>
          </w:p>
        </w:tc>
        <w:tc>
          <w:tcPr>
            <w:tcW w:w="20" w:type="dxa"/>
            <w:vAlign w:val="bottom"/>
            <w:tcBorders>
              <w:bottom w:val="single" w:sz="8" w:color="005AFF"/>
            </w:tcBorders>
          </w:tcPr>
          <w:p>
            <w:pPr>
              <w:spacing w:after="0"/>
              <w:rPr>
                <w:sz w:val="14"/>
                <w:szCs w:val="14"/>
                <w:color w:val="auto"/>
              </w:rPr>
            </w:pPr>
          </w:p>
        </w:tc>
        <w:tc>
          <w:tcPr>
            <w:tcW w:w="40" w:type="dxa"/>
            <w:vAlign w:val="bottom"/>
            <w:tcBorders>
              <w:bottom w:val="single" w:sz="8" w:color="005AFF"/>
            </w:tcBorders>
          </w:tcPr>
          <w:p>
            <w:pPr>
              <w:spacing w:after="0"/>
              <w:rPr>
                <w:sz w:val="14"/>
                <w:szCs w:val="14"/>
                <w:color w:val="auto"/>
              </w:rPr>
            </w:pPr>
          </w:p>
        </w:tc>
        <w:tc>
          <w:tcPr>
            <w:tcW w:w="6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860" w:type="dxa"/>
            <w:vAlign w:val="bottom"/>
            <w:tcBorders>
              <w:bottom w:val="single" w:sz="8" w:color="005AFF"/>
            </w:tcBorders>
            <w:gridSpan w:val="2"/>
          </w:tcPr>
          <w:p>
            <w:pPr>
              <w:jc w:val="right"/>
              <w:ind w:right="156"/>
              <w:spacing w:after="0"/>
              <w:rPr>
                <w:sz w:val="20"/>
                <w:szCs w:val="20"/>
                <w:color w:val="auto"/>
              </w:rPr>
            </w:pPr>
            <w:r>
              <w:rPr>
                <w:rFonts w:ascii="Times New Roman" w:cs="Times New Roman" w:eastAsia="Times New Roman" w:hAnsi="Times New Roman"/>
                <w:sz w:val="10"/>
                <w:szCs w:val="10"/>
                <w:color w:val="0D0D0D"/>
              </w:rPr>
              <w:t>(2 026 150)</w:t>
            </w:r>
          </w:p>
        </w:tc>
        <w:tc>
          <w:tcPr>
            <w:tcW w:w="16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37"/>
        </w:trPr>
        <w:tc>
          <w:tcPr>
            <w:tcW w:w="19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2021</w:t>
            </w:r>
          </w:p>
        </w:tc>
        <w:tc>
          <w:tcPr>
            <w:tcW w:w="420" w:type="dxa"/>
            <w:vAlign w:val="bottom"/>
            <w:tcBorders>
              <w:bottom w:val="single" w:sz="8" w:color="005AFF"/>
            </w:tcBorders>
          </w:tcPr>
          <w:p>
            <w:pPr>
              <w:spacing w:after="0"/>
              <w:rPr>
                <w:sz w:val="11"/>
                <w:szCs w:val="11"/>
                <w:color w:val="auto"/>
              </w:rPr>
            </w:pPr>
          </w:p>
        </w:tc>
        <w:tc>
          <w:tcPr>
            <w:tcW w:w="1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79 827 008</w:t>
            </w:r>
          </w:p>
        </w:tc>
        <w:tc>
          <w:tcPr>
            <w:tcW w:w="1080" w:type="dxa"/>
            <w:vAlign w:val="bottom"/>
            <w:tcBorders>
              <w:bottom w:val="single" w:sz="8" w:color="005AFF"/>
            </w:tcBorders>
          </w:tcPr>
          <w:p>
            <w:pPr>
              <w:spacing w:after="0"/>
              <w:rPr>
                <w:sz w:val="11"/>
                <w:szCs w:val="11"/>
                <w:color w:val="auto"/>
              </w:rPr>
            </w:pPr>
          </w:p>
        </w:tc>
        <w:tc>
          <w:tcPr>
            <w:tcW w:w="20" w:type="dxa"/>
            <w:vAlign w:val="bottom"/>
            <w:tcBorders>
              <w:bottom w:val="single" w:sz="8" w:color="005AFF"/>
            </w:tcBorders>
          </w:tcPr>
          <w:p>
            <w:pPr>
              <w:spacing w:after="0"/>
              <w:rPr>
                <w:sz w:val="11"/>
                <w:szCs w:val="11"/>
                <w:color w:val="auto"/>
              </w:rPr>
            </w:pPr>
          </w:p>
        </w:tc>
        <w:tc>
          <w:tcPr>
            <w:tcW w:w="40" w:type="dxa"/>
            <w:vAlign w:val="bottom"/>
            <w:tcBorders>
              <w:bottom w:val="single" w:sz="8" w:color="005AFF"/>
            </w:tcBorders>
          </w:tcPr>
          <w:p>
            <w:pPr>
              <w:spacing w:after="0"/>
              <w:rPr>
                <w:sz w:val="11"/>
                <w:szCs w:val="11"/>
                <w:color w:val="auto"/>
              </w:rPr>
            </w:pPr>
          </w:p>
        </w:tc>
        <w:tc>
          <w:tcPr>
            <w:tcW w:w="60" w:type="dxa"/>
            <w:vAlign w:val="bottom"/>
            <w:tcBorders>
              <w:bottom w:val="single" w:sz="8" w:color="005AFF"/>
            </w:tcBorders>
          </w:tcPr>
          <w:p>
            <w:pPr>
              <w:spacing w:after="0"/>
              <w:rPr>
                <w:sz w:val="11"/>
                <w:szCs w:val="11"/>
                <w:color w:val="auto"/>
              </w:rPr>
            </w:pPr>
          </w:p>
        </w:tc>
        <w:tc>
          <w:tcPr>
            <w:tcW w:w="3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gridSpan w:val="2"/>
          </w:tcPr>
          <w:p>
            <w:pPr>
              <w:jc w:val="right"/>
              <w:ind w:right="196"/>
              <w:spacing w:after="0"/>
              <w:rPr>
                <w:sz w:val="20"/>
                <w:szCs w:val="20"/>
                <w:color w:val="auto"/>
              </w:rPr>
            </w:pPr>
            <w:r>
              <w:rPr>
                <w:rFonts w:ascii="Times New Roman" w:cs="Times New Roman" w:eastAsia="Times New Roman" w:hAnsi="Times New Roman"/>
                <w:sz w:val="10"/>
                <w:szCs w:val="10"/>
                <w:b w:val="1"/>
                <w:bCs w:val="1"/>
                <w:color w:val="auto"/>
              </w:rPr>
              <w:t>26 763 693</w:t>
            </w:r>
          </w:p>
        </w:tc>
        <w:tc>
          <w:tcPr>
            <w:tcW w:w="16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7"/>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Granted</w:t>
            </w:r>
          </w:p>
        </w:tc>
        <w:tc>
          <w:tcPr>
            <w:tcW w:w="144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160" w:type="dxa"/>
            <w:vAlign w:val="bottom"/>
          </w:tcPr>
          <w:p>
            <w:pPr>
              <w:spacing w:after="0"/>
              <w:rPr>
                <w:sz w:val="11"/>
                <w:szCs w:val="11"/>
                <w:color w:val="auto"/>
              </w:rPr>
            </w:pPr>
          </w:p>
        </w:tc>
        <w:tc>
          <w:tcPr>
            <w:tcW w:w="8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12 661 300</w:t>
            </w:r>
          </w:p>
        </w:tc>
        <w:tc>
          <w:tcPr>
            <w:tcW w:w="10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3.49</w:t>
            </w:r>
          </w:p>
        </w:tc>
        <w:tc>
          <w:tcPr>
            <w:tcW w:w="2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860" w:type="dxa"/>
            <w:vAlign w:val="bottom"/>
            <w:gridSpan w:val="2"/>
          </w:tcPr>
          <w:p>
            <w:pPr>
              <w:jc w:val="right"/>
              <w:ind w:right="196"/>
              <w:spacing w:after="0"/>
              <w:rPr>
                <w:sz w:val="20"/>
                <w:szCs w:val="20"/>
                <w:color w:val="auto"/>
              </w:rPr>
            </w:pPr>
            <w:r>
              <w:rPr>
                <w:rFonts w:ascii="Times New Roman" w:cs="Times New Roman" w:eastAsia="Times New Roman" w:hAnsi="Times New Roman"/>
                <w:sz w:val="10"/>
                <w:szCs w:val="10"/>
                <w:color w:val="0D0D0D"/>
              </w:rPr>
              <w:t>32 238 100</w:t>
            </w:r>
          </w:p>
        </w:tc>
        <w:tc>
          <w:tcPr>
            <w:tcW w:w="160" w:type="dxa"/>
            <w:vAlign w:val="bottom"/>
          </w:tcPr>
          <w:p>
            <w:pPr>
              <w:spacing w:after="0"/>
              <w:rPr>
                <w:sz w:val="11"/>
                <w:szCs w:val="11"/>
                <w:color w:val="auto"/>
              </w:rPr>
            </w:pPr>
          </w:p>
        </w:tc>
        <w:tc>
          <w:tcPr>
            <w:tcW w:w="80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4.15</w:t>
            </w: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Forfeited</w:t>
            </w:r>
          </w:p>
        </w:tc>
        <w:tc>
          <w:tcPr>
            <w:tcW w:w="14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60" w:type="dxa"/>
            <w:vAlign w:val="bottom"/>
          </w:tcPr>
          <w:p>
            <w:pPr>
              <w:spacing w:after="0"/>
              <w:rPr>
                <w:sz w:val="14"/>
                <w:szCs w:val="14"/>
                <w:color w:val="auto"/>
              </w:rPr>
            </w:pPr>
          </w:p>
        </w:tc>
        <w:tc>
          <w:tcPr>
            <w:tcW w:w="8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(2 450 396)</w:t>
            </w:r>
          </w:p>
        </w:tc>
        <w:tc>
          <w:tcPr>
            <w:tcW w:w="1080" w:type="dxa"/>
            <w:vAlign w:val="bottom"/>
          </w:tcPr>
          <w:p>
            <w:pPr>
              <w:spacing w:after="0"/>
              <w:rPr>
                <w:sz w:val="14"/>
                <w:szCs w:val="14"/>
                <w:color w:val="auto"/>
              </w:rPr>
            </w:pPr>
          </w:p>
        </w:tc>
        <w:tc>
          <w:tcPr>
            <w:tcW w:w="2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60" w:type="dxa"/>
            <w:vAlign w:val="bottom"/>
          </w:tcPr>
          <w:p>
            <w:pPr>
              <w:spacing w:after="0"/>
              <w:rPr>
                <w:sz w:val="14"/>
                <w:szCs w:val="14"/>
                <w:color w:val="auto"/>
              </w:rPr>
            </w:pPr>
          </w:p>
        </w:tc>
        <w:tc>
          <w:tcPr>
            <w:tcW w:w="360" w:type="dxa"/>
            <w:vAlign w:val="bottom"/>
          </w:tcPr>
          <w:p>
            <w:pPr>
              <w:spacing w:after="0"/>
              <w:rPr>
                <w:sz w:val="14"/>
                <w:szCs w:val="14"/>
                <w:color w:val="auto"/>
              </w:rPr>
            </w:pPr>
          </w:p>
        </w:tc>
        <w:tc>
          <w:tcPr>
            <w:tcW w:w="860" w:type="dxa"/>
            <w:vAlign w:val="bottom"/>
            <w:gridSpan w:val="2"/>
          </w:tcPr>
          <w:p>
            <w:pPr>
              <w:jc w:val="right"/>
              <w:ind w:right="156"/>
              <w:spacing w:after="0"/>
              <w:rPr>
                <w:sz w:val="20"/>
                <w:szCs w:val="20"/>
                <w:color w:val="auto"/>
              </w:rPr>
            </w:pPr>
            <w:r>
              <w:rPr>
                <w:rFonts w:ascii="Times New Roman" w:cs="Times New Roman" w:eastAsia="Times New Roman" w:hAnsi="Times New Roman"/>
                <w:sz w:val="10"/>
                <w:szCs w:val="10"/>
                <w:color w:val="0D0D0D"/>
              </w:rPr>
              <w:t>(1 695 734)</w:t>
            </w:r>
          </w:p>
        </w:tc>
        <w:tc>
          <w:tcPr>
            <w:tcW w:w="160" w:type="dxa"/>
            <w:vAlign w:val="bottom"/>
          </w:tcPr>
          <w:p>
            <w:pPr>
              <w:spacing w:after="0"/>
              <w:rPr>
                <w:sz w:val="14"/>
                <w:szCs w:val="14"/>
                <w:color w:val="auto"/>
              </w:rPr>
            </w:pPr>
          </w:p>
        </w:tc>
        <w:tc>
          <w:tcPr>
            <w:tcW w:w="800" w:type="dxa"/>
            <w:vAlign w:val="bottom"/>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72"/>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Vested </w:t>
            </w:r>
            <w:r>
              <w:rPr>
                <w:rFonts w:ascii="Times New Roman" w:cs="Times New Roman" w:eastAsia="Times New Roman" w:hAnsi="Times New Roman"/>
                <w:sz w:val="13"/>
                <w:szCs w:val="13"/>
                <w:color w:val="0D0D0D"/>
                <w:vertAlign w:val="superscript"/>
              </w:rPr>
              <w:t>(1)</w:t>
            </w:r>
          </w:p>
        </w:tc>
        <w:tc>
          <w:tcPr>
            <w:tcW w:w="144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160" w:type="dxa"/>
            <w:vAlign w:val="bottom"/>
            <w:tcBorders>
              <w:bottom w:val="single" w:sz="8" w:color="005AFF"/>
            </w:tcBorders>
          </w:tcPr>
          <w:p>
            <w:pPr>
              <w:spacing w:after="0"/>
              <w:rPr>
                <w:sz w:val="14"/>
                <w:szCs w:val="14"/>
                <w:color w:val="auto"/>
              </w:rPr>
            </w:pPr>
          </w:p>
        </w:tc>
        <w:tc>
          <w:tcPr>
            <w:tcW w:w="8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(26 290 064)</w:t>
            </w:r>
          </w:p>
        </w:tc>
        <w:tc>
          <w:tcPr>
            <w:tcW w:w="1080" w:type="dxa"/>
            <w:vAlign w:val="bottom"/>
            <w:tcBorders>
              <w:bottom w:val="single" w:sz="8" w:color="005AFF"/>
            </w:tcBorders>
          </w:tcPr>
          <w:p>
            <w:pPr>
              <w:spacing w:after="0"/>
              <w:rPr>
                <w:sz w:val="14"/>
                <w:szCs w:val="14"/>
                <w:color w:val="auto"/>
              </w:rPr>
            </w:pPr>
          </w:p>
        </w:tc>
        <w:tc>
          <w:tcPr>
            <w:tcW w:w="20" w:type="dxa"/>
            <w:vAlign w:val="bottom"/>
            <w:tcBorders>
              <w:bottom w:val="single" w:sz="8" w:color="005AFF"/>
            </w:tcBorders>
          </w:tcPr>
          <w:p>
            <w:pPr>
              <w:spacing w:after="0"/>
              <w:rPr>
                <w:sz w:val="14"/>
                <w:szCs w:val="14"/>
                <w:color w:val="auto"/>
              </w:rPr>
            </w:pPr>
          </w:p>
        </w:tc>
        <w:tc>
          <w:tcPr>
            <w:tcW w:w="40" w:type="dxa"/>
            <w:vAlign w:val="bottom"/>
            <w:tcBorders>
              <w:bottom w:val="single" w:sz="8" w:color="005AFF"/>
            </w:tcBorders>
          </w:tcPr>
          <w:p>
            <w:pPr>
              <w:spacing w:after="0"/>
              <w:rPr>
                <w:sz w:val="14"/>
                <w:szCs w:val="14"/>
                <w:color w:val="auto"/>
              </w:rPr>
            </w:pPr>
          </w:p>
        </w:tc>
        <w:tc>
          <w:tcPr>
            <w:tcW w:w="6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860" w:type="dxa"/>
            <w:vAlign w:val="bottom"/>
            <w:tcBorders>
              <w:bottom w:val="single" w:sz="8" w:color="005AFF"/>
            </w:tcBorders>
            <w:gridSpan w:val="2"/>
          </w:tcPr>
          <w:p>
            <w:pPr>
              <w:jc w:val="right"/>
              <w:ind w:right="156"/>
              <w:spacing w:after="0"/>
              <w:rPr>
                <w:sz w:val="20"/>
                <w:szCs w:val="20"/>
                <w:color w:val="auto"/>
              </w:rPr>
            </w:pPr>
            <w:r>
              <w:rPr>
                <w:rFonts w:ascii="Times New Roman" w:cs="Times New Roman" w:eastAsia="Times New Roman" w:hAnsi="Times New Roman"/>
                <w:sz w:val="10"/>
                <w:szCs w:val="10"/>
                <w:color w:val="0D0D0D"/>
              </w:rPr>
              <w:t>(2 778 431)</w:t>
            </w:r>
          </w:p>
        </w:tc>
        <w:tc>
          <w:tcPr>
            <w:tcW w:w="16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37"/>
        </w:trPr>
        <w:tc>
          <w:tcPr>
            <w:tcW w:w="19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2022</w:t>
            </w:r>
          </w:p>
        </w:tc>
        <w:tc>
          <w:tcPr>
            <w:tcW w:w="420" w:type="dxa"/>
            <w:vAlign w:val="bottom"/>
            <w:tcBorders>
              <w:bottom w:val="single" w:sz="8" w:color="005AFF"/>
            </w:tcBorders>
          </w:tcPr>
          <w:p>
            <w:pPr>
              <w:spacing w:after="0"/>
              <w:rPr>
                <w:sz w:val="11"/>
                <w:szCs w:val="11"/>
                <w:color w:val="auto"/>
              </w:rPr>
            </w:pPr>
          </w:p>
        </w:tc>
        <w:tc>
          <w:tcPr>
            <w:tcW w:w="1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63 747 848</w:t>
            </w:r>
          </w:p>
        </w:tc>
        <w:tc>
          <w:tcPr>
            <w:tcW w:w="1080" w:type="dxa"/>
            <w:vAlign w:val="bottom"/>
            <w:tcBorders>
              <w:bottom w:val="single" w:sz="8" w:color="005AFF"/>
            </w:tcBorders>
          </w:tcPr>
          <w:p>
            <w:pPr>
              <w:spacing w:after="0"/>
              <w:rPr>
                <w:sz w:val="11"/>
                <w:szCs w:val="11"/>
                <w:color w:val="auto"/>
              </w:rPr>
            </w:pPr>
          </w:p>
        </w:tc>
        <w:tc>
          <w:tcPr>
            <w:tcW w:w="20" w:type="dxa"/>
            <w:vAlign w:val="bottom"/>
            <w:tcBorders>
              <w:bottom w:val="single" w:sz="8" w:color="005AFF"/>
            </w:tcBorders>
          </w:tcPr>
          <w:p>
            <w:pPr>
              <w:spacing w:after="0"/>
              <w:rPr>
                <w:sz w:val="11"/>
                <w:szCs w:val="11"/>
                <w:color w:val="auto"/>
              </w:rPr>
            </w:pPr>
          </w:p>
        </w:tc>
        <w:tc>
          <w:tcPr>
            <w:tcW w:w="40" w:type="dxa"/>
            <w:vAlign w:val="bottom"/>
            <w:tcBorders>
              <w:bottom w:val="single" w:sz="8" w:color="005AFF"/>
            </w:tcBorders>
          </w:tcPr>
          <w:p>
            <w:pPr>
              <w:spacing w:after="0"/>
              <w:rPr>
                <w:sz w:val="11"/>
                <w:szCs w:val="11"/>
                <w:color w:val="auto"/>
              </w:rPr>
            </w:pPr>
          </w:p>
        </w:tc>
        <w:tc>
          <w:tcPr>
            <w:tcW w:w="60" w:type="dxa"/>
            <w:vAlign w:val="bottom"/>
            <w:tcBorders>
              <w:bottom w:val="single" w:sz="8" w:color="005AFF"/>
            </w:tcBorders>
          </w:tcPr>
          <w:p>
            <w:pPr>
              <w:spacing w:after="0"/>
              <w:rPr>
                <w:sz w:val="11"/>
                <w:szCs w:val="11"/>
                <w:color w:val="auto"/>
              </w:rPr>
            </w:pPr>
          </w:p>
        </w:tc>
        <w:tc>
          <w:tcPr>
            <w:tcW w:w="3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gridSpan w:val="2"/>
          </w:tcPr>
          <w:p>
            <w:pPr>
              <w:jc w:val="right"/>
              <w:ind w:right="196"/>
              <w:spacing w:after="0"/>
              <w:rPr>
                <w:sz w:val="20"/>
                <w:szCs w:val="20"/>
                <w:color w:val="auto"/>
              </w:rPr>
            </w:pPr>
            <w:r>
              <w:rPr>
                <w:rFonts w:ascii="Times New Roman" w:cs="Times New Roman" w:eastAsia="Times New Roman" w:hAnsi="Times New Roman"/>
                <w:sz w:val="10"/>
                <w:szCs w:val="10"/>
                <w:b w:val="1"/>
                <w:bCs w:val="1"/>
                <w:color w:val="auto"/>
              </w:rPr>
              <w:t>54 527 628</w:t>
            </w:r>
          </w:p>
        </w:tc>
        <w:tc>
          <w:tcPr>
            <w:tcW w:w="16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7"/>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Granted</w:t>
            </w:r>
          </w:p>
        </w:tc>
        <w:tc>
          <w:tcPr>
            <w:tcW w:w="144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160" w:type="dxa"/>
            <w:vAlign w:val="bottom"/>
            <w:shd w:val="clear" w:color="auto" w:fill="F0F5FF"/>
          </w:tcPr>
          <w:p>
            <w:pPr>
              <w:spacing w:after="0"/>
              <w:rPr>
                <w:sz w:val="11"/>
                <w:szCs w:val="11"/>
                <w:color w:val="auto"/>
              </w:rPr>
            </w:pPr>
          </w:p>
        </w:tc>
        <w:tc>
          <w:tcPr>
            <w:tcW w:w="8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15 207 400</w:t>
            </w: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3.10</w:t>
            </w:r>
          </w:p>
        </w:tc>
        <w:tc>
          <w:tcPr>
            <w:tcW w:w="2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60" w:type="dxa"/>
            <w:vAlign w:val="bottom"/>
            <w:shd w:val="clear" w:color="auto" w:fill="F0F5FF"/>
          </w:tcPr>
          <w:p>
            <w:pPr>
              <w:spacing w:after="0"/>
              <w:rPr>
                <w:sz w:val="11"/>
                <w:szCs w:val="11"/>
                <w:color w:val="auto"/>
              </w:rPr>
            </w:pPr>
          </w:p>
        </w:tc>
        <w:tc>
          <w:tcPr>
            <w:tcW w:w="360" w:type="dxa"/>
            <w:vAlign w:val="bottom"/>
            <w:shd w:val="clear" w:color="auto" w:fill="F0F5FF"/>
          </w:tcPr>
          <w:p>
            <w:pPr>
              <w:spacing w:after="0"/>
              <w:rPr>
                <w:sz w:val="11"/>
                <w:szCs w:val="11"/>
                <w:color w:val="auto"/>
              </w:rPr>
            </w:pPr>
          </w:p>
        </w:tc>
        <w:tc>
          <w:tcPr>
            <w:tcW w:w="860" w:type="dxa"/>
            <w:vAlign w:val="bottom"/>
            <w:gridSpan w:val="2"/>
            <w:shd w:val="clear" w:color="auto" w:fill="F0F5FF"/>
          </w:tcPr>
          <w:p>
            <w:pPr>
              <w:jc w:val="right"/>
              <w:ind w:right="196"/>
              <w:spacing w:after="0"/>
              <w:rPr>
                <w:sz w:val="20"/>
                <w:szCs w:val="20"/>
                <w:color w:val="auto"/>
              </w:rPr>
            </w:pPr>
            <w:r>
              <w:rPr>
                <w:rFonts w:ascii="Times New Roman" w:cs="Times New Roman" w:eastAsia="Times New Roman" w:hAnsi="Times New Roman"/>
                <w:sz w:val="10"/>
                <w:szCs w:val="10"/>
                <w:color w:val="005AFF"/>
              </w:rPr>
              <w:t>45 322 400</w:t>
            </w:r>
          </w:p>
        </w:tc>
        <w:tc>
          <w:tcPr>
            <w:tcW w:w="160" w:type="dxa"/>
            <w:vAlign w:val="bottom"/>
            <w:shd w:val="clear" w:color="auto" w:fill="F0F5FF"/>
          </w:tcPr>
          <w:p>
            <w:pPr>
              <w:spacing w:after="0"/>
              <w:rPr>
                <w:sz w:val="11"/>
                <w:szCs w:val="11"/>
                <w:color w:val="auto"/>
              </w:rPr>
            </w:pPr>
          </w:p>
        </w:tc>
        <w:tc>
          <w:tcPr>
            <w:tcW w:w="80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3.36</w:t>
            </w: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Forfeited</w:t>
            </w:r>
          </w:p>
        </w:tc>
        <w:tc>
          <w:tcPr>
            <w:tcW w:w="144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160" w:type="dxa"/>
            <w:vAlign w:val="bottom"/>
            <w:shd w:val="clear" w:color="auto" w:fill="F0F5FF"/>
          </w:tcPr>
          <w:p>
            <w:pPr>
              <w:spacing w:after="0"/>
              <w:rPr>
                <w:sz w:val="14"/>
                <w:szCs w:val="14"/>
                <w:color w:val="auto"/>
              </w:rPr>
            </w:pPr>
          </w:p>
        </w:tc>
        <w:tc>
          <w:tcPr>
            <w:tcW w:w="8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(3 916 744)</w:t>
            </w:r>
          </w:p>
        </w:tc>
        <w:tc>
          <w:tcPr>
            <w:tcW w:w="1080" w:type="dxa"/>
            <w:vAlign w:val="bottom"/>
            <w:shd w:val="clear" w:color="auto" w:fill="F0F5FF"/>
          </w:tcPr>
          <w:p>
            <w:pPr>
              <w:spacing w:after="0"/>
              <w:rPr>
                <w:sz w:val="14"/>
                <w:szCs w:val="14"/>
                <w:color w:val="auto"/>
              </w:rPr>
            </w:pPr>
          </w:p>
        </w:tc>
        <w:tc>
          <w:tcPr>
            <w:tcW w:w="2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60" w:type="dxa"/>
            <w:vAlign w:val="bottom"/>
            <w:shd w:val="clear" w:color="auto" w:fill="F0F5FF"/>
          </w:tcPr>
          <w:p>
            <w:pPr>
              <w:spacing w:after="0"/>
              <w:rPr>
                <w:sz w:val="14"/>
                <w:szCs w:val="14"/>
                <w:color w:val="auto"/>
              </w:rPr>
            </w:pPr>
          </w:p>
        </w:tc>
        <w:tc>
          <w:tcPr>
            <w:tcW w:w="360" w:type="dxa"/>
            <w:vAlign w:val="bottom"/>
            <w:shd w:val="clear" w:color="auto" w:fill="F0F5FF"/>
          </w:tcPr>
          <w:p>
            <w:pPr>
              <w:spacing w:after="0"/>
              <w:rPr>
                <w:sz w:val="14"/>
                <w:szCs w:val="14"/>
                <w:color w:val="auto"/>
              </w:rPr>
            </w:pPr>
          </w:p>
        </w:tc>
        <w:tc>
          <w:tcPr>
            <w:tcW w:w="860" w:type="dxa"/>
            <w:vAlign w:val="bottom"/>
            <w:gridSpan w:val="2"/>
            <w:shd w:val="clear" w:color="auto" w:fill="F0F5FF"/>
          </w:tcPr>
          <w:p>
            <w:pPr>
              <w:jc w:val="right"/>
              <w:ind w:right="156"/>
              <w:spacing w:after="0"/>
              <w:rPr>
                <w:sz w:val="20"/>
                <w:szCs w:val="20"/>
                <w:color w:val="auto"/>
              </w:rPr>
            </w:pPr>
            <w:r>
              <w:rPr>
                <w:rFonts w:ascii="Times New Roman" w:cs="Times New Roman" w:eastAsia="Times New Roman" w:hAnsi="Times New Roman"/>
                <w:sz w:val="10"/>
                <w:szCs w:val="10"/>
                <w:color w:val="005AFF"/>
              </w:rPr>
              <w:t>(1 998 801)</w:t>
            </w:r>
          </w:p>
        </w:tc>
        <w:tc>
          <w:tcPr>
            <w:tcW w:w="160" w:type="dxa"/>
            <w:vAlign w:val="bottom"/>
            <w:shd w:val="clear" w:color="auto" w:fill="F0F5FF"/>
          </w:tcPr>
          <w:p>
            <w:pPr>
              <w:spacing w:after="0"/>
              <w:rPr>
                <w:sz w:val="14"/>
                <w:szCs w:val="14"/>
                <w:color w:val="auto"/>
              </w:rPr>
            </w:pPr>
          </w:p>
        </w:tc>
        <w:tc>
          <w:tcPr>
            <w:tcW w:w="800" w:type="dxa"/>
            <w:vAlign w:val="bottom"/>
            <w:shd w:val="clear" w:color="auto" w:fill="F0F5FF"/>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72"/>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Vested </w:t>
            </w:r>
            <w:r>
              <w:rPr>
                <w:rFonts w:ascii="Times New Roman" w:cs="Times New Roman" w:eastAsia="Times New Roman" w:hAnsi="Times New Roman"/>
                <w:sz w:val="13"/>
                <w:szCs w:val="13"/>
                <w:color w:val="0D0D0D"/>
                <w:vertAlign w:val="superscript"/>
              </w:rPr>
              <w:t>(1)</w:t>
            </w:r>
          </w:p>
        </w:tc>
        <w:tc>
          <w:tcPr>
            <w:tcW w:w="144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spacing w:after="0"/>
              <w:rPr>
                <w:sz w:val="14"/>
                <w:szCs w:val="14"/>
                <w:color w:val="auto"/>
              </w:rPr>
            </w:pPr>
          </w:p>
        </w:tc>
        <w:tc>
          <w:tcPr>
            <w:tcW w:w="160" w:type="dxa"/>
            <w:vAlign w:val="bottom"/>
            <w:tcBorders>
              <w:bottom w:val="single" w:sz="8" w:color="005AFF"/>
            </w:tcBorders>
            <w:shd w:val="clear" w:color="auto" w:fill="F0F5FF"/>
          </w:tcPr>
          <w:p>
            <w:pPr>
              <w:spacing w:after="0"/>
              <w:rPr>
                <w:sz w:val="14"/>
                <w:szCs w:val="14"/>
                <w:color w:val="auto"/>
              </w:rPr>
            </w:pPr>
          </w:p>
        </w:tc>
        <w:tc>
          <w:tcPr>
            <w:tcW w:w="8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(31 691 700)</w:t>
            </w:r>
          </w:p>
        </w:tc>
        <w:tc>
          <w:tcPr>
            <w:tcW w:w="1080" w:type="dxa"/>
            <w:vAlign w:val="bottom"/>
            <w:tcBorders>
              <w:bottom w:val="single" w:sz="8" w:color="005AFF"/>
            </w:tcBorders>
            <w:shd w:val="clear" w:color="auto" w:fill="F0F5FF"/>
          </w:tcPr>
          <w:p>
            <w:pPr>
              <w:spacing w:after="0"/>
              <w:rPr>
                <w:sz w:val="14"/>
                <w:szCs w:val="14"/>
                <w:color w:val="auto"/>
              </w:rPr>
            </w:pPr>
          </w:p>
        </w:tc>
        <w:tc>
          <w:tcPr>
            <w:tcW w:w="20" w:type="dxa"/>
            <w:vAlign w:val="bottom"/>
            <w:tcBorders>
              <w:bottom w:val="single" w:sz="8" w:color="005AFF"/>
            </w:tcBorders>
            <w:shd w:val="clear" w:color="auto" w:fill="F0F5FF"/>
          </w:tcPr>
          <w:p>
            <w:pPr>
              <w:spacing w:after="0"/>
              <w:rPr>
                <w:sz w:val="14"/>
                <w:szCs w:val="14"/>
                <w:color w:val="auto"/>
              </w:rPr>
            </w:pPr>
          </w:p>
        </w:tc>
        <w:tc>
          <w:tcPr>
            <w:tcW w:w="40" w:type="dxa"/>
            <w:vAlign w:val="bottom"/>
            <w:tcBorders>
              <w:bottom w:val="single" w:sz="8" w:color="005AFF"/>
            </w:tcBorders>
            <w:shd w:val="clear" w:color="auto" w:fill="F0F5FF"/>
          </w:tcPr>
          <w:p>
            <w:pPr>
              <w:spacing w:after="0"/>
              <w:rPr>
                <w:sz w:val="14"/>
                <w:szCs w:val="14"/>
                <w:color w:val="auto"/>
              </w:rPr>
            </w:pPr>
          </w:p>
        </w:tc>
        <w:tc>
          <w:tcPr>
            <w:tcW w:w="60" w:type="dxa"/>
            <w:vAlign w:val="bottom"/>
            <w:tcBorders>
              <w:bottom w:val="single" w:sz="8" w:color="005AFF"/>
            </w:tcBorders>
            <w:shd w:val="clear" w:color="auto" w:fill="F0F5FF"/>
          </w:tcPr>
          <w:p>
            <w:pPr>
              <w:spacing w:after="0"/>
              <w:rPr>
                <w:sz w:val="14"/>
                <w:szCs w:val="14"/>
                <w:color w:val="auto"/>
              </w:rPr>
            </w:pPr>
          </w:p>
        </w:tc>
        <w:tc>
          <w:tcPr>
            <w:tcW w:w="360" w:type="dxa"/>
            <w:vAlign w:val="bottom"/>
            <w:tcBorders>
              <w:bottom w:val="single" w:sz="8" w:color="005AFF"/>
            </w:tcBorders>
            <w:shd w:val="clear" w:color="auto" w:fill="F0F5FF"/>
          </w:tcPr>
          <w:p>
            <w:pPr>
              <w:spacing w:after="0"/>
              <w:rPr>
                <w:sz w:val="14"/>
                <w:szCs w:val="14"/>
                <w:color w:val="auto"/>
              </w:rPr>
            </w:pPr>
          </w:p>
        </w:tc>
        <w:tc>
          <w:tcPr>
            <w:tcW w:w="860" w:type="dxa"/>
            <w:vAlign w:val="bottom"/>
            <w:tcBorders>
              <w:bottom w:val="single" w:sz="8" w:color="005AFF"/>
            </w:tcBorders>
            <w:gridSpan w:val="2"/>
            <w:shd w:val="clear" w:color="auto" w:fill="F0F5FF"/>
          </w:tcPr>
          <w:p>
            <w:pPr>
              <w:jc w:val="right"/>
              <w:ind w:right="156"/>
              <w:spacing w:after="0"/>
              <w:rPr>
                <w:sz w:val="20"/>
                <w:szCs w:val="20"/>
                <w:color w:val="auto"/>
              </w:rPr>
            </w:pPr>
            <w:r>
              <w:rPr>
                <w:rFonts w:ascii="Times New Roman" w:cs="Times New Roman" w:eastAsia="Times New Roman" w:hAnsi="Times New Roman"/>
                <w:sz w:val="10"/>
                <w:szCs w:val="10"/>
                <w:color w:val="005AFF"/>
              </w:rPr>
              <w:t>(3 175 287)</w:t>
            </w:r>
          </w:p>
        </w:tc>
        <w:tc>
          <w:tcPr>
            <w:tcW w:w="160" w:type="dxa"/>
            <w:vAlign w:val="bottom"/>
            <w:tcBorders>
              <w:bottom w:val="single" w:sz="8" w:color="005AFF"/>
            </w:tcBorders>
            <w:shd w:val="clear" w:color="auto" w:fill="F0F5FF"/>
          </w:tcPr>
          <w:p>
            <w:pPr>
              <w:spacing w:after="0"/>
              <w:rPr>
                <w:sz w:val="14"/>
                <w:szCs w:val="14"/>
                <w:color w:val="auto"/>
              </w:rPr>
            </w:pPr>
          </w:p>
        </w:tc>
        <w:tc>
          <w:tcPr>
            <w:tcW w:w="800" w:type="dxa"/>
            <w:vAlign w:val="bottom"/>
            <w:tcBorders>
              <w:bottom w:val="single" w:sz="8" w:color="005AFF"/>
            </w:tcBorders>
            <w:shd w:val="clear" w:color="auto" w:fill="F0F5FF"/>
          </w:tcPr>
          <w:p>
            <w:pPr>
              <w:spacing w:after="0"/>
              <w:rPr>
                <w:sz w:val="14"/>
                <w:szCs w:val="14"/>
                <w:color w:val="auto"/>
              </w:rPr>
            </w:pPr>
          </w:p>
        </w:tc>
        <w:tc>
          <w:tcPr>
            <w:tcW w:w="32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37"/>
        </w:trPr>
        <w:tc>
          <w:tcPr>
            <w:tcW w:w="19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2023</w:t>
            </w:r>
          </w:p>
        </w:tc>
        <w:tc>
          <w:tcPr>
            <w:tcW w:w="420" w:type="dxa"/>
            <w:vAlign w:val="bottom"/>
            <w:tcBorders>
              <w:bottom w:val="single" w:sz="8" w:color="005AFF"/>
            </w:tcBorders>
          </w:tcPr>
          <w:p>
            <w:pPr>
              <w:spacing w:after="0"/>
              <w:rPr>
                <w:sz w:val="11"/>
                <w:szCs w:val="11"/>
                <w:color w:val="auto"/>
              </w:rPr>
            </w:pPr>
          </w:p>
        </w:tc>
        <w:tc>
          <w:tcPr>
            <w:tcW w:w="160" w:type="dxa"/>
            <w:vAlign w:val="bottom"/>
            <w:tcBorders>
              <w:bottom w:val="single" w:sz="8" w:color="005AFF"/>
            </w:tcBorders>
            <w:shd w:val="clear" w:color="auto" w:fill="F0F5FF"/>
          </w:tcPr>
          <w:p>
            <w:pPr>
              <w:spacing w:after="0"/>
              <w:rPr>
                <w:sz w:val="11"/>
                <w:szCs w:val="11"/>
                <w:color w:val="auto"/>
              </w:rPr>
            </w:pPr>
          </w:p>
        </w:tc>
        <w:tc>
          <w:tcPr>
            <w:tcW w:w="86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43 346 804</w:t>
            </w:r>
          </w:p>
        </w:tc>
        <w:tc>
          <w:tcPr>
            <w:tcW w:w="1080" w:type="dxa"/>
            <w:vAlign w:val="bottom"/>
            <w:tcBorders>
              <w:bottom w:val="single" w:sz="8" w:color="005AFF"/>
            </w:tcBorders>
            <w:shd w:val="clear" w:color="auto" w:fill="F0F5FF"/>
          </w:tcPr>
          <w:p>
            <w:pPr>
              <w:spacing w:after="0"/>
              <w:rPr>
                <w:sz w:val="11"/>
                <w:szCs w:val="11"/>
                <w:color w:val="auto"/>
              </w:rPr>
            </w:pPr>
          </w:p>
        </w:tc>
        <w:tc>
          <w:tcPr>
            <w:tcW w:w="20" w:type="dxa"/>
            <w:vAlign w:val="bottom"/>
            <w:tcBorders>
              <w:bottom w:val="single" w:sz="8" w:color="005AFF"/>
            </w:tcBorders>
            <w:shd w:val="clear" w:color="auto" w:fill="F0F5FF"/>
          </w:tcPr>
          <w:p>
            <w:pPr>
              <w:spacing w:after="0"/>
              <w:rPr>
                <w:sz w:val="11"/>
                <w:szCs w:val="11"/>
                <w:color w:val="auto"/>
              </w:rPr>
            </w:pPr>
          </w:p>
        </w:tc>
        <w:tc>
          <w:tcPr>
            <w:tcW w:w="40" w:type="dxa"/>
            <w:vAlign w:val="bottom"/>
            <w:tcBorders>
              <w:bottom w:val="single" w:sz="8" w:color="005AFF"/>
            </w:tcBorders>
            <w:shd w:val="clear" w:color="auto" w:fill="F0F5FF"/>
          </w:tcPr>
          <w:p>
            <w:pPr>
              <w:spacing w:after="0"/>
              <w:rPr>
                <w:sz w:val="11"/>
                <w:szCs w:val="11"/>
                <w:color w:val="auto"/>
              </w:rPr>
            </w:pPr>
          </w:p>
        </w:tc>
        <w:tc>
          <w:tcPr>
            <w:tcW w:w="60" w:type="dxa"/>
            <w:vAlign w:val="bottom"/>
            <w:tcBorders>
              <w:bottom w:val="single" w:sz="8" w:color="005AFF"/>
            </w:tcBorders>
            <w:shd w:val="clear" w:color="auto" w:fill="F0F5FF"/>
          </w:tcPr>
          <w:p>
            <w:pPr>
              <w:spacing w:after="0"/>
              <w:rPr>
                <w:sz w:val="11"/>
                <w:szCs w:val="11"/>
                <w:color w:val="auto"/>
              </w:rPr>
            </w:pPr>
          </w:p>
        </w:tc>
        <w:tc>
          <w:tcPr>
            <w:tcW w:w="360" w:type="dxa"/>
            <w:vAlign w:val="bottom"/>
            <w:tcBorders>
              <w:bottom w:val="single" w:sz="8" w:color="005AFF"/>
            </w:tcBorders>
            <w:shd w:val="clear" w:color="auto" w:fill="F0F5FF"/>
          </w:tcPr>
          <w:p>
            <w:pPr>
              <w:spacing w:after="0"/>
              <w:rPr>
                <w:sz w:val="11"/>
                <w:szCs w:val="11"/>
                <w:color w:val="auto"/>
              </w:rPr>
            </w:pPr>
          </w:p>
        </w:tc>
        <w:tc>
          <w:tcPr>
            <w:tcW w:w="860" w:type="dxa"/>
            <w:vAlign w:val="bottom"/>
            <w:tcBorders>
              <w:bottom w:val="single" w:sz="8" w:color="005AFF"/>
            </w:tcBorders>
            <w:gridSpan w:val="2"/>
            <w:shd w:val="clear" w:color="auto" w:fill="F0F5FF"/>
          </w:tcPr>
          <w:p>
            <w:pPr>
              <w:jc w:val="right"/>
              <w:ind w:right="196"/>
              <w:spacing w:after="0"/>
              <w:rPr>
                <w:sz w:val="20"/>
                <w:szCs w:val="20"/>
                <w:color w:val="auto"/>
              </w:rPr>
            </w:pPr>
            <w:r>
              <w:rPr>
                <w:rFonts w:ascii="Times New Roman" w:cs="Times New Roman" w:eastAsia="Times New Roman" w:hAnsi="Times New Roman"/>
                <w:sz w:val="10"/>
                <w:szCs w:val="10"/>
                <w:b w:val="1"/>
                <w:bCs w:val="1"/>
                <w:color w:val="005AFF"/>
              </w:rPr>
              <w:t>94 675 940</w:t>
            </w:r>
          </w:p>
        </w:tc>
        <w:tc>
          <w:tcPr>
            <w:tcW w:w="160" w:type="dxa"/>
            <w:vAlign w:val="bottom"/>
            <w:tcBorders>
              <w:bottom w:val="single" w:sz="8" w:color="005AFF"/>
            </w:tcBorders>
            <w:shd w:val="clear" w:color="auto" w:fill="F0F5FF"/>
          </w:tcPr>
          <w:p>
            <w:pPr>
              <w:spacing w:after="0"/>
              <w:rPr>
                <w:sz w:val="11"/>
                <w:szCs w:val="11"/>
                <w:color w:val="auto"/>
              </w:rPr>
            </w:pPr>
          </w:p>
        </w:tc>
        <w:tc>
          <w:tcPr>
            <w:tcW w:w="800" w:type="dxa"/>
            <w:vAlign w:val="bottom"/>
            <w:tcBorders>
              <w:bottom w:val="single" w:sz="8" w:color="005AFF"/>
            </w:tcBorders>
            <w:shd w:val="clear" w:color="auto" w:fill="F0F5FF"/>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1"/>
        </w:trPr>
        <w:tc>
          <w:tcPr>
            <w:tcW w:w="5800" w:type="dxa"/>
            <w:vAlign w:val="bottom"/>
            <w:gridSpan w:val="12"/>
          </w:tcPr>
          <w:p>
            <w:pPr>
              <w:ind w:left="40"/>
              <w:spacing w:after="0"/>
              <w:rPr>
                <w:sz w:val="20"/>
                <w:szCs w:val="20"/>
                <w:color w:val="auto"/>
              </w:rPr>
            </w:pPr>
            <w:r>
              <w:rPr>
                <w:rFonts w:ascii="Times New Roman" w:cs="Times New Roman" w:eastAsia="Times New Roman" w:hAnsi="Times New Roman"/>
                <w:sz w:val="8"/>
                <w:szCs w:val="8"/>
                <w:color w:val="auto"/>
              </w:rPr>
              <w:t>(1)   Vested performance shares at target are to be multiplied by the confirmed payout (% of target) to calculate the total number of Nokia shares settled.</w:t>
            </w:r>
          </w:p>
        </w:tc>
        <w:tc>
          <w:tcPr>
            <w:tcW w:w="16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269"/>
        </w:trPr>
        <w:tc>
          <w:tcPr>
            <w:tcW w:w="1940" w:type="dxa"/>
            <w:vAlign w:val="bottom"/>
            <w:gridSpan w:val="2"/>
          </w:tcPr>
          <w:p>
            <w:pPr>
              <w:ind w:left="40"/>
              <w:spacing w:after="0"/>
              <w:rPr>
                <w:sz w:val="20"/>
                <w:szCs w:val="20"/>
                <w:color w:val="auto"/>
              </w:rPr>
            </w:pPr>
            <w:r>
              <w:rPr>
                <w:rFonts w:ascii="Times New Roman" w:cs="Times New Roman" w:eastAsia="Times New Roman" w:hAnsi="Times New Roman"/>
                <w:sz w:val="13"/>
                <w:szCs w:val="13"/>
                <w:color w:val="auto"/>
              </w:rPr>
              <w:t>Estimation of grant date fair values</w:t>
            </w:r>
          </w:p>
        </w:tc>
        <w:tc>
          <w:tcPr>
            <w:tcW w:w="420" w:type="dxa"/>
            <w:vAlign w:val="bottom"/>
          </w:tcPr>
          <w:p>
            <w:pPr>
              <w:spacing w:after="0"/>
              <w:rPr>
                <w:sz w:val="23"/>
                <w:szCs w:val="23"/>
                <w:color w:val="auto"/>
              </w:rPr>
            </w:pPr>
          </w:p>
        </w:tc>
        <w:tc>
          <w:tcPr>
            <w:tcW w:w="160" w:type="dxa"/>
            <w:vAlign w:val="bottom"/>
          </w:tcPr>
          <w:p>
            <w:pPr>
              <w:spacing w:after="0"/>
              <w:rPr>
                <w:sz w:val="23"/>
                <w:szCs w:val="23"/>
                <w:color w:val="auto"/>
              </w:rPr>
            </w:pPr>
          </w:p>
        </w:tc>
        <w:tc>
          <w:tcPr>
            <w:tcW w:w="860" w:type="dxa"/>
            <w:vAlign w:val="bottom"/>
          </w:tcPr>
          <w:p>
            <w:pPr>
              <w:spacing w:after="0"/>
              <w:rPr>
                <w:sz w:val="23"/>
                <w:szCs w:val="23"/>
                <w:color w:val="auto"/>
              </w:rPr>
            </w:pPr>
          </w:p>
        </w:tc>
        <w:tc>
          <w:tcPr>
            <w:tcW w:w="1080" w:type="dxa"/>
            <w:vAlign w:val="bottom"/>
          </w:tcPr>
          <w:p>
            <w:pPr>
              <w:spacing w:after="0"/>
              <w:rPr>
                <w:sz w:val="23"/>
                <w:szCs w:val="23"/>
                <w:color w:val="auto"/>
              </w:rPr>
            </w:pPr>
          </w:p>
        </w:tc>
        <w:tc>
          <w:tcPr>
            <w:tcW w:w="20" w:type="dxa"/>
            <w:vAlign w:val="bottom"/>
          </w:tcPr>
          <w:p>
            <w:pPr>
              <w:spacing w:after="0"/>
              <w:rPr>
                <w:sz w:val="23"/>
                <w:szCs w:val="23"/>
                <w:color w:val="auto"/>
              </w:rPr>
            </w:pPr>
          </w:p>
        </w:tc>
        <w:tc>
          <w:tcPr>
            <w:tcW w:w="40" w:type="dxa"/>
            <w:vAlign w:val="bottom"/>
          </w:tcPr>
          <w:p>
            <w:pPr>
              <w:spacing w:after="0"/>
              <w:rPr>
                <w:sz w:val="23"/>
                <w:szCs w:val="23"/>
                <w:color w:val="auto"/>
              </w:rPr>
            </w:pPr>
          </w:p>
        </w:tc>
        <w:tc>
          <w:tcPr>
            <w:tcW w:w="60" w:type="dxa"/>
            <w:vAlign w:val="bottom"/>
          </w:tcPr>
          <w:p>
            <w:pPr>
              <w:spacing w:after="0"/>
              <w:rPr>
                <w:sz w:val="23"/>
                <w:szCs w:val="23"/>
                <w:color w:val="auto"/>
              </w:rPr>
            </w:pPr>
          </w:p>
        </w:tc>
        <w:tc>
          <w:tcPr>
            <w:tcW w:w="360" w:type="dxa"/>
            <w:vAlign w:val="bottom"/>
          </w:tcPr>
          <w:p>
            <w:pPr>
              <w:spacing w:after="0"/>
              <w:rPr>
                <w:sz w:val="23"/>
                <w:szCs w:val="23"/>
                <w:color w:val="auto"/>
              </w:rPr>
            </w:pPr>
          </w:p>
        </w:tc>
        <w:tc>
          <w:tcPr>
            <w:tcW w:w="60" w:type="dxa"/>
            <w:vAlign w:val="bottom"/>
          </w:tcPr>
          <w:p>
            <w:pPr>
              <w:spacing w:after="0"/>
              <w:rPr>
                <w:sz w:val="23"/>
                <w:szCs w:val="23"/>
                <w:color w:val="auto"/>
              </w:rPr>
            </w:pPr>
          </w:p>
        </w:tc>
        <w:tc>
          <w:tcPr>
            <w:tcW w:w="800" w:type="dxa"/>
            <w:vAlign w:val="bottom"/>
          </w:tcPr>
          <w:p>
            <w:pPr>
              <w:spacing w:after="0"/>
              <w:rPr>
                <w:sz w:val="23"/>
                <w:szCs w:val="23"/>
                <w:color w:val="auto"/>
              </w:rPr>
            </w:pPr>
          </w:p>
        </w:tc>
        <w:tc>
          <w:tcPr>
            <w:tcW w:w="160" w:type="dxa"/>
            <w:vAlign w:val="bottom"/>
          </w:tcPr>
          <w:p>
            <w:pPr>
              <w:spacing w:after="0"/>
              <w:rPr>
                <w:sz w:val="23"/>
                <w:szCs w:val="23"/>
                <w:color w:val="auto"/>
              </w:rPr>
            </w:pPr>
          </w:p>
        </w:tc>
        <w:tc>
          <w:tcPr>
            <w:tcW w:w="800" w:type="dxa"/>
            <w:vAlign w:val="bottom"/>
          </w:tcPr>
          <w:p>
            <w:pPr>
              <w:spacing w:after="0"/>
              <w:rPr>
                <w:sz w:val="23"/>
                <w:szCs w:val="23"/>
                <w:color w:val="auto"/>
              </w:rPr>
            </w:pPr>
          </w:p>
        </w:tc>
        <w:tc>
          <w:tcPr>
            <w:tcW w:w="3220" w:type="dxa"/>
            <w:vAlign w:val="bottom"/>
          </w:tcPr>
          <w:p>
            <w:pPr>
              <w:spacing w:after="0"/>
              <w:rPr>
                <w:sz w:val="23"/>
                <w:szCs w:val="23"/>
                <w:color w:val="auto"/>
              </w:rPr>
            </w:pPr>
          </w:p>
        </w:tc>
        <w:tc>
          <w:tcPr>
            <w:tcW w:w="0" w:type="dxa"/>
            <w:vAlign w:val="bottom"/>
          </w:tcPr>
          <w:p>
            <w:pPr>
              <w:spacing w:after="0"/>
              <w:rPr>
                <w:sz w:val="1"/>
                <w:szCs w:val="1"/>
                <w:color w:val="auto"/>
              </w:rPr>
            </w:pPr>
          </w:p>
        </w:tc>
      </w:tr>
      <w:tr>
        <w:trPr>
          <w:trHeight w:val="144"/>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Plan</w:t>
            </w:r>
          </w:p>
        </w:tc>
        <w:tc>
          <w:tcPr>
            <w:tcW w:w="14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Grant date fair value</w:t>
            </w:r>
          </w:p>
        </w:tc>
        <w:tc>
          <w:tcPr>
            <w:tcW w:w="420" w:type="dxa"/>
            <w:vAlign w:val="bottom"/>
            <w:tcBorders>
              <w:bottom w:val="single" w:sz="8" w:color="005AFF"/>
            </w:tcBorders>
          </w:tcPr>
          <w:p>
            <w:pPr>
              <w:spacing w:after="0"/>
              <w:rPr>
                <w:sz w:val="12"/>
                <w:szCs w:val="12"/>
                <w:color w:val="auto"/>
              </w:rPr>
            </w:pPr>
          </w:p>
        </w:tc>
        <w:tc>
          <w:tcPr>
            <w:tcW w:w="160" w:type="dxa"/>
            <w:vAlign w:val="bottom"/>
            <w:tcBorders>
              <w:bottom w:val="single" w:sz="8" w:color="005AFF"/>
            </w:tcBorders>
          </w:tcPr>
          <w:p>
            <w:pPr>
              <w:spacing w:after="0"/>
              <w:rPr>
                <w:sz w:val="12"/>
                <w:szCs w:val="12"/>
                <w:color w:val="auto"/>
              </w:rPr>
            </w:pPr>
          </w:p>
        </w:tc>
        <w:tc>
          <w:tcPr>
            <w:tcW w:w="860" w:type="dxa"/>
            <w:vAlign w:val="bottom"/>
            <w:tcBorders>
              <w:bottom w:val="single" w:sz="8" w:color="005AFF"/>
            </w:tcBorders>
          </w:tcPr>
          <w:p>
            <w:pPr>
              <w:spacing w:after="0"/>
              <w:rPr>
                <w:sz w:val="12"/>
                <w:szCs w:val="12"/>
                <w:color w:val="auto"/>
              </w:rPr>
            </w:pPr>
          </w:p>
        </w:tc>
        <w:tc>
          <w:tcPr>
            <w:tcW w:w="1080" w:type="dxa"/>
            <w:vAlign w:val="bottom"/>
            <w:tcBorders>
              <w:bottom w:val="single" w:sz="8" w:color="005AFF"/>
            </w:tcBorders>
          </w:tcPr>
          <w:p>
            <w:pPr>
              <w:spacing w:after="0"/>
              <w:rPr>
                <w:sz w:val="12"/>
                <w:szCs w:val="12"/>
                <w:color w:val="auto"/>
              </w:rPr>
            </w:pPr>
          </w:p>
        </w:tc>
        <w:tc>
          <w:tcPr>
            <w:tcW w:w="20" w:type="dxa"/>
            <w:vAlign w:val="bottom"/>
            <w:tcBorders>
              <w:bottom w:val="single" w:sz="8" w:color="005AFF"/>
            </w:tcBorders>
          </w:tcPr>
          <w:p>
            <w:pPr>
              <w:spacing w:after="0"/>
              <w:rPr>
                <w:sz w:val="12"/>
                <w:szCs w:val="12"/>
                <w:color w:val="auto"/>
              </w:rPr>
            </w:pPr>
          </w:p>
        </w:tc>
        <w:tc>
          <w:tcPr>
            <w:tcW w:w="40" w:type="dxa"/>
            <w:vAlign w:val="bottom"/>
            <w:tcBorders>
              <w:bottom w:val="single" w:sz="8" w:color="005AFF"/>
            </w:tcBorders>
          </w:tcPr>
          <w:p>
            <w:pPr>
              <w:spacing w:after="0"/>
              <w:rPr>
                <w:sz w:val="12"/>
                <w:szCs w:val="12"/>
                <w:color w:val="auto"/>
              </w:rPr>
            </w:pPr>
          </w:p>
        </w:tc>
        <w:tc>
          <w:tcPr>
            <w:tcW w:w="6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spacing w:after="0"/>
              <w:rPr>
                <w:sz w:val="12"/>
                <w:szCs w:val="12"/>
                <w:color w:val="auto"/>
              </w:rPr>
            </w:pPr>
          </w:p>
        </w:tc>
        <w:tc>
          <w:tcPr>
            <w:tcW w:w="6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16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32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1"/>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ATSR</w:t>
            </w:r>
          </w:p>
        </w:tc>
        <w:tc>
          <w:tcPr>
            <w:tcW w:w="5460" w:type="dxa"/>
            <w:vAlign w:val="bottom"/>
            <w:gridSpan w:val="12"/>
          </w:tcPr>
          <w:p>
            <w:pPr>
              <w:ind w:left="80"/>
              <w:spacing w:after="0"/>
              <w:rPr>
                <w:sz w:val="20"/>
                <w:szCs w:val="20"/>
                <w:color w:val="auto"/>
              </w:rPr>
            </w:pPr>
            <w:r>
              <w:rPr>
                <w:rFonts w:ascii="Times New Roman" w:cs="Times New Roman" w:eastAsia="Times New Roman" w:hAnsi="Times New Roman"/>
                <w:sz w:val="10"/>
                <w:szCs w:val="10"/>
                <w:color w:val="0D0D0D"/>
              </w:rPr>
              <w:t>Estimated considering the dividend-adjusted Nokia share price at the end of the performance period of the plan and the target payout</w:t>
            </w:r>
          </w:p>
        </w:tc>
        <w:tc>
          <w:tcPr>
            <w:tcW w:w="800" w:type="dxa"/>
            <w:vAlign w:val="bottom"/>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30"/>
        </w:trPr>
        <w:tc>
          <w:tcPr>
            <w:tcW w:w="500" w:type="dxa"/>
            <w:vAlign w:val="bottom"/>
          </w:tcPr>
          <w:p>
            <w:pPr>
              <w:spacing w:after="0"/>
              <w:rPr>
                <w:sz w:val="11"/>
                <w:szCs w:val="11"/>
                <w:color w:val="auto"/>
              </w:rPr>
            </w:pPr>
          </w:p>
        </w:tc>
        <w:tc>
          <w:tcPr>
            <w:tcW w:w="1440" w:type="dxa"/>
            <w:vAlign w:val="bottom"/>
          </w:tcPr>
          <w:p>
            <w:pPr>
              <w:ind w:left="80"/>
              <w:spacing w:after="0"/>
              <w:rPr>
                <w:sz w:val="20"/>
                <w:szCs w:val="20"/>
                <w:color w:val="auto"/>
              </w:rPr>
            </w:pPr>
            <w:r>
              <w:rPr>
                <w:rFonts w:ascii="Times New Roman" w:cs="Times New Roman" w:eastAsia="Times New Roman" w:hAnsi="Times New Roman"/>
                <w:sz w:val="10"/>
                <w:szCs w:val="10"/>
                <w:color w:val="0D0D0D"/>
              </w:rPr>
              <w:t>levels set for the plan.</w:t>
            </w:r>
          </w:p>
        </w:tc>
        <w:tc>
          <w:tcPr>
            <w:tcW w:w="420" w:type="dxa"/>
            <w:vAlign w:val="bottom"/>
          </w:tcPr>
          <w:p>
            <w:pPr>
              <w:spacing w:after="0"/>
              <w:rPr>
                <w:sz w:val="11"/>
                <w:szCs w:val="11"/>
                <w:color w:val="auto"/>
              </w:rPr>
            </w:pPr>
          </w:p>
        </w:tc>
        <w:tc>
          <w:tcPr>
            <w:tcW w:w="160" w:type="dxa"/>
            <w:vAlign w:val="bottom"/>
          </w:tcPr>
          <w:p>
            <w:pPr>
              <w:spacing w:after="0"/>
              <w:rPr>
                <w:sz w:val="11"/>
                <w:szCs w:val="11"/>
                <w:color w:val="auto"/>
              </w:rPr>
            </w:pPr>
          </w:p>
        </w:tc>
        <w:tc>
          <w:tcPr>
            <w:tcW w:w="860" w:type="dxa"/>
            <w:vAlign w:val="bottom"/>
          </w:tcPr>
          <w:p>
            <w:pPr>
              <w:spacing w:after="0"/>
              <w:rPr>
                <w:sz w:val="11"/>
                <w:szCs w:val="11"/>
                <w:color w:val="auto"/>
              </w:rPr>
            </w:pPr>
          </w:p>
        </w:tc>
        <w:tc>
          <w:tcPr>
            <w:tcW w:w="1080" w:type="dxa"/>
            <w:vAlign w:val="bottom"/>
          </w:tcPr>
          <w:p>
            <w:pPr>
              <w:spacing w:after="0"/>
              <w:rPr>
                <w:sz w:val="11"/>
                <w:szCs w:val="11"/>
                <w:color w:val="auto"/>
              </w:rPr>
            </w:pPr>
          </w:p>
        </w:tc>
        <w:tc>
          <w:tcPr>
            <w:tcW w:w="2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16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3"/>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RTSR</w:t>
            </w:r>
          </w:p>
        </w:tc>
        <w:tc>
          <w:tcPr>
            <w:tcW w:w="9480" w:type="dxa"/>
            <w:vAlign w:val="bottom"/>
            <w:gridSpan w:val="14"/>
          </w:tcPr>
          <w:p>
            <w:pPr>
              <w:ind w:left="80"/>
              <w:spacing w:after="0"/>
              <w:rPr>
                <w:sz w:val="20"/>
                <w:szCs w:val="20"/>
                <w:color w:val="auto"/>
              </w:rPr>
            </w:pPr>
            <w:r>
              <w:rPr>
                <w:rFonts w:ascii="Times New Roman" w:cs="Times New Roman" w:eastAsia="Times New Roman" w:hAnsi="Times New Roman"/>
                <w:sz w:val="10"/>
                <w:szCs w:val="10"/>
                <w:color w:val="0D0D0D"/>
              </w:rPr>
              <w:t>Estimated considering a combination of the dividend-adjusted Nokia share price compared with benchmark companies’ share prices at</w:t>
            </w:r>
          </w:p>
        </w:tc>
        <w:tc>
          <w:tcPr>
            <w:tcW w:w="0" w:type="dxa"/>
            <w:vAlign w:val="bottom"/>
          </w:tcPr>
          <w:p>
            <w:pPr>
              <w:spacing w:after="0"/>
              <w:rPr>
                <w:sz w:val="1"/>
                <w:szCs w:val="1"/>
                <w:color w:val="auto"/>
              </w:rPr>
            </w:pPr>
          </w:p>
        </w:tc>
      </w:tr>
      <w:tr>
        <w:trPr>
          <w:trHeight w:val="130"/>
        </w:trPr>
        <w:tc>
          <w:tcPr>
            <w:tcW w:w="500" w:type="dxa"/>
            <w:vAlign w:val="bottom"/>
          </w:tcPr>
          <w:p>
            <w:pPr>
              <w:spacing w:after="0"/>
              <w:rPr>
                <w:sz w:val="11"/>
                <w:szCs w:val="11"/>
                <w:color w:val="auto"/>
              </w:rPr>
            </w:pPr>
          </w:p>
        </w:tc>
        <w:tc>
          <w:tcPr>
            <w:tcW w:w="3980" w:type="dxa"/>
            <w:vAlign w:val="bottom"/>
            <w:gridSpan w:val="6"/>
          </w:tcPr>
          <w:p>
            <w:pPr>
              <w:ind w:left="80"/>
              <w:spacing w:after="0"/>
              <w:rPr>
                <w:sz w:val="20"/>
                <w:szCs w:val="20"/>
                <w:color w:val="auto"/>
              </w:rPr>
            </w:pPr>
            <w:r>
              <w:rPr>
                <w:rFonts w:ascii="Times New Roman" w:cs="Times New Roman" w:eastAsia="Times New Roman" w:hAnsi="Times New Roman"/>
                <w:sz w:val="10"/>
                <w:szCs w:val="10"/>
                <w:color w:val="0D0D0D"/>
              </w:rPr>
              <w:t>the end of the performance period of the plan and the target payout levels set for the plan.</w:t>
            </w:r>
          </w:p>
        </w:tc>
        <w:tc>
          <w:tcPr>
            <w:tcW w:w="4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16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3"/>
        </w:trPr>
        <w:tc>
          <w:tcPr>
            <w:tcW w:w="5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Restricted</w:t>
            </w:r>
          </w:p>
        </w:tc>
        <w:tc>
          <w:tcPr>
            <w:tcW w:w="5300" w:type="dxa"/>
            <w:vAlign w:val="bottom"/>
            <w:gridSpan w:val="11"/>
          </w:tcPr>
          <w:p>
            <w:pPr>
              <w:ind w:left="80"/>
              <w:spacing w:after="0"/>
              <w:rPr>
                <w:sz w:val="20"/>
                <w:szCs w:val="20"/>
                <w:color w:val="auto"/>
              </w:rPr>
            </w:pPr>
            <w:r>
              <w:rPr>
                <w:rFonts w:ascii="Times New Roman" w:cs="Times New Roman" w:eastAsia="Times New Roman" w:hAnsi="Times New Roman"/>
                <w:sz w:val="10"/>
                <w:szCs w:val="10"/>
                <w:color w:val="0D0D0D"/>
              </w:rPr>
              <w:t>Estimated using the grant date market price of the Nokia share less the present value of dividends expected to be paid during the</w:t>
            </w:r>
          </w:p>
        </w:tc>
        <w:tc>
          <w:tcPr>
            <w:tcW w:w="160" w:type="dxa"/>
            <w:vAlign w:val="bottom"/>
          </w:tcPr>
          <w:p>
            <w:pPr>
              <w:spacing w:after="0"/>
              <w:rPr>
                <w:sz w:val="13"/>
                <w:szCs w:val="13"/>
                <w:color w:val="auto"/>
              </w:rPr>
            </w:pPr>
          </w:p>
        </w:tc>
        <w:tc>
          <w:tcPr>
            <w:tcW w:w="800" w:type="dxa"/>
            <w:vAlign w:val="bottom"/>
          </w:tcPr>
          <w:p>
            <w:pPr>
              <w:spacing w:after="0"/>
              <w:rPr>
                <w:sz w:val="13"/>
                <w:szCs w:val="13"/>
                <w:color w:val="auto"/>
              </w:rPr>
            </w:pPr>
          </w:p>
        </w:tc>
        <w:tc>
          <w:tcPr>
            <w:tcW w:w="322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35"/>
        </w:trPr>
        <w:tc>
          <w:tcPr>
            <w:tcW w:w="5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Shares</w:t>
            </w:r>
          </w:p>
        </w:tc>
        <w:tc>
          <w:tcPr>
            <w:tcW w:w="14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10"/>
                <w:szCs w:val="10"/>
                <w:color w:val="0D0D0D"/>
              </w:rPr>
              <w:t>vesting period.</w:t>
            </w:r>
          </w:p>
        </w:tc>
        <w:tc>
          <w:tcPr>
            <w:tcW w:w="420" w:type="dxa"/>
            <w:vAlign w:val="bottom"/>
            <w:tcBorders>
              <w:bottom w:val="single" w:sz="8" w:color="005AFF"/>
            </w:tcBorders>
          </w:tcPr>
          <w:p>
            <w:pPr>
              <w:spacing w:after="0"/>
              <w:rPr>
                <w:sz w:val="11"/>
                <w:szCs w:val="11"/>
                <w:color w:val="auto"/>
              </w:rPr>
            </w:pPr>
          </w:p>
        </w:tc>
        <w:tc>
          <w:tcPr>
            <w:tcW w:w="1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1080" w:type="dxa"/>
            <w:vAlign w:val="bottom"/>
            <w:tcBorders>
              <w:bottom w:val="single" w:sz="8" w:color="005AFF"/>
            </w:tcBorders>
          </w:tcPr>
          <w:p>
            <w:pPr>
              <w:spacing w:after="0"/>
              <w:rPr>
                <w:sz w:val="11"/>
                <w:szCs w:val="11"/>
                <w:color w:val="auto"/>
              </w:rPr>
            </w:pPr>
          </w:p>
        </w:tc>
        <w:tc>
          <w:tcPr>
            <w:tcW w:w="20" w:type="dxa"/>
            <w:vAlign w:val="bottom"/>
            <w:tcBorders>
              <w:bottom w:val="single" w:sz="8" w:color="005AFF"/>
            </w:tcBorders>
          </w:tcPr>
          <w:p>
            <w:pPr>
              <w:spacing w:after="0"/>
              <w:rPr>
                <w:sz w:val="11"/>
                <w:szCs w:val="11"/>
                <w:color w:val="auto"/>
              </w:rPr>
            </w:pPr>
          </w:p>
        </w:tc>
        <w:tc>
          <w:tcPr>
            <w:tcW w:w="40" w:type="dxa"/>
            <w:vAlign w:val="bottom"/>
            <w:tcBorders>
              <w:bottom w:val="single" w:sz="8" w:color="005AFF"/>
            </w:tcBorders>
          </w:tcPr>
          <w:p>
            <w:pPr>
              <w:spacing w:after="0"/>
              <w:rPr>
                <w:sz w:val="11"/>
                <w:szCs w:val="11"/>
                <w:color w:val="auto"/>
              </w:rPr>
            </w:pPr>
          </w:p>
        </w:tc>
        <w:tc>
          <w:tcPr>
            <w:tcW w:w="60" w:type="dxa"/>
            <w:vAlign w:val="bottom"/>
            <w:tcBorders>
              <w:bottom w:val="single" w:sz="8" w:color="005AFF"/>
            </w:tcBorders>
          </w:tcPr>
          <w:p>
            <w:pPr>
              <w:spacing w:after="0"/>
              <w:rPr>
                <w:sz w:val="11"/>
                <w:szCs w:val="11"/>
                <w:color w:val="auto"/>
              </w:rPr>
            </w:pPr>
          </w:p>
        </w:tc>
        <w:tc>
          <w:tcPr>
            <w:tcW w:w="360" w:type="dxa"/>
            <w:vAlign w:val="bottom"/>
            <w:tcBorders>
              <w:bottom w:val="single" w:sz="8" w:color="005AFF"/>
            </w:tcBorders>
          </w:tcPr>
          <w:p>
            <w:pPr>
              <w:spacing w:after="0"/>
              <w:rPr>
                <w:sz w:val="11"/>
                <w:szCs w:val="11"/>
                <w:color w:val="auto"/>
              </w:rPr>
            </w:pPr>
          </w:p>
        </w:tc>
        <w:tc>
          <w:tcPr>
            <w:tcW w:w="6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tcPr>
          <w:p>
            <w:pPr>
              <w:spacing w:after="0"/>
              <w:rPr>
                <w:sz w:val="11"/>
                <w:szCs w:val="11"/>
                <w:color w:val="auto"/>
              </w:rPr>
            </w:pPr>
          </w:p>
        </w:tc>
        <w:tc>
          <w:tcPr>
            <w:tcW w:w="160" w:type="dxa"/>
            <w:vAlign w:val="bottom"/>
            <w:tcBorders>
              <w:bottom w:val="single" w:sz="8" w:color="005AFF"/>
            </w:tcBorders>
          </w:tcPr>
          <w:p>
            <w:pPr>
              <w:spacing w:after="0"/>
              <w:rPr>
                <w:sz w:val="11"/>
                <w:szCs w:val="11"/>
                <w:color w:val="auto"/>
              </w:rPr>
            </w:pPr>
          </w:p>
        </w:tc>
        <w:tc>
          <w:tcPr>
            <w:tcW w:w="800" w:type="dxa"/>
            <w:vAlign w:val="bottom"/>
            <w:tcBorders>
              <w:bottom w:val="single" w:sz="8" w:color="005AFF"/>
            </w:tcBorders>
          </w:tcPr>
          <w:p>
            <w:pPr>
              <w:spacing w:after="0"/>
              <w:rPr>
                <w:sz w:val="11"/>
                <w:szCs w:val="11"/>
                <w:color w:val="auto"/>
              </w:rPr>
            </w:pPr>
          </w:p>
        </w:tc>
        <w:tc>
          <w:tcPr>
            <w:tcW w:w="3220" w:type="dxa"/>
            <w:vAlign w:val="bottom"/>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sectPr>
      </w:pPr>
    </w:p>
    <w:bookmarkStart w:id="172" w:name="page173"/>
    <w:bookmarkEnd w:id="172"/>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165</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09"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3.4. Pensions and other post-employment benefits</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40"/>
        <w:spacing w:after="0" w:line="264" w:lineRule="auto"/>
        <w:rPr>
          <w:sz w:val="20"/>
          <w:szCs w:val="20"/>
          <w:color w:val="auto"/>
        </w:rPr>
      </w:pPr>
      <w:r>
        <w:rPr>
          <w:rFonts w:ascii="Times New Roman" w:cs="Times New Roman" w:eastAsia="Times New Roman" w:hAnsi="Times New Roman"/>
          <w:sz w:val="11"/>
          <w:szCs w:val="11"/>
          <w:color w:val="auto"/>
        </w:rPr>
        <w:t>Nokia has various post-employment plans in accordance with the local conditions and practices in the countries in which it operates. Nokia’s defined benefit plans comprise pension schemes as well as other benefit plans providing post-employment healthcare and life insurance coverage to certain employee groups. Defined benefit plans expose Nokia to various risks such as investment risk, interest rate risk, life expectancy risk, and regulatory/ compliance risk. The characteristics and extent of these risks vary depending on the legal, fiscal and economic requirements in each country, as well as the impact of global events. The plans are generally funded through payments to insurance companies or contributions to trustee-administered funds as determined by periodic actuarial calculations.</w:t>
      </w:r>
    </w:p>
    <w:p>
      <w:pPr>
        <w:spacing w:after="0" w:line="62" w:lineRule="exact"/>
        <w:rPr>
          <w:sz w:val="20"/>
          <w:szCs w:val="20"/>
          <w:color w:val="auto"/>
        </w:rPr>
      </w:pPr>
    </w:p>
    <w:p>
      <w:pPr>
        <w:ind w:left="160" w:right="140"/>
        <w:spacing w:after="0" w:line="269" w:lineRule="auto"/>
        <w:rPr>
          <w:sz w:val="20"/>
          <w:szCs w:val="20"/>
          <w:color w:val="auto"/>
        </w:rPr>
      </w:pPr>
      <w:r>
        <w:rPr>
          <w:rFonts w:ascii="Times New Roman" w:cs="Times New Roman" w:eastAsia="Times New Roman" w:hAnsi="Times New Roman"/>
          <w:sz w:val="11"/>
          <w:szCs w:val="11"/>
          <w:color w:val="auto"/>
        </w:rPr>
        <w:t>The costs of defined benefit plans are assessed using the projected unit credit method. The defined benefit obligation is measured as the present value of the estimated future cash outflows using interest rates on high-quality corporate bonds or government bonds with maturities most closely matching expected payouts of benefits. The plan assets are measured at fair value at the reporting date. The liability or asset recognized in the statement of financial position is the present value of the defined benefit obligation at the reporting date less the fair value of plan assets adjusted for effects of any asset ceiling.</w:t>
      </w:r>
    </w:p>
    <w:p>
      <w:pPr>
        <w:spacing w:after="0" w:line="49" w:lineRule="exact"/>
        <w:rPr>
          <w:sz w:val="20"/>
          <w:szCs w:val="20"/>
          <w:color w:val="auto"/>
        </w:rPr>
      </w:pPr>
    </w:p>
    <w:p>
      <w:pPr>
        <w:ind w:left="160" w:right="160"/>
        <w:spacing w:after="0" w:line="262" w:lineRule="auto"/>
        <w:rPr>
          <w:sz w:val="20"/>
          <w:szCs w:val="20"/>
          <w:color w:val="auto"/>
        </w:rPr>
      </w:pPr>
      <w:r>
        <w:rPr>
          <w:rFonts w:ascii="Times New Roman" w:cs="Times New Roman" w:eastAsia="Times New Roman" w:hAnsi="Times New Roman"/>
          <w:sz w:val="11"/>
          <w:szCs w:val="11"/>
          <w:color w:val="auto"/>
        </w:rPr>
        <w:t>Actuarial valuations for defined benefit plans are performed annually or when a material plan amendment, curtailment or settlement occurs. Service cost related to employees’ service in the current period and past service cost resulting from plan amendments and curtailments, as well as gains and losses on settlements, are presented in cost of sales, research and development expenses or selling, general and administrative expenses. Net interest as well as pension plan administration costs not considered in determining the return on plan assets, are presented in financial income and expenses. Remeasurements, comprising actuarial gains and losses, the effect of the asset ceiling and the return</w:t>
      </w:r>
    </w:p>
    <w:p>
      <w:pPr>
        <w:spacing w:after="0" w:line="4" w:lineRule="exact"/>
        <w:rPr>
          <w:sz w:val="20"/>
          <w:szCs w:val="20"/>
          <w:color w:val="auto"/>
        </w:rPr>
      </w:pPr>
    </w:p>
    <w:p>
      <w:pPr>
        <w:ind w:left="160" w:right="20"/>
        <w:spacing w:after="0" w:line="273" w:lineRule="auto"/>
        <w:rPr>
          <w:sz w:val="20"/>
          <w:szCs w:val="20"/>
          <w:color w:val="auto"/>
        </w:rPr>
      </w:pPr>
      <w:r>
        <w:rPr>
          <w:rFonts w:ascii="Times New Roman" w:cs="Times New Roman" w:eastAsia="Times New Roman" w:hAnsi="Times New Roman"/>
          <w:sz w:val="11"/>
          <w:szCs w:val="11"/>
          <w:color w:val="auto"/>
        </w:rPr>
        <w:t>on plan assets, excluding amounts recognized in net interest, are recognized in other comprehensive income . Remeasurements are not reclassified to profit or loss in subsequent periods.</w:t>
      </w:r>
    </w:p>
    <w:p>
      <w:pPr>
        <w:spacing w:after="0" w:line="57" w:lineRule="exact"/>
        <w:rPr>
          <w:sz w:val="20"/>
          <w:szCs w:val="20"/>
          <w:color w:val="auto"/>
        </w:rPr>
      </w:pPr>
    </w:p>
    <w:p>
      <w:pPr>
        <w:ind w:left="160" w:right="240"/>
        <w:spacing w:after="0" w:line="265" w:lineRule="auto"/>
        <w:rPr>
          <w:sz w:val="20"/>
          <w:szCs w:val="20"/>
          <w:color w:val="auto"/>
        </w:rPr>
      </w:pPr>
      <w:r>
        <w:rPr>
          <w:rFonts w:ascii="Times New Roman" w:cs="Times New Roman" w:eastAsia="Times New Roman" w:hAnsi="Times New Roman"/>
          <w:sz w:val="11"/>
          <w:szCs w:val="11"/>
          <w:color w:val="auto"/>
        </w:rPr>
        <w:t>In a defined contribution plan, Nokia’s legal or constructive obligation is limited to the amount that it agrees to contribute to the fund. Nokia’s contributions to defined contribution plans, multi-employer and insured plans are recognized in the income statement in the period to which the contributions relate. If a pension plan is funded through an insurance contract where Nokia does not retain any legal or constructive obligations, the plan is treated as a defined contribution plan. All arrangements that do not fulfill these conditions are considered defined benefit plans.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Defined benefit plans</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448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Nokia’s most significant defined benefit plans are in the United States, Germany, and the</w:t>
            </w:r>
          </w:p>
        </w:tc>
        <w:tc>
          <w:tcPr>
            <w:tcW w:w="480" w:type="dxa"/>
            <w:vAlign w:val="bottom"/>
          </w:tcPr>
          <w:p>
            <w:pPr>
              <w:spacing w:after="0"/>
              <w:rPr>
                <w:sz w:val="11"/>
                <w:szCs w:val="11"/>
                <w:color w:val="auto"/>
              </w:rPr>
            </w:pPr>
          </w:p>
        </w:tc>
      </w:tr>
      <w:tr>
        <w:trPr>
          <w:trHeight w:val="142"/>
        </w:trPr>
        <w:tc>
          <w:tcPr>
            <w:tcW w:w="2160" w:type="dxa"/>
            <w:vAlign w:val="bottom"/>
          </w:tcPr>
          <w:p>
            <w:pPr>
              <w:spacing w:after="0"/>
              <w:rPr>
                <w:sz w:val="20"/>
                <w:szCs w:val="20"/>
                <w:color w:val="auto"/>
              </w:rPr>
            </w:pPr>
            <w:r>
              <w:rPr>
                <w:rFonts w:ascii="Times New Roman" w:cs="Times New Roman" w:eastAsia="Times New Roman" w:hAnsi="Times New Roman"/>
                <w:sz w:val="11"/>
                <w:szCs w:val="11"/>
                <w:color w:val="auto"/>
              </w:rPr>
              <w:t>United Kingdom. Together, they account for</w:t>
            </w:r>
          </w:p>
        </w:tc>
        <w:tc>
          <w:tcPr>
            <w:tcW w:w="2320" w:type="dxa"/>
            <w:vAlign w:val="bottom"/>
            <w:gridSpan w:val="6"/>
          </w:tcPr>
          <w:p>
            <w:pPr>
              <w:ind w:left="120"/>
              <w:spacing w:after="0"/>
              <w:rPr>
                <w:sz w:val="20"/>
                <w:szCs w:val="20"/>
                <w:color w:val="auto"/>
              </w:rPr>
            </w:pPr>
            <w:r>
              <w:rPr>
                <w:rFonts w:ascii="Times New Roman" w:cs="Times New Roman" w:eastAsia="Times New Roman" w:hAnsi="Times New Roman"/>
                <w:sz w:val="11"/>
                <w:szCs w:val="11"/>
                <w:color w:val="auto"/>
              </w:rPr>
              <w:t>93% of Nokia’s total defined benefit obligation</w:t>
            </w:r>
          </w:p>
        </w:tc>
        <w:tc>
          <w:tcPr>
            <w:tcW w:w="480" w:type="dxa"/>
            <w:vAlign w:val="bottom"/>
          </w:tcPr>
          <w:p>
            <w:pPr>
              <w:spacing w:after="0"/>
              <w:rPr>
                <w:sz w:val="12"/>
                <w:szCs w:val="12"/>
                <w:color w:val="auto"/>
              </w:rPr>
            </w:pPr>
          </w:p>
        </w:tc>
      </w:tr>
      <w:tr>
        <w:trPr>
          <w:trHeight w:val="148"/>
        </w:trPr>
        <w:tc>
          <w:tcPr>
            <w:tcW w:w="32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(91% in 2022 ) and 91% of Nokia’s total fair value of plan assets (</w:t>
            </w:r>
          </w:p>
        </w:tc>
        <w:tc>
          <w:tcPr>
            <w:tcW w:w="1260" w:type="dxa"/>
            <w:vAlign w:val="bottom"/>
            <w:gridSpan w:val="4"/>
          </w:tcPr>
          <w:p>
            <w:pPr>
              <w:ind w:left="80"/>
              <w:spacing w:after="0"/>
              <w:rPr>
                <w:sz w:val="20"/>
                <w:szCs w:val="20"/>
                <w:color w:val="auto"/>
              </w:rPr>
            </w:pPr>
            <w:r>
              <w:rPr>
                <w:rFonts w:ascii="Times New Roman" w:cs="Times New Roman" w:eastAsia="Times New Roman" w:hAnsi="Times New Roman"/>
                <w:sz w:val="11"/>
                <w:szCs w:val="11"/>
                <w:color w:val="auto"/>
              </w:rPr>
              <w:t>90% in 2022 ).</w:t>
            </w:r>
          </w:p>
        </w:tc>
        <w:tc>
          <w:tcPr>
            <w:tcW w:w="480" w:type="dxa"/>
            <w:vAlign w:val="bottom"/>
          </w:tcPr>
          <w:p>
            <w:pPr>
              <w:spacing w:after="0"/>
              <w:rPr>
                <w:sz w:val="12"/>
                <w:szCs w:val="12"/>
                <w:color w:val="auto"/>
              </w:rPr>
            </w:pPr>
          </w:p>
        </w:tc>
      </w:tr>
      <w:tr>
        <w:trPr>
          <w:trHeight w:val="222"/>
        </w:trPr>
        <w:tc>
          <w:tcPr>
            <w:tcW w:w="322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Summary of defined benefit balances at 31 December</w:t>
            </w:r>
          </w:p>
        </w:tc>
        <w:tc>
          <w:tcPr>
            <w:tcW w:w="560" w:type="dxa"/>
            <w:vAlign w:val="bottom"/>
          </w:tcPr>
          <w:p>
            <w:pPr>
              <w:spacing w:after="0"/>
              <w:rPr>
                <w:sz w:val="19"/>
                <w:szCs w:val="19"/>
                <w:color w:val="auto"/>
              </w:rPr>
            </w:pPr>
          </w:p>
        </w:tc>
        <w:tc>
          <w:tcPr>
            <w:tcW w:w="100" w:type="dxa"/>
            <w:vAlign w:val="bottom"/>
          </w:tcPr>
          <w:p>
            <w:pPr>
              <w:spacing w:after="0"/>
              <w:rPr>
                <w:sz w:val="19"/>
                <w:szCs w:val="19"/>
                <w:color w:val="auto"/>
              </w:rPr>
            </w:pPr>
          </w:p>
        </w:tc>
        <w:tc>
          <w:tcPr>
            <w:tcW w:w="540" w:type="dxa"/>
            <w:vAlign w:val="bottom"/>
          </w:tcPr>
          <w:p>
            <w:pPr>
              <w:spacing w:after="0"/>
              <w:rPr>
                <w:sz w:val="19"/>
                <w:szCs w:val="19"/>
                <w:color w:val="auto"/>
              </w:rPr>
            </w:pPr>
          </w:p>
        </w:tc>
        <w:tc>
          <w:tcPr>
            <w:tcW w:w="60" w:type="dxa"/>
            <w:vAlign w:val="bottom"/>
          </w:tcPr>
          <w:p>
            <w:pPr>
              <w:spacing w:after="0"/>
              <w:rPr>
                <w:sz w:val="19"/>
                <w:szCs w:val="19"/>
                <w:color w:val="auto"/>
              </w:rPr>
            </w:pPr>
          </w:p>
        </w:tc>
        <w:tc>
          <w:tcPr>
            <w:tcW w:w="480" w:type="dxa"/>
            <w:vAlign w:val="bottom"/>
          </w:tcPr>
          <w:p>
            <w:pPr>
              <w:spacing w:after="0"/>
              <w:rPr>
                <w:sz w:val="19"/>
                <w:szCs w:val="19"/>
                <w:color w:val="auto"/>
              </w:rPr>
            </w:pPr>
          </w:p>
        </w:tc>
      </w:tr>
      <w:tr>
        <w:trPr>
          <w:trHeight w:val="208"/>
        </w:trPr>
        <w:tc>
          <w:tcPr>
            <w:tcW w:w="2160" w:type="dxa"/>
            <w:vAlign w:val="bottom"/>
          </w:tcPr>
          <w:p>
            <w:pPr>
              <w:spacing w:after="0"/>
              <w:rPr>
                <w:sz w:val="18"/>
                <w:szCs w:val="18"/>
                <w:color w:val="auto"/>
              </w:rPr>
            </w:pPr>
          </w:p>
        </w:tc>
        <w:tc>
          <w:tcPr>
            <w:tcW w:w="520" w:type="dxa"/>
            <w:vAlign w:val="bottom"/>
          </w:tcPr>
          <w:p>
            <w:pPr>
              <w:spacing w:after="0"/>
              <w:rPr>
                <w:sz w:val="18"/>
                <w:szCs w:val="18"/>
                <w:color w:val="auto"/>
              </w:rPr>
            </w:pPr>
          </w:p>
        </w:tc>
        <w:tc>
          <w:tcPr>
            <w:tcW w:w="54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Defined</w:t>
            </w:r>
          </w:p>
        </w:tc>
        <w:tc>
          <w:tcPr>
            <w:tcW w:w="560" w:type="dxa"/>
            <w:vAlign w:val="bottom"/>
          </w:tcPr>
          <w:p>
            <w:pPr>
              <w:spacing w:after="0"/>
              <w:rPr>
                <w:sz w:val="18"/>
                <w:szCs w:val="18"/>
                <w:color w:val="auto"/>
              </w:rPr>
            </w:pPr>
          </w:p>
        </w:tc>
        <w:tc>
          <w:tcPr>
            <w:tcW w:w="100" w:type="dxa"/>
            <w:vAlign w:val="bottom"/>
          </w:tcPr>
          <w:p>
            <w:pPr>
              <w:spacing w:after="0"/>
              <w:rPr>
                <w:sz w:val="18"/>
                <w:szCs w:val="18"/>
                <w:color w:val="auto"/>
              </w:rPr>
            </w:pPr>
          </w:p>
        </w:tc>
        <w:tc>
          <w:tcPr>
            <w:tcW w:w="540" w:type="dxa"/>
            <w:vAlign w:val="bottom"/>
          </w:tcPr>
          <w:p>
            <w:pPr>
              <w:spacing w:after="0"/>
              <w:rPr>
                <w:sz w:val="18"/>
                <w:szCs w:val="18"/>
                <w:color w:val="auto"/>
              </w:rPr>
            </w:pPr>
          </w:p>
        </w:tc>
        <w:tc>
          <w:tcPr>
            <w:tcW w:w="60" w:type="dxa"/>
            <w:vAlign w:val="bottom"/>
          </w:tcPr>
          <w:p>
            <w:pPr>
              <w:spacing w:after="0"/>
              <w:rPr>
                <w:sz w:val="18"/>
                <w:szCs w:val="18"/>
                <w:color w:val="auto"/>
              </w:rPr>
            </w:pPr>
          </w:p>
        </w:tc>
        <w:tc>
          <w:tcPr>
            <w:tcW w:w="48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w w:val="96"/>
              </w:rPr>
              <w:t>Net defined</w:t>
            </w:r>
          </w:p>
        </w:tc>
      </w:tr>
      <w:tr>
        <w:trPr>
          <w:trHeight w:val="91"/>
        </w:trPr>
        <w:tc>
          <w:tcPr>
            <w:tcW w:w="2160" w:type="dxa"/>
            <w:vAlign w:val="bottom"/>
          </w:tcPr>
          <w:p>
            <w:pPr>
              <w:spacing w:after="0"/>
              <w:rPr>
                <w:sz w:val="7"/>
                <w:szCs w:val="7"/>
                <w:color w:val="auto"/>
              </w:rPr>
            </w:pPr>
          </w:p>
        </w:tc>
        <w:tc>
          <w:tcPr>
            <w:tcW w:w="520" w:type="dxa"/>
            <w:vAlign w:val="bottom"/>
          </w:tcPr>
          <w:p>
            <w:pPr>
              <w:spacing w:after="0"/>
              <w:rPr>
                <w:sz w:val="7"/>
                <w:szCs w:val="7"/>
                <w:color w:val="auto"/>
              </w:rPr>
            </w:pPr>
          </w:p>
        </w:tc>
        <w:tc>
          <w:tcPr>
            <w:tcW w:w="54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benefit</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Fair value of</w:t>
            </w:r>
          </w:p>
        </w:tc>
        <w:tc>
          <w:tcPr>
            <w:tcW w:w="100" w:type="dxa"/>
            <w:vAlign w:val="bottom"/>
          </w:tcPr>
          <w:p>
            <w:pPr>
              <w:spacing w:after="0"/>
              <w:rPr>
                <w:sz w:val="7"/>
                <w:szCs w:val="7"/>
                <w:color w:val="auto"/>
              </w:rPr>
            </w:pPr>
          </w:p>
        </w:tc>
        <w:tc>
          <w:tcPr>
            <w:tcW w:w="600" w:type="dxa"/>
            <w:vAlign w:val="bottom"/>
            <w:gridSpan w:val="2"/>
          </w:tcPr>
          <w:p>
            <w:pPr>
              <w:ind w:left="100"/>
              <w:spacing w:after="0"/>
              <w:rPr>
                <w:sz w:val="20"/>
                <w:szCs w:val="20"/>
                <w:color w:val="auto"/>
              </w:rPr>
            </w:pPr>
            <w:r>
              <w:rPr>
                <w:rFonts w:ascii="Times New Roman" w:cs="Times New Roman" w:eastAsia="Times New Roman" w:hAnsi="Times New Roman"/>
                <w:sz w:val="8"/>
                <w:szCs w:val="8"/>
                <w:b w:val="1"/>
                <w:bCs w:val="1"/>
                <w:color w:val="005AFF"/>
              </w:rPr>
              <w:t>Effects of</w:t>
            </w:r>
          </w:p>
        </w:tc>
        <w:tc>
          <w:tcPr>
            <w:tcW w:w="48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benefit</w:t>
            </w:r>
          </w:p>
        </w:tc>
      </w:tr>
      <w:tr>
        <w:trPr>
          <w:trHeight w:val="114"/>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obligation</w:t>
            </w:r>
          </w:p>
        </w:tc>
        <w:tc>
          <w:tcPr>
            <w:tcW w:w="56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plan assets</w:t>
            </w:r>
          </w:p>
        </w:tc>
        <w:tc>
          <w:tcPr>
            <w:tcW w:w="100" w:type="dxa"/>
            <w:vAlign w:val="bottom"/>
            <w:tcBorders>
              <w:bottom w:val="single" w:sz="8" w:color="005AFF"/>
            </w:tcBorders>
          </w:tcPr>
          <w:p>
            <w:pPr>
              <w:spacing w:after="0"/>
              <w:rPr>
                <w:sz w:val="9"/>
                <w:szCs w:val="9"/>
                <w:color w:val="auto"/>
              </w:rPr>
            </w:pPr>
          </w:p>
        </w:tc>
        <w:tc>
          <w:tcPr>
            <w:tcW w:w="600" w:type="dxa"/>
            <w:vAlign w:val="bottom"/>
            <w:tcBorders>
              <w:bottom w:val="single" w:sz="8" w:color="005AFF"/>
            </w:tcBorders>
            <w:gridSpan w:val="2"/>
          </w:tcPr>
          <w:p>
            <w:pPr>
              <w:spacing w:after="0"/>
              <w:rPr>
                <w:sz w:val="20"/>
                <w:szCs w:val="20"/>
                <w:color w:val="auto"/>
              </w:rPr>
            </w:pPr>
            <w:r>
              <w:rPr>
                <w:rFonts w:ascii="Times New Roman" w:cs="Times New Roman" w:eastAsia="Times New Roman" w:hAnsi="Times New Roman"/>
                <w:sz w:val="8"/>
                <w:szCs w:val="8"/>
                <w:b w:val="1"/>
                <w:bCs w:val="1"/>
                <w:color w:val="005AFF"/>
              </w:rPr>
              <w:t>asset ceiling</w:t>
            </w:r>
          </w:p>
        </w:tc>
        <w:tc>
          <w:tcPr>
            <w:tcW w:w="4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balance</w:t>
            </w:r>
          </w:p>
        </w:tc>
      </w:tr>
      <w:tr>
        <w:trPr>
          <w:trHeight w:val="140"/>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520" w:type="dxa"/>
            <w:vAlign w:val="bottom"/>
          </w:tcPr>
          <w:p>
            <w:pPr>
              <w:spacing w:after="0"/>
              <w:rPr>
                <w:sz w:val="12"/>
                <w:szCs w:val="12"/>
                <w:color w:val="auto"/>
              </w:rPr>
            </w:pPr>
          </w:p>
        </w:tc>
        <w:tc>
          <w:tcPr>
            <w:tcW w:w="540" w:type="dxa"/>
            <w:vAlign w:val="bottom"/>
            <w:shd w:val="clear" w:color="auto" w:fill="F0F5FF"/>
          </w:tcPr>
          <w:p>
            <w:pPr>
              <w:spacing w:after="0"/>
              <w:rPr>
                <w:sz w:val="12"/>
                <w:szCs w:val="12"/>
                <w:color w:val="auto"/>
              </w:rPr>
            </w:pPr>
          </w:p>
        </w:tc>
        <w:tc>
          <w:tcPr>
            <w:tcW w:w="560" w:type="dxa"/>
            <w:vAlign w:val="bottom"/>
            <w:shd w:val="clear" w:color="auto" w:fill="F0F5FF"/>
          </w:tcPr>
          <w:p>
            <w:pPr>
              <w:spacing w:after="0"/>
              <w:rPr>
                <w:sz w:val="12"/>
                <w:szCs w:val="12"/>
                <w:color w:val="auto"/>
              </w:rPr>
            </w:pPr>
          </w:p>
        </w:tc>
        <w:tc>
          <w:tcPr>
            <w:tcW w:w="100" w:type="dxa"/>
            <w:vAlign w:val="bottom"/>
            <w:shd w:val="clear" w:color="auto" w:fill="F0F5FF"/>
          </w:tcPr>
          <w:p>
            <w:pPr>
              <w:spacing w:after="0"/>
              <w:rPr>
                <w:sz w:val="12"/>
                <w:szCs w:val="12"/>
                <w:color w:val="auto"/>
              </w:rPr>
            </w:pPr>
          </w:p>
        </w:tc>
        <w:tc>
          <w:tcPr>
            <w:tcW w:w="540" w:type="dxa"/>
            <w:vAlign w:val="bottom"/>
            <w:shd w:val="clear" w:color="auto" w:fill="F0F5FF"/>
          </w:tcPr>
          <w:p>
            <w:pPr>
              <w:spacing w:after="0"/>
              <w:rPr>
                <w:sz w:val="12"/>
                <w:szCs w:val="12"/>
                <w:color w:val="auto"/>
              </w:rPr>
            </w:pPr>
          </w:p>
        </w:tc>
        <w:tc>
          <w:tcPr>
            <w:tcW w:w="60" w:type="dxa"/>
            <w:vAlign w:val="bottom"/>
            <w:shd w:val="clear" w:color="auto" w:fill="F0F5FF"/>
          </w:tcPr>
          <w:p>
            <w:pPr>
              <w:spacing w:after="0"/>
              <w:rPr>
                <w:sz w:val="12"/>
                <w:szCs w:val="12"/>
                <w:color w:val="auto"/>
              </w:rPr>
            </w:pPr>
          </w:p>
        </w:tc>
        <w:tc>
          <w:tcPr>
            <w:tcW w:w="480" w:type="dxa"/>
            <w:vAlign w:val="bottom"/>
            <w:shd w:val="clear" w:color="auto" w:fill="F0F5FF"/>
          </w:tcPr>
          <w:p>
            <w:pPr>
              <w:spacing w:after="0"/>
              <w:rPr>
                <w:sz w:val="12"/>
                <w:szCs w:val="12"/>
                <w:color w:val="auto"/>
              </w:rPr>
            </w:pP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 Pension</w:t>
            </w:r>
          </w:p>
        </w:tc>
        <w:tc>
          <w:tcPr>
            <w:tcW w:w="520" w:type="dxa"/>
            <w:vAlign w:val="bottom"/>
          </w:tcPr>
          <w:p>
            <w:pPr>
              <w:spacing w:after="0"/>
              <w:rPr>
                <w:sz w:val="14"/>
                <w:szCs w:val="14"/>
                <w:color w:val="auto"/>
              </w:rPr>
            </w:pPr>
          </w:p>
        </w:tc>
        <w:tc>
          <w:tcPr>
            <w:tcW w:w="54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(11 325)</w:t>
            </w:r>
          </w:p>
        </w:tc>
        <w:tc>
          <w:tcPr>
            <w:tcW w:w="56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16 285</w:t>
            </w:r>
          </w:p>
        </w:tc>
        <w:tc>
          <w:tcPr>
            <w:tcW w:w="100" w:type="dxa"/>
            <w:vAlign w:val="bottom"/>
            <w:shd w:val="clear" w:color="auto" w:fill="F0F5FF"/>
          </w:tcPr>
          <w:p>
            <w:pPr>
              <w:spacing w:after="0"/>
              <w:rPr>
                <w:sz w:val="14"/>
                <w:szCs w:val="14"/>
                <w:color w:val="auto"/>
              </w:rPr>
            </w:pPr>
          </w:p>
        </w:tc>
        <w:tc>
          <w:tcPr>
            <w:tcW w:w="600" w:type="dxa"/>
            <w:vAlign w:val="bottom"/>
            <w:gridSpan w:val="2"/>
            <w:shd w:val="clear" w:color="auto" w:fill="F0F5FF"/>
          </w:tcPr>
          <w:p>
            <w:pPr>
              <w:jc w:val="right"/>
              <w:ind w:right="120"/>
              <w:spacing w:after="0"/>
              <w:rPr>
                <w:sz w:val="20"/>
                <w:szCs w:val="20"/>
                <w:color w:val="auto"/>
              </w:rPr>
            </w:pPr>
            <w:r>
              <w:rPr>
                <w:rFonts w:ascii="Times New Roman" w:cs="Times New Roman" w:eastAsia="Times New Roman" w:hAnsi="Times New Roman"/>
                <w:sz w:val="10"/>
                <w:szCs w:val="10"/>
                <w:color w:val="005AFF"/>
              </w:rPr>
              <w:t>—</w:t>
            </w:r>
          </w:p>
        </w:tc>
        <w:tc>
          <w:tcPr>
            <w:tcW w:w="4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4 960</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 OPEB</w:t>
            </w:r>
          </w:p>
        </w:tc>
        <w:tc>
          <w:tcPr>
            <w:tcW w:w="520" w:type="dxa"/>
            <w:vAlign w:val="bottom"/>
          </w:tcPr>
          <w:p>
            <w:pPr>
              <w:spacing w:after="0"/>
              <w:rPr>
                <w:sz w:val="14"/>
                <w:szCs w:val="14"/>
                <w:color w:val="auto"/>
              </w:rPr>
            </w:pPr>
          </w:p>
        </w:tc>
        <w:tc>
          <w:tcPr>
            <w:tcW w:w="54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(1 471)</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675</w:t>
            </w:r>
          </w:p>
        </w:tc>
        <w:tc>
          <w:tcPr>
            <w:tcW w:w="100" w:type="dxa"/>
            <w:vAlign w:val="bottom"/>
            <w:shd w:val="clear" w:color="auto" w:fill="F0F5FF"/>
          </w:tcPr>
          <w:p>
            <w:pPr>
              <w:spacing w:after="0"/>
              <w:rPr>
                <w:sz w:val="14"/>
                <w:szCs w:val="14"/>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w:t>
            </w:r>
          </w:p>
        </w:tc>
        <w:tc>
          <w:tcPr>
            <w:tcW w:w="60" w:type="dxa"/>
            <w:vAlign w:val="bottom"/>
            <w:shd w:val="clear" w:color="auto" w:fill="F0F5FF"/>
          </w:tcPr>
          <w:p>
            <w:pPr>
              <w:spacing w:after="0"/>
              <w:rPr>
                <w:sz w:val="14"/>
                <w:szCs w:val="14"/>
                <w:color w:val="auto"/>
              </w:rPr>
            </w:pPr>
          </w:p>
        </w:tc>
        <w:tc>
          <w:tcPr>
            <w:tcW w:w="4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(796)</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Germany</w:t>
            </w:r>
          </w:p>
        </w:tc>
        <w:tc>
          <w:tcPr>
            <w:tcW w:w="520" w:type="dxa"/>
            <w:vAlign w:val="bottom"/>
          </w:tcPr>
          <w:p>
            <w:pPr>
              <w:spacing w:after="0"/>
              <w:rPr>
                <w:sz w:val="14"/>
                <w:szCs w:val="14"/>
                <w:color w:val="auto"/>
              </w:rPr>
            </w:pPr>
          </w:p>
        </w:tc>
        <w:tc>
          <w:tcPr>
            <w:tcW w:w="54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(2 037)</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1 199</w:t>
            </w:r>
          </w:p>
        </w:tc>
        <w:tc>
          <w:tcPr>
            <w:tcW w:w="100" w:type="dxa"/>
            <w:vAlign w:val="bottom"/>
            <w:shd w:val="clear" w:color="auto" w:fill="F0F5FF"/>
          </w:tcPr>
          <w:p>
            <w:pPr>
              <w:spacing w:after="0"/>
              <w:rPr>
                <w:sz w:val="14"/>
                <w:szCs w:val="14"/>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w:t>
            </w:r>
          </w:p>
        </w:tc>
        <w:tc>
          <w:tcPr>
            <w:tcW w:w="60" w:type="dxa"/>
            <w:vAlign w:val="bottom"/>
            <w:shd w:val="clear" w:color="auto" w:fill="F0F5FF"/>
          </w:tcPr>
          <w:p>
            <w:pPr>
              <w:spacing w:after="0"/>
              <w:rPr>
                <w:sz w:val="14"/>
                <w:szCs w:val="14"/>
                <w:color w:val="auto"/>
              </w:rPr>
            </w:pPr>
          </w:p>
        </w:tc>
        <w:tc>
          <w:tcPr>
            <w:tcW w:w="4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(838)</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Kingdom</w:t>
            </w:r>
          </w:p>
        </w:tc>
        <w:tc>
          <w:tcPr>
            <w:tcW w:w="52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(782)</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957</w:t>
            </w:r>
          </w:p>
        </w:tc>
        <w:tc>
          <w:tcPr>
            <w:tcW w:w="100" w:type="dxa"/>
            <w:vAlign w:val="bottom"/>
            <w:shd w:val="clear" w:color="auto" w:fill="F0F5FF"/>
          </w:tcPr>
          <w:p>
            <w:pPr>
              <w:spacing w:after="0"/>
              <w:rPr>
                <w:sz w:val="14"/>
                <w:szCs w:val="14"/>
                <w:color w:val="auto"/>
              </w:rPr>
            </w:pP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w:t>
            </w:r>
          </w:p>
        </w:tc>
        <w:tc>
          <w:tcPr>
            <w:tcW w:w="60" w:type="dxa"/>
            <w:vAlign w:val="bottom"/>
            <w:shd w:val="clear" w:color="auto" w:fill="F0F5FF"/>
          </w:tcPr>
          <w:p>
            <w:pPr>
              <w:spacing w:after="0"/>
              <w:rPr>
                <w:sz w:val="14"/>
                <w:szCs w:val="14"/>
                <w:color w:val="auto"/>
              </w:rPr>
            </w:pPr>
          </w:p>
        </w:tc>
        <w:tc>
          <w:tcPr>
            <w:tcW w:w="4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175</w:t>
            </w:r>
          </w:p>
        </w:tc>
      </w:tr>
      <w:tr>
        <w:trPr>
          <w:trHeight w:val="167"/>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2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(1 253)</w:t>
            </w:r>
          </w:p>
        </w:tc>
        <w:tc>
          <w:tcPr>
            <w:tcW w:w="56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1 798</w:t>
            </w:r>
          </w:p>
        </w:tc>
        <w:tc>
          <w:tcPr>
            <w:tcW w:w="640" w:type="dxa"/>
            <w:vAlign w:val="bottom"/>
            <w:tcBorders>
              <w:bottom w:val="single" w:sz="8" w:color="005AFF"/>
            </w:tcBorders>
            <w:gridSpan w:val="2"/>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(87)</w:t>
            </w:r>
          </w:p>
        </w:tc>
        <w:tc>
          <w:tcPr>
            <w:tcW w:w="60" w:type="dxa"/>
            <w:vAlign w:val="bottom"/>
            <w:tcBorders>
              <w:bottom w:val="single" w:sz="8" w:color="005AFF"/>
            </w:tcBorders>
            <w:shd w:val="clear" w:color="auto" w:fill="F0F5FF"/>
          </w:tcPr>
          <w:p>
            <w:pPr>
              <w:spacing w:after="0"/>
              <w:rPr>
                <w:sz w:val="14"/>
                <w:szCs w:val="14"/>
                <w:color w:val="auto"/>
              </w:rPr>
            </w:pPr>
          </w:p>
        </w:tc>
        <w:tc>
          <w:tcPr>
            <w:tcW w:w="4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458</w:t>
            </w:r>
          </w:p>
        </w:tc>
      </w:tr>
      <w:tr>
        <w:trPr>
          <w:trHeight w:val="142"/>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b w:val="1"/>
                <w:bCs w:val="1"/>
                <w:color w:val="005AFF"/>
              </w:rPr>
              <w:t>(16 868)</w:t>
            </w:r>
          </w:p>
        </w:tc>
        <w:tc>
          <w:tcPr>
            <w:tcW w:w="56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20 914</w:t>
            </w:r>
          </w:p>
        </w:tc>
        <w:tc>
          <w:tcPr>
            <w:tcW w:w="640" w:type="dxa"/>
            <w:vAlign w:val="bottom"/>
            <w:tcBorders>
              <w:bottom w:val="single" w:sz="8" w:color="005AFF"/>
            </w:tcBorders>
            <w:gridSpan w:val="2"/>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(87)</w:t>
            </w:r>
          </w:p>
        </w:tc>
        <w:tc>
          <w:tcPr>
            <w:tcW w:w="60" w:type="dxa"/>
            <w:vAlign w:val="bottom"/>
            <w:tcBorders>
              <w:bottom w:val="single" w:sz="8" w:color="005AFF"/>
            </w:tcBorders>
            <w:shd w:val="clear" w:color="auto" w:fill="F0F5FF"/>
          </w:tcPr>
          <w:p>
            <w:pPr>
              <w:spacing w:after="0"/>
              <w:rPr>
                <w:sz w:val="12"/>
                <w:szCs w:val="12"/>
                <w:color w:val="auto"/>
              </w:rPr>
            </w:pPr>
          </w:p>
        </w:tc>
        <w:tc>
          <w:tcPr>
            <w:tcW w:w="4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3 959</w:t>
            </w:r>
          </w:p>
        </w:tc>
      </w:tr>
      <w:tr>
        <w:trPr>
          <w:trHeight w:val="137"/>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52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10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6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 Pension</w:t>
            </w:r>
          </w:p>
        </w:tc>
        <w:tc>
          <w:tcPr>
            <w:tcW w:w="106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(12 340)</w:t>
            </w:r>
          </w:p>
        </w:tc>
        <w:tc>
          <w:tcPr>
            <w:tcW w:w="56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17 726</w:t>
            </w:r>
          </w:p>
        </w:tc>
        <w:tc>
          <w:tcPr>
            <w:tcW w:w="100" w:type="dxa"/>
            <w:vAlign w:val="bottom"/>
          </w:tcPr>
          <w:p>
            <w:pPr>
              <w:spacing w:after="0"/>
              <w:rPr>
                <w:sz w:val="14"/>
                <w:szCs w:val="14"/>
                <w:color w:val="auto"/>
              </w:rPr>
            </w:pPr>
          </w:p>
        </w:tc>
        <w:tc>
          <w:tcPr>
            <w:tcW w:w="600" w:type="dxa"/>
            <w:vAlign w:val="bottom"/>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5 386</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 OPEB</w:t>
            </w:r>
          </w:p>
        </w:tc>
        <w:tc>
          <w:tcPr>
            <w:tcW w:w="106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(1 615)</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637</w:t>
            </w:r>
          </w:p>
        </w:tc>
        <w:tc>
          <w:tcPr>
            <w:tcW w:w="100" w:type="dxa"/>
            <w:vAlign w:val="bottom"/>
          </w:tcPr>
          <w:p>
            <w:pPr>
              <w:spacing w:after="0"/>
              <w:rPr>
                <w:sz w:val="14"/>
                <w:szCs w:val="14"/>
                <w:color w:val="auto"/>
              </w:rPr>
            </w:pPr>
          </w:p>
        </w:tc>
        <w:tc>
          <w:tcPr>
            <w:tcW w:w="600" w:type="dxa"/>
            <w:vAlign w:val="bottom"/>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(978)</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Germany</w:t>
            </w:r>
          </w:p>
        </w:tc>
        <w:tc>
          <w:tcPr>
            <w:tcW w:w="106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(1 957)</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1 179</w:t>
            </w:r>
          </w:p>
        </w:tc>
        <w:tc>
          <w:tcPr>
            <w:tcW w:w="100" w:type="dxa"/>
            <w:vAlign w:val="bottom"/>
          </w:tcPr>
          <w:p>
            <w:pPr>
              <w:spacing w:after="0"/>
              <w:rPr>
                <w:sz w:val="14"/>
                <w:szCs w:val="14"/>
                <w:color w:val="auto"/>
              </w:rPr>
            </w:pPr>
          </w:p>
        </w:tc>
        <w:tc>
          <w:tcPr>
            <w:tcW w:w="600" w:type="dxa"/>
            <w:vAlign w:val="bottom"/>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(778)</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Kingdom</w:t>
            </w:r>
          </w:p>
        </w:tc>
        <w:tc>
          <w:tcPr>
            <w:tcW w:w="106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(730)</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942</w:t>
            </w:r>
          </w:p>
        </w:tc>
        <w:tc>
          <w:tcPr>
            <w:tcW w:w="100" w:type="dxa"/>
            <w:vAlign w:val="bottom"/>
          </w:tcPr>
          <w:p>
            <w:pPr>
              <w:spacing w:after="0"/>
              <w:rPr>
                <w:sz w:val="14"/>
                <w:szCs w:val="14"/>
                <w:color w:val="auto"/>
              </w:rPr>
            </w:pPr>
          </w:p>
        </w:tc>
        <w:tc>
          <w:tcPr>
            <w:tcW w:w="600" w:type="dxa"/>
            <w:vAlign w:val="bottom"/>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212</w:t>
            </w:r>
          </w:p>
        </w:tc>
      </w:tr>
      <w:tr>
        <w:trPr>
          <w:trHeight w:val="167"/>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1060" w:type="dxa"/>
            <w:vAlign w:val="bottom"/>
            <w:tcBorders>
              <w:bottom w:val="single" w:sz="8" w:color="005AFF"/>
            </w:tcBorders>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(1 670)</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2 207</w:t>
            </w:r>
          </w:p>
        </w:tc>
        <w:tc>
          <w:tcPr>
            <w:tcW w:w="640" w:type="dxa"/>
            <w:vAlign w:val="bottom"/>
            <w:tcBorders>
              <w:bottom w:val="single" w:sz="8" w:color="005AFF"/>
            </w:tcBorders>
            <w:gridSpan w:val="2"/>
          </w:tcPr>
          <w:p>
            <w:pPr>
              <w:jc w:val="right"/>
              <w:ind w:right="11"/>
              <w:spacing w:after="0"/>
              <w:rPr>
                <w:sz w:val="20"/>
                <w:szCs w:val="20"/>
                <w:color w:val="auto"/>
              </w:rPr>
            </w:pPr>
            <w:r>
              <w:rPr>
                <w:rFonts w:ascii="Times New Roman" w:cs="Times New Roman" w:eastAsia="Times New Roman" w:hAnsi="Times New Roman"/>
                <w:sz w:val="10"/>
                <w:szCs w:val="10"/>
                <w:color w:val="0D0D0D"/>
              </w:rPr>
              <w:t>(84)</w:t>
            </w:r>
          </w:p>
        </w:tc>
        <w:tc>
          <w:tcPr>
            <w:tcW w:w="6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453</w:t>
            </w:r>
          </w:p>
        </w:tc>
      </w:tr>
      <w:tr>
        <w:trPr>
          <w:trHeight w:val="142"/>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060" w:type="dxa"/>
            <w:vAlign w:val="bottom"/>
            <w:tcBorders>
              <w:bottom w:val="single" w:sz="8" w:color="005AFF"/>
            </w:tcBorders>
            <w:gridSpan w:val="2"/>
          </w:tcPr>
          <w:p>
            <w:pPr>
              <w:jc w:val="right"/>
              <w:ind w:right="13"/>
              <w:spacing w:after="0"/>
              <w:rPr>
                <w:sz w:val="20"/>
                <w:szCs w:val="20"/>
                <w:color w:val="auto"/>
              </w:rPr>
            </w:pPr>
            <w:r>
              <w:rPr>
                <w:rFonts w:ascii="Times New Roman" w:cs="Times New Roman" w:eastAsia="Times New Roman" w:hAnsi="Times New Roman"/>
                <w:sz w:val="10"/>
                <w:szCs w:val="10"/>
                <w:b w:val="1"/>
                <w:bCs w:val="1"/>
                <w:color w:val="auto"/>
              </w:rPr>
              <w:t>(18 312)</w:t>
            </w:r>
          </w:p>
        </w:tc>
        <w:tc>
          <w:tcPr>
            <w:tcW w:w="56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22 691</w:t>
            </w:r>
          </w:p>
        </w:tc>
        <w:tc>
          <w:tcPr>
            <w:tcW w:w="640" w:type="dxa"/>
            <w:vAlign w:val="bottom"/>
            <w:tcBorders>
              <w:bottom w:val="single" w:sz="8" w:color="005AFF"/>
            </w:tcBorders>
            <w:gridSpan w:val="2"/>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(84)</w:t>
            </w:r>
          </w:p>
        </w:tc>
        <w:tc>
          <w:tcPr>
            <w:tcW w:w="6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4 295</w:t>
            </w:r>
          </w:p>
        </w:tc>
      </w:tr>
      <w:tr>
        <w:trPr>
          <w:trHeight w:val="262"/>
        </w:trPr>
        <w:tc>
          <w:tcPr>
            <w:tcW w:w="2160" w:type="dxa"/>
            <w:vAlign w:val="bottom"/>
          </w:tcPr>
          <w:p>
            <w:pPr>
              <w:spacing w:after="0"/>
              <w:rPr>
                <w:sz w:val="20"/>
                <w:szCs w:val="20"/>
                <w:color w:val="auto"/>
              </w:rPr>
            </w:pPr>
            <w:r>
              <w:rPr>
                <w:rFonts w:ascii="Times New Roman" w:cs="Times New Roman" w:eastAsia="Times New Roman" w:hAnsi="Times New Roman"/>
                <w:sz w:val="11"/>
                <w:szCs w:val="11"/>
                <w:color w:val="auto"/>
              </w:rPr>
              <w:t>Funded status of defined benefit obligation:</w:t>
            </w:r>
          </w:p>
        </w:tc>
        <w:tc>
          <w:tcPr>
            <w:tcW w:w="520" w:type="dxa"/>
            <w:vAlign w:val="bottom"/>
          </w:tcPr>
          <w:p>
            <w:pPr>
              <w:spacing w:after="0"/>
              <w:rPr>
                <w:sz w:val="22"/>
                <w:szCs w:val="22"/>
                <w:color w:val="auto"/>
              </w:rPr>
            </w:pPr>
          </w:p>
        </w:tc>
        <w:tc>
          <w:tcPr>
            <w:tcW w:w="540" w:type="dxa"/>
            <w:vAlign w:val="bottom"/>
          </w:tcPr>
          <w:p>
            <w:pPr>
              <w:spacing w:after="0"/>
              <w:rPr>
                <w:sz w:val="22"/>
                <w:szCs w:val="22"/>
                <w:color w:val="auto"/>
              </w:rPr>
            </w:pPr>
          </w:p>
        </w:tc>
        <w:tc>
          <w:tcPr>
            <w:tcW w:w="560" w:type="dxa"/>
            <w:vAlign w:val="bottom"/>
          </w:tcPr>
          <w:p>
            <w:pPr>
              <w:spacing w:after="0"/>
              <w:rPr>
                <w:sz w:val="22"/>
                <w:szCs w:val="22"/>
                <w:color w:val="auto"/>
              </w:rPr>
            </w:pPr>
          </w:p>
        </w:tc>
        <w:tc>
          <w:tcPr>
            <w:tcW w:w="100" w:type="dxa"/>
            <w:vAlign w:val="bottom"/>
          </w:tcPr>
          <w:p>
            <w:pPr>
              <w:spacing w:after="0"/>
              <w:rPr>
                <w:sz w:val="22"/>
                <w:szCs w:val="22"/>
                <w:color w:val="auto"/>
              </w:rPr>
            </w:pPr>
          </w:p>
        </w:tc>
        <w:tc>
          <w:tcPr>
            <w:tcW w:w="540" w:type="dxa"/>
            <w:vAlign w:val="bottom"/>
          </w:tcPr>
          <w:p>
            <w:pPr>
              <w:spacing w:after="0"/>
              <w:rPr>
                <w:sz w:val="22"/>
                <w:szCs w:val="22"/>
                <w:color w:val="auto"/>
              </w:rPr>
            </w:pPr>
          </w:p>
        </w:tc>
        <w:tc>
          <w:tcPr>
            <w:tcW w:w="60" w:type="dxa"/>
            <w:vAlign w:val="bottom"/>
          </w:tcPr>
          <w:p>
            <w:pPr>
              <w:spacing w:after="0"/>
              <w:rPr>
                <w:sz w:val="22"/>
                <w:szCs w:val="22"/>
                <w:color w:val="auto"/>
              </w:rPr>
            </w:pPr>
          </w:p>
        </w:tc>
        <w:tc>
          <w:tcPr>
            <w:tcW w:w="480" w:type="dxa"/>
            <w:vAlign w:val="bottom"/>
          </w:tcPr>
          <w:p>
            <w:pPr>
              <w:spacing w:after="0"/>
              <w:rPr>
                <w:sz w:val="22"/>
                <w:szCs w:val="22"/>
                <w:color w:val="auto"/>
              </w:rPr>
            </w:pPr>
          </w:p>
        </w:tc>
      </w:tr>
      <w:tr>
        <w:trPr>
          <w:trHeight w:val="175"/>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spacing w:after="0"/>
              <w:rPr>
                <w:sz w:val="15"/>
                <w:szCs w:val="15"/>
                <w:color w:val="auto"/>
              </w:rPr>
            </w:pPr>
          </w:p>
        </w:tc>
        <w:tc>
          <w:tcPr>
            <w:tcW w:w="540" w:type="dxa"/>
            <w:vAlign w:val="bottom"/>
            <w:tcBorders>
              <w:bottom w:val="single" w:sz="8" w:color="005AFF"/>
            </w:tcBorders>
          </w:tcPr>
          <w:p>
            <w:pPr>
              <w:spacing w:after="0"/>
              <w:rPr>
                <w:sz w:val="15"/>
                <w:szCs w:val="15"/>
                <w:color w:val="auto"/>
              </w:rPr>
            </w:pPr>
          </w:p>
        </w:tc>
        <w:tc>
          <w:tcPr>
            <w:tcW w:w="560" w:type="dxa"/>
            <w:vAlign w:val="bottom"/>
            <w:tcBorders>
              <w:bottom w:val="single" w:sz="8" w:color="005AFF"/>
            </w:tcBorders>
          </w:tcPr>
          <w:p>
            <w:pPr>
              <w:spacing w:after="0"/>
              <w:rPr>
                <w:sz w:val="15"/>
                <w:szCs w:val="15"/>
                <w:color w:val="auto"/>
              </w:rPr>
            </w:pPr>
          </w:p>
        </w:tc>
        <w:tc>
          <w:tcPr>
            <w:tcW w:w="640" w:type="dxa"/>
            <w:vAlign w:val="bottom"/>
            <w:tcBorders>
              <w:bottom w:val="single" w:sz="8" w:color="005AFF"/>
            </w:tcBorders>
            <w:gridSpan w:val="2"/>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0" w:type="dxa"/>
            <w:vAlign w:val="bottom"/>
            <w:tcBorders>
              <w:bottom w:val="single" w:sz="8" w:color="005AFF"/>
            </w:tcBorders>
          </w:tcPr>
          <w:p>
            <w:pPr>
              <w:spacing w:after="0"/>
              <w:rPr>
                <w:sz w:val="15"/>
                <w:szCs w:val="15"/>
                <w:color w:val="auto"/>
              </w:rPr>
            </w:pPr>
          </w:p>
        </w:tc>
        <w:tc>
          <w:tcPr>
            <w:tcW w:w="4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Wholly funded</w:t>
            </w:r>
          </w:p>
        </w:tc>
        <w:tc>
          <w:tcPr>
            <w:tcW w:w="52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100" w:type="dxa"/>
            <w:vAlign w:val="bottom"/>
          </w:tcPr>
          <w:p>
            <w:pPr>
              <w:spacing w:after="0"/>
              <w:rPr>
                <w:sz w:val="11"/>
                <w:szCs w:val="11"/>
                <w:color w:val="auto"/>
              </w:rPr>
            </w:pPr>
          </w:p>
        </w:tc>
        <w:tc>
          <w:tcPr>
            <w:tcW w:w="5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12 782</w:t>
            </w:r>
          </w:p>
        </w:tc>
        <w:tc>
          <w:tcPr>
            <w:tcW w:w="60" w:type="dxa"/>
            <w:vAlign w:val="bottom"/>
          </w:tcPr>
          <w:p>
            <w:pPr>
              <w:spacing w:after="0"/>
              <w:rPr>
                <w:sz w:val="11"/>
                <w:szCs w:val="11"/>
                <w:color w:val="auto"/>
              </w:rPr>
            </w:pPr>
          </w:p>
        </w:tc>
        <w:tc>
          <w:tcPr>
            <w:tcW w:w="4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14 330</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Partly funded</w:t>
            </w:r>
          </w:p>
        </w:tc>
        <w:tc>
          <w:tcPr>
            <w:tcW w:w="520" w:type="dxa"/>
            <w:vAlign w:val="bottom"/>
          </w:tcPr>
          <w:p>
            <w:pPr>
              <w:spacing w:after="0"/>
              <w:rPr>
                <w:sz w:val="14"/>
                <w:szCs w:val="14"/>
                <w:color w:val="auto"/>
              </w:rPr>
            </w:pPr>
          </w:p>
        </w:tc>
        <w:tc>
          <w:tcPr>
            <w:tcW w:w="540" w:type="dxa"/>
            <w:vAlign w:val="bottom"/>
          </w:tcPr>
          <w:p>
            <w:pPr>
              <w:spacing w:after="0"/>
              <w:rPr>
                <w:sz w:val="14"/>
                <w:szCs w:val="14"/>
                <w:color w:val="auto"/>
              </w:rPr>
            </w:pPr>
          </w:p>
        </w:tc>
        <w:tc>
          <w:tcPr>
            <w:tcW w:w="560" w:type="dxa"/>
            <w:vAlign w:val="bottom"/>
          </w:tcPr>
          <w:p>
            <w:pPr>
              <w:spacing w:after="0"/>
              <w:rPr>
                <w:sz w:val="14"/>
                <w:szCs w:val="14"/>
                <w:color w:val="auto"/>
              </w:rPr>
            </w:pPr>
          </w:p>
        </w:tc>
        <w:tc>
          <w:tcPr>
            <w:tcW w:w="100" w:type="dxa"/>
            <w:vAlign w:val="bottom"/>
          </w:tcPr>
          <w:p>
            <w:pPr>
              <w:spacing w:after="0"/>
              <w:rPr>
                <w:sz w:val="14"/>
                <w:szCs w:val="14"/>
                <w:color w:val="auto"/>
              </w:rPr>
            </w:pP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3 149</w:t>
            </w:r>
          </w:p>
        </w:tc>
        <w:tc>
          <w:tcPr>
            <w:tcW w:w="60" w:type="dxa"/>
            <w:vAlign w:val="bottom"/>
          </w:tcPr>
          <w:p>
            <w:pPr>
              <w:spacing w:after="0"/>
              <w:rPr>
                <w:sz w:val="14"/>
                <w:szCs w:val="14"/>
                <w:color w:val="auto"/>
              </w:rPr>
            </w:pPr>
          </w:p>
        </w:tc>
        <w:tc>
          <w:tcPr>
            <w:tcW w:w="4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3 009</w:t>
            </w:r>
          </w:p>
        </w:tc>
      </w:tr>
      <w:tr>
        <w:trPr>
          <w:trHeight w:val="167"/>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Unfunded</w:t>
            </w:r>
          </w:p>
        </w:tc>
        <w:tc>
          <w:tcPr>
            <w:tcW w:w="52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tcPr>
          <w:p>
            <w:pPr>
              <w:spacing w:after="0"/>
              <w:rPr>
                <w:sz w:val="14"/>
                <w:szCs w:val="14"/>
                <w:color w:val="auto"/>
              </w:rPr>
            </w:pPr>
          </w:p>
        </w:tc>
        <w:tc>
          <w:tcPr>
            <w:tcW w:w="560" w:type="dxa"/>
            <w:vAlign w:val="bottom"/>
            <w:tcBorders>
              <w:bottom w:val="single" w:sz="8" w:color="005AFF"/>
            </w:tcBorders>
          </w:tcPr>
          <w:p>
            <w:pPr>
              <w:spacing w:after="0"/>
              <w:rPr>
                <w:sz w:val="14"/>
                <w:szCs w:val="14"/>
                <w:color w:val="auto"/>
              </w:rPr>
            </w:pPr>
          </w:p>
        </w:tc>
        <w:tc>
          <w:tcPr>
            <w:tcW w:w="10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937</w:t>
            </w:r>
          </w:p>
        </w:tc>
        <w:tc>
          <w:tcPr>
            <w:tcW w:w="6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973</w:t>
            </w:r>
          </w:p>
        </w:tc>
      </w:tr>
      <w:tr>
        <w:trPr>
          <w:trHeight w:val="142"/>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tcPr>
          <w:p>
            <w:pPr>
              <w:spacing w:after="0"/>
              <w:rPr>
                <w:sz w:val="12"/>
                <w:szCs w:val="12"/>
                <w:color w:val="auto"/>
              </w:rPr>
            </w:pPr>
          </w:p>
        </w:tc>
        <w:tc>
          <w:tcPr>
            <w:tcW w:w="560" w:type="dxa"/>
            <w:vAlign w:val="bottom"/>
            <w:tcBorders>
              <w:bottom w:val="single" w:sz="8" w:color="005AFF"/>
            </w:tcBorders>
          </w:tcPr>
          <w:p>
            <w:pPr>
              <w:spacing w:after="0"/>
              <w:rPr>
                <w:sz w:val="12"/>
                <w:szCs w:val="12"/>
                <w:color w:val="auto"/>
              </w:rPr>
            </w:pPr>
          </w:p>
        </w:tc>
        <w:tc>
          <w:tcPr>
            <w:tcW w:w="10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16 868</w:t>
            </w:r>
          </w:p>
        </w:tc>
        <w:tc>
          <w:tcPr>
            <w:tcW w:w="6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18 312</w:t>
            </w:r>
          </w:p>
        </w:tc>
      </w:tr>
    </w:tbl>
    <w:p>
      <w:pPr>
        <w:sectPr>
          <w:pgSz w:w="11900" w:h="16838" w:orient="portrait"/>
          <w:cols w:equalWidth="0" w:num="2">
            <w:col w:w="4380" w:space="720"/>
            <w:col w:w="4960"/>
          </w:cols>
          <w:pgMar w:left="960" w:top="409" w:right="879" w:bottom="1440" w:gutter="0" w:footer="0" w:header="0"/>
          <w:type w:val="continuous"/>
        </w:sectPr>
      </w:pPr>
    </w:p>
    <w:bookmarkStart w:id="173" w:name="page174"/>
    <w:bookmarkEnd w:id="173"/>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166</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9980"/>
          </w:cols>
          <w:pgMar w:left="960" w:top="410" w:right="959" w:bottom="1440" w:gutter="0" w:footer="0" w:header="0"/>
        </w:sectPr>
      </w:pPr>
    </w:p>
    <w:p>
      <w:pPr>
        <w:spacing w:after="0" w:line="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United States</w:t>
      </w:r>
    </w:p>
    <w:p>
      <w:pPr>
        <w:spacing w:after="0" w:line="37" w:lineRule="exact"/>
        <w:rPr>
          <w:sz w:val="20"/>
          <w:szCs w:val="20"/>
          <w:color w:val="auto"/>
        </w:rPr>
      </w:pPr>
    </w:p>
    <w:p>
      <w:pPr>
        <w:ind w:right="160"/>
        <w:spacing w:after="0" w:line="279" w:lineRule="auto"/>
        <w:rPr>
          <w:sz w:val="20"/>
          <w:szCs w:val="20"/>
          <w:color w:val="auto"/>
        </w:rPr>
      </w:pPr>
      <w:r>
        <w:rPr>
          <w:rFonts w:ascii="Times New Roman" w:cs="Times New Roman" w:eastAsia="Times New Roman" w:hAnsi="Times New Roman"/>
          <w:sz w:val="11"/>
          <w:szCs w:val="11"/>
          <w:color w:val="auto"/>
        </w:rPr>
        <w:t>Nokia has significant defined benefit pension plans and a significant post-employment welfare benefit plan (OPEB) providing post-employment healthcare benefits and life insurance coverage in the United States.</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Defined Benefit Pension Plans</w:t>
      </w:r>
    </w:p>
    <w:p>
      <w:pPr>
        <w:spacing w:after="0" w:line="19" w:lineRule="exact"/>
        <w:rPr>
          <w:sz w:val="20"/>
          <w:szCs w:val="20"/>
          <w:color w:val="auto"/>
        </w:rPr>
      </w:pPr>
    </w:p>
    <w:p>
      <w:pPr>
        <w:ind w:right="260"/>
        <w:spacing w:after="0" w:line="261" w:lineRule="auto"/>
        <w:rPr>
          <w:sz w:val="20"/>
          <w:szCs w:val="20"/>
          <w:color w:val="auto"/>
        </w:rPr>
      </w:pPr>
      <w:r>
        <w:rPr>
          <w:rFonts w:ascii="Times New Roman" w:cs="Times New Roman" w:eastAsia="Times New Roman" w:hAnsi="Times New Roman"/>
          <w:sz w:val="11"/>
          <w:szCs w:val="11"/>
          <w:color w:val="auto"/>
        </w:rPr>
        <w:t>The defined benefit pension plans include both traditional service-based programs and cash-balance plans. Salaried, non-union-represented employees are covered by a cash-balance program. All other legacy programs, including legacy service-based programs, were frozen by 31 December 2009. For former employees who, when actively employed, were represented</w:t>
      </w:r>
    </w:p>
    <w:p>
      <w:pPr>
        <w:ind w:right="160"/>
        <w:spacing w:after="0" w:line="278" w:lineRule="auto"/>
        <w:rPr>
          <w:sz w:val="20"/>
          <w:szCs w:val="20"/>
          <w:color w:val="auto"/>
        </w:rPr>
      </w:pPr>
      <w:r>
        <w:rPr>
          <w:rFonts w:ascii="Times New Roman" w:cs="Times New Roman" w:eastAsia="Times New Roman" w:hAnsi="Times New Roman"/>
          <w:sz w:val="11"/>
          <w:szCs w:val="11"/>
          <w:color w:val="auto"/>
        </w:rPr>
        <w:t>by a union, Nokia maintained two defined benefit pension plans, both of which are traditional service-based programs. On 31 December 2021 , these two plans were merged.</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Other Post-Employment Benefit Plan</w:t>
      </w:r>
    </w:p>
    <w:p>
      <w:pPr>
        <w:spacing w:after="0" w:line="24"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The other post-employment benefit plan provides welfare benefits for certain retired former employees. Pursuant to an agreement with the Communications Workers of America (CWA) and the International Brotherhood of Electrical Workers (IBEW) unions, Nokia provides post-employment healthcare benefits and life insurance coverage for employees formerly represented by these</w:t>
      </w:r>
    </w:p>
    <w:p>
      <w:pPr>
        <w:ind w:right="180"/>
        <w:spacing w:after="0" w:line="341" w:lineRule="auto"/>
        <w:rPr>
          <w:sz w:val="20"/>
          <w:szCs w:val="20"/>
          <w:color w:val="auto"/>
        </w:rPr>
      </w:pPr>
      <w:r>
        <w:rPr>
          <w:rFonts w:ascii="Times New Roman" w:cs="Times New Roman" w:eastAsia="Times New Roman" w:hAnsi="Times New Roman"/>
          <w:sz w:val="11"/>
          <w:szCs w:val="11"/>
          <w:color w:val="auto"/>
        </w:rPr>
        <w:t xml:space="preserve">two unions. That agreement was renewed in 2020 and the contract expires on 31 December 2027. </w:t>
      </w:r>
      <w:r>
        <w:rPr>
          <w:rFonts w:ascii="Times New Roman" w:cs="Times New Roman" w:eastAsia="Times New Roman" w:hAnsi="Times New Roman"/>
          <w:sz w:val="11"/>
          <w:szCs w:val="11"/>
          <w:b w:val="1"/>
          <w:bCs w:val="1"/>
          <w:color w:val="auto"/>
        </w:rPr>
        <w:t>Germany</w:t>
      </w:r>
    </w:p>
    <w:p>
      <w:pPr>
        <w:ind w:right="160"/>
        <w:spacing w:after="0" w:line="260" w:lineRule="auto"/>
        <w:rPr>
          <w:sz w:val="20"/>
          <w:szCs w:val="20"/>
          <w:color w:val="auto"/>
        </w:rPr>
      </w:pPr>
      <w:r>
        <w:rPr>
          <w:rFonts w:ascii="Times New Roman" w:cs="Times New Roman" w:eastAsia="Times New Roman" w:hAnsi="Times New Roman"/>
          <w:sz w:val="11"/>
          <w:szCs w:val="11"/>
          <w:color w:val="auto"/>
        </w:rPr>
        <w:t>Nokia maintains two primary plans in Germany which cover the majority of active employees: the cash-balance plan Beitragsorientierter Altersversorgungs Plan (BAP) for the Group’s Nokia employees and a similar cash-balance program (AVK Basis-/Matchingkonto) for the Group’s former Alcatel-Lucent employees. Individual benefits are generally dependent on eligible compensation levels, ranking within the Group and years of service. These plans are partially funded defined benefit pension plans, the benefits being subject to a minimum return guaranteed by the Group. The funding vehicle for the BAP is the NSN Pension Trust e.V.</w:t>
      </w:r>
    </w:p>
    <w:p>
      <w:pPr>
        <w:spacing w:after="0" w:line="2" w:lineRule="exact"/>
        <w:rPr>
          <w:sz w:val="20"/>
          <w:szCs w:val="20"/>
          <w:color w:val="auto"/>
        </w:rPr>
      </w:pPr>
    </w:p>
    <w:p>
      <w:pPr>
        <w:ind w:right="380"/>
        <w:spacing w:after="0" w:line="286" w:lineRule="auto"/>
        <w:rPr>
          <w:sz w:val="20"/>
          <w:szCs w:val="20"/>
          <w:color w:val="auto"/>
        </w:rPr>
      </w:pPr>
      <w:r>
        <w:rPr>
          <w:rFonts w:ascii="Times New Roman" w:cs="Times New Roman" w:eastAsia="Times New Roman" w:hAnsi="Times New Roman"/>
          <w:sz w:val="11"/>
          <w:szCs w:val="11"/>
          <w:color w:val="auto"/>
        </w:rPr>
        <w:t>The trust is legally separate from the Group and manages the plan assets in accordance with the respective trust agreements.</w:t>
      </w:r>
    </w:p>
    <w:p>
      <w:pPr>
        <w:spacing w:after="0" w:line="51" w:lineRule="exact"/>
        <w:rPr>
          <w:sz w:val="20"/>
          <w:szCs w:val="20"/>
          <w:color w:val="auto"/>
        </w:rPr>
      </w:pPr>
    </w:p>
    <w:p>
      <w:pPr>
        <w:ind w:right="160"/>
        <w:spacing w:after="0" w:line="279" w:lineRule="auto"/>
        <w:rPr>
          <w:sz w:val="20"/>
          <w:szCs w:val="20"/>
          <w:color w:val="auto"/>
        </w:rPr>
      </w:pPr>
      <w:r>
        <w:rPr>
          <w:rFonts w:ascii="Times New Roman" w:cs="Times New Roman" w:eastAsia="Times New Roman" w:hAnsi="Times New Roman"/>
          <w:sz w:val="11"/>
          <w:szCs w:val="11"/>
          <w:color w:val="auto"/>
        </w:rPr>
        <w:t>All other plans have been frozen or closed in prior years and replaced by the cash-balance plans. Benefits are paid in annual installments, as monthly retirement pension, or as a lump sum on retirement in an amount equal to accrued pensions and guaranteed interest.</w:t>
      </w:r>
    </w:p>
    <w:p>
      <w:pPr>
        <w:spacing w:after="0" w:line="20" w:lineRule="exact"/>
        <w:rPr>
          <w:sz w:val="20"/>
          <w:szCs w:val="20"/>
          <w:color w:val="auto"/>
        </w:rPr>
      </w:pPr>
      <w:r>
        <w:rPr>
          <w:sz w:val="20"/>
          <w:szCs w:val="20"/>
          <w:color w:val="auto"/>
        </w:rPr>
        <w:br w:type="column"/>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United Kingdom</w:t>
      </w:r>
    </w:p>
    <w:p>
      <w:pPr>
        <w:spacing w:after="0" w:line="24" w:lineRule="exact"/>
        <w:rPr>
          <w:sz w:val="20"/>
          <w:szCs w:val="20"/>
          <w:color w:val="auto"/>
        </w:rPr>
      </w:pPr>
    </w:p>
    <w:p>
      <w:pPr>
        <w:ind w:right="460"/>
        <w:spacing w:after="0" w:line="262" w:lineRule="auto"/>
        <w:rPr>
          <w:sz w:val="20"/>
          <w:szCs w:val="20"/>
          <w:color w:val="auto"/>
        </w:rPr>
      </w:pPr>
      <w:r>
        <w:rPr>
          <w:rFonts w:ascii="Times New Roman" w:cs="Times New Roman" w:eastAsia="Times New Roman" w:hAnsi="Times New Roman"/>
          <w:sz w:val="11"/>
          <w:szCs w:val="11"/>
          <w:color w:val="auto"/>
        </w:rPr>
        <w:t>Nokia maintains one primary plan in the UK, “Nokia Retirement Plan for former NSN &amp; ALU employees”, which is the result of the 2019 merger of the legacy Nokia plan where the plan was merged and members’ benefits were transferred to the legacy Alcatel-Lucent plan. The combined plan consists of both money purchase sections with Guaranteed Minimum Pension (GMP) underpin and final salary sections. All final salary sections are closed to future benefit accrual: the legacy Nokia plan closed on 30 April 2012 and the legacy Alcatel-Lucent plan</w:t>
      </w:r>
    </w:p>
    <w:p>
      <w:pPr>
        <w:spacing w:after="0" w:line="1" w:lineRule="exact"/>
        <w:rPr>
          <w:sz w:val="20"/>
          <w:szCs w:val="20"/>
          <w:color w:val="auto"/>
        </w:rPr>
      </w:pPr>
    </w:p>
    <w:p>
      <w:pPr>
        <w:ind w:right="480"/>
        <w:spacing w:after="0" w:line="259" w:lineRule="auto"/>
        <w:rPr>
          <w:sz w:val="20"/>
          <w:szCs w:val="20"/>
          <w:color w:val="auto"/>
        </w:rPr>
      </w:pPr>
      <w:r>
        <w:rPr>
          <w:rFonts w:ascii="Times New Roman" w:cs="Times New Roman" w:eastAsia="Times New Roman" w:hAnsi="Times New Roman"/>
          <w:sz w:val="11"/>
          <w:szCs w:val="11"/>
          <w:color w:val="auto"/>
        </w:rPr>
        <w:t>on 30 April 2018. Individual benefits for final salary sections are dependent on eligible compensation levels and years of service. For the money purchase sections with GMP underpin,</w:t>
      </w:r>
    </w:p>
    <w:p>
      <w:pPr>
        <w:spacing w:after="0"/>
        <w:tabs>
          <w:tab w:leader="none" w:pos="4500" w:val="left"/>
        </w:tabs>
        <w:rPr>
          <w:sz w:val="20"/>
          <w:szCs w:val="20"/>
          <w:color w:val="auto"/>
        </w:rPr>
      </w:pPr>
      <w:r>
        <w:rPr>
          <w:rFonts w:ascii="Times New Roman" w:cs="Times New Roman" w:eastAsia="Times New Roman" w:hAnsi="Times New Roman"/>
          <w:sz w:val="11"/>
          <w:szCs w:val="11"/>
          <w:color w:val="auto"/>
        </w:rPr>
        <w:t>individual benefits are dependent on the greater of the value of GMP at retirement date</w:t>
      </w:r>
      <w:r>
        <w:rPr>
          <w:sz w:val="20"/>
          <w:szCs w:val="20"/>
          <w:color w:val="auto"/>
        </w:rPr>
        <w:tab/>
      </w:r>
      <w:r>
        <w:rPr>
          <w:rFonts w:ascii="Times New Roman" w:cs="Times New Roman" w:eastAsia="Times New Roman" w:hAnsi="Times New Roman"/>
          <w:sz w:val="11"/>
          <w:szCs w:val="11"/>
          <w:color w:val="auto"/>
        </w:rPr>
        <w:t>and</w:t>
      </w:r>
    </w:p>
    <w:p>
      <w:pPr>
        <w:spacing w:after="0" w:line="10" w:lineRule="exact"/>
        <w:rPr>
          <w:sz w:val="20"/>
          <w:szCs w:val="20"/>
          <w:color w:val="auto"/>
        </w:rPr>
      </w:pPr>
    </w:p>
    <w:p>
      <w:pPr>
        <w:ind w:right="540"/>
        <w:spacing w:after="0" w:line="286" w:lineRule="auto"/>
        <w:rPr>
          <w:sz w:val="20"/>
          <w:szCs w:val="20"/>
          <w:color w:val="auto"/>
        </w:rPr>
      </w:pPr>
      <w:r>
        <w:rPr>
          <w:rFonts w:ascii="Times New Roman" w:cs="Times New Roman" w:eastAsia="Times New Roman" w:hAnsi="Times New Roman"/>
          <w:sz w:val="11"/>
          <w:szCs w:val="11"/>
          <w:color w:val="auto"/>
        </w:rPr>
        <w:t>the pension value resulting from the individual’s invested funds. Nokia engages the services of an external trustee service provider to manage all investments for the combined pension plan.</w:t>
      </w:r>
    </w:p>
    <w:p>
      <w:pPr>
        <w:spacing w:after="0" w:line="3017" w:lineRule="exact"/>
        <w:rPr>
          <w:sz w:val="20"/>
          <w:szCs w:val="20"/>
          <w:color w:val="auto"/>
        </w:rPr>
      </w:pPr>
    </w:p>
    <w:p>
      <w:pPr>
        <w:sectPr>
          <w:pgSz w:w="11900" w:h="16838" w:orient="portrait"/>
          <w:cols w:equalWidth="0" w:num="2">
            <w:col w:w="4580" w:space="520"/>
            <w:col w:w="4880"/>
          </w:cols>
          <w:pgMar w:left="960" w:top="410"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174" w:name="page175"/>
    <w:bookmarkEnd w:id="174"/>
    <w:tbl>
      <w:tblPr>
        <w:tblLayout w:type="fixed"/>
        <w:tblInd w:w="0" w:type="dxa"/>
        <w:tblCellMar>
          <w:top w:w="0" w:type="dxa"/>
          <w:left w:w="0" w:type="dxa"/>
          <w:bottom w:w="0" w:type="dxa"/>
          <w:right w:w="0" w:type="dxa"/>
        </w:tblCellMar>
      </w:tblPr>
      <w:tr>
        <w:trPr>
          <w:trHeight w:val="111"/>
        </w:trPr>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140" w:type="dxa"/>
            <w:vAlign w:val="bottom"/>
          </w:tcPr>
          <w:p>
            <w:pPr>
              <w:ind w:left="340"/>
              <w:spacing w:after="0"/>
              <w:rPr>
                <w:sz w:val="20"/>
                <w:szCs w:val="20"/>
                <w:color w:val="auto"/>
              </w:rPr>
            </w:pPr>
            <w:r>
              <w:rPr>
                <w:rFonts w:ascii="Times New Roman" w:cs="Times New Roman" w:eastAsia="Times New Roman" w:hAnsi="Times New Roman"/>
                <w:sz w:val="9"/>
                <w:szCs w:val="9"/>
                <w:color w:val="auto"/>
              </w:rPr>
              <w:t>Corporate</w:t>
            </w:r>
          </w:p>
        </w:tc>
        <w:tc>
          <w:tcPr>
            <w:tcW w:w="154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auto"/>
              </w:rPr>
              <w:t>Operating and financial</w:t>
            </w:r>
          </w:p>
        </w:tc>
        <w:tc>
          <w:tcPr>
            <w:tcW w:w="74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460" w:type="dxa"/>
            <w:vAlign w:val="bottom"/>
          </w:tcPr>
          <w:p>
            <w:pPr>
              <w:spacing w:after="0"/>
              <w:rPr>
                <w:sz w:val="9"/>
                <w:szCs w:val="9"/>
                <w:color w:val="auto"/>
              </w:rPr>
            </w:pPr>
          </w:p>
        </w:tc>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100" w:type="dxa"/>
            <w:vAlign w:val="bottom"/>
          </w:tcPr>
          <w:p>
            <w:pPr>
              <w:spacing w:after="0"/>
              <w:rPr>
                <w:sz w:val="9"/>
                <w:szCs w:val="9"/>
                <w:color w:val="auto"/>
              </w:rPr>
            </w:pPr>
          </w:p>
        </w:tc>
        <w:tc>
          <w:tcPr>
            <w:tcW w:w="460" w:type="dxa"/>
            <w:vAlign w:val="bottom"/>
          </w:tcPr>
          <w:p>
            <w:pPr>
              <w:spacing w:after="0"/>
              <w:rPr>
                <w:sz w:val="9"/>
                <w:szCs w:val="9"/>
                <w:color w:val="auto"/>
              </w:rPr>
            </w:pPr>
          </w:p>
        </w:tc>
        <w:tc>
          <w:tcPr>
            <w:tcW w:w="740" w:type="dxa"/>
            <w:vAlign w:val="bottom"/>
          </w:tcPr>
          <w:p>
            <w:pPr>
              <w:ind w:left="40"/>
              <w:spacing w:after="0"/>
              <w:rPr>
                <w:sz w:val="20"/>
                <w:szCs w:val="20"/>
                <w:color w:val="auto"/>
              </w:rPr>
            </w:pPr>
            <w:r>
              <w:rPr>
                <w:rFonts w:ascii="Times New Roman" w:cs="Times New Roman" w:eastAsia="Times New Roman" w:hAnsi="Times New Roman"/>
                <w:sz w:val="9"/>
                <w:szCs w:val="9"/>
                <w:color w:val="auto"/>
              </w:rPr>
              <w:t>Other</w:t>
            </w:r>
          </w:p>
        </w:tc>
        <w:tc>
          <w:tcPr>
            <w:tcW w:w="740" w:type="dxa"/>
            <w:vAlign w:val="bottom"/>
          </w:tcPr>
          <w:p>
            <w:pPr>
              <w:spacing w:after="0"/>
              <w:rPr>
                <w:sz w:val="9"/>
                <w:szCs w:val="9"/>
                <w:color w:val="auto"/>
              </w:rPr>
            </w:pPr>
          </w:p>
        </w:tc>
        <w:tc>
          <w:tcPr>
            <w:tcW w:w="80" w:type="dxa"/>
            <w:vAlign w:val="bottom"/>
          </w:tcPr>
          <w:p>
            <w:pPr>
              <w:spacing w:after="0"/>
              <w:rPr>
                <w:sz w:val="9"/>
                <w:szCs w:val="9"/>
                <w:color w:val="auto"/>
              </w:rPr>
            </w:pPr>
          </w:p>
        </w:tc>
        <w:tc>
          <w:tcPr>
            <w:tcW w:w="820" w:type="dxa"/>
            <w:vAlign w:val="bottom"/>
          </w:tcPr>
          <w:p>
            <w:pPr>
              <w:spacing w:after="0"/>
              <w:rPr>
                <w:sz w:val="9"/>
                <w:szCs w:val="9"/>
                <w:color w:val="auto"/>
              </w:rPr>
            </w:pPr>
          </w:p>
        </w:tc>
        <w:tc>
          <w:tcPr>
            <w:tcW w:w="780" w:type="dxa"/>
            <w:vAlign w:val="bottom"/>
          </w:tcPr>
          <w:p>
            <w:pPr>
              <w:spacing w:after="0"/>
              <w:rPr>
                <w:sz w:val="9"/>
                <w:szCs w:val="9"/>
                <w:color w:val="auto"/>
              </w:rPr>
            </w:pPr>
          </w:p>
        </w:tc>
        <w:tc>
          <w:tcPr>
            <w:tcW w:w="780" w:type="dxa"/>
            <w:vAlign w:val="bottom"/>
          </w:tcPr>
          <w:p>
            <w:pPr>
              <w:spacing w:after="0"/>
              <w:rPr>
                <w:sz w:val="9"/>
                <w:szCs w:val="9"/>
                <w:color w:val="auto"/>
              </w:rPr>
            </w:pPr>
          </w:p>
        </w:tc>
        <w:tc>
          <w:tcPr>
            <w:tcW w:w="580" w:type="dxa"/>
            <w:vAlign w:val="bottom"/>
            <w:gridSpan w:val="2"/>
            <w:vMerge w:val="restart"/>
          </w:tcPr>
          <w:p>
            <w:pPr>
              <w:jc w:val="right"/>
              <w:spacing w:after="0"/>
              <w:rPr>
                <w:sz w:val="20"/>
                <w:szCs w:val="20"/>
                <w:color w:val="auto"/>
              </w:rPr>
            </w:pPr>
            <w:r>
              <w:rPr>
                <w:rFonts w:ascii="Times New Roman" w:cs="Times New Roman" w:eastAsia="Times New Roman" w:hAnsi="Times New Roman"/>
                <w:sz w:val="12"/>
                <w:szCs w:val="12"/>
                <w:color w:val="auto"/>
              </w:rPr>
              <w:t>167</w:t>
            </w:r>
          </w:p>
        </w:tc>
        <w:tc>
          <w:tcPr>
            <w:tcW w:w="0" w:type="dxa"/>
            <w:vAlign w:val="bottom"/>
          </w:tcPr>
          <w:p>
            <w:pPr>
              <w:spacing w:after="0"/>
              <w:rPr>
                <w:sz w:val="1"/>
                <w:szCs w:val="1"/>
                <w:color w:val="auto"/>
              </w:rPr>
            </w:pPr>
          </w:p>
        </w:tc>
      </w:tr>
      <w:tr>
        <w:trPr>
          <w:trHeight w:val="130"/>
        </w:trPr>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140" w:type="dxa"/>
            <w:vAlign w:val="bottom"/>
          </w:tcPr>
          <w:p>
            <w:pPr>
              <w:ind w:left="340"/>
              <w:spacing w:after="0"/>
              <w:rPr>
                <w:sz w:val="20"/>
                <w:szCs w:val="20"/>
                <w:color w:val="auto"/>
              </w:rPr>
            </w:pPr>
            <w:r>
              <w:rPr>
                <w:rFonts w:ascii="Times New Roman" w:cs="Times New Roman" w:eastAsia="Times New Roman" w:hAnsi="Times New Roman"/>
                <w:sz w:val="9"/>
                <w:szCs w:val="9"/>
                <w:color w:val="auto"/>
              </w:rPr>
              <w:t>governance</w:t>
            </w:r>
          </w:p>
        </w:tc>
        <w:tc>
          <w:tcPr>
            <w:tcW w:w="1540" w:type="dxa"/>
            <w:vAlign w:val="bottom"/>
            <w:gridSpan w:val="2"/>
          </w:tcPr>
          <w:p>
            <w:pPr>
              <w:ind w:left="220"/>
              <w:spacing w:after="0"/>
              <w:rPr>
                <w:sz w:val="20"/>
                <w:szCs w:val="20"/>
                <w:color w:val="auto"/>
              </w:rPr>
            </w:pPr>
            <w:r>
              <w:rPr>
                <w:rFonts w:ascii="Times New Roman" w:cs="Times New Roman" w:eastAsia="Times New Roman" w:hAnsi="Times New Roman"/>
                <w:sz w:val="9"/>
                <w:szCs w:val="9"/>
                <w:color w:val="auto"/>
              </w:rPr>
              <w:t>review and prospects</w:t>
            </w:r>
          </w:p>
        </w:tc>
        <w:tc>
          <w:tcPr>
            <w:tcW w:w="74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460" w:type="dxa"/>
            <w:vAlign w:val="bottom"/>
          </w:tcPr>
          <w:p>
            <w:pPr>
              <w:spacing w:after="0"/>
              <w:rPr>
                <w:sz w:val="11"/>
                <w:szCs w:val="11"/>
                <w:color w:val="auto"/>
              </w:rPr>
            </w:pPr>
          </w:p>
        </w:tc>
        <w:tc>
          <w:tcPr>
            <w:tcW w:w="4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10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740" w:type="dxa"/>
            <w:vAlign w:val="bottom"/>
          </w:tcPr>
          <w:p>
            <w:pPr>
              <w:ind w:left="40"/>
              <w:spacing w:after="0"/>
              <w:rPr>
                <w:sz w:val="20"/>
                <w:szCs w:val="20"/>
                <w:color w:val="auto"/>
              </w:rPr>
            </w:pPr>
            <w:r>
              <w:rPr>
                <w:rFonts w:ascii="Times New Roman" w:cs="Times New Roman" w:eastAsia="Times New Roman" w:hAnsi="Times New Roman"/>
                <w:sz w:val="9"/>
                <w:szCs w:val="9"/>
                <w:color w:val="auto"/>
              </w:rPr>
              <w:t>information</w:t>
            </w:r>
          </w:p>
        </w:tc>
        <w:tc>
          <w:tcPr>
            <w:tcW w:w="7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580" w:type="dxa"/>
            <w:vAlign w:val="bottom"/>
            <w:gridSpan w:val="2"/>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740" w:type="dxa"/>
            <w:vAlign w:val="bottom"/>
          </w:tcPr>
          <w:p>
            <w:pPr>
              <w:spacing w:after="0"/>
              <w:rPr>
                <w:sz w:val="3"/>
                <w:szCs w:val="3"/>
                <w:color w:val="auto"/>
              </w:rPr>
            </w:pPr>
          </w:p>
        </w:tc>
        <w:tc>
          <w:tcPr>
            <w:tcW w:w="460" w:type="dxa"/>
            <w:vAlign w:val="bottom"/>
          </w:tcPr>
          <w:p>
            <w:pPr>
              <w:spacing w:after="0"/>
              <w:rPr>
                <w:sz w:val="3"/>
                <w:szCs w:val="3"/>
                <w:color w:val="auto"/>
              </w:rPr>
            </w:pPr>
          </w:p>
        </w:tc>
        <w:tc>
          <w:tcPr>
            <w:tcW w:w="440" w:type="dxa"/>
            <w:vAlign w:val="bottom"/>
            <w:tcBorders>
              <w:bottom w:val="single" w:sz="8" w:color="005AFF"/>
            </w:tcBorders>
          </w:tcPr>
          <w:p>
            <w:pPr>
              <w:spacing w:after="0"/>
              <w:rPr>
                <w:sz w:val="3"/>
                <w:szCs w:val="3"/>
                <w:color w:val="auto"/>
              </w:rPr>
            </w:pPr>
          </w:p>
        </w:tc>
        <w:tc>
          <w:tcPr>
            <w:tcW w:w="100" w:type="dxa"/>
            <w:vAlign w:val="bottom"/>
            <w:tcBorders>
              <w:bottom w:val="single" w:sz="8" w:color="005AFF"/>
            </w:tcBorders>
          </w:tcPr>
          <w:p>
            <w:pPr>
              <w:spacing w:after="0"/>
              <w:rPr>
                <w:sz w:val="3"/>
                <w:szCs w:val="3"/>
                <w:color w:val="auto"/>
              </w:rPr>
            </w:pPr>
          </w:p>
        </w:tc>
        <w:tc>
          <w:tcPr>
            <w:tcW w:w="460" w:type="dxa"/>
            <w:vAlign w:val="bottom"/>
          </w:tcPr>
          <w:p>
            <w:pPr>
              <w:spacing w:after="0"/>
              <w:rPr>
                <w:sz w:val="3"/>
                <w:szCs w:val="3"/>
                <w:color w:val="auto"/>
              </w:rPr>
            </w:pPr>
          </w:p>
        </w:tc>
        <w:tc>
          <w:tcPr>
            <w:tcW w:w="740" w:type="dxa"/>
            <w:vAlign w:val="bottom"/>
          </w:tcPr>
          <w:p>
            <w:pPr>
              <w:spacing w:after="0"/>
              <w:rPr>
                <w:sz w:val="3"/>
                <w:szCs w:val="3"/>
                <w:color w:val="auto"/>
              </w:rPr>
            </w:pPr>
          </w:p>
        </w:tc>
        <w:tc>
          <w:tcPr>
            <w:tcW w:w="740" w:type="dxa"/>
            <w:vAlign w:val="bottom"/>
          </w:tcPr>
          <w:p>
            <w:pPr>
              <w:spacing w:after="0"/>
              <w:rPr>
                <w:sz w:val="3"/>
                <w:szCs w:val="3"/>
                <w:color w:val="auto"/>
              </w:rPr>
            </w:pPr>
          </w:p>
        </w:tc>
        <w:tc>
          <w:tcPr>
            <w:tcW w:w="80" w:type="dxa"/>
            <w:vAlign w:val="bottom"/>
          </w:tcPr>
          <w:p>
            <w:pPr>
              <w:spacing w:after="0"/>
              <w:rPr>
                <w:sz w:val="3"/>
                <w:szCs w:val="3"/>
                <w:color w:val="auto"/>
              </w:rPr>
            </w:pPr>
          </w:p>
        </w:tc>
        <w:tc>
          <w:tcPr>
            <w:tcW w:w="820" w:type="dxa"/>
            <w:vAlign w:val="bottom"/>
          </w:tcPr>
          <w:p>
            <w:pPr>
              <w:spacing w:after="0"/>
              <w:rPr>
                <w:sz w:val="3"/>
                <w:szCs w:val="3"/>
                <w:color w:val="auto"/>
              </w:rPr>
            </w:pPr>
          </w:p>
        </w:tc>
        <w:tc>
          <w:tcPr>
            <w:tcW w:w="780" w:type="dxa"/>
            <w:vAlign w:val="bottom"/>
          </w:tcPr>
          <w:p>
            <w:pPr>
              <w:spacing w:after="0"/>
              <w:rPr>
                <w:sz w:val="3"/>
                <w:szCs w:val="3"/>
                <w:color w:val="auto"/>
              </w:rPr>
            </w:pPr>
          </w:p>
        </w:tc>
        <w:tc>
          <w:tcPr>
            <w:tcW w:w="780" w:type="dxa"/>
            <w:vAlign w:val="bottom"/>
          </w:tcPr>
          <w:p>
            <w:pPr>
              <w:spacing w:after="0"/>
              <w:rPr>
                <w:sz w:val="3"/>
                <w:szCs w:val="3"/>
                <w:color w:val="auto"/>
              </w:rPr>
            </w:pPr>
          </w:p>
        </w:tc>
        <w:tc>
          <w:tcPr>
            <w:tcW w:w="560" w:type="dxa"/>
            <w:vAlign w:val="bottom"/>
          </w:tcPr>
          <w:p>
            <w:pPr>
              <w:spacing w:after="0"/>
              <w:rPr>
                <w:sz w:val="3"/>
                <w:szCs w:val="3"/>
                <w:color w:val="auto"/>
              </w:rPr>
            </w:pPr>
          </w:p>
        </w:tc>
        <w:tc>
          <w:tcPr>
            <w:tcW w:w="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74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820" w:type="dxa"/>
            <w:vAlign w:val="bottom"/>
          </w:tcPr>
          <w:p>
            <w:pPr>
              <w:spacing w:after="0"/>
              <w:rPr>
                <w:sz w:val="24"/>
                <w:szCs w:val="24"/>
                <w:color w:val="auto"/>
              </w:rPr>
            </w:pPr>
          </w:p>
        </w:tc>
        <w:tc>
          <w:tcPr>
            <w:tcW w:w="780" w:type="dxa"/>
            <w:vAlign w:val="bottom"/>
          </w:tcPr>
          <w:p>
            <w:pPr>
              <w:spacing w:after="0"/>
              <w:rPr>
                <w:sz w:val="24"/>
                <w:szCs w:val="24"/>
                <w:color w:val="auto"/>
              </w:rPr>
            </w:pPr>
          </w:p>
        </w:tc>
        <w:tc>
          <w:tcPr>
            <w:tcW w:w="78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8620" w:type="dxa"/>
            <w:vAlign w:val="bottom"/>
            <w:gridSpan w:val="14"/>
          </w:tcPr>
          <w:p>
            <w:pPr>
              <w:spacing w:after="0"/>
              <w:rPr>
                <w:sz w:val="20"/>
                <w:szCs w:val="20"/>
                <w:color w:val="auto"/>
              </w:rPr>
            </w:pPr>
            <w:r>
              <w:rPr>
                <w:rFonts w:ascii="Times New Roman" w:cs="Times New Roman" w:eastAsia="Times New Roman" w:hAnsi="Times New Roman"/>
                <w:sz w:val="13"/>
                <w:szCs w:val="13"/>
                <w:color w:val="auto"/>
              </w:rPr>
              <w:t>Movements in the defined benefit obligation, fair value of plan assets and the impact of the asset ceiling limitation for the years ended 31 December</w:t>
            </w:r>
          </w:p>
        </w:tc>
        <w:tc>
          <w:tcPr>
            <w:tcW w:w="78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260"/>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1"/>
                <w:szCs w:val="11"/>
                <w:b w:val="1"/>
                <w:bCs w:val="1"/>
                <w:color w:val="auto"/>
              </w:rPr>
              <w:t>Defined benefit obligation</w:t>
            </w:r>
          </w:p>
        </w:tc>
        <w:tc>
          <w:tcPr>
            <w:tcW w:w="800" w:type="dxa"/>
            <w:vAlign w:val="bottom"/>
          </w:tcPr>
          <w:p>
            <w:pPr>
              <w:spacing w:after="0"/>
              <w:rPr>
                <w:sz w:val="22"/>
                <w:szCs w:val="22"/>
                <w:color w:val="auto"/>
              </w:rPr>
            </w:pPr>
          </w:p>
        </w:tc>
        <w:tc>
          <w:tcPr>
            <w:tcW w:w="740" w:type="dxa"/>
            <w:vAlign w:val="bottom"/>
          </w:tcPr>
          <w:p>
            <w:pPr>
              <w:spacing w:after="0"/>
              <w:rPr>
                <w:sz w:val="22"/>
                <w:szCs w:val="22"/>
                <w:color w:val="auto"/>
              </w:rPr>
            </w:pPr>
          </w:p>
        </w:tc>
        <w:tc>
          <w:tcPr>
            <w:tcW w:w="740" w:type="dxa"/>
            <w:vAlign w:val="bottom"/>
          </w:tcPr>
          <w:p>
            <w:pPr>
              <w:spacing w:after="0"/>
              <w:rPr>
                <w:sz w:val="22"/>
                <w:szCs w:val="22"/>
                <w:color w:val="auto"/>
              </w:rPr>
            </w:pPr>
          </w:p>
        </w:tc>
        <w:tc>
          <w:tcPr>
            <w:tcW w:w="460" w:type="dxa"/>
            <w:vAlign w:val="bottom"/>
            <w:tcBorders>
              <w:bottom w:val="single" w:sz="8" w:color="005AFF"/>
            </w:tcBorders>
          </w:tcPr>
          <w:p>
            <w:pPr>
              <w:spacing w:after="0"/>
              <w:rPr>
                <w:sz w:val="22"/>
                <w:szCs w:val="22"/>
                <w:color w:val="auto"/>
              </w:rPr>
            </w:pPr>
          </w:p>
        </w:tc>
        <w:tc>
          <w:tcPr>
            <w:tcW w:w="440" w:type="dxa"/>
            <w:vAlign w:val="bottom"/>
            <w:tcBorders>
              <w:bottom w:val="single" w:sz="8" w:color="005AFF"/>
            </w:tcBorders>
          </w:tcPr>
          <w:p>
            <w:pPr>
              <w:spacing w:after="0"/>
              <w:rPr>
                <w:sz w:val="22"/>
                <w:szCs w:val="22"/>
                <w:color w:val="auto"/>
              </w:rPr>
            </w:pPr>
          </w:p>
        </w:tc>
        <w:tc>
          <w:tcPr>
            <w:tcW w:w="1300" w:type="dxa"/>
            <w:vAlign w:val="bottom"/>
            <w:tcBorders>
              <w:bottom w:val="single" w:sz="8" w:color="005AFF"/>
            </w:tcBorders>
            <w:gridSpan w:val="3"/>
          </w:tcPr>
          <w:p>
            <w:pPr>
              <w:jc w:val="right"/>
              <w:ind w:right="6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740" w:type="dxa"/>
            <w:vAlign w:val="bottom"/>
            <w:tcBorders>
              <w:bottom w:val="single" w:sz="8" w:color="005AFF"/>
            </w:tcBorders>
          </w:tcPr>
          <w:p>
            <w:pPr>
              <w:spacing w:after="0"/>
              <w:rPr>
                <w:sz w:val="22"/>
                <w:szCs w:val="22"/>
                <w:color w:val="auto"/>
              </w:rPr>
            </w:pPr>
          </w:p>
        </w:tc>
        <w:tc>
          <w:tcPr>
            <w:tcW w:w="80" w:type="dxa"/>
            <w:vAlign w:val="bottom"/>
          </w:tcPr>
          <w:p>
            <w:pPr>
              <w:spacing w:after="0"/>
              <w:rPr>
                <w:sz w:val="22"/>
                <w:szCs w:val="22"/>
                <w:color w:val="auto"/>
              </w:rPr>
            </w:pPr>
          </w:p>
        </w:tc>
        <w:tc>
          <w:tcPr>
            <w:tcW w:w="820" w:type="dxa"/>
            <w:vAlign w:val="bottom"/>
            <w:tcBorders>
              <w:bottom w:val="single" w:sz="8" w:color="005AFF"/>
            </w:tcBorders>
          </w:tcPr>
          <w:p>
            <w:pPr>
              <w:spacing w:after="0"/>
              <w:rPr>
                <w:sz w:val="22"/>
                <w:szCs w:val="22"/>
                <w:color w:val="auto"/>
              </w:rPr>
            </w:pPr>
          </w:p>
        </w:tc>
        <w:tc>
          <w:tcPr>
            <w:tcW w:w="7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780" w:type="dxa"/>
            <w:vAlign w:val="bottom"/>
            <w:tcBorders>
              <w:bottom w:val="single" w:sz="8" w:color="005AFF"/>
            </w:tcBorders>
          </w:tcPr>
          <w:p>
            <w:pPr>
              <w:spacing w:after="0"/>
              <w:rPr>
                <w:sz w:val="22"/>
                <w:szCs w:val="22"/>
                <w:color w:val="auto"/>
              </w:rPr>
            </w:pPr>
          </w:p>
        </w:tc>
        <w:tc>
          <w:tcPr>
            <w:tcW w:w="560" w:type="dxa"/>
            <w:vAlign w:val="bottom"/>
            <w:tcBorders>
              <w:bottom w:val="single" w:sz="8" w:color="005AFF"/>
            </w:tcBorders>
          </w:tcPr>
          <w:p>
            <w:pPr>
              <w:spacing w:after="0"/>
              <w:rPr>
                <w:sz w:val="22"/>
                <w:szCs w:val="22"/>
                <w:color w:val="auto"/>
              </w:rPr>
            </w:pPr>
          </w:p>
        </w:tc>
        <w:tc>
          <w:tcPr>
            <w:tcW w:w="20" w:type="dxa"/>
            <w:vAlign w:val="bottom"/>
          </w:tcPr>
          <w:p>
            <w:pPr>
              <w:spacing w:after="0"/>
              <w:rPr>
                <w:sz w:val="22"/>
                <w:szCs w:val="22"/>
                <w:color w:val="auto"/>
              </w:rPr>
            </w:pPr>
          </w:p>
        </w:tc>
        <w:tc>
          <w:tcPr>
            <w:tcW w:w="0" w:type="dxa"/>
            <w:vAlign w:val="bottom"/>
          </w:tcPr>
          <w:p>
            <w:pPr>
              <w:spacing w:after="0"/>
              <w:rPr>
                <w:sz w:val="1"/>
                <w:szCs w:val="1"/>
                <w:color w:val="auto"/>
              </w:rPr>
            </w:pPr>
          </w:p>
        </w:tc>
      </w:tr>
      <w:tr>
        <w:trPr>
          <w:trHeight w:val="113"/>
        </w:trPr>
        <w:tc>
          <w:tcPr>
            <w:tcW w:w="580" w:type="dxa"/>
            <w:vAlign w:val="bottom"/>
          </w:tcPr>
          <w:p>
            <w:pPr>
              <w:spacing w:after="0"/>
              <w:rPr>
                <w:sz w:val="9"/>
                <w:szCs w:val="9"/>
                <w:color w:val="auto"/>
              </w:rPr>
            </w:pPr>
          </w:p>
        </w:tc>
        <w:tc>
          <w:tcPr>
            <w:tcW w:w="1140" w:type="dxa"/>
            <w:vAlign w:val="bottom"/>
          </w:tcPr>
          <w:p>
            <w:pPr>
              <w:spacing w:after="0"/>
              <w:rPr>
                <w:sz w:val="9"/>
                <w:szCs w:val="9"/>
                <w:color w:val="auto"/>
              </w:rPr>
            </w:pPr>
          </w:p>
        </w:tc>
        <w:tc>
          <w:tcPr>
            <w:tcW w:w="800" w:type="dxa"/>
            <w:vAlign w:val="bottom"/>
          </w:tcPr>
          <w:p>
            <w:pPr>
              <w:spacing w:after="0"/>
              <w:rPr>
                <w:sz w:val="9"/>
                <w:szCs w:val="9"/>
                <w:color w:val="auto"/>
              </w:rPr>
            </w:pPr>
          </w:p>
        </w:tc>
        <w:tc>
          <w:tcPr>
            <w:tcW w:w="740" w:type="dxa"/>
            <w:vAlign w:val="bottom"/>
          </w:tcPr>
          <w:p>
            <w:pPr>
              <w:spacing w:after="0"/>
              <w:rPr>
                <w:sz w:val="9"/>
                <w:szCs w:val="9"/>
                <w:color w:val="auto"/>
              </w:rPr>
            </w:pPr>
          </w:p>
        </w:tc>
        <w:tc>
          <w:tcPr>
            <w:tcW w:w="740" w:type="dxa"/>
            <w:vAlign w:val="bottom"/>
          </w:tcPr>
          <w:p>
            <w:pPr>
              <w:spacing w:after="0"/>
              <w:rPr>
                <w:sz w:val="9"/>
                <w:szCs w:val="9"/>
                <w:color w:val="auto"/>
              </w:rPr>
            </w:pPr>
          </w:p>
        </w:tc>
        <w:tc>
          <w:tcPr>
            <w:tcW w:w="900" w:type="dxa"/>
            <w:vAlign w:val="bottom"/>
            <w:gridSpan w:val="2"/>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560" w:type="dxa"/>
            <w:vAlign w:val="bottom"/>
            <w:gridSpan w:val="2"/>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40" w:type="dxa"/>
            <w:vAlign w:val="bottom"/>
          </w:tcPr>
          <w:p>
            <w:pPr>
              <w:spacing w:after="0"/>
              <w:rPr>
                <w:sz w:val="9"/>
                <w:szCs w:val="9"/>
                <w:color w:val="auto"/>
              </w:rPr>
            </w:pPr>
          </w:p>
        </w:tc>
        <w:tc>
          <w:tcPr>
            <w:tcW w:w="740" w:type="dxa"/>
            <w:vAlign w:val="bottom"/>
          </w:tcPr>
          <w:p>
            <w:pPr>
              <w:spacing w:after="0"/>
              <w:rPr>
                <w:sz w:val="9"/>
                <w:szCs w:val="9"/>
                <w:color w:val="auto"/>
              </w:rPr>
            </w:pPr>
          </w:p>
        </w:tc>
        <w:tc>
          <w:tcPr>
            <w:tcW w:w="80" w:type="dxa"/>
            <w:vAlign w:val="bottom"/>
          </w:tcPr>
          <w:p>
            <w:pPr>
              <w:spacing w:after="0"/>
              <w:rPr>
                <w:sz w:val="9"/>
                <w:szCs w:val="9"/>
                <w:color w:val="auto"/>
              </w:rPr>
            </w:pPr>
          </w:p>
        </w:tc>
        <w:tc>
          <w:tcPr>
            <w:tcW w:w="820" w:type="dxa"/>
            <w:vAlign w:val="bottom"/>
          </w:tcPr>
          <w:p>
            <w:pPr>
              <w:jc w:val="right"/>
              <w:ind w:right="112"/>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80" w:type="dxa"/>
            <w:vAlign w:val="bottom"/>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80" w:type="dxa"/>
            <w:vAlign w:val="bottom"/>
          </w:tcPr>
          <w:p>
            <w:pPr>
              <w:spacing w:after="0"/>
              <w:rPr>
                <w:sz w:val="9"/>
                <w:szCs w:val="9"/>
                <w:color w:val="auto"/>
              </w:rPr>
            </w:pPr>
          </w:p>
        </w:tc>
        <w:tc>
          <w:tcPr>
            <w:tcW w:w="560" w:type="dxa"/>
            <w:vAlign w:val="bottom"/>
          </w:tcPr>
          <w:p>
            <w:pPr>
              <w:spacing w:after="0"/>
              <w:rPr>
                <w:sz w:val="9"/>
                <w:szCs w:val="9"/>
                <w:color w:val="auto"/>
              </w:rPr>
            </w:pPr>
          </w:p>
        </w:tc>
        <w:tc>
          <w:tcPr>
            <w:tcW w:w="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09"/>
        </w:trPr>
        <w:tc>
          <w:tcPr>
            <w:tcW w:w="58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140" w:type="dxa"/>
            <w:vAlign w:val="bottom"/>
          </w:tcPr>
          <w:p>
            <w:pPr>
              <w:spacing w:after="0"/>
              <w:rPr>
                <w:sz w:val="9"/>
                <w:szCs w:val="9"/>
                <w:color w:val="auto"/>
              </w:rPr>
            </w:pPr>
          </w:p>
        </w:tc>
        <w:tc>
          <w:tcPr>
            <w:tcW w:w="800" w:type="dxa"/>
            <w:vAlign w:val="bottom"/>
          </w:tcPr>
          <w:p>
            <w:pPr>
              <w:spacing w:after="0"/>
              <w:rPr>
                <w:sz w:val="9"/>
                <w:szCs w:val="9"/>
                <w:color w:val="auto"/>
              </w:rPr>
            </w:pPr>
          </w:p>
        </w:tc>
        <w:tc>
          <w:tcPr>
            <w:tcW w:w="740" w:type="dxa"/>
            <w:vAlign w:val="bottom"/>
          </w:tcPr>
          <w:p>
            <w:pPr>
              <w:spacing w:after="0"/>
              <w:rPr>
                <w:sz w:val="9"/>
                <w:szCs w:val="9"/>
                <w:color w:val="auto"/>
              </w:rPr>
            </w:pPr>
          </w:p>
        </w:tc>
        <w:tc>
          <w:tcPr>
            <w:tcW w:w="740" w:type="dxa"/>
            <w:vAlign w:val="bottom"/>
          </w:tcPr>
          <w:p>
            <w:pPr>
              <w:spacing w:after="0"/>
              <w:rPr>
                <w:sz w:val="9"/>
                <w:szCs w:val="9"/>
                <w:color w:val="auto"/>
              </w:rPr>
            </w:pPr>
          </w:p>
        </w:tc>
        <w:tc>
          <w:tcPr>
            <w:tcW w:w="900" w:type="dxa"/>
            <w:vAlign w:val="bottom"/>
            <w:gridSpan w:val="2"/>
          </w:tcPr>
          <w:p>
            <w:pPr>
              <w:jc w:val="right"/>
              <w:ind w:right="171"/>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100" w:type="dxa"/>
            <w:vAlign w:val="bottom"/>
          </w:tcPr>
          <w:p>
            <w:pPr>
              <w:spacing w:after="0"/>
              <w:rPr>
                <w:sz w:val="9"/>
                <w:szCs w:val="9"/>
                <w:color w:val="auto"/>
              </w:rPr>
            </w:pPr>
          </w:p>
        </w:tc>
        <w:tc>
          <w:tcPr>
            <w:tcW w:w="4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OPEB</w:t>
            </w:r>
          </w:p>
        </w:tc>
        <w:tc>
          <w:tcPr>
            <w:tcW w:w="740" w:type="dxa"/>
            <w:vAlign w:val="bottom"/>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74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c>
          <w:tcPr>
            <w:tcW w:w="80" w:type="dxa"/>
            <w:vAlign w:val="bottom"/>
          </w:tcPr>
          <w:p>
            <w:pPr>
              <w:spacing w:after="0"/>
              <w:rPr>
                <w:sz w:val="9"/>
                <w:szCs w:val="9"/>
                <w:color w:val="auto"/>
              </w:rPr>
            </w:pPr>
          </w:p>
        </w:tc>
        <w:tc>
          <w:tcPr>
            <w:tcW w:w="820" w:type="dxa"/>
            <w:vAlign w:val="bottom"/>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OPEB</w:t>
            </w:r>
          </w:p>
        </w:tc>
        <w:tc>
          <w:tcPr>
            <w:tcW w:w="780" w:type="dxa"/>
            <w:vAlign w:val="bottom"/>
          </w:tcPr>
          <w:p>
            <w:pPr>
              <w:jc w:val="right"/>
              <w:ind w:right="190"/>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580" w:type="dxa"/>
            <w:vAlign w:val="bottom"/>
            <w:gridSpan w:val="2"/>
          </w:tcPr>
          <w:p>
            <w:pPr>
              <w:jc w:val="right"/>
              <w:ind w:right="6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0" w:type="dxa"/>
            <w:vAlign w:val="bottom"/>
          </w:tcPr>
          <w:p>
            <w:pPr>
              <w:spacing w:after="0"/>
              <w:rPr>
                <w:sz w:val="1"/>
                <w:szCs w:val="1"/>
                <w:color w:val="auto"/>
              </w:rPr>
            </w:pPr>
          </w:p>
        </w:tc>
      </w:tr>
      <w:tr>
        <w:trPr>
          <w:trHeight w:val="140"/>
        </w:trPr>
        <w:tc>
          <w:tcPr>
            <w:tcW w:w="580" w:type="dxa"/>
            <w:vAlign w:val="bottom"/>
            <w:tcBorders>
              <w:top w:val="single" w:sz="8" w:color="005AFF"/>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w:t>
            </w:r>
          </w:p>
        </w:tc>
        <w:tc>
          <w:tcPr>
            <w:tcW w:w="1140" w:type="dxa"/>
            <w:vAlign w:val="bottom"/>
            <w:tcBorders>
              <w:top w:val="single" w:sz="8" w:color="005AFF"/>
              <w:bottom w:val="single" w:sz="8" w:color="005AFF"/>
            </w:tcBorders>
          </w:tcPr>
          <w:p>
            <w:pPr>
              <w:spacing w:after="0"/>
              <w:rPr>
                <w:sz w:val="12"/>
                <w:szCs w:val="12"/>
                <w:color w:val="auto"/>
              </w:rPr>
            </w:pPr>
          </w:p>
        </w:tc>
        <w:tc>
          <w:tcPr>
            <w:tcW w:w="800" w:type="dxa"/>
            <w:vAlign w:val="bottom"/>
            <w:tcBorders>
              <w:top w:val="single" w:sz="8" w:color="005AFF"/>
              <w:bottom w:val="single" w:sz="8" w:color="005AFF"/>
            </w:tcBorders>
          </w:tcPr>
          <w:p>
            <w:pPr>
              <w:spacing w:after="0"/>
              <w:rPr>
                <w:sz w:val="12"/>
                <w:szCs w:val="12"/>
                <w:color w:val="auto"/>
              </w:rPr>
            </w:pPr>
          </w:p>
        </w:tc>
        <w:tc>
          <w:tcPr>
            <w:tcW w:w="740" w:type="dxa"/>
            <w:vAlign w:val="bottom"/>
            <w:tcBorders>
              <w:top w:val="single" w:sz="8" w:color="005AFF"/>
              <w:bottom w:val="single" w:sz="8" w:color="005AFF"/>
            </w:tcBorders>
          </w:tcPr>
          <w:p>
            <w:pPr>
              <w:spacing w:after="0"/>
              <w:rPr>
                <w:sz w:val="12"/>
                <w:szCs w:val="12"/>
                <w:color w:val="auto"/>
              </w:rPr>
            </w:pPr>
          </w:p>
        </w:tc>
        <w:tc>
          <w:tcPr>
            <w:tcW w:w="740" w:type="dxa"/>
            <w:vAlign w:val="bottom"/>
            <w:tcBorders>
              <w:top w:val="single" w:sz="8" w:color="005AFF"/>
              <w:bottom w:val="single" w:sz="8" w:color="005AFF"/>
            </w:tcBorders>
          </w:tcPr>
          <w:p>
            <w:pPr>
              <w:spacing w:after="0"/>
              <w:rPr>
                <w:sz w:val="12"/>
                <w:szCs w:val="12"/>
                <w:color w:val="auto"/>
              </w:rPr>
            </w:pPr>
          </w:p>
        </w:tc>
        <w:tc>
          <w:tcPr>
            <w:tcW w:w="900" w:type="dxa"/>
            <w:vAlign w:val="bottom"/>
            <w:tcBorders>
              <w:top w:val="single" w:sz="8" w:color="005AFF"/>
              <w:bottom w:val="single" w:sz="8" w:color="005AFF"/>
            </w:tcBorders>
            <w:gridSpan w:val="2"/>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b w:val="1"/>
                <w:bCs w:val="1"/>
                <w:color w:val="005AFF"/>
              </w:rPr>
              <w:t>(12 340)</w:t>
            </w:r>
          </w:p>
        </w:tc>
        <w:tc>
          <w:tcPr>
            <w:tcW w:w="560" w:type="dxa"/>
            <w:vAlign w:val="bottom"/>
            <w:tcBorders>
              <w:top w:val="single" w:sz="8" w:color="005AFF"/>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(1 615)</w:t>
            </w:r>
          </w:p>
        </w:tc>
        <w:tc>
          <w:tcPr>
            <w:tcW w:w="740" w:type="dxa"/>
            <w:vAlign w:val="bottom"/>
            <w:tcBorders>
              <w:top w:val="single" w:sz="8" w:color="005AFF"/>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(4 357)</w:t>
            </w:r>
          </w:p>
        </w:tc>
        <w:tc>
          <w:tcPr>
            <w:tcW w:w="740" w:type="dxa"/>
            <w:vAlign w:val="bottom"/>
            <w:tcBorders>
              <w:top w:val="single" w:sz="8" w:color="005AFF"/>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(18 312)</w:t>
            </w:r>
          </w:p>
        </w:tc>
        <w:tc>
          <w:tcPr>
            <w:tcW w:w="900" w:type="dxa"/>
            <w:vAlign w:val="bottom"/>
            <w:tcBorders>
              <w:top w:val="single" w:sz="8" w:color="005AFF"/>
              <w:bottom w:val="single" w:sz="8" w:color="005AFF"/>
            </w:tcBorders>
            <w:gridSpan w:val="2"/>
          </w:tcPr>
          <w:p>
            <w:pPr>
              <w:jc w:val="right"/>
              <w:ind w:right="92"/>
              <w:spacing w:after="0"/>
              <w:rPr>
                <w:sz w:val="20"/>
                <w:szCs w:val="20"/>
                <w:color w:val="auto"/>
              </w:rPr>
            </w:pPr>
            <w:r>
              <w:rPr>
                <w:rFonts w:ascii="Times New Roman" w:cs="Times New Roman" w:eastAsia="Times New Roman" w:hAnsi="Times New Roman"/>
                <w:sz w:val="10"/>
                <w:szCs w:val="10"/>
                <w:b w:val="1"/>
                <w:bCs w:val="1"/>
                <w:color w:val="auto"/>
              </w:rPr>
              <w:t>(14 892)</w:t>
            </w:r>
          </w:p>
        </w:tc>
        <w:tc>
          <w:tcPr>
            <w:tcW w:w="780" w:type="dxa"/>
            <w:vAlign w:val="bottom"/>
            <w:tcBorders>
              <w:top w:val="single" w:sz="8" w:color="005AFF"/>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(2 015)</w:t>
            </w:r>
          </w:p>
        </w:tc>
        <w:tc>
          <w:tcPr>
            <w:tcW w:w="780" w:type="dxa"/>
            <w:vAlign w:val="bottom"/>
            <w:tcBorders>
              <w:top w:val="single" w:sz="8" w:color="005AFF"/>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(5 797)</w:t>
            </w:r>
          </w:p>
        </w:tc>
        <w:tc>
          <w:tcPr>
            <w:tcW w:w="560" w:type="dxa"/>
            <w:vAlign w:val="bottom"/>
            <w:tcBorders>
              <w:top w:val="single" w:sz="8" w:color="005AFF"/>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(22 704)</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7"/>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Current service cost</w:t>
            </w:r>
          </w:p>
        </w:tc>
        <w:tc>
          <w:tcPr>
            <w:tcW w:w="80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900" w:type="dxa"/>
            <w:vAlign w:val="bottom"/>
            <w:gridSpan w:val="2"/>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(83)</w:t>
            </w:r>
          </w:p>
        </w:tc>
        <w:tc>
          <w:tcPr>
            <w:tcW w:w="100" w:type="dxa"/>
            <w:vAlign w:val="bottom"/>
            <w:shd w:val="clear" w:color="auto" w:fill="F0F5FF"/>
          </w:tcPr>
          <w:p>
            <w:pPr>
              <w:spacing w:after="0"/>
              <w:rPr>
                <w:sz w:val="11"/>
                <w:szCs w:val="11"/>
                <w:color w:val="auto"/>
              </w:rPr>
            </w:pPr>
          </w:p>
        </w:tc>
        <w:tc>
          <w:tcPr>
            <w:tcW w:w="4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(74)</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(157)</w:t>
            </w:r>
          </w:p>
        </w:tc>
        <w:tc>
          <w:tcPr>
            <w:tcW w:w="900" w:type="dxa"/>
            <w:vAlign w:val="bottom"/>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(113)</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(92)</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(205)</w:t>
            </w:r>
          </w:p>
        </w:tc>
        <w:tc>
          <w:tcPr>
            <w:tcW w:w="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Interest expense</w:t>
            </w:r>
          </w:p>
        </w:tc>
        <w:tc>
          <w:tcPr>
            <w:tcW w:w="80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900" w:type="dxa"/>
            <w:vAlign w:val="bottom"/>
            <w:gridSpan w:val="2"/>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(563)</w:t>
            </w:r>
          </w:p>
        </w:tc>
        <w:tc>
          <w:tcPr>
            <w:tcW w:w="56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(73)</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(173)</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(809)</w:t>
            </w:r>
          </w:p>
        </w:tc>
        <w:tc>
          <w:tcPr>
            <w:tcW w:w="900" w:type="dxa"/>
            <w:vAlign w:val="bottom"/>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(363)</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(50)</w:t>
            </w:r>
          </w:p>
        </w:tc>
        <w:tc>
          <w:tcPr>
            <w:tcW w:w="78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(94)</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(507)</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Past service cost</w:t>
            </w:r>
          </w:p>
        </w:tc>
        <w:tc>
          <w:tcPr>
            <w:tcW w:w="80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900" w:type="dxa"/>
            <w:vAlign w:val="bottom"/>
            <w:gridSpan w:val="2"/>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(9)</w:t>
            </w:r>
          </w:p>
        </w:tc>
        <w:tc>
          <w:tcPr>
            <w:tcW w:w="100" w:type="dxa"/>
            <w:vAlign w:val="bottom"/>
            <w:shd w:val="clear" w:color="auto" w:fill="F0F5FF"/>
          </w:tcPr>
          <w:p>
            <w:pPr>
              <w:spacing w:after="0"/>
              <w:rPr>
                <w:sz w:val="14"/>
                <w:szCs w:val="14"/>
                <w:color w:val="auto"/>
              </w:rPr>
            </w:pPr>
          </w:p>
        </w:tc>
        <w:tc>
          <w:tcPr>
            <w:tcW w:w="4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80" w:type="dxa"/>
            <w:vAlign w:val="bottom"/>
          </w:tcPr>
          <w:p>
            <w:pPr>
              <w:spacing w:after="0"/>
              <w:rPr>
                <w:sz w:val="14"/>
                <w:szCs w:val="14"/>
                <w:color w:val="auto"/>
              </w:rPr>
            </w:pPr>
          </w:p>
        </w:tc>
        <w:tc>
          <w:tcPr>
            <w:tcW w:w="82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2</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7"/>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Settlements</w:t>
            </w:r>
          </w:p>
        </w:tc>
        <w:tc>
          <w:tcPr>
            <w:tcW w:w="1140" w:type="dxa"/>
            <w:vAlign w:val="bottom"/>
            <w:tcBorders>
              <w:bottom w:val="single" w:sz="8" w:color="005AFF"/>
            </w:tcBorders>
          </w:tcPr>
          <w:p>
            <w:pPr>
              <w:jc w:val="right"/>
              <w:ind w:right="1018"/>
              <w:spacing w:after="0"/>
              <w:rPr>
                <w:sz w:val="20"/>
                <w:szCs w:val="20"/>
                <w:color w:val="auto"/>
              </w:rPr>
            </w:pPr>
            <w:r>
              <w:rPr>
                <w:rFonts w:ascii="Times New Roman" w:cs="Times New Roman" w:eastAsia="Times New Roman" w:hAnsi="Times New Roman"/>
                <w:sz w:val="7"/>
                <w:szCs w:val="7"/>
                <w:color w:val="0D0D0D"/>
                <w:w w:val="72"/>
              </w:rPr>
              <w:t>(1)</w:t>
            </w:r>
          </w:p>
        </w:tc>
        <w:tc>
          <w:tcPr>
            <w:tcW w:w="80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460" w:type="dxa"/>
            <w:vAlign w:val="bottom"/>
            <w:tcBorders>
              <w:bottom w:val="single" w:sz="8" w:color="005AFF"/>
            </w:tcBorders>
            <w:shd w:val="clear" w:color="auto" w:fill="F0F5FF"/>
          </w:tcPr>
          <w:p>
            <w:pPr>
              <w:spacing w:after="0"/>
              <w:rPr>
                <w:sz w:val="14"/>
                <w:szCs w:val="14"/>
                <w:color w:val="auto"/>
              </w:rPr>
            </w:pPr>
          </w:p>
        </w:tc>
        <w:tc>
          <w:tcPr>
            <w:tcW w:w="440" w:type="dxa"/>
            <w:vAlign w:val="bottom"/>
            <w:tcBorders>
              <w:bottom w:val="single" w:sz="8" w:color="005AFF"/>
            </w:tcBorders>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w:t>
            </w:r>
          </w:p>
        </w:tc>
        <w:tc>
          <w:tcPr>
            <w:tcW w:w="100" w:type="dxa"/>
            <w:vAlign w:val="bottom"/>
            <w:tcBorders>
              <w:bottom w:val="single" w:sz="8" w:color="005AFF"/>
            </w:tcBorders>
            <w:shd w:val="clear" w:color="auto" w:fill="F0F5FF"/>
          </w:tcPr>
          <w:p>
            <w:pPr>
              <w:spacing w:after="0"/>
              <w:rPr>
                <w:sz w:val="14"/>
                <w:szCs w:val="14"/>
                <w:color w:val="auto"/>
              </w:rPr>
            </w:pPr>
          </w:p>
        </w:tc>
        <w:tc>
          <w:tcPr>
            <w:tcW w:w="4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501</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501</w:t>
            </w:r>
          </w:p>
        </w:tc>
        <w:tc>
          <w:tcPr>
            <w:tcW w:w="8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54</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54</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114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900" w:type="dxa"/>
            <w:vAlign w:val="bottom"/>
            <w:tcBorders>
              <w:bottom w:val="single" w:sz="8" w:color="005AFF"/>
            </w:tcBorders>
            <w:gridSpan w:val="2"/>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(655)</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(73)</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257</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(471)</w:t>
            </w:r>
          </w:p>
        </w:tc>
        <w:tc>
          <w:tcPr>
            <w:tcW w:w="900" w:type="dxa"/>
            <w:vAlign w:val="bottom"/>
            <w:tcBorders>
              <w:bottom w:val="single" w:sz="8" w:color="005AFF"/>
            </w:tcBorders>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(476)</w:t>
            </w:r>
          </w:p>
        </w:tc>
        <w:tc>
          <w:tcPr>
            <w:tcW w:w="7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(50)</w:t>
            </w:r>
          </w:p>
        </w:tc>
        <w:tc>
          <w:tcPr>
            <w:tcW w:w="78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(130)</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(656)</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7"/>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Remeasurements:</w:t>
            </w:r>
          </w:p>
        </w:tc>
        <w:tc>
          <w:tcPr>
            <w:tcW w:w="80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46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100" w:type="dxa"/>
            <w:vAlign w:val="bottom"/>
            <w:shd w:val="clear" w:color="auto" w:fill="F0F5FF"/>
          </w:tcPr>
          <w:p>
            <w:pPr>
              <w:spacing w:after="0"/>
              <w:rPr>
                <w:sz w:val="11"/>
                <w:szCs w:val="11"/>
                <w:color w:val="auto"/>
              </w:rPr>
            </w:pPr>
          </w:p>
        </w:tc>
        <w:tc>
          <w:tcPr>
            <w:tcW w:w="460" w:type="dxa"/>
            <w:vAlign w:val="bottom"/>
            <w:shd w:val="clear" w:color="auto" w:fill="F0F5FF"/>
          </w:tcPr>
          <w:p>
            <w:pPr>
              <w:spacing w:after="0"/>
              <w:rPr>
                <w:sz w:val="11"/>
                <w:szCs w:val="11"/>
                <w:color w:val="auto"/>
              </w:rPr>
            </w:pPr>
          </w:p>
        </w:tc>
        <w:tc>
          <w:tcPr>
            <w:tcW w:w="740" w:type="dxa"/>
            <w:vAlign w:val="bottom"/>
            <w:shd w:val="clear" w:color="auto" w:fill="F0F5FF"/>
          </w:tcPr>
          <w:p>
            <w:pPr>
              <w:spacing w:after="0"/>
              <w:rPr>
                <w:sz w:val="11"/>
                <w:szCs w:val="11"/>
                <w:color w:val="auto"/>
              </w:rPr>
            </w:pPr>
          </w:p>
        </w:tc>
        <w:tc>
          <w:tcPr>
            <w:tcW w:w="740" w:type="dxa"/>
            <w:vAlign w:val="bottom"/>
            <w:shd w:val="clear" w:color="auto" w:fill="F0F5FF"/>
          </w:tcPr>
          <w:p>
            <w:pPr>
              <w:spacing w:after="0"/>
              <w:rPr>
                <w:sz w:val="11"/>
                <w:szCs w:val="11"/>
                <w:color w:val="auto"/>
              </w:rPr>
            </w:pPr>
          </w:p>
        </w:tc>
        <w:tc>
          <w:tcPr>
            <w:tcW w:w="8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2520" w:type="dxa"/>
            <w:vAlign w:val="bottom"/>
            <w:gridSpan w:val="3"/>
          </w:tcPr>
          <w:p>
            <w:pPr>
              <w:ind w:left="200"/>
              <w:spacing w:after="0"/>
              <w:rPr>
                <w:sz w:val="20"/>
                <w:szCs w:val="20"/>
                <w:color w:val="auto"/>
              </w:rPr>
            </w:pPr>
            <w:r>
              <w:rPr>
                <w:rFonts w:ascii="Times New Roman" w:cs="Times New Roman" w:eastAsia="Times New Roman" w:hAnsi="Times New Roman"/>
                <w:sz w:val="10"/>
                <w:szCs w:val="10"/>
                <w:color w:val="0D0D0D"/>
              </w:rPr>
              <w:t>Gain/(loss) from change in demographic assumptions</w:t>
            </w: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900" w:type="dxa"/>
            <w:vAlign w:val="bottom"/>
            <w:gridSpan w:val="2"/>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66</w:t>
            </w:r>
          </w:p>
        </w:tc>
        <w:tc>
          <w:tcPr>
            <w:tcW w:w="56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55</w:t>
            </w:r>
          </w:p>
        </w:tc>
        <w:tc>
          <w:tcPr>
            <w:tcW w:w="80" w:type="dxa"/>
            <w:vAlign w:val="bottom"/>
          </w:tcPr>
          <w:p>
            <w:pPr>
              <w:spacing w:after="0"/>
              <w:rPr>
                <w:sz w:val="14"/>
                <w:szCs w:val="14"/>
                <w:color w:val="auto"/>
              </w:rPr>
            </w:pPr>
          </w:p>
        </w:tc>
        <w:tc>
          <w:tcPr>
            <w:tcW w:w="82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(6)</w:t>
            </w:r>
          </w:p>
        </w:tc>
        <w:tc>
          <w:tcPr>
            <w:tcW w:w="78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2</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2520" w:type="dxa"/>
            <w:vAlign w:val="bottom"/>
            <w:gridSpan w:val="3"/>
          </w:tcPr>
          <w:p>
            <w:pPr>
              <w:ind w:left="200"/>
              <w:spacing w:after="0"/>
              <w:rPr>
                <w:sz w:val="20"/>
                <w:szCs w:val="20"/>
                <w:color w:val="auto"/>
              </w:rPr>
            </w:pPr>
            <w:r>
              <w:rPr>
                <w:rFonts w:ascii="Times New Roman" w:cs="Times New Roman" w:eastAsia="Times New Roman" w:hAnsi="Times New Roman"/>
                <w:sz w:val="10"/>
                <w:szCs w:val="10"/>
                <w:color w:val="0D0D0D"/>
              </w:rPr>
              <w:t>(Loss)/gain from change in financial assumptions</w:t>
            </w: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900" w:type="dxa"/>
            <w:vAlign w:val="bottom"/>
            <w:gridSpan w:val="2"/>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(114)</w:t>
            </w:r>
          </w:p>
        </w:tc>
        <w:tc>
          <w:tcPr>
            <w:tcW w:w="56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(161)</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(301)</w:t>
            </w:r>
          </w:p>
        </w:tc>
        <w:tc>
          <w:tcPr>
            <w:tcW w:w="900" w:type="dxa"/>
            <w:vAlign w:val="bottom"/>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2 689</w:t>
            </w:r>
          </w:p>
        </w:tc>
        <w:tc>
          <w:tcPr>
            <w:tcW w:w="78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398</w:t>
            </w:r>
          </w:p>
        </w:tc>
        <w:tc>
          <w:tcPr>
            <w:tcW w:w="780" w:type="dxa"/>
            <w:vAlign w:val="bottom"/>
          </w:tcPr>
          <w:p>
            <w:pPr>
              <w:jc w:val="right"/>
              <w:ind w:right="190"/>
              <w:spacing w:after="0"/>
              <w:rPr>
                <w:sz w:val="20"/>
                <w:szCs w:val="20"/>
                <w:color w:val="auto"/>
              </w:rPr>
            </w:pPr>
            <w:r>
              <w:rPr>
                <w:rFonts w:ascii="Times New Roman" w:cs="Times New Roman" w:eastAsia="Times New Roman" w:hAnsi="Times New Roman"/>
                <w:sz w:val="10"/>
                <w:szCs w:val="10"/>
                <w:color w:val="0D0D0D"/>
              </w:rPr>
              <w:t>1 447</w:t>
            </w:r>
          </w:p>
        </w:tc>
        <w:tc>
          <w:tcPr>
            <w:tcW w:w="5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4 534</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7"/>
        </w:trPr>
        <w:tc>
          <w:tcPr>
            <w:tcW w:w="1720" w:type="dxa"/>
            <w:vAlign w:val="bottom"/>
            <w:tcBorders>
              <w:bottom w:val="single" w:sz="8" w:color="005AFF"/>
            </w:tcBorders>
            <w:gridSpan w:val="2"/>
          </w:tcPr>
          <w:p>
            <w:pPr>
              <w:ind w:left="200"/>
              <w:spacing w:after="0"/>
              <w:rPr>
                <w:sz w:val="20"/>
                <w:szCs w:val="20"/>
                <w:color w:val="auto"/>
              </w:rPr>
            </w:pPr>
            <w:r>
              <w:rPr>
                <w:rFonts w:ascii="Times New Roman" w:cs="Times New Roman" w:eastAsia="Times New Roman" w:hAnsi="Times New Roman"/>
                <w:sz w:val="10"/>
                <w:szCs w:val="10"/>
                <w:color w:val="0D0D0D"/>
              </w:rPr>
              <w:t>Experience (loss)/gain</w:t>
            </w:r>
          </w:p>
        </w:tc>
        <w:tc>
          <w:tcPr>
            <w:tcW w:w="80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900" w:type="dxa"/>
            <w:vAlign w:val="bottom"/>
            <w:tcBorders>
              <w:bottom w:val="single" w:sz="8" w:color="005AFF"/>
            </w:tcBorders>
            <w:gridSpan w:val="2"/>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(43)</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900" w:type="dxa"/>
            <w:vAlign w:val="bottom"/>
            <w:tcBorders>
              <w:bottom w:val="single" w:sz="8" w:color="005AFF"/>
            </w:tcBorders>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(159)</w:t>
            </w:r>
          </w:p>
        </w:tc>
        <w:tc>
          <w:tcPr>
            <w:tcW w:w="7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(12)</w:t>
            </w:r>
          </w:p>
        </w:tc>
        <w:tc>
          <w:tcPr>
            <w:tcW w:w="78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color w:val="0D0D0D"/>
              </w:rPr>
              <w:t>(149)</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(320)</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114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900" w:type="dxa"/>
            <w:vAlign w:val="bottom"/>
            <w:tcBorders>
              <w:bottom w:val="single" w:sz="8" w:color="005AFF"/>
            </w:tcBorders>
            <w:gridSpan w:val="2"/>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(91)</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(184)</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(272)</w:t>
            </w:r>
          </w:p>
        </w:tc>
        <w:tc>
          <w:tcPr>
            <w:tcW w:w="900" w:type="dxa"/>
            <w:vAlign w:val="bottom"/>
            <w:tcBorders>
              <w:bottom w:val="single" w:sz="8" w:color="005AFF"/>
            </w:tcBorders>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2 530</w:t>
            </w:r>
          </w:p>
        </w:tc>
        <w:tc>
          <w:tcPr>
            <w:tcW w:w="78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color w:val="0D0D0D"/>
              </w:rPr>
              <w:t>380</w:t>
            </w:r>
          </w:p>
        </w:tc>
        <w:tc>
          <w:tcPr>
            <w:tcW w:w="78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1 300</w:t>
            </w:r>
          </w:p>
        </w:tc>
        <w:tc>
          <w:tcPr>
            <w:tcW w:w="56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4 210</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37"/>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80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900" w:type="dxa"/>
            <w:vAlign w:val="bottom"/>
            <w:gridSpan w:val="2"/>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431</w:t>
            </w:r>
          </w:p>
        </w:tc>
        <w:tc>
          <w:tcPr>
            <w:tcW w:w="56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57</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476</w:t>
            </w:r>
          </w:p>
        </w:tc>
        <w:tc>
          <w:tcPr>
            <w:tcW w:w="900" w:type="dxa"/>
            <w:vAlign w:val="bottom"/>
            <w:gridSpan w:val="2"/>
          </w:tcPr>
          <w:p>
            <w:pPr>
              <w:jc w:val="right"/>
              <w:ind w:right="72"/>
              <w:spacing w:after="0"/>
              <w:rPr>
                <w:sz w:val="20"/>
                <w:szCs w:val="20"/>
                <w:color w:val="auto"/>
              </w:rPr>
            </w:pPr>
            <w:r>
              <w:rPr>
                <w:rFonts w:ascii="Times New Roman" w:cs="Times New Roman" w:eastAsia="Times New Roman" w:hAnsi="Times New Roman"/>
                <w:sz w:val="10"/>
                <w:szCs w:val="10"/>
                <w:color w:val="0D0D0D"/>
              </w:rPr>
              <w:t>(869)</w:t>
            </w:r>
          </w:p>
        </w:tc>
        <w:tc>
          <w:tcPr>
            <w:tcW w:w="7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(114)</w:t>
            </w:r>
          </w:p>
        </w:tc>
        <w:tc>
          <w:tcPr>
            <w:tcW w:w="78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54</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(929)</w:t>
            </w:r>
          </w:p>
        </w:tc>
        <w:tc>
          <w:tcPr>
            <w:tcW w:w="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72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Contributions from plan participants</w:t>
            </w:r>
          </w:p>
        </w:tc>
        <w:tc>
          <w:tcPr>
            <w:tcW w:w="80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460" w:type="dxa"/>
            <w:vAlign w:val="bottom"/>
            <w:shd w:val="clear" w:color="auto" w:fill="F0F5FF"/>
          </w:tcPr>
          <w:p>
            <w:pPr>
              <w:spacing w:after="0"/>
              <w:rPr>
                <w:sz w:val="14"/>
                <w:szCs w:val="14"/>
                <w:color w:val="auto"/>
              </w:rPr>
            </w:pPr>
          </w:p>
        </w:tc>
        <w:tc>
          <w:tcPr>
            <w:tcW w:w="440" w:type="dxa"/>
            <w:vAlign w:val="bottom"/>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(60)</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(84)</w:t>
            </w:r>
          </w:p>
        </w:tc>
        <w:tc>
          <w:tcPr>
            <w:tcW w:w="80" w:type="dxa"/>
            <w:vAlign w:val="bottom"/>
          </w:tcPr>
          <w:p>
            <w:pPr>
              <w:spacing w:after="0"/>
              <w:rPr>
                <w:sz w:val="14"/>
                <w:szCs w:val="14"/>
                <w:color w:val="auto"/>
              </w:rPr>
            </w:pPr>
          </w:p>
        </w:tc>
        <w:tc>
          <w:tcPr>
            <w:tcW w:w="820" w:type="dxa"/>
            <w:vAlign w:val="bottom"/>
          </w:tcPr>
          <w:p>
            <w:pPr>
              <w:jc w:val="right"/>
              <w:ind w:right="52"/>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(59)</w:t>
            </w:r>
          </w:p>
        </w:tc>
        <w:tc>
          <w:tcPr>
            <w:tcW w:w="78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(35)</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(94)</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7"/>
              </w:rPr>
              <w:t>Benefits paid</w:t>
            </w:r>
          </w:p>
        </w:tc>
        <w:tc>
          <w:tcPr>
            <w:tcW w:w="1140" w:type="dxa"/>
            <w:vAlign w:val="bottom"/>
          </w:tcPr>
          <w:p>
            <w:pPr>
              <w:spacing w:after="0"/>
              <w:rPr>
                <w:sz w:val="14"/>
                <w:szCs w:val="14"/>
                <w:color w:val="auto"/>
              </w:rPr>
            </w:pPr>
          </w:p>
        </w:tc>
        <w:tc>
          <w:tcPr>
            <w:tcW w:w="80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900" w:type="dxa"/>
            <w:vAlign w:val="bottom"/>
            <w:gridSpan w:val="2"/>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1 330</w:t>
            </w:r>
          </w:p>
        </w:tc>
        <w:tc>
          <w:tcPr>
            <w:tcW w:w="560" w:type="dxa"/>
            <w:vAlign w:val="bottom"/>
            <w:gridSpan w:val="2"/>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229</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249</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1 808</w:t>
            </w:r>
          </w:p>
        </w:tc>
        <w:tc>
          <w:tcPr>
            <w:tcW w:w="900" w:type="dxa"/>
            <w:vAlign w:val="bottom"/>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1 367</w:t>
            </w:r>
          </w:p>
        </w:tc>
        <w:tc>
          <w:tcPr>
            <w:tcW w:w="78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253</w:t>
            </w:r>
          </w:p>
        </w:tc>
        <w:tc>
          <w:tcPr>
            <w:tcW w:w="780" w:type="dxa"/>
            <w:vAlign w:val="bottom"/>
          </w:tcPr>
          <w:p>
            <w:pPr>
              <w:jc w:val="right"/>
              <w:ind w:right="190"/>
              <w:spacing w:after="0"/>
              <w:rPr>
                <w:sz w:val="20"/>
                <w:szCs w:val="20"/>
                <w:color w:val="auto"/>
              </w:rPr>
            </w:pPr>
            <w:r>
              <w:rPr>
                <w:rFonts w:ascii="Times New Roman" w:cs="Times New Roman" w:eastAsia="Times New Roman" w:hAnsi="Times New Roman"/>
                <w:sz w:val="10"/>
                <w:szCs w:val="10"/>
                <w:color w:val="0D0D0D"/>
              </w:rPr>
              <w:t>240</w:t>
            </w:r>
          </w:p>
        </w:tc>
        <w:tc>
          <w:tcPr>
            <w:tcW w:w="5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1 860</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7"/>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114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spacing w:after="0"/>
              <w:rPr>
                <w:sz w:val="14"/>
                <w:szCs w:val="14"/>
                <w:color w:val="auto"/>
              </w:rPr>
            </w:pPr>
          </w:p>
        </w:tc>
        <w:tc>
          <w:tcPr>
            <w:tcW w:w="460" w:type="dxa"/>
            <w:vAlign w:val="bottom"/>
            <w:tcBorders>
              <w:bottom w:val="single" w:sz="8" w:color="005AFF"/>
            </w:tcBorders>
            <w:shd w:val="clear" w:color="auto" w:fill="F0F5FF"/>
          </w:tcPr>
          <w:p>
            <w:pPr>
              <w:spacing w:after="0"/>
              <w:rPr>
                <w:sz w:val="14"/>
                <w:szCs w:val="14"/>
                <w:color w:val="auto"/>
              </w:rPr>
            </w:pPr>
          </w:p>
        </w:tc>
        <w:tc>
          <w:tcPr>
            <w:tcW w:w="440" w:type="dxa"/>
            <w:vAlign w:val="bottom"/>
            <w:tcBorders>
              <w:bottom w:val="single" w:sz="8" w:color="005AFF"/>
            </w:tcBorders>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w:t>
            </w:r>
          </w:p>
        </w:tc>
        <w:tc>
          <w:tcPr>
            <w:tcW w:w="8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(10)</w:t>
            </w:r>
          </w:p>
        </w:tc>
        <w:tc>
          <w:tcPr>
            <w:tcW w:w="78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11</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114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900" w:type="dxa"/>
            <w:vAlign w:val="bottom"/>
            <w:tcBorders>
              <w:bottom w:val="single" w:sz="8" w:color="005AFF"/>
            </w:tcBorders>
            <w:gridSpan w:val="2"/>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1 761</w:t>
            </w:r>
          </w:p>
        </w:tc>
        <w:tc>
          <w:tcPr>
            <w:tcW w:w="560" w:type="dxa"/>
            <w:vAlign w:val="bottom"/>
            <w:tcBorders>
              <w:bottom w:val="single" w:sz="8" w:color="005AFF"/>
            </w:tcBorders>
            <w:gridSpan w:val="2"/>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214</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212</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2 187</w:t>
            </w:r>
          </w:p>
        </w:tc>
        <w:tc>
          <w:tcPr>
            <w:tcW w:w="900" w:type="dxa"/>
            <w:vAlign w:val="bottom"/>
            <w:tcBorders>
              <w:bottom w:val="single" w:sz="8" w:color="005AFF"/>
            </w:tcBorders>
            <w:gridSpan w:val="2"/>
          </w:tcPr>
          <w:p>
            <w:pPr>
              <w:jc w:val="right"/>
              <w:ind w:right="112"/>
              <w:spacing w:after="0"/>
              <w:rPr>
                <w:sz w:val="20"/>
                <w:szCs w:val="20"/>
                <w:color w:val="auto"/>
              </w:rPr>
            </w:pPr>
            <w:r>
              <w:rPr>
                <w:rFonts w:ascii="Times New Roman" w:cs="Times New Roman" w:eastAsia="Times New Roman" w:hAnsi="Times New Roman"/>
                <w:sz w:val="10"/>
                <w:szCs w:val="10"/>
                <w:color w:val="0D0D0D"/>
              </w:rPr>
              <w:t>498</w:t>
            </w:r>
          </w:p>
        </w:tc>
        <w:tc>
          <w:tcPr>
            <w:tcW w:w="78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70</w:t>
            </w:r>
          </w:p>
        </w:tc>
        <w:tc>
          <w:tcPr>
            <w:tcW w:w="78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color w:val="0D0D0D"/>
              </w:rPr>
              <w:t>270</w:t>
            </w:r>
          </w:p>
        </w:tc>
        <w:tc>
          <w:tcPr>
            <w:tcW w:w="56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838</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172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80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900" w:type="dxa"/>
            <w:vAlign w:val="bottom"/>
            <w:tcBorders>
              <w:bottom w:val="single" w:sz="8" w:color="005AFF"/>
            </w:tcBorders>
            <w:gridSpan w:val="2"/>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b w:val="1"/>
                <w:bCs w:val="1"/>
                <w:color w:val="005AFF"/>
              </w:rPr>
              <w:t>(11 325)</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(1 471)</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(4 072)</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(16 868)</w:t>
            </w:r>
          </w:p>
        </w:tc>
        <w:tc>
          <w:tcPr>
            <w:tcW w:w="900" w:type="dxa"/>
            <w:vAlign w:val="bottom"/>
            <w:tcBorders>
              <w:bottom w:val="single" w:sz="8" w:color="005AFF"/>
            </w:tcBorders>
            <w:gridSpan w:val="2"/>
          </w:tcPr>
          <w:p>
            <w:pPr>
              <w:jc w:val="right"/>
              <w:ind w:right="92"/>
              <w:spacing w:after="0"/>
              <w:rPr>
                <w:sz w:val="20"/>
                <w:szCs w:val="20"/>
                <w:color w:val="auto"/>
              </w:rPr>
            </w:pPr>
            <w:r>
              <w:rPr>
                <w:rFonts w:ascii="Times New Roman" w:cs="Times New Roman" w:eastAsia="Times New Roman" w:hAnsi="Times New Roman"/>
                <w:sz w:val="10"/>
                <w:szCs w:val="10"/>
                <w:b w:val="1"/>
                <w:bCs w:val="1"/>
                <w:color w:val="auto"/>
              </w:rPr>
              <w:t>(12 340)</w:t>
            </w:r>
          </w:p>
        </w:tc>
        <w:tc>
          <w:tcPr>
            <w:tcW w:w="7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(1 615)</w:t>
            </w:r>
          </w:p>
        </w:tc>
        <w:tc>
          <w:tcPr>
            <w:tcW w:w="780" w:type="dxa"/>
            <w:vAlign w:val="bottom"/>
            <w:tcBorders>
              <w:bottom w:val="single" w:sz="8" w:color="005AFF"/>
            </w:tcBorders>
          </w:tcPr>
          <w:p>
            <w:pPr>
              <w:jc w:val="right"/>
              <w:ind w:right="150"/>
              <w:spacing w:after="0"/>
              <w:rPr>
                <w:sz w:val="20"/>
                <w:szCs w:val="20"/>
                <w:color w:val="auto"/>
              </w:rPr>
            </w:pPr>
            <w:r>
              <w:rPr>
                <w:rFonts w:ascii="Times New Roman" w:cs="Times New Roman" w:eastAsia="Times New Roman" w:hAnsi="Times New Roman"/>
                <w:sz w:val="10"/>
                <w:szCs w:val="10"/>
                <w:b w:val="1"/>
                <w:bCs w:val="1"/>
                <w:color w:val="auto"/>
              </w:rPr>
              <w:t>(4 357)</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(18 312)</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42"/>
        </w:trPr>
        <w:tc>
          <w:tcPr>
            <w:tcW w:w="3260" w:type="dxa"/>
            <w:vAlign w:val="bottom"/>
            <w:tcBorders>
              <w:bottom w:val="single" w:sz="8" w:color="005AFF"/>
            </w:tcBorders>
            <w:gridSpan w:val="4"/>
          </w:tcPr>
          <w:p>
            <w:pPr>
              <w:ind w:left="40"/>
              <w:spacing w:after="0"/>
              <w:rPr>
                <w:sz w:val="20"/>
                <w:szCs w:val="20"/>
                <w:color w:val="auto"/>
              </w:rPr>
            </w:pPr>
            <w:r>
              <w:rPr>
                <w:rFonts w:ascii="Times New Roman" w:cs="Times New Roman" w:eastAsia="Times New Roman" w:hAnsi="Times New Roman"/>
                <w:sz w:val="10"/>
                <w:szCs w:val="10"/>
                <w:color w:val="0D0D0D"/>
              </w:rPr>
              <w:t>Weighted average duration of the defined benefit obligation (in years)</w:t>
            </w:r>
          </w:p>
        </w:tc>
        <w:tc>
          <w:tcPr>
            <w:tcW w:w="740" w:type="dxa"/>
            <w:vAlign w:val="bottom"/>
            <w:tcBorders>
              <w:bottom w:val="single" w:sz="8" w:color="005AFF"/>
            </w:tcBorders>
          </w:tcPr>
          <w:p>
            <w:pPr>
              <w:spacing w:after="0"/>
              <w:rPr>
                <w:sz w:val="12"/>
                <w:szCs w:val="12"/>
                <w:color w:val="auto"/>
              </w:rPr>
            </w:pPr>
          </w:p>
        </w:tc>
        <w:tc>
          <w:tcPr>
            <w:tcW w:w="900" w:type="dxa"/>
            <w:vAlign w:val="bottom"/>
            <w:tcBorders>
              <w:bottom w:val="single" w:sz="8" w:color="005AFF"/>
            </w:tcBorders>
            <w:gridSpan w:val="2"/>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7.7</w:t>
            </w:r>
          </w:p>
        </w:tc>
        <w:tc>
          <w:tcPr>
            <w:tcW w:w="56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8.8</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10.6</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8.5</w:t>
            </w:r>
          </w:p>
        </w:tc>
        <w:tc>
          <w:tcPr>
            <w:tcW w:w="900" w:type="dxa"/>
            <w:vAlign w:val="bottom"/>
            <w:tcBorders>
              <w:bottom w:val="single" w:sz="8" w:color="005AFF"/>
            </w:tcBorders>
            <w:gridSpan w:val="2"/>
          </w:tcPr>
          <w:p>
            <w:pPr>
              <w:jc w:val="right"/>
              <w:ind w:right="92"/>
              <w:spacing w:after="0"/>
              <w:rPr>
                <w:sz w:val="20"/>
                <w:szCs w:val="20"/>
                <w:color w:val="auto"/>
              </w:rPr>
            </w:pPr>
            <w:r>
              <w:rPr>
                <w:rFonts w:ascii="Times New Roman" w:cs="Times New Roman" w:eastAsia="Times New Roman" w:hAnsi="Times New Roman"/>
                <w:sz w:val="10"/>
                <w:szCs w:val="10"/>
                <w:color w:val="0D0D0D"/>
              </w:rPr>
              <w:t>7.6</w:t>
            </w:r>
          </w:p>
        </w:tc>
        <w:tc>
          <w:tcPr>
            <w:tcW w:w="78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8.7</w:t>
            </w:r>
          </w:p>
        </w:tc>
        <w:tc>
          <w:tcPr>
            <w:tcW w:w="78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9.3</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8.1</w:t>
            </w:r>
          </w:p>
        </w:tc>
        <w:tc>
          <w:tcPr>
            <w:tcW w:w="2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line="4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00" w:hanging="199"/>
        <w:spacing w:after="0"/>
        <w:tabs>
          <w:tab w:leader="none" w:pos="200" w:val="left"/>
        </w:tabs>
        <w:numPr>
          <w:ilvl w:val="0"/>
          <w:numId w:val="12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the s  ettlement relates to transfer of liabilities from formerly Nokia managed Provident Fund to Indian government managed Provident Fund platform (EPFO).</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sectPr>
      </w:pPr>
    </w:p>
    <w:bookmarkStart w:id="175" w:name="page176"/>
    <w:bookmarkEnd w:id="175"/>
    <w:tbl>
      <w:tblPr>
        <w:tblLayout w:type="fixed"/>
        <w:tblInd w:w="0" w:type="dxa"/>
        <w:tblCellMar>
          <w:top w:w="0" w:type="dxa"/>
          <w:left w:w="0" w:type="dxa"/>
          <w:bottom w:w="0" w:type="dxa"/>
          <w:right w:w="0" w:type="dxa"/>
        </w:tblCellMar>
      </w:tblPr>
      <w:tr>
        <w:trPr>
          <w:trHeight w:val="111"/>
        </w:trPr>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320" w:type="dxa"/>
            <w:vAlign w:val="bottom"/>
          </w:tcPr>
          <w:p>
            <w:pPr>
              <w:spacing w:after="0"/>
              <w:rPr>
                <w:sz w:val="9"/>
                <w:szCs w:val="9"/>
                <w:color w:val="auto"/>
              </w:rPr>
            </w:pPr>
          </w:p>
        </w:tc>
        <w:tc>
          <w:tcPr>
            <w:tcW w:w="760" w:type="dxa"/>
            <w:vAlign w:val="bottom"/>
          </w:tcPr>
          <w:p>
            <w:pPr>
              <w:ind w:left="2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7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78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Other</w:t>
            </w:r>
          </w:p>
        </w:tc>
        <w:tc>
          <w:tcPr>
            <w:tcW w:w="580" w:type="dxa"/>
            <w:vAlign w:val="bottom"/>
          </w:tcPr>
          <w:p>
            <w:pPr>
              <w:spacing w:after="0"/>
              <w:rPr>
                <w:sz w:val="9"/>
                <w:szCs w:val="9"/>
                <w:color w:val="auto"/>
              </w:rPr>
            </w:pPr>
          </w:p>
        </w:tc>
        <w:tc>
          <w:tcPr>
            <w:tcW w:w="680" w:type="dxa"/>
            <w:vAlign w:val="bottom"/>
          </w:tcPr>
          <w:p>
            <w:pPr>
              <w:spacing w:after="0"/>
              <w:rPr>
                <w:sz w:val="9"/>
                <w:szCs w:val="9"/>
                <w:color w:val="auto"/>
              </w:rPr>
            </w:pPr>
          </w:p>
        </w:tc>
        <w:tc>
          <w:tcPr>
            <w:tcW w:w="80" w:type="dxa"/>
            <w:vAlign w:val="bottom"/>
          </w:tcPr>
          <w:p>
            <w:pPr>
              <w:spacing w:after="0"/>
              <w:rPr>
                <w:sz w:val="9"/>
                <w:szCs w:val="9"/>
                <w:color w:val="auto"/>
              </w:rPr>
            </w:pPr>
          </w:p>
        </w:tc>
        <w:tc>
          <w:tcPr>
            <w:tcW w:w="720" w:type="dxa"/>
            <w:vAlign w:val="bottom"/>
          </w:tcPr>
          <w:p>
            <w:pPr>
              <w:spacing w:after="0"/>
              <w:rPr>
                <w:sz w:val="9"/>
                <w:szCs w:val="9"/>
                <w:color w:val="auto"/>
              </w:rPr>
            </w:pPr>
          </w:p>
        </w:tc>
        <w:tc>
          <w:tcPr>
            <w:tcW w:w="720" w:type="dxa"/>
            <w:vAlign w:val="bottom"/>
          </w:tcPr>
          <w:p>
            <w:pPr>
              <w:spacing w:after="0"/>
              <w:rPr>
                <w:sz w:val="9"/>
                <w:szCs w:val="9"/>
                <w:color w:val="auto"/>
              </w:rPr>
            </w:pPr>
          </w:p>
        </w:tc>
        <w:tc>
          <w:tcPr>
            <w:tcW w:w="740" w:type="dxa"/>
            <w:vAlign w:val="bottom"/>
          </w:tcPr>
          <w:p>
            <w:pPr>
              <w:spacing w:after="0"/>
              <w:rPr>
                <w:sz w:val="9"/>
                <w:szCs w:val="9"/>
                <w:color w:val="auto"/>
              </w:rPr>
            </w:pPr>
          </w:p>
        </w:tc>
        <w:tc>
          <w:tcPr>
            <w:tcW w:w="520" w:type="dxa"/>
            <w:vAlign w:val="bottom"/>
            <w:vMerge w:val="restart"/>
          </w:tcPr>
          <w:p>
            <w:pPr>
              <w:jc w:val="right"/>
              <w:ind w:right="9"/>
              <w:spacing w:after="0"/>
              <w:rPr>
                <w:sz w:val="20"/>
                <w:szCs w:val="20"/>
                <w:color w:val="auto"/>
              </w:rPr>
            </w:pPr>
            <w:r>
              <w:rPr>
                <w:rFonts w:ascii="Times New Roman" w:cs="Times New Roman" w:eastAsia="Times New Roman" w:hAnsi="Times New Roman"/>
                <w:sz w:val="12"/>
                <w:szCs w:val="12"/>
                <w:color w:val="auto"/>
              </w:rPr>
              <w:t>168</w:t>
            </w:r>
          </w:p>
        </w:tc>
        <w:tc>
          <w:tcPr>
            <w:tcW w:w="0" w:type="dxa"/>
            <w:vAlign w:val="bottom"/>
          </w:tcPr>
          <w:p>
            <w:pPr>
              <w:spacing w:after="0"/>
              <w:rPr>
                <w:sz w:val="1"/>
                <w:szCs w:val="1"/>
                <w:color w:val="auto"/>
              </w:rPr>
            </w:pPr>
          </w:p>
        </w:tc>
      </w:tr>
      <w:tr>
        <w:trPr>
          <w:trHeight w:val="130"/>
        </w:trPr>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320" w:type="dxa"/>
            <w:vAlign w:val="bottom"/>
          </w:tcPr>
          <w:p>
            <w:pPr>
              <w:spacing w:after="0"/>
              <w:rPr>
                <w:sz w:val="11"/>
                <w:szCs w:val="11"/>
                <w:color w:val="auto"/>
              </w:rPr>
            </w:pPr>
          </w:p>
        </w:tc>
        <w:tc>
          <w:tcPr>
            <w:tcW w:w="760" w:type="dxa"/>
            <w:vAlign w:val="bottom"/>
          </w:tcPr>
          <w:p>
            <w:pPr>
              <w:ind w:left="2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760" w:type="dxa"/>
            <w:vAlign w:val="bottom"/>
            <w:gridSpan w:val="3"/>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78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information</w:t>
            </w:r>
          </w:p>
        </w:tc>
        <w:tc>
          <w:tcPr>
            <w:tcW w:w="58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5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4"/>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80" w:type="dxa"/>
            <w:vAlign w:val="bottom"/>
            <w:tcBorders>
              <w:bottom w:val="single" w:sz="8" w:color="005AFF"/>
            </w:tcBorders>
          </w:tcPr>
          <w:p>
            <w:pPr>
              <w:spacing w:after="0"/>
              <w:rPr>
                <w:sz w:val="3"/>
                <w:szCs w:val="3"/>
                <w:color w:val="auto"/>
              </w:rPr>
            </w:pPr>
          </w:p>
        </w:tc>
        <w:tc>
          <w:tcPr>
            <w:tcW w:w="460" w:type="dxa"/>
            <w:vAlign w:val="bottom"/>
            <w:tcBorders>
              <w:bottom w:val="single" w:sz="8" w:color="005AFF"/>
            </w:tcBorders>
          </w:tcPr>
          <w:p>
            <w:pPr>
              <w:spacing w:after="0"/>
              <w:rPr>
                <w:sz w:val="3"/>
                <w:szCs w:val="3"/>
                <w:color w:val="auto"/>
              </w:rPr>
            </w:pPr>
          </w:p>
        </w:tc>
        <w:tc>
          <w:tcPr>
            <w:tcW w:w="220" w:type="dxa"/>
            <w:vAlign w:val="bottom"/>
          </w:tcPr>
          <w:p>
            <w:pPr>
              <w:spacing w:after="0"/>
              <w:rPr>
                <w:sz w:val="3"/>
                <w:szCs w:val="3"/>
                <w:color w:val="auto"/>
              </w:rPr>
            </w:pPr>
          </w:p>
        </w:tc>
        <w:tc>
          <w:tcPr>
            <w:tcW w:w="680" w:type="dxa"/>
            <w:vAlign w:val="bottom"/>
          </w:tcPr>
          <w:p>
            <w:pPr>
              <w:spacing w:after="0"/>
              <w:rPr>
                <w:sz w:val="3"/>
                <w:szCs w:val="3"/>
                <w:color w:val="auto"/>
              </w:rPr>
            </w:pPr>
          </w:p>
        </w:tc>
        <w:tc>
          <w:tcPr>
            <w:tcW w:w="100" w:type="dxa"/>
            <w:vAlign w:val="bottom"/>
          </w:tcPr>
          <w:p>
            <w:pPr>
              <w:spacing w:after="0"/>
              <w:rPr>
                <w:sz w:val="3"/>
                <w:szCs w:val="3"/>
                <w:color w:val="auto"/>
              </w:rPr>
            </w:pPr>
          </w:p>
        </w:tc>
        <w:tc>
          <w:tcPr>
            <w:tcW w:w="580" w:type="dxa"/>
            <w:vAlign w:val="bottom"/>
          </w:tcPr>
          <w:p>
            <w:pPr>
              <w:spacing w:after="0"/>
              <w:rPr>
                <w:sz w:val="3"/>
                <w:szCs w:val="3"/>
                <w:color w:val="auto"/>
              </w:rPr>
            </w:pPr>
          </w:p>
        </w:tc>
        <w:tc>
          <w:tcPr>
            <w:tcW w:w="680" w:type="dxa"/>
            <w:vAlign w:val="bottom"/>
          </w:tcPr>
          <w:p>
            <w:pPr>
              <w:spacing w:after="0"/>
              <w:rPr>
                <w:sz w:val="3"/>
                <w:szCs w:val="3"/>
                <w:color w:val="auto"/>
              </w:rPr>
            </w:pPr>
          </w:p>
        </w:tc>
        <w:tc>
          <w:tcPr>
            <w:tcW w:w="80" w:type="dxa"/>
            <w:vAlign w:val="bottom"/>
          </w:tcPr>
          <w:p>
            <w:pPr>
              <w:spacing w:after="0"/>
              <w:rPr>
                <w:sz w:val="3"/>
                <w:szCs w:val="3"/>
                <w:color w:val="auto"/>
              </w:rPr>
            </w:pPr>
          </w:p>
        </w:tc>
        <w:tc>
          <w:tcPr>
            <w:tcW w:w="720" w:type="dxa"/>
            <w:vAlign w:val="bottom"/>
          </w:tcPr>
          <w:p>
            <w:pPr>
              <w:spacing w:after="0"/>
              <w:rPr>
                <w:sz w:val="3"/>
                <w:szCs w:val="3"/>
                <w:color w:val="auto"/>
              </w:rPr>
            </w:pPr>
          </w:p>
        </w:tc>
        <w:tc>
          <w:tcPr>
            <w:tcW w:w="720" w:type="dxa"/>
            <w:vAlign w:val="bottom"/>
          </w:tcPr>
          <w:p>
            <w:pPr>
              <w:spacing w:after="0"/>
              <w:rPr>
                <w:sz w:val="3"/>
                <w:szCs w:val="3"/>
                <w:color w:val="auto"/>
              </w:rPr>
            </w:pPr>
          </w:p>
        </w:tc>
        <w:tc>
          <w:tcPr>
            <w:tcW w:w="740" w:type="dxa"/>
            <w:vAlign w:val="bottom"/>
          </w:tcPr>
          <w:p>
            <w:pPr>
              <w:spacing w:after="0"/>
              <w:rPr>
                <w:sz w:val="3"/>
                <w:szCs w:val="3"/>
                <w:color w:val="auto"/>
              </w:rPr>
            </w:pPr>
          </w:p>
        </w:tc>
        <w:tc>
          <w:tcPr>
            <w:tcW w:w="5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4"/>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22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580" w:type="dxa"/>
            <w:vAlign w:val="bottom"/>
          </w:tcPr>
          <w:p>
            <w:pPr>
              <w:spacing w:after="0"/>
              <w:rPr>
                <w:sz w:val="24"/>
                <w:szCs w:val="24"/>
                <w:color w:val="auto"/>
              </w:rPr>
            </w:pPr>
          </w:p>
        </w:tc>
        <w:tc>
          <w:tcPr>
            <w:tcW w:w="68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72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6"/>
        </w:trPr>
        <w:tc>
          <w:tcPr>
            <w:tcW w:w="1660" w:type="dxa"/>
            <w:vAlign w:val="bottom"/>
            <w:gridSpan w:val="3"/>
          </w:tcPr>
          <w:p>
            <w:pPr>
              <w:ind w:left="40"/>
              <w:spacing w:after="0"/>
              <w:rPr>
                <w:sz w:val="20"/>
                <w:szCs w:val="20"/>
                <w:color w:val="auto"/>
              </w:rPr>
            </w:pPr>
            <w:r>
              <w:rPr>
                <w:rFonts w:ascii="Times New Roman" w:cs="Times New Roman" w:eastAsia="Times New Roman" w:hAnsi="Times New Roman"/>
                <w:sz w:val="11"/>
                <w:szCs w:val="11"/>
                <w:b w:val="1"/>
                <w:bCs w:val="1"/>
                <w:color w:val="auto"/>
              </w:rPr>
              <w:t>Fair value of plan assets</w:t>
            </w:r>
          </w:p>
        </w:tc>
        <w:tc>
          <w:tcPr>
            <w:tcW w:w="86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120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460" w:type="dxa"/>
            <w:vAlign w:val="bottom"/>
            <w:tcBorders>
              <w:bottom w:val="single" w:sz="8" w:color="005AFF"/>
            </w:tcBorders>
          </w:tcPr>
          <w:p>
            <w:pPr>
              <w:spacing w:after="0"/>
              <w:rPr>
                <w:sz w:val="24"/>
                <w:szCs w:val="24"/>
                <w:color w:val="auto"/>
              </w:rPr>
            </w:pPr>
          </w:p>
        </w:tc>
        <w:tc>
          <w:tcPr>
            <w:tcW w:w="220" w:type="dxa"/>
            <w:vAlign w:val="bottom"/>
            <w:tcBorders>
              <w:bottom w:val="single" w:sz="8" w:color="005AFF"/>
            </w:tcBorders>
          </w:tcPr>
          <w:p>
            <w:pPr>
              <w:spacing w:after="0"/>
              <w:rPr>
                <w:sz w:val="24"/>
                <w:szCs w:val="24"/>
                <w:color w:val="auto"/>
              </w:rPr>
            </w:pPr>
          </w:p>
        </w:tc>
        <w:tc>
          <w:tcPr>
            <w:tcW w:w="780" w:type="dxa"/>
            <w:vAlign w:val="bottom"/>
            <w:tcBorders>
              <w:bottom w:val="single" w:sz="8" w:color="005AFF"/>
            </w:tcBorders>
            <w:gridSpan w:val="2"/>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spacing w:after="0"/>
              <w:rPr>
                <w:sz w:val="24"/>
                <w:szCs w:val="24"/>
                <w:color w:val="auto"/>
              </w:rPr>
            </w:pPr>
          </w:p>
        </w:tc>
        <w:tc>
          <w:tcPr>
            <w:tcW w:w="680" w:type="dxa"/>
            <w:vAlign w:val="bottom"/>
            <w:tcBorders>
              <w:bottom w:val="single" w:sz="8" w:color="005AFF"/>
            </w:tcBorders>
          </w:tcPr>
          <w:p>
            <w:pPr>
              <w:spacing w:after="0"/>
              <w:rPr>
                <w:sz w:val="24"/>
                <w:szCs w:val="24"/>
                <w:color w:val="auto"/>
              </w:rPr>
            </w:pPr>
          </w:p>
        </w:tc>
        <w:tc>
          <w:tcPr>
            <w:tcW w:w="80" w:type="dxa"/>
            <w:vAlign w:val="bottom"/>
          </w:tcPr>
          <w:p>
            <w:pPr>
              <w:spacing w:after="0"/>
              <w:rPr>
                <w:sz w:val="24"/>
                <w:szCs w:val="24"/>
                <w:color w:val="auto"/>
              </w:rPr>
            </w:pPr>
          </w:p>
        </w:tc>
        <w:tc>
          <w:tcPr>
            <w:tcW w:w="720" w:type="dxa"/>
            <w:vAlign w:val="bottom"/>
            <w:tcBorders>
              <w:bottom w:val="single" w:sz="8" w:color="005AFF"/>
            </w:tcBorders>
          </w:tcPr>
          <w:p>
            <w:pPr>
              <w:spacing w:after="0"/>
              <w:rPr>
                <w:sz w:val="24"/>
                <w:szCs w:val="24"/>
                <w:color w:val="auto"/>
              </w:rPr>
            </w:pP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740" w:type="dxa"/>
            <w:vAlign w:val="bottom"/>
            <w:tcBorders>
              <w:bottom w:val="single" w:sz="8" w:color="005AFF"/>
            </w:tcBorders>
          </w:tcPr>
          <w:p>
            <w:pPr>
              <w:spacing w:after="0"/>
              <w:rPr>
                <w:sz w:val="24"/>
                <w:szCs w:val="24"/>
                <w:color w:val="auto"/>
              </w:rPr>
            </w:pPr>
          </w:p>
        </w:tc>
        <w:tc>
          <w:tcPr>
            <w:tcW w:w="520" w:type="dxa"/>
            <w:vAlign w:val="bottom"/>
            <w:tcBorders>
              <w:bottom w:val="single" w:sz="8" w:color="005AFF"/>
            </w:tcBorders>
          </w:tcPr>
          <w:p>
            <w:pPr>
              <w:spacing w:after="0"/>
              <w:rPr>
                <w:sz w:val="24"/>
                <w:szCs w:val="24"/>
                <w:color w:val="auto"/>
              </w:rPr>
            </w:pPr>
          </w:p>
        </w:tc>
        <w:tc>
          <w:tcPr>
            <w:tcW w:w="0" w:type="dxa"/>
            <w:vAlign w:val="bottom"/>
          </w:tcPr>
          <w:p>
            <w:pPr>
              <w:spacing w:after="0"/>
              <w:rPr>
                <w:sz w:val="1"/>
                <w:szCs w:val="1"/>
                <w:color w:val="auto"/>
              </w:rPr>
            </w:pPr>
          </w:p>
        </w:tc>
      </w:tr>
      <w:tr>
        <w:trPr>
          <w:trHeight w:val="110"/>
        </w:trPr>
        <w:tc>
          <w:tcPr>
            <w:tcW w:w="580" w:type="dxa"/>
            <w:vAlign w:val="bottom"/>
          </w:tcPr>
          <w:p>
            <w:pPr>
              <w:spacing w:after="0"/>
              <w:rPr>
                <w:sz w:val="9"/>
                <w:szCs w:val="9"/>
                <w:color w:val="auto"/>
              </w:rPr>
            </w:pPr>
          </w:p>
        </w:tc>
        <w:tc>
          <w:tcPr>
            <w:tcW w:w="320" w:type="dxa"/>
            <w:vAlign w:val="bottom"/>
          </w:tcPr>
          <w:p>
            <w:pPr>
              <w:spacing w:after="0"/>
              <w:rPr>
                <w:sz w:val="9"/>
                <w:szCs w:val="9"/>
                <w:color w:val="auto"/>
              </w:rPr>
            </w:pPr>
          </w:p>
        </w:tc>
        <w:tc>
          <w:tcPr>
            <w:tcW w:w="760" w:type="dxa"/>
            <w:vAlign w:val="bottom"/>
          </w:tcPr>
          <w:p>
            <w:pPr>
              <w:spacing w:after="0"/>
              <w:rPr>
                <w:sz w:val="9"/>
                <w:szCs w:val="9"/>
                <w:color w:val="auto"/>
              </w:rPr>
            </w:pPr>
          </w:p>
        </w:tc>
        <w:tc>
          <w:tcPr>
            <w:tcW w:w="860" w:type="dxa"/>
            <w:vAlign w:val="bottom"/>
          </w:tcPr>
          <w:p>
            <w:pPr>
              <w:spacing w:after="0"/>
              <w:rPr>
                <w:sz w:val="9"/>
                <w:szCs w:val="9"/>
                <w:color w:val="auto"/>
              </w:rPr>
            </w:pPr>
          </w:p>
        </w:tc>
        <w:tc>
          <w:tcPr>
            <w:tcW w:w="740" w:type="dxa"/>
            <w:vAlign w:val="bottom"/>
          </w:tcPr>
          <w:p>
            <w:pPr>
              <w:spacing w:after="0"/>
              <w:rPr>
                <w:sz w:val="9"/>
                <w:szCs w:val="9"/>
                <w:color w:val="auto"/>
              </w:rPr>
            </w:pPr>
          </w:p>
        </w:tc>
        <w:tc>
          <w:tcPr>
            <w:tcW w:w="1200" w:type="dxa"/>
            <w:vAlign w:val="bottom"/>
          </w:tcPr>
          <w:p>
            <w:pPr>
              <w:spacing w:after="0"/>
              <w:rPr>
                <w:sz w:val="9"/>
                <w:szCs w:val="9"/>
                <w:color w:val="auto"/>
              </w:rPr>
            </w:pPr>
          </w:p>
        </w:tc>
        <w:tc>
          <w:tcPr>
            <w:tcW w:w="80" w:type="dxa"/>
            <w:vAlign w:val="bottom"/>
          </w:tcPr>
          <w:p>
            <w:pPr>
              <w:spacing w:after="0"/>
              <w:rPr>
                <w:sz w:val="9"/>
                <w:szCs w:val="9"/>
                <w:color w:val="auto"/>
              </w:rPr>
            </w:pPr>
          </w:p>
        </w:tc>
        <w:tc>
          <w:tcPr>
            <w:tcW w:w="680" w:type="dxa"/>
            <w:vAlign w:val="bottom"/>
            <w:gridSpan w:val="2"/>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80" w:type="dxa"/>
            <w:vAlign w:val="bottom"/>
            <w:gridSpan w:val="2"/>
          </w:tcPr>
          <w:p>
            <w:pPr>
              <w:ind w:left="140"/>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580" w:type="dxa"/>
            <w:vAlign w:val="bottom"/>
          </w:tcPr>
          <w:p>
            <w:pPr>
              <w:spacing w:after="0"/>
              <w:rPr>
                <w:sz w:val="9"/>
                <w:szCs w:val="9"/>
                <w:color w:val="auto"/>
              </w:rPr>
            </w:pPr>
          </w:p>
        </w:tc>
        <w:tc>
          <w:tcPr>
            <w:tcW w:w="680" w:type="dxa"/>
            <w:vAlign w:val="bottom"/>
          </w:tcPr>
          <w:p>
            <w:pPr>
              <w:spacing w:after="0"/>
              <w:rPr>
                <w:sz w:val="9"/>
                <w:szCs w:val="9"/>
                <w:color w:val="auto"/>
              </w:rPr>
            </w:pPr>
          </w:p>
        </w:tc>
        <w:tc>
          <w:tcPr>
            <w:tcW w:w="80" w:type="dxa"/>
            <w:vAlign w:val="bottom"/>
          </w:tcPr>
          <w:p>
            <w:pPr>
              <w:spacing w:after="0"/>
              <w:rPr>
                <w:sz w:val="9"/>
                <w:szCs w:val="9"/>
                <w:color w:val="auto"/>
              </w:rPr>
            </w:pPr>
          </w:p>
        </w:tc>
        <w:tc>
          <w:tcPr>
            <w:tcW w:w="720" w:type="dxa"/>
            <w:vAlign w:val="bottom"/>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20" w:type="dxa"/>
            <w:vAlign w:val="bottom"/>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40" w:type="dxa"/>
            <w:vAlign w:val="bottom"/>
          </w:tcPr>
          <w:p>
            <w:pPr>
              <w:spacing w:after="0"/>
              <w:rPr>
                <w:sz w:val="9"/>
                <w:szCs w:val="9"/>
                <w:color w:val="auto"/>
              </w:rPr>
            </w:pPr>
          </w:p>
        </w:tc>
        <w:tc>
          <w:tcPr>
            <w:tcW w:w="5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09"/>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320" w:type="dxa"/>
            <w:vAlign w:val="bottom"/>
            <w:tcBorders>
              <w:bottom w:val="single" w:sz="8" w:color="005AFF"/>
            </w:tcBorders>
          </w:tcPr>
          <w:p>
            <w:pPr>
              <w:spacing w:after="0"/>
              <w:rPr>
                <w:sz w:val="9"/>
                <w:szCs w:val="9"/>
                <w:color w:val="auto"/>
              </w:rPr>
            </w:pPr>
          </w:p>
        </w:tc>
        <w:tc>
          <w:tcPr>
            <w:tcW w:w="760" w:type="dxa"/>
            <w:vAlign w:val="bottom"/>
            <w:tcBorders>
              <w:bottom w:val="single" w:sz="8" w:color="005AFF"/>
            </w:tcBorders>
          </w:tcPr>
          <w:p>
            <w:pPr>
              <w:spacing w:after="0"/>
              <w:rPr>
                <w:sz w:val="9"/>
                <w:szCs w:val="9"/>
                <w:color w:val="auto"/>
              </w:rPr>
            </w:pPr>
          </w:p>
        </w:tc>
        <w:tc>
          <w:tcPr>
            <w:tcW w:w="860" w:type="dxa"/>
            <w:vAlign w:val="bottom"/>
            <w:tcBorders>
              <w:bottom w:val="single" w:sz="8" w:color="005AFF"/>
            </w:tcBorders>
          </w:tcPr>
          <w:p>
            <w:pPr>
              <w:spacing w:after="0"/>
              <w:rPr>
                <w:sz w:val="9"/>
                <w:szCs w:val="9"/>
                <w:color w:val="auto"/>
              </w:rPr>
            </w:pPr>
          </w:p>
        </w:tc>
        <w:tc>
          <w:tcPr>
            <w:tcW w:w="740" w:type="dxa"/>
            <w:vAlign w:val="bottom"/>
            <w:tcBorders>
              <w:bottom w:val="single" w:sz="8" w:color="005AFF"/>
            </w:tcBorders>
          </w:tcPr>
          <w:p>
            <w:pPr>
              <w:spacing w:after="0"/>
              <w:rPr>
                <w:sz w:val="9"/>
                <w:szCs w:val="9"/>
                <w:color w:val="auto"/>
              </w:rPr>
            </w:pPr>
          </w:p>
        </w:tc>
        <w:tc>
          <w:tcPr>
            <w:tcW w:w="1200" w:type="dxa"/>
            <w:vAlign w:val="bottom"/>
            <w:tcBorders>
              <w:bottom w:val="single" w:sz="8" w:color="005AFF"/>
            </w:tcBorders>
          </w:tcPr>
          <w:p>
            <w:pPr>
              <w:spacing w:after="0"/>
              <w:rPr>
                <w:sz w:val="9"/>
                <w:szCs w:val="9"/>
                <w:color w:val="auto"/>
              </w:rPr>
            </w:pPr>
          </w:p>
        </w:tc>
        <w:tc>
          <w:tcPr>
            <w:tcW w:w="8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80" w:type="dxa"/>
            <w:vAlign w:val="bottom"/>
            <w:tcBorders>
              <w:bottom w:val="single" w:sz="8" w:color="005AFF"/>
            </w:tcBorders>
            <w:gridSpan w:val="2"/>
          </w:tcPr>
          <w:p>
            <w:pPr>
              <w:ind w:left="440"/>
              <w:spacing w:after="0"/>
              <w:rPr>
                <w:sz w:val="20"/>
                <w:szCs w:val="20"/>
                <w:color w:val="auto"/>
              </w:rPr>
            </w:pPr>
            <w:r>
              <w:rPr>
                <w:rFonts w:ascii="Times New Roman" w:cs="Times New Roman" w:eastAsia="Times New Roman" w:hAnsi="Times New Roman"/>
                <w:sz w:val="8"/>
                <w:szCs w:val="8"/>
                <w:b w:val="1"/>
                <w:bCs w:val="1"/>
                <w:color w:val="005AFF"/>
              </w:rPr>
              <w:t>OPEB</w:t>
            </w:r>
          </w:p>
        </w:tc>
        <w:tc>
          <w:tcPr>
            <w:tcW w:w="5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6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80" w:type="dxa"/>
            <w:vAlign w:val="bottom"/>
            <w:tcBorders>
              <w:bottom w:val="single" w:sz="8" w:color="005AFF"/>
            </w:tcBorders>
          </w:tcPr>
          <w:p>
            <w:pPr>
              <w:spacing w:after="0"/>
              <w:rPr>
                <w:sz w:val="9"/>
                <w:szCs w:val="9"/>
                <w:color w:val="auto"/>
              </w:rPr>
            </w:pP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OPEB</w:t>
            </w:r>
          </w:p>
        </w:tc>
        <w:tc>
          <w:tcPr>
            <w:tcW w:w="74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c>
          <w:tcPr>
            <w:tcW w:w="0" w:type="dxa"/>
            <w:vAlign w:val="bottom"/>
          </w:tcPr>
          <w:p>
            <w:pPr>
              <w:spacing w:after="0"/>
              <w:rPr>
                <w:sz w:val="1"/>
                <w:szCs w:val="1"/>
                <w:color w:val="auto"/>
              </w:rPr>
            </w:pPr>
          </w:p>
        </w:tc>
      </w:tr>
      <w:tr>
        <w:trPr>
          <w:trHeight w:val="135"/>
        </w:trPr>
        <w:tc>
          <w:tcPr>
            <w:tcW w:w="5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1 January</w:t>
            </w:r>
          </w:p>
        </w:tc>
        <w:tc>
          <w:tcPr>
            <w:tcW w:w="32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gridSpan w:val="2"/>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17 726</w:t>
            </w:r>
          </w:p>
        </w:tc>
        <w:tc>
          <w:tcPr>
            <w:tcW w:w="6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637</w:t>
            </w:r>
          </w:p>
        </w:tc>
        <w:tc>
          <w:tcPr>
            <w:tcW w:w="100" w:type="dxa"/>
            <w:vAlign w:val="bottom"/>
            <w:tcBorders>
              <w:bottom w:val="single" w:sz="8" w:color="005AFF"/>
            </w:tcBorders>
            <w:shd w:val="clear" w:color="auto" w:fill="F0F5FF"/>
          </w:tcPr>
          <w:p>
            <w:pPr>
              <w:spacing w:after="0"/>
              <w:rPr>
                <w:sz w:val="11"/>
                <w:szCs w:val="11"/>
                <w:color w:val="auto"/>
              </w:rPr>
            </w:pPr>
          </w:p>
        </w:tc>
        <w:tc>
          <w:tcPr>
            <w:tcW w:w="5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4 328</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22 691</w:t>
            </w:r>
          </w:p>
        </w:tc>
        <w:tc>
          <w:tcPr>
            <w:tcW w:w="800" w:type="dxa"/>
            <w:vAlign w:val="bottom"/>
            <w:tcBorders>
              <w:bottom w:val="single" w:sz="8" w:color="005AFF"/>
            </w:tcBorders>
            <w:gridSpan w:val="2"/>
          </w:tcPr>
          <w:p>
            <w:pPr>
              <w:jc w:val="right"/>
              <w:ind w:right="94"/>
              <w:spacing w:after="0"/>
              <w:rPr>
                <w:sz w:val="20"/>
                <w:szCs w:val="20"/>
                <w:color w:val="auto"/>
              </w:rPr>
            </w:pPr>
            <w:r>
              <w:rPr>
                <w:rFonts w:ascii="Times New Roman" w:cs="Times New Roman" w:eastAsia="Times New Roman" w:hAnsi="Times New Roman"/>
                <w:sz w:val="10"/>
                <w:szCs w:val="10"/>
                <w:b w:val="1"/>
                <w:bCs w:val="1"/>
                <w:color w:val="auto"/>
              </w:rPr>
              <w:t>20 987</w:t>
            </w:r>
          </w:p>
        </w:tc>
        <w:tc>
          <w:tcPr>
            <w:tcW w:w="7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759</w:t>
            </w:r>
          </w:p>
        </w:tc>
        <w:tc>
          <w:tcPr>
            <w:tcW w:w="74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b w:val="1"/>
                <w:bCs w:val="1"/>
                <w:color w:val="auto"/>
              </w:rPr>
              <w:t>5 382</w:t>
            </w:r>
          </w:p>
        </w:tc>
        <w:tc>
          <w:tcPr>
            <w:tcW w:w="52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27 128</w:t>
            </w:r>
          </w:p>
        </w:tc>
        <w:tc>
          <w:tcPr>
            <w:tcW w:w="0" w:type="dxa"/>
            <w:vAlign w:val="bottom"/>
          </w:tcPr>
          <w:p>
            <w:pPr>
              <w:spacing w:after="0"/>
              <w:rPr>
                <w:sz w:val="1"/>
                <w:szCs w:val="1"/>
                <w:color w:val="auto"/>
              </w:rPr>
            </w:pPr>
          </w:p>
        </w:tc>
      </w:tr>
      <w:tr>
        <w:trPr>
          <w:trHeight w:val="132"/>
        </w:trPr>
        <w:tc>
          <w:tcPr>
            <w:tcW w:w="9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Interest income</w:t>
            </w:r>
          </w:p>
        </w:tc>
        <w:tc>
          <w:tcPr>
            <w:tcW w:w="760" w:type="dxa"/>
            <w:vAlign w:val="bottom"/>
          </w:tcPr>
          <w:p>
            <w:pPr>
              <w:spacing w:after="0"/>
              <w:rPr>
                <w:sz w:val="11"/>
                <w:szCs w:val="11"/>
                <w:color w:val="auto"/>
              </w:rPr>
            </w:pPr>
          </w:p>
        </w:tc>
        <w:tc>
          <w:tcPr>
            <w:tcW w:w="86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20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680" w:type="dxa"/>
            <w:vAlign w:val="bottom"/>
            <w:gridSpan w:val="2"/>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820</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28</w:t>
            </w:r>
          </w:p>
        </w:tc>
        <w:tc>
          <w:tcPr>
            <w:tcW w:w="100" w:type="dxa"/>
            <w:vAlign w:val="bottom"/>
            <w:shd w:val="clear" w:color="auto" w:fill="F0F5FF"/>
          </w:tcPr>
          <w:p>
            <w:pPr>
              <w:spacing w:after="0"/>
              <w:rPr>
                <w:sz w:val="11"/>
                <w:szCs w:val="11"/>
                <w:color w:val="auto"/>
              </w:rPr>
            </w:pP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171</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1 019</w:t>
            </w:r>
          </w:p>
        </w:tc>
        <w:tc>
          <w:tcPr>
            <w:tcW w:w="800" w:type="dxa"/>
            <w:vAlign w:val="bottom"/>
            <w:gridSpan w:val="2"/>
          </w:tcPr>
          <w:p>
            <w:pPr>
              <w:jc w:val="right"/>
              <w:ind w:right="74"/>
              <w:spacing w:after="0"/>
              <w:rPr>
                <w:sz w:val="20"/>
                <w:szCs w:val="20"/>
                <w:color w:val="auto"/>
              </w:rPr>
            </w:pPr>
            <w:r>
              <w:rPr>
                <w:rFonts w:ascii="Times New Roman" w:cs="Times New Roman" w:eastAsia="Times New Roman" w:hAnsi="Times New Roman"/>
                <w:sz w:val="10"/>
                <w:szCs w:val="10"/>
                <w:color w:val="0D0D0D"/>
              </w:rPr>
              <w:t>517</w:t>
            </w:r>
          </w:p>
        </w:tc>
        <w:tc>
          <w:tcPr>
            <w:tcW w:w="72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18</w:t>
            </w:r>
          </w:p>
        </w:tc>
        <w:tc>
          <w:tcPr>
            <w:tcW w:w="74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87</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622</w:t>
            </w:r>
          </w:p>
        </w:tc>
        <w:tc>
          <w:tcPr>
            <w:tcW w:w="0" w:type="dxa"/>
            <w:vAlign w:val="bottom"/>
          </w:tcPr>
          <w:p>
            <w:pPr>
              <w:spacing w:after="0"/>
              <w:rPr>
                <w:sz w:val="1"/>
                <w:szCs w:val="1"/>
                <w:color w:val="auto"/>
              </w:rPr>
            </w:pPr>
          </w:p>
        </w:tc>
      </w:tr>
      <w:tr>
        <w:trPr>
          <w:trHeight w:val="152"/>
        </w:trPr>
        <w:tc>
          <w:tcPr>
            <w:tcW w:w="2520" w:type="dxa"/>
            <w:vAlign w:val="bottom"/>
            <w:gridSpan w:val="4"/>
          </w:tcPr>
          <w:p>
            <w:pPr>
              <w:ind w:left="40"/>
              <w:spacing w:after="0"/>
              <w:rPr>
                <w:sz w:val="20"/>
                <w:szCs w:val="20"/>
                <w:color w:val="auto"/>
              </w:rPr>
            </w:pPr>
            <w:r>
              <w:rPr>
                <w:rFonts w:ascii="Times New Roman" w:cs="Times New Roman" w:eastAsia="Times New Roman" w:hAnsi="Times New Roman"/>
                <w:sz w:val="10"/>
                <w:szCs w:val="10"/>
                <w:color w:val="0D0D0D"/>
              </w:rPr>
              <w:t>Administrative expenses and interest on asset ceiling</w:t>
            </w: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68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00" w:type="dxa"/>
            <w:vAlign w:val="bottom"/>
            <w:shd w:val="clear" w:color="auto" w:fill="F0F5FF"/>
          </w:tcPr>
          <w:p>
            <w:pPr>
              <w:spacing w:after="0"/>
              <w:rPr>
                <w:sz w:val="13"/>
                <w:szCs w:val="13"/>
                <w:color w:val="auto"/>
              </w:rPr>
            </w:pPr>
          </w:p>
        </w:tc>
        <w:tc>
          <w:tcPr>
            <w:tcW w:w="580" w:type="dxa"/>
            <w:vAlign w:val="bottom"/>
            <w:shd w:val="clear" w:color="auto" w:fill="F0F5FF"/>
          </w:tcPr>
          <w:p>
            <w:pPr>
              <w:ind w:left="460"/>
              <w:spacing w:after="0"/>
              <w:rPr>
                <w:sz w:val="20"/>
                <w:szCs w:val="20"/>
                <w:color w:val="auto"/>
              </w:rPr>
            </w:pPr>
            <w:r>
              <w:rPr>
                <w:rFonts w:ascii="Times New Roman" w:cs="Times New Roman" w:eastAsia="Times New Roman" w:hAnsi="Times New Roman"/>
                <w:sz w:val="10"/>
                <w:szCs w:val="10"/>
                <w:color w:val="005AFF"/>
                <w:w w:val="85"/>
              </w:rPr>
              <w:t>(4)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w:t>
            </w:r>
          </w:p>
        </w:tc>
        <w:tc>
          <w:tcPr>
            <w:tcW w:w="800" w:type="dxa"/>
            <w:vAlign w:val="bottom"/>
            <w:gridSpan w:val="2"/>
          </w:tcPr>
          <w:p>
            <w:pPr>
              <w:jc w:val="right"/>
              <w:ind w:right="14"/>
              <w:spacing w:after="0"/>
              <w:rPr>
                <w:sz w:val="20"/>
                <w:szCs w:val="20"/>
                <w:color w:val="auto"/>
              </w:rPr>
            </w:pPr>
            <w:r>
              <w:rPr>
                <w:rFonts w:ascii="Times New Roman" w:cs="Times New Roman" w:eastAsia="Times New Roman" w:hAnsi="Times New Roman"/>
                <w:sz w:val="10"/>
                <w:szCs w:val="10"/>
                <w:color w:val="0D0D0D"/>
              </w:rPr>
              <w:t>(18)</w:t>
            </w:r>
          </w:p>
        </w:tc>
        <w:tc>
          <w:tcPr>
            <w:tcW w:w="72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(5)</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(23)</w:t>
            </w:r>
          </w:p>
        </w:tc>
        <w:tc>
          <w:tcPr>
            <w:tcW w:w="0" w:type="dxa"/>
            <w:vAlign w:val="bottom"/>
          </w:tcPr>
          <w:p>
            <w:pPr>
              <w:spacing w:after="0"/>
              <w:rPr>
                <w:sz w:val="1"/>
                <w:szCs w:val="1"/>
                <w:color w:val="auto"/>
              </w:rPr>
            </w:pPr>
          </w:p>
        </w:tc>
      </w:tr>
      <w:tr>
        <w:trPr>
          <w:trHeight w:val="15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Settlements</w:t>
            </w:r>
          </w:p>
        </w:tc>
        <w:tc>
          <w:tcPr>
            <w:tcW w:w="320" w:type="dxa"/>
            <w:vAlign w:val="bottom"/>
            <w:tcBorders>
              <w:bottom w:val="single" w:sz="8" w:color="005AFF"/>
            </w:tcBorders>
          </w:tcPr>
          <w:p>
            <w:pPr>
              <w:jc w:val="right"/>
              <w:ind w:right="207"/>
              <w:spacing w:after="0"/>
              <w:rPr>
                <w:sz w:val="20"/>
                <w:szCs w:val="20"/>
                <w:color w:val="auto"/>
              </w:rPr>
            </w:pPr>
            <w:r>
              <w:rPr>
                <w:rFonts w:ascii="Times New Roman" w:cs="Times New Roman" w:eastAsia="Times New Roman" w:hAnsi="Times New Roman"/>
                <w:sz w:val="7"/>
                <w:szCs w:val="7"/>
                <w:color w:val="0D0D0D"/>
                <w:w w:val="72"/>
              </w:rPr>
              <w:t>(1)</w:t>
            </w:r>
          </w:p>
        </w:tc>
        <w:tc>
          <w:tcPr>
            <w:tcW w:w="760" w:type="dxa"/>
            <w:vAlign w:val="bottom"/>
            <w:tcBorders>
              <w:bottom w:val="single" w:sz="8" w:color="005AFF"/>
            </w:tcBorders>
          </w:tcPr>
          <w:p>
            <w:pPr>
              <w:spacing w:after="0"/>
              <w:rPr>
                <w:sz w:val="13"/>
                <w:szCs w:val="13"/>
                <w:color w:val="auto"/>
              </w:rPr>
            </w:pPr>
          </w:p>
        </w:tc>
        <w:tc>
          <w:tcPr>
            <w:tcW w:w="86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tcPr>
          <w:p>
            <w:pPr>
              <w:spacing w:after="0"/>
              <w:rPr>
                <w:sz w:val="13"/>
                <w:szCs w:val="13"/>
                <w:color w:val="auto"/>
              </w:rPr>
            </w:pPr>
          </w:p>
        </w:tc>
        <w:tc>
          <w:tcPr>
            <w:tcW w:w="1200" w:type="dxa"/>
            <w:vAlign w:val="bottom"/>
            <w:tcBorders>
              <w:bottom w:val="single" w:sz="8" w:color="005AFF"/>
            </w:tcBorders>
          </w:tcPr>
          <w:p>
            <w:pPr>
              <w:spacing w:after="0"/>
              <w:rPr>
                <w:sz w:val="13"/>
                <w:szCs w:val="13"/>
                <w:color w:val="auto"/>
              </w:rPr>
            </w:pPr>
          </w:p>
        </w:tc>
        <w:tc>
          <w:tcPr>
            <w:tcW w:w="80" w:type="dxa"/>
            <w:vAlign w:val="bottom"/>
            <w:tcBorders>
              <w:bottom w:val="single" w:sz="8" w:color="005AFF"/>
            </w:tcBorders>
          </w:tcPr>
          <w:p>
            <w:pPr>
              <w:spacing w:after="0"/>
              <w:rPr>
                <w:sz w:val="13"/>
                <w:szCs w:val="13"/>
                <w:color w:val="auto"/>
              </w:rPr>
            </w:pPr>
          </w:p>
        </w:tc>
        <w:tc>
          <w:tcPr>
            <w:tcW w:w="460" w:type="dxa"/>
            <w:vAlign w:val="bottom"/>
            <w:tcBorders>
              <w:bottom w:val="single" w:sz="8" w:color="005AFF"/>
            </w:tcBorders>
            <w:shd w:val="clear" w:color="auto" w:fill="F0F5FF"/>
          </w:tcPr>
          <w:p>
            <w:pPr>
              <w:spacing w:after="0"/>
              <w:rPr>
                <w:sz w:val="13"/>
                <w:szCs w:val="13"/>
                <w:color w:val="auto"/>
              </w:rPr>
            </w:pPr>
          </w:p>
        </w:tc>
        <w:tc>
          <w:tcPr>
            <w:tcW w:w="2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00" w:type="dxa"/>
            <w:vAlign w:val="bottom"/>
            <w:tcBorders>
              <w:bottom w:val="single" w:sz="8" w:color="005AFF"/>
            </w:tcBorders>
            <w:shd w:val="clear" w:color="auto" w:fill="F0F5FF"/>
          </w:tcPr>
          <w:p>
            <w:pPr>
              <w:spacing w:after="0"/>
              <w:rPr>
                <w:sz w:val="13"/>
                <w:szCs w:val="13"/>
                <w:color w:val="auto"/>
              </w:rPr>
            </w:pP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(494)</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(494)</w:t>
            </w:r>
          </w:p>
        </w:tc>
        <w:tc>
          <w:tcPr>
            <w:tcW w:w="80" w:type="dxa"/>
            <w:vAlign w:val="bottom"/>
            <w:tcBorders>
              <w:bottom w:val="single" w:sz="8" w:color="005AFF"/>
            </w:tcBorders>
          </w:tcPr>
          <w:p>
            <w:pPr>
              <w:spacing w:after="0"/>
              <w:rPr>
                <w:sz w:val="13"/>
                <w:szCs w:val="13"/>
                <w:color w:val="auto"/>
              </w:rPr>
            </w:pPr>
          </w:p>
        </w:tc>
        <w:tc>
          <w:tcPr>
            <w:tcW w:w="720" w:type="dxa"/>
            <w:vAlign w:val="bottom"/>
            <w:tcBorders>
              <w:bottom w:val="single" w:sz="8" w:color="005AFF"/>
            </w:tcBorders>
          </w:tcPr>
          <w:p>
            <w:pPr>
              <w:jc w:val="right"/>
              <w:ind w:right="34"/>
              <w:spacing w:after="0"/>
              <w:rPr>
                <w:sz w:val="20"/>
                <w:szCs w:val="20"/>
                <w:color w:val="auto"/>
              </w:rPr>
            </w:pPr>
            <w:r>
              <w:rPr>
                <w:rFonts w:ascii="Times New Roman" w:cs="Times New Roman" w:eastAsia="Times New Roman" w:hAnsi="Times New Roman"/>
                <w:sz w:val="10"/>
                <w:szCs w:val="10"/>
                <w:color w:val="0D0D0D"/>
              </w:rPr>
              <w:t>—</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(44)</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(44)</w:t>
            </w:r>
          </w:p>
        </w:tc>
        <w:tc>
          <w:tcPr>
            <w:tcW w:w="0" w:type="dxa"/>
            <w:vAlign w:val="bottom"/>
          </w:tcPr>
          <w:p>
            <w:pPr>
              <w:spacing w:after="0"/>
              <w:rPr>
                <w:sz w:val="1"/>
                <w:szCs w:val="1"/>
                <w:color w:val="auto"/>
              </w:rPr>
            </w:pPr>
          </w:p>
        </w:tc>
      </w:tr>
      <w:tr>
        <w:trPr>
          <w:trHeight w:val="13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32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gridSpan w:val="2"/>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803</w:t>
            </w:r>
          </w:p>
        </w:tc>
        <w:tc>
          <w:tcPr>
            <w:tcW w:w="6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28</w:t>
            </w:r>
          </w:p>
        </w:tc>
        <w:tc>
          <w:tcPr>
            <w:tcW w:w="100" w:type="dxa"/>
            <w:vAlign w:val="bottom"/>
            <w:tcBorders>
              <w:bottom w:val="single" w:sz="8" w:color="005AFF"/>
            </w:tcBorders>
            <w:shd w:val="clear" w:color="auto" w:fill="F0F5FF"/>
          </w:tcPr>
          <w:p>
            <w:pPr>
              <w:spacing w:after="0"/>
              <w:rPr>
                <w:sz w:val="11"/>
                <w:szCs w:val="11"/>
                <w:color w:val="auto"/>
              </w:rPr>
            </w:pP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(327)</w:t>
            </w: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504</w:t>
            </w:r>
          </w:p>
        </w:tc>
        <w:tc>
          <w:tcPr>
            <w:tcW w:w="800" w:type="dxa"/>
            <w:vAlign w:val="bottom"/>
            <w:tcBorders>
              <w:bottom w:val="single" w:sz="8" w:color="005AFF"/>
            </w:tcBorders>
            <w:gridSpan w:val="2"/>
          </w:tcPr>
          <w:p>
            <w:pPr>
              <w:jc w:val="right"/>
              <w:ind w:right="74"/>
              <w:spacing w:after="0"/>
              <w:rPr>
                <w:sz w:val="20"/>
                <w:szCs w:val="20"/>
                <w:color w:val="auto"/>
              </w:rPr>
            </w:pPr>
            <w:r>
              <w:rPr>
                <w:rFonts w:ascii="Times New Roman" w:cs="Times New Roman" w:eastAsia="Times New Roman" w:hAnsi="Times New Roman"/>
                <w:sz w:val="10"/>
                <w:szCs w:val="10"/>
                <w:color w:val="0D0D0D"/>
              </w:rPr>
              <w:t>499</w:t>
            </w:r>
          </w:p>
        </w:tc>
        <w:tc>
          <w:tcPr>
            <w:tcW w:w="7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18</w:t>
            </w:r>
          </w:p>
        </w:tc>
        <w:tc>
          <w:tcPr>
            <w:tcW w:w="740" w:type="dxa"/>
            <w:vAlign w:val="bottom"/>
            <w:tcBorders>
              <w:bottom w:val="single" w:sz="8" w:color="005AFF"/>
            </w:tcBorders>
          </w:tcPr>
          <w:p>
            <w:pPr>
              <w:jc w:val="right"/>
              <w:ind w:right="170"/>
              <w:spacing w:after="0"/>
              <w:rPr>
                <w:sz w:val="20"/>
                <w:szCs w:val="20"/>
                <w:color w:val="auto"/>
              </w:rPr>
            </w:pPr>
            <w:r>
              <w:rPr>
                <w:rFonts w:ascii="Times New Roman" w:cs="Times New Roman" w:eastAsia="Times New Roman" w:hAnsi="Times New Roman"/>
                <w:sz w:val="10"/>
                <w:szCs w:val="10"/>
                <w:color w:val="0D0D0D"/>
              </w:rPr>
              <w:t>38</w:t>
            </w:r>
          </w:p>
        </w:tc>
        <w:tc>
          <w:tcPr>
            <w:tcW w:w="520" w:type="dxa"/>
            <w:vAlign w:val="bottom"/>
            <w:tcBorders>
              <w:bottom w:val="single" w:sz="8" w:color="005AFF"/>
            </w:tcBorders>
          </w:tcPr>
          <w:p>
            <w:pPr>
              <w:jc w:val="right"/>
              <w:ind w:right="9"/>
              <w:spacing w:after="0"/>
              <w:rPr>
                <w:sz w:val="20"/>
                <w:szCs w:val="20"/>
                <w:color w:val="auto"/>
              </w:rPr>
            </w:pPr>
            <w:r>
              <w:rPr>
                <w:rFonts w:ascii="Times New Roman" w:cs="Times New Roman" w:eastAsia="Times New Roman" w:hAnsi="Times New Roman"/>
                <w:sz w:val="10"/>
                <w:szCs w:val="10"/>
                <w:color w:val="0D0D0D"/>
              </w:rPr>
              <w:t>555</w:t>
            </w:r>
          </w:p>
        </w:tc>
        <w:tc>
          <w:tcPr>
            <w:tcW w:w="0" w:type="dxa"/>
            <w:vAlign w:val="bottom"/>
          </w:tcPr>
          <w:p>
            <w:pPr>
              <w:spacing w:after="0"/>
              <w:rPr>
                <w:sz w:val="1"/>
                <w:szCs w:val="1"/>
                <w:color w:val="auto"/>
              </w:rPr>
            </w:pPr>
          </w:p>
        </w:tc>
      </w:tr>
      <w:tr>
        <w:trPr>
          <w:trHeight w:val="132"/>
        </w:trPr>
        <w:tc>
          <w:tcPr>
            <w:tcW w:w="9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Remeasurements:</w:t>
            </w:r>
          </w:p>
        </w:tc>
        <w:tc>
          <w:tcPr>
            <w:tcW w:w="760" w:type="dxa"/>
            <w:vAlign w:val="bottom"/>
          </w:tcPr>
          <w:p>
            <w:pPr>
              <w:spacing w:after="0"/>
              <w:rPr>
                <w:sz w:val="11"/>
                <w:szCs w:val="11"/>
                <w:color w:val="auto"/>
              </w:rPr>
            </w:pPr>
          </w:p>
        </w:tc>
        <w:tc>
          <w:tcPr>
            <w:tcW w:w="86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20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460" w:type="dxa"/>
            <w:vAlign w:val="bottom"/>
            <w:shd w:val="clear" w:color="auto" w:fill="F0F5FF"/>
          </w:tcPr>
          <w:p>
            <w:pPr>
              <w:spacing w:after="0"/>
              <w:rPr>
                <w:sz w:val="11"/>
                <w:szCs w:val="11"/>
                <w:color w:val="auto"/>
              </w:rPr>
            </w:pPr>
          </w:p>
        </w:tc>
        <w:tc>
          <w:tcPr>
            <w:tcW w:w="22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10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2"/>
        </w:trPr>
        <w:tc>
          <w:tcPr>
            <w:tcW w:w="3260" w:type="dxa"/>
            <w:vAlign w:val="bottom"/>
            <w:tcBorders>
              <w:bottom w:val="single" w:sz="8" w:color="005AFF"/>
            </w:tcBorders>
            <w:gridSpan w:val="5"/>
          </w:tcPr>
          <w:p>
            <w:pPr>
              <w:ind w:left="200"/>
              <w:spacing w:after="0"/>
              <w:rPr>
                <w:sz w:val="20"/>
                <w:szCs w:val="20"/>
                <w:color w:val="auto"/>
              </w:rPr>
            </w:pPr>
            <w:r>
              <w:rPr>
                <w:rFonts w:ascii="Times New Roman" w:cs="Times New Roman" w:eastAsia="Times New Roman" w:hAnsi="Times New Roman"/>
                <w:sz w:val="10"/>
                <w:szCs w:val="10"/>
                <w:color w:val="0D0D0D"/>
              </w:rPr>
              <w:t>Return on plan assets, excluding amounts included in interest income</w:t>
            </w:r>
          </w:p>
        </w:tc>
        <w:tc>
          <w:tcPr>
            <w:tcW w:w="1200" w:type="dxa"/>
            <w:vAlign w:val="bottom"/>
            <w:tcBorders>
              <w:bottom w:val="single" w:sz="8" w:color="005AFF"/>
            </w:tcBorders>
          </w:tcPr>
          <w:p>
            <w:pPr>
              <w:spacing w:after="0"/>
              <w:rPr>
                <w:sz w:val="13"/>
                <w:szCs w:val="13"/>
                <w:color w:val="auto"/>
              </w:rPr>
            </w:pPr>
          </w:p>
        </w:tc>
        <w:tc>
          <w:tcPr>
            <w:tcW w:w="80" w:type="dxa"/>
            <w:vAlign w:val="bottom"/>
            <w:tcBorders>
              <w:bottom w:val="single" w:sz="8" w:color="005AFF"/>
            </w:tcBorders>
          </w:tcPr>
          <w:p>
            <w:pPr>
              <w:spacing w:after="0"/>
              <w:rPr>
                <w:sz w:val="13"/>
                <w:szCs w:val="13"/>
                <w:color w:val="auto"/>
              </w:rPr>
            </w:pPr>
          </w:p>
        </w:tc>
        <w:tc>
          <w:tcPr>
            <w:tcW w:w="68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(186)</w:t>
            </w:r>
          </w:p>
        </w:tc>
        <w:tc>
          <w:tcPr>
            <w:tcW w:w="6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62</w:t>
            </w:r>
          </w:p>
        </w:tc>
        <w:tc>
          <w:tcPr>
            <w:tcW w:w="100" w:type="dxa"/>
            <w:vAlign w:val="bottom"/>
            <w:tcBorders>
              <w:bottom w:val="single" w:sz="8" w:color="005AFF"/>
            </w:tcBorders>
            <w:shd w:val="clear" w:color="auto" w:fill="F0F5FF"/>
          </w:tcPr>
          <w:p>
            <w:pPr>
              <w:spacing w:after="0"/>
              <w:rPr>
                <w:sz w:val="13"/>
                <w:szCs w:val="13"/>
                <w:color w:val="auto"/>
              </w:rPr>
            </w:pPr>
          </w:p>
        </w:tc>
        <w:tc>
          <w:tcPr>
            <w:tcW w:w="5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48</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(76)</w:t>
            </w:r>
          </w:p>
        </w:tc>
        <w:tc>
          <w:tcPr>
            <w:tcW w:w="80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(3 577)</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(110)</w:t>
            </w:r>
          </w:p>
        </w:tc>
        <w:tc>
          <w:tcPr>
            <w:tcW w:w="7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(959)</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(4 646)</w:t>
            </w:r>
          </w:p>
        </w:tc>
        <w:tc>
          <w:tcPr>
            <w:tcW w:w="0" w:type="dxa"/>
            <w:vAlign w:val="bottom"/>
          </w:tcPr>
          <w:p>
            <w:pPr>
              <w:spacing w:after="0"/>
              <w:rPr>
                <w:sz w:val="1"/>
                <w:szCs w:val="1"/>
                <w:color w:val="auto"/>
              </w:rPr>
            </w:pPr>
          </w:p>
        </w:tc>
      </w:tr>
      <w:tr>
        <w:trPr>
          <w:trHeight w:val="13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32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(186)</w:t>
            </w:r>
          </w:p>
        </w:tc>
        <w:tc>
          <w:tcPr>
            <w:tcW w:w="6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62</w:t>
            </w:r>
          </w:p>
        </w:tc>
        <w:tc>
          <w:tcPr>
            <w:tcW w:w="100" w:type="dxa"/>
            <w:vAlign w:val="bottom"/>
            <w:tcBorders>
              <w:bottom w:val="single" w:sz="8" w:color="005AFF"/>
            </w:tcBorders>
            <w:shd w:val="clear" w:color="auto" w:fill="F0F5FF"/>
          </w:tcPr>
          <w:p>
            <w:pPr>
              <w:spacing w:after="0"/>
              <w:rPr>
                <w:sz w:val="11"/>
                <w:szCs w:val="11"/>
                <w:color w:val="auto"/>
              </w:rPr>
            </w:pPr>
          </w:p>
        </w:tc>
        <w:tc>
          <w:tcPr>
            <w:tcW w:w="5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48</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(76)</w:t>
            </w:r>
          </w:p>
        </w:tc>
        <w:tc>
          <w:tcPr>
            <w:tcW w:w="80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(3 577)</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(110)</w:t>
            </w:r>
          </w:p>
        </w:tc>
        <w:tc>
          <w:tcPr>
            <w:tcW w:w="7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(959)</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(4 646)</w:t>
            </w:r>
          </w:p>
        </w:tc>
        <w:tc>
          <w:tcPr>
            <w:tcW w:w="0" w:type="dxa"/>
            <w:vAlign w:val="bottom"/>
          </w:tcPr>
          <w:p>
            <w:pPr>
              <w:spacing w:after="0"/>
              <w:rPr>
                <w:sz w:val="1"/>
                <w:szCs w:val="1"/>
                <w:color w:val="auto"/>
              </w:rPr>
            </w:pPr>
          </w:p>
        </w:tc>
      </w:tr>
      <w:tr>
        <w:trPr>
          <w:trHeight w:val="132"/>
        </w:trPr>
        <w:tc>
          <w:tcPr>
            <w:tcW w:w="166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86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20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68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(624)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w:t>
            </w:r>
          </w:p>
        </w:tc>
        <w:tc>
          <w:tcPr>
            <w:tcW w:w="100" w:type="dxa"/>
            <w:vAlign w:val="bottom"/>
            <w:shd w:val="clear" w:color="auto" w:fill="F0F5FF"/>
          </w:tcPr>
          <w:p>
            <w:pPr>
              <w:spacing w:after="0"/>
              <w:rPr>
                <w:sz w:val="11"/>
                <w:szCs w:val="11"/>
                <w:color w:val="auto"/>
              </w:rPr>
            </w:pP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28</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(617)</w:t>
            </w:r>
          </w:p>
        </w:tc>
        <w:tc>
          <w:tcPr>
            <w:tcW w:w="800" w:type="dxa"/>
            <w:vAlign w:val="bottom"/>
            <w:gridSpan w:val="2"/>
          </w:tcPr>
          <w:p>
            <w:pPr>
              <w:jc w:val="right"/>
              <w:ind w:right="74"/>
              <w:spacing w:after="0"/>
              <w:rPr>
                <w:sz w:val="20"/>
                <w:szCs w:val="20"/>
                <w:color w:val="auto"/>
              </w:rPr>
            </w:pPr>
            <w:r>
              <w:rPr>
                <w:rFonts w:ascii="Times New Roman" w:cs="Times New Roman" w:eastAsia="Times New Roman" w:hAnsi="Times New Roman"/>
                <w:sz w:val="10"/>
                <w:szCs w:val="10"/>
                <w:color w:val="0D0D0D"/>
              </w:rPr>
              <w:t>1 271</w:t>
            </w:r>
          </w:p>
        </w:tc>
        <w:tc>
          <w:tcPr>
            <w:tcW w:w="72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38</w:t>
            </w:r>
          </w:p>
        </w:tc>
        <w:tc>
          <w:tcPr>
            <w:tcW w:w="74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(66)</w:t>
            </w:r>
          </w:p>
        </w:tc>
        <w:tc>
          <w:tcPr>
            <w:tcW w:w="5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1 243</w:t>
            </w:r>
          </w:p>
        </w:tc>
        <w:tc>
          <w:tcPr>
            <w:tcW w:w="0" w:type="dxa"/>
            <w:vAlign w:val="bottom"/>
          </w:tcPr>
          <w:p>
            <w:pPr>
              <w:spacing w:after="0"/>
              <w:rPr>
                <w:sz w:val="1"/>
                <w:szCs w:val="1"/>
                <w:color w:val="auto"/>
              </w:rPr>
            </w:pPr>
          </w:p>
        </w:tc>
      </w:tr>
      <w:tr>
        <w:trPr>
          <w:trHeight w:val="152"/>
        </w:trPr>
        <w:tc>
          <w:tcPr>
            <w:tcW w:w="9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Contributions:</w:t>
            </w:r>
          </w:p>
        </w:tc>
        <w:tc>
          <w:tcPr>
            <w:tcW w:w="760" w:type="dxa"/>
            <w:vAlign w:val="bottom"/>
          </w:tcPr>
          <w:p>
            <w:pPr>
              <w:spacing w:after="0"/>
              <w:rPr>
                <w:sz w:val="13"/>
                <w:szCs w:val="13"/>
                <w:color w:val="auto"/>
              </w:rPr>
            </w:pPr>
          </w:p>
        </w:tc>
        <w:tc>
          <w:tcPr>
            <w:tcW w:w="86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460" w:type="dxa"/>
            <w:vAlign w:val="bottom"/>
            <w:shd w:val="clear" w:color="auto" w:fill="F0F5FF"/>
          </w:tcPr>
          <w:p>
            <w:pPr>
              <w:spacing w:after="0"/>
              <w:rPr>
                <w:sz w:val="13"/>
                <w:szCs w:val="13"/>
                <w:color w:val="auto"/>
              </w:rPr>
            </w:pPr>
          </w:p>
        </w:tc>
        <w:tc>
          <w:tcPr>
            <w:tcW w:w="22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10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80" w:type="dxa"/>
            <w:vAlign w:val="bottom"/>
          </w:tcPr>
          <w:p>
            <w:pPr>
              <w:spacing w:after="0"/>
              <w:rPr>
                <w:sz w:val="13"/>
                <w:szCs w:val="13"/>
                <w:color w:val="auto"/>
              </w:rPr>
            </w:pPr>
          </w:p>
        </w:tc>
        <w:tc>
          <w:tcPr>
            <w:tcW w:w="720" w:type="dxa"/>
            <w:vAlign w:val="bottom"/>
          </w:tcPr>
          <w:p>
            <w:pPr>
              <w:spacing w:after="0"/>
              <w:rPr>
                <w:sz w:val="13"/>
                <w:szCs w:val="13"/>
                <w:color w:val="auto"/>
              </w:rPr>
            </w:pPr>
          </w:p>
        </w:tc>
        <w:tc>
          <w:tcPr>
            <w:tcW w:w="72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52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52"/>
        </w:trPr>
        <w:tc>
          <w:tcPr>
            <w:tcW w:w="900" w:type="dxa"/>
            <w:vAlign w:val="bottom"/>
            <w:gridSpan w:val="2"/>
          </w:tcPr>
          <w:p>
            <w:pPr>
              <w:ind w:left="200"/>
              <w:spacing w:after="0"/>
              <w:rPr>
                <w:sz w:val="20"/>
                <w:szCs w:val="20"/>
                <w:color w:val="auto"/>
              </w:rPr>
            </w:pPr>
            <w:r>
              <w:rPr>
                <w:rFonts w:ascii="Times New Roman" w:cs="Times New Roman" w:eastAsia="Times New Roman" w:hAnsi="Times New Roman"/>
                <w:sz w:val="10"/>
                <w:szCs w:val="10"/>
                <w:color w:val="0D0D0D"/>
              </w:rPr>
              <w:t>Employers</w:t>
            </w:r>
          </w:p>
        </w:tc>
        <w:tc>
          <w:tcPr>
            <w:tcW w:w="760" w:type="dxa"/>
            <w:vAlign w:val="bottom"/>
          </w:tcPr>
          <w:p>
            <w:pPr>
              <w:spacing w:after="0"/>
              <w:rPr>
                <w:sz w:val="13"/>
                <w:szCs w:val="13"/>
                <w:color w:val="auto"/>
              </w:rPr>
            </w:pPr>
          </w:p>
        </w:tc>
        <w:tc>
          <w:tcPr>
            <w:tcW w:w="86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68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27</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w:t>
            </w:r>
          </w:p>
        </w:tc>
        <w:tc>
          <w:tcPr>
            <w:tcW w:w="100" w:type="dxa"/>
            <w:vAlign w:val="bottom"/>
            <w:shd w:val="clear" w:color="auto" w:fill="F0F5FF"/>
          </w:tcPr>
          <w:p>
            <w:pPr>
              <w:spacing w:after="0"/>
              <w:rPr>
                <w:sz w:val="13"/>
                <w:szCs w:val="13"/>
                <w:color w:val="auto"/>
              </w:rPr>
            </w:pP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41</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75</w:t>
            </w:r>
          </w:p>
        </w:tc>
        <w:tc>
          <w:tcPr>
            <w:tcW w:w="800" w:type="dxa"/>
            <w:vAlign w:val="bottom"/>
            <w:gridSpan w:val="2"/>
          </w:tcPr>
          <w:p>
            <w:pPr>
              <w:jc w:val="right"/>
              <w:ind w:right="54"/>
              <w:spacing w:after="0"/>
              <w:rPr>
                <w:sz w:val="20"/>
                <w:szCs w:val="20"/>
                <w:color w:val="auto"/>
              </w:rPr>
            </w:pPr>
            <w:r>
              <w:rPr>
                <w:rFonts w:ascii="Times New Roman" w:cs="Times New Roman" w:eastAsia="Times New Roman" w:hAnsi="Times New Roman"/>
                <w:sz w:val="10"/>
                <w:szCs w:val="10"/>
                <w:color w:val="0D0D0D"/>
              </w:rPr>
              <w:t>28</w:t>
            </w:r>
          </w:p>
        </w:tc>
        <w:tc>
          <w:tcPr>
            <w:tcW w:w="7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9</w:t>
            </w:r>
          </w:p>
        </w:tc>
        <w:tc>
          <w:tcPr>
            <w:tcW w:w="74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47</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84</w:t>
            </w:r>
          </w:p>
        </w:tc>
        <w:tc>
          <w:tcPr>
            <w:tcW w:w="0" w:type="dxa"/>
            <w:vAlign w:val="bottom"/>
          </w:tcPr>
          <w:p>
            <w:pPr>
              <w:spacing w:after="0"/>
              <w:rPr>
                <w:sz w:val="1"/>
                <w:szCs w:val="1"/>
                <w:color w:val="auto"/>
              </w:rPr>
            </w:pPr>
          </w:p>
        </w:tc>
      </w:tr>
      <w:tr>
        <w:trPr>
          <w:trHeight w:val="152"/>
        </w:trPr>
        <w:tc>
          <w:tcPr>
            <w:tcW w:w="900" w:type="dxa"/>
            <w:vAlign w:val="bottom"/>
            <w:gridSpan w:val="2"/>
          </w:tcPr>
          <w:p>
            <w:pPr>
              <w:ind w:left="200"/>
              <w:spacing w:after="0"/>
              <w:rPr>
                <w:sz w:val="20"/>
                <w:szCs w:val="20"/>
                <w:color w:val="auto"/>
              </w:rPr>
            </w:pPr>
            <w:r>
              <w:rPr>
                <w:rFonts w:ascii="Times New Roman" w:cs="Times New Roman" w:eastAsia="Times New Roman" w:hAnsi="Times New Roman"/>
                <w:sz w:val="10"/>
                <w:szCs w:val="10"/>
                <w:color w:val="0D0D0D"/>
              </w:rPr>
              <w:t>Plan participants</w:t>
            </w:r>
          </w:p>
        </w:tc>
        <w:tc>
          <w:tcPr>
            <w:tcW w:w="760" w:type="dxa"/>
            <w:vAlign w:val="bottom"/>
          </w:tcPr>
          <w:p>
            <w:pPr>
              <w:spacing w:after="0"/>
              <w:rPr>
                <w:sz w:val="13"/>
                <w:szCs w:val="13"/>
                <w:color w:val="auto"/>
              </w:rPr>
            </w:pPr>
          </w:p>
        </w:tc>
        <w:tc>
          <w:tcPr>
            <w:tcW w:w="86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460" w:type="dxa"/>
            <w:vAlign w:val="bottom"/>
            <w:shd w:val="clear" w:color="auto" w:fill="F0F5FF"/>
          </w:tcPr>
          <w:p>
            <w:pPr>
              <w:spacing w:after="0"/>
              <w:rPr>
                <w:sz w:val="13"/>
                <w:szCs w:val="13"/>
                <w:color w:val="auto"/>
              </w:rPr>
            </w:pPr>
          </w:p>
        </w:tc>
        <w:tc>
          <w:tcPr>
            <w:tcW w:w="2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60</w:t>
            </w:r>
          </w:p>
        </w:tc>
        <w:tc>
          <w:tcPr>
            <w:tcW w:w="100" w:type="dxa"/>
            <w:vAlign w:val="bottom"/>
            <w:shd w:val="clear" w:color="auto" w:fill="F0F5FF"/>
          </w:tcPr>
          <w:p>
            <w:pPr>
              <w:spacing w:after="0"/>
              <w:rPr>
                <w:sz w:val="13"/>
                <w:szCs w:val="13"/>
                <w:color w:val="auto"/>
              </w:rPr>
            </w:pP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24</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84</w:t>
            </w:r>
          </w:p>
        </w:tc>
        <w:tc>
          <w:tcPr>
            <w:tcW w:w="80" w:type="dxa"/>
            <w:vAlign w:val="bottom"/>
          </w:tcPr>
          <w:p>
            <w:pPr>
              <w:spacing w:after="0"/>
              <w:rPr>
                <w:sz w:val="13"/>
                <w:szCs w:val="13"/>
                <w:color w:val="auto"/>
              </w:rPr>
            </w:pPr>
          </w:p>
        </w:tc>
        <w:tc>
          <w:tcPr>
            <w:tcW w:w="720" w:type="dxa"/>
            <w:vAlign w:val="bottom"/>
          </w:tcPr>
          <w:p>
            <w:pPr>
              <w:jc w:val="right"/>
              <w:ind w:right="34"/>
              <w:spacing w:after="0"/>
              <w:rPr>
                <w:sz w:val="20"/>
                <w:szCs w:val="20"/>
                <w:color w:val="auto"/>
              </w:rPr>
            </w:pPr>
            <w:r>
              <w:rPr>
                <w:rFonts w:ascii="Times New Roman" w:cs="Times New Roman" w:eastAsia="Times New Roman" w:hAnsi="Times New Roman"/>
                <w:sz w:val="10"/>
                <w:szCs w:val="10"/>
                <w:color w:val="0D0D0D"/>
              </w:rPr>
              <w:t>—</w:t>
            </w:r>
          </w:p>
        </w:tc>
        <w:tc>
          <w:tcPr>
            <w:tcW w:w="72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59</w:t>
            </w:r>
          </w:p>
        </w:tc>
        <w:tc>
          <w:tcPr>
            <w:tcW w:w="740" w:type="dxa"/>
            <w:vAlign w:val="bottom"/>
          </w:tcPr>
          <w:p>
            <w:pPr>
              <w:jc w:val="right"/>
              <w:ind w:right="170"/>
              <w:spacing w:after="0"/>
              <w:rPr>
                <w:sz w:val="20"/>
                <w:szCs w:val="20"/>
                <w:color w:val="auto"/>
              </w:rPr>
            </w:pPr>
            <w:r>
              <w:rPr>
                <w:rFonts w:ascii="Times New Roman" w:cs="Times New Roman" w:eastAsia="Times New Roman" w:hAnsi="Times New Roman"/>
                <w:sz w:val="10"/>
                <w:szCs w:val="10"/>
                <w:color w:val="0D0D0D"/>
              </w:rPr>
              <w:t>35</w:t>
            </w:r>
          </w:p>
        </w:tc>
        <w:tc>
          <w:tcPr>
            <w:tcW w:w="5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94</w:t>
            </w:r>
          </w:p>
        </w:tc>
        <w:tc>
          <w:tcPr>
            <w:tcW w:w="0" w:type="dxa"/>
            <w:vAlign w:val="bottom"/>
          </w:tcPr>
          <w:p>
            <w:pPr>
              <w:spacing w:after="0"/>
              <w:rPr>
                <w:sz w:val="1"/>
                <w:szCs w:val="1"/>
                <w:color w:val="auto"/>
              </w:rPr>
            </w:pPr>
          </w:p>
        </w:tc>
      </w:tr>
      <w:tr>
        <w:trPr>
          <w:trHeight w:val="152"/>
        </w:trPr>
        <w:tc>
          <w:tcPr>
            <w:tcW w:w="58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7"/>
              </w:rPr>
              <w:t>Benefits paid</w:t>
            </w:r>
          </w:p>
        </w:tc>
        <w:tc>
          <w:tcPr>
            <w:tcW w:w="32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86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68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(1 330)</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(229)</w:t>
            </w:r>
          </w:p>
        </w:tc>
        <w:tc>
          <w:tcPr>
            <w:tcW w:w="100" w:type="dxa"/>
            <w:vAlign w:val="bottom"/>
            <w:shd w:val="clear" w:color="auto" w:fill="F0F5FF"/>
          </w:tcPr>
          <w:p>
            <w:pPr>
              <w:spacing w:after="0"/>
              <w:rPr>
                <w:sz w:val="13"/>
                <w:szCs w:val="13"/>
                <w:color w:val="auto"/>
              </w:rPr>
            </w:pP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(181)</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(1 740)</w:t>
            </w:r>
          </w:p>
        </w:tc>
        <w:tc>
          <w:tcPr>
            <w:tcW w:w="800" w:type="dxa"/>
            <w:vAlign w:val="bottom"/>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(1 367)</w:t>
            </w:r>
          </w:p>
        </w:tc>
        <w:tc>
          <w:tcPr>
            <w:tcW w:w="72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(253)</w:t>
            </w:r>
          </w:p>
        </w:tc>
        <w:tc>
          <w:tcPr>
            <w:tcW w:w="74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(138)</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(1 758)</w:t>
            </w:r>
          </w:p>
        </w:tc>
        <w:tc>
          <w:tcPr>
            <w:tcW w:w="0" w:type="dxa"/>
            <w:vAlign w:val="bottom"/>
          </w:tcPr>
          <w:p>
            <w:pPr>
              <w:spacing w:after="0"/>
              <w:rPr>
                <w:sz w:val="1"/>
                <w:szCs w:val="1"/>
                <w:color w:val="auto"/>
              </w:rPr>
            </w:pPr>
          </w:p>
        </w:tc>
      </w:tr>
      <w:tr>
        <w:trPr>
          <w:trHeight w:val="101"/>
        </w:trPr>
        <w:tc>
          <w:tcPr>
            <w:tcW w:w="90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Section 420 transfer</w:t>
            </w:r>
          </w:p>
        </w:tc>
        <w:tc>
          <w:tcPr>
            <w:tcW w:w="760" w:type="dxa"/>
            <w:vAlign w:val="bottom"/>
          </w:tcPr>
          <w:p>
            <w:pPr>
              <w:jc w:val="right"/>
              <w:ind w:right="578"/>
              <w:spacing w:after="0"/>
              <w:rPr>
                <w:sz w:val="20"/>
                <w:szCs w:val="20"/>
                <w:color w:val="auto"/>
              </w:rPr>
            </w:pPr>
            <w:r>
              <w:rPr>
                <w:rFonts w:ascii="Times New Roman" w:cs="Times New Roman" w:eastAsia="Times New Roman" w:hAnsi="Times New Roman"/>
                <w:sz w:val="7"/>
                <w:szCs w:val="7"/>
                <w:color w:val="0D0D0D"/>
              </w:rPr>
              <w:t>(2)</w:t>
            </w:r>
          </w:p>
        </w:tc>
        <w:tc>
          <w:tcPr>
            <w:tcW w:w="860" w:type="dxa"/>
            <w:vAlign w:val="bottom"/>
          </w:tcPr>
          <w:p>
            <w:pPr>
              <w:spacing w:after="0"/>
              <w:rPr>
                <w:sz w:val="8"/>
                <w:szCs w:val="8"/>
                <w:color w:val="auto"/>
              </w:rPr>
            </w:pPr>
          </w:p>
        </w:tc>
        <w:tc>
          <w:tcPr>
            <w:tcW w:w="740" w:type="dxa"/>
            <w:vAlign w:val="bottom"/>
          </w:tcPr>
          <w:p>
            <w:pPr>
              <w:spacing w:after="0"/>
              <w:rPr>
                <w:sz w:val="8"/>
                <w:szCs w:val="8"/>
                <w:color w:val="auto"/>
              </w:rPr>
            </w:pPr>
          </w:p>
        </w:tc>
        <w:tc>
          <w:tcPr>
            <w:tcW w:w="1200" w:type="dxa"/>
            <w:vAlign w:val="bottom"/>
          </w:tcPr>
          <w:p>
            <w:pPr>
              <w:spacing w:after="0"/>
              <w:rPr>
                <w:sz w:val="8"/>
                <w:szCs w:val="8"/>
                <w:color w:val="auto"/>
              </w:rPr>
            </w:pPr>
          </w:p>
        </w:tc>
        <w:tc>
          <w:tcPr>
            <w:tcW w:w="80" w:type="dxa"/>
            <w:vAlign w:val="bottom"/>
          </w:tcPr>
          <w:p>
            <w:pPr>
              <w:spacing w:after="0"/>
              <w:rPr>
                <w:sz w:val="8"/>
                <w:szCs w:val="8"/>
                <w:color w:val="auto"/>
              </w:rPr>
            </w:pPr>
          </w:p>
        </w:tc>
        <w:tc>
          <w:tcPr>
            <w:tcW w:w="680" w:type="dxa"/>
            <w:vAlign w:val="bottom"/>
            <w:gridSpan w:val="2"/>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(131)</w:t>
            </w:r>
          </w:p>
        </w:tc>
        <w:tc>
          <w:tcPr>
            <w:tcW w:w="68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131</w:t>
            </w:r>
          </w:p>
        </w:tc>
        <w:tc>
          <w:tcPr>
            <w:tcW w:w="100" w:type="dxa"/>
            <w:vAlign w:val="bottom"/>
            <w:shd w:val="clear" w:color="auto" w:fill="F0F5FF"/>
          </w:tcPr>
          <w:p>
            <w:pPr>
              <w:spacing w:after="0"/>
              <w:rPr>
                <w:sz w:val="8"/>
                <w:szCs w:val="8"/>
                <w:color w:val="auto"/>
              </w:rPr>
            </w:pPr>
          </w:p>
        </w:tc>
        <w:tc>
          <w:tcPr>
            <w:tcW w:w="580" w:type="dxa"/>
            <w:vAlign w:val="bottom"/>
            <w:vMerge w:val="restart"/>
            <w:shd w:val="clear" w:color="auto" w:fill="F0F5FF"/>
          </w:tcPr>
          <w:p>
            <w:pPr>
              <w:ind w:left="460"/>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gridSpan w:val="2"/>
            <w:vMerge w:val="restart"/>
          </w:tcPr>
          <w:p>
            <w:pPr>
              <w:jc w:val="right"/>
              <w:ind w:right="34"/>
              <w:spacing w:after="0"/>
              <w:rPr>
                <w:sz w:val="20"/>
                <w:szCs w:val="20"/>
                <w:color w:val="auto"/>
              </w:rPr>
            </w:pPr>
            <w:r>
              <w:rPr>
                <w:rFonts w:ascii="Times New Roman" w:cs="Times New Roman" w:eastAsia="Times New Roman" w:hAnsi="Times New Roman"/>
                <w:sz w:val="10"/>
                <w:szCs w:val="10"/>
                <w:color w:val="0D0D0D"/>
              </w:rPr>
              <w:t>(117)</w:t>
            </w:r>
          </w:p>
        </w:tc>
        <w:tc>
          <w:tcPr>
            <w:tcW w:w="720" w:type="dxa"/>
            <w:vAlign w:val="bottom"/>
            <w:vMerge w:val="restart"/>
          </w:tcPr>
          <w:p>
            <w:pPr>
              <w:jc w:val="right"/>
              <w:ind w:right="111"/>
              <w:spacing w:after="0"/>
              <w:rPr>
                <w:sz w:val="20"/>
                <w:szCs w:val="20"/>
                <w:color w:val="auto"/>
              </w:rPr>
            </w:pPr>
            <w:r>
              <w:rPr>
                <w:rFonts w:ascii="Times New Roman" w:cs="Times New Roman" w:eastAsia="Times New Roman" w:hAnsi="Times New Roman"/>
                <w:sz w:val="10"/>
                <w:szCs w:val="10"/>
                <w:color w:val="0D0D0D"/>
              </w:rPr>
              <w:t>117</w:t>
            </w:r>
          </w:p>
        </w:tc>
        <w:tc>
          <w:tcPr>
            <w:tcW w:w="740" w:type="dxa"/>
            <w:vAlign w:val="bottom"/>
            <w:vMerge w:val="restart"/>
          </w:tcPr>
          <w:p>
            <w:pPr>
              <w:jc w:val="right"/>
              <w:ind w:right="130"/>
              <w:spacing w:after="0"/>
              <w:rPr>
                <w:sz w:val="20"/>
                <w:szCs w:val="20"/>
                <w:color w:val="auto"/>
              </w:rPr>
            </w:pPr>
            <w:r>
              <w:rPr>
                <w:rFonts w:ascii="Times New Roman" w:cs="Times New Roman" w:eastAsia="Times New Roman" w:hAnsi="Times New Roman"/>
                <w:sz w:val="10"/>
                <w:szCs w:val="10"/>
                <w:color w:val="0D0D0D"/>
              </w:rPr>
              <w:t>—</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50"/>
        </w:trPr>
        <w:tc>
          <w:tcPr>
            <w:tcW w:w="900" w:type="dxa"/>
            <w:vAlign w:val="bottom"/>
            <w:gridSpan w:val="2"/>
            <w:vMerge w:val="continue"/>
          </w:tcPr>
          <w:p>
            <w:pPr>
              <w:spacing w:after="0"/>
              <w:rPr>
                <w:sz w:val="4"/>
                <w:szCs w:val="4"/>
                <w:color w:val="auto"/>
              </w:rPr>
            </w:pPr>
          </w:p>
        </w:tc>
        <w:tc>
          <w:tcPr>
            <w:tcW w:w="760" w:type="dxa"/>
            <w:vAlign w:val="bottom"/>
          </w:tcPr>
          <w:p>
            <w:pPr>
              <w:spacing w:after="0"/>
              <w:rPr>
                <w:sz w:val="4"/>
                <w:szCs w:val="4"/>
                <w:color w:val="auto"/>
              </w:rPr>
            </w:pPr>
          </w:p>
        </w:tc>
        <w:tc>
          <w:tcPr>
            <w:tcW w:w="860" w:type="dxa"/>
            <w:vAlign w:val="bottom"/>
          </w:tcPr>
          <w:p>
            <w:pPr>
              <w:spacing w:after="0"/>
              <w:rPr>
                <w:sz w:val="4"/>
                <w:szCs w:val="4"/>
                <w:color w:val="auto"/>
              </w:rPr>
            </w:pPr>
          </w:p>
        </w:tc>
        <w:tc>
          <w:tcPr>
            <w:tcW w:w="740" w:type="dxa"/>
            <w:vAlign w:val="bottom"/>
          </w:tcPr>
          <w:p>
            <w:pPr>
              <w:spacing w:after="0"/>
              <w:rPr>
                <w:sz w:val="4"/>
                <w:szCs w:val="4"/>
                <w:color w:val="auto"/>
              </w:rPr>
            </w:pPr>
          </w:p>
        </w:tc>
        <w:tc>
          <w:tcPr>
            <w:tcW w:w="1200" w:type="dxa"/>
            <w:vAlign w:val="bottom"/>
          </w:tcPr>
          <w:p>
            <w:pPr>
              <w:spacing w:after="0"/>
              <w:rPr>
                <w:sz w:val="4"/>
                <w:szCs w:val="4"/>
                <w:color w:val="auto"/>
              </w:rPr>
            </w:pPr>
          </w:p>
        </w:tc>
        <w:tc>
          <w:tcPr>
            <w:tcW w:w="80" w:type="dxa"/>
            <w:vAlign w:val="bottom"/>
          </w:tcPr>
          <w:p>
            <w:pPr>
              <w:spacing w:after="0"/>
              <w:rPr>
                <w:sz w:val="4"/>
                <w:szCs w:val="4"/>
                <w:color w:val="auto"/>
              </w:rPr>
            </w:pPr>
          </w:p>
        </w:tc>
        <w:tc>
          <w:tcPr>
            <w:tcW w:w="680" w:type="dxa"/>
            <w:vAlign w:val="bottom"/>
            <w:gridSpan w:val="2"/>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100" w:type="dxa"/>
            <w:vAlign w:val="bottom"/>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800" w:type="dxa"/>
            <w:vAlign w:val="bottom"/>
            <w:gridSpan w:val="2"/>
            <w:vMerge w:val="continue"/>
          </w:tcPr>
          <w:p>
            <w:pPr>
              <w:spacing w:after="0"/>
              <w:rPr>
                <w:sz w:val="4"/>
                <w:szCs w:val="4"/>
                <w:color w:val="auto"/>
              </w:rPr>
            </w:pPr>
          </w:p>
        </w:tc>
        <w:tc>
          <w:tcPr>
            <w:tcW w:w="720" w:type="dxa"/>
            <w:vAlign w:val="bottom"/>
            <w:vMerge w:val="continue"/>
          </w:tcPr>
          <w:p>
            <w:pPr>
              <w:spacing w:after="0"/>
              <w:rPr>
                <w:sz w:val="4"/>
                <w:szCs w:val="4"/>
                <w:color w:val="auto"/>
              </w:rPr>
            </w:pPr>
          </w:p>
        </w:tc>
        <w:tc>
          <w:tcPr>
            <w:tcW w:w="740" w:type="dxa"/>
            <w:vAlign w:val="bottom"/>
            <w:vMerge w:val="continue"/>
          </w:tcPr>
          <w:p>
            <w:pPr>
              <w:spacing w:after="0"/>
              <w:rPr>
                <w:sz w:val="4"/>
                <w:szCs w:val="4"/>
                <w:color w:val="auto"/>
              </w:rPr>
            </w:pPr>
          </w:p>
        </w:tc>
        <w:tc>
          <w:tcPr>
            <w:tcW w:w="5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5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320" w:type="dxa"/>
            <w:vAlign w:val="bottom"/>
            <w:tcBorders>
              <w:bottom w:val="single" w:sz="8" w:color="005AFF"/>
            </w:tcBorders>
          </w:tcPr>
          <w:p>
            <w:pPr>
              <w:spacing w:after="0"/>
              <w:rPr>
                <w:sz w:val="13"/>
                <w:szCs w:val="13"/>
                <w:color w:val="auto"/>
              </w:rPr>
            </w:pPr>
          </w:p>
        </w:tc>
        <w:tc>
          <w:tcPr>
            <w:tcW w:w="760" w:type="dxa"/>
            <w:vAlign w:val="bottom"/>
            <w:tcBorders>
              <w:bottom w:val="single" w:sz="8" w:color="005AFF"/>
            </w:tcBorders>
          </w:tcPr>
          <w:p>
            <w:pPr>
              <w:spacing w:after="0"/>
              <w:rPr>
                <w:sz w:val="13"/>
                <w:szCs w:val="13"/>
                <w:color w:val="auto"/>
              </w:rPr>
            </w:pPr>
          </w:p>
        </w:tc>
        <w:tc>
          <w:tcPr>
            <w:tcW w:w="860" w:type="dxa"/>
            <w:vAlign w:val="bottom"/>
            <w:tcBorders>
              <w:bottom w:val="single" w:sz="8" w:color="005AFF"/>
            </w:tcBorders>
          </w:tcPr>
          <w:p>
            <w:pPr>
              <w:spacing w:after="0"/>
              <w:rPr>
                <w:sz w:val="13"/>
                <w:szCs w:val="13"/>
                <w:color w:val="auto"/>
              </w:rPr>
            </w:pPr>
          </w:p>
        </w:tc>
        <w:tc>
          <w:tcPr>
            <w:tcW w:w="740" w:type="dxa"/>
            <w:vAlign w:val="bottom"/>
            <w:tcBorders>
              <w:bottom w:val="single" w:sz="8" w:color="005AFF"/>
            </w:tcBorders>
          </w:tcPr>
          <w:p>
            <w:pPr>
              <w:spacing w:after="0"/>
              <w:rPr>
                <w:sz w:val="13"/>
                <w:szCs w:val="13"/>
                <w:color w:val="auto"/>
              </w:rPr>
            </w:pPr>
          </w:p>
        </w:tc>
        <w:tc>
          <w:tcPr>
            <w:tcW w:w="1200" w:type="dxa"/>
            <w:vAlign w:val="bottom"/>
            <w:tcBorders>
              <w:bottom w:val="single" w:sz="8" w:color="005AFF"/>
            </w:tcBorders>
          </w:tcPr>
          <w:p>
            <w:pPr>
              <w:spacing w:after="0"/>
              <w:rPr>
                <w:sz w:val="13"/>
                <w:szCs w:val="13"/>
                <w:color w:val="auto"/>
              </w:rPr>
            </w:pPr>
          </w:p>
        </w:tc>
        <w:tc>
          <w:tcPr>
            <w:tcW w:w="80" w:type="dxa"/>
            <w:vAlign w:val="bottom"/>
            <w:tcBorders>
              <w:bottom w:val="single" w:sz="8" w:color="005AFF"/>
            </w:tcBorders>
          </w:tcPr>
          <w:p>
            <w:pPr>
              <w:spacing w:after="0"/>
              <w:rPr>
                <w:sz w:val="13"/>
                <w:szCs w:val="13"/>
                <w:color w:val="auto"/>
              </w:rPr>
            </w:pPr>
          </w:p>
        </w:tc>
        <w:tc>
          <w:tcPr>
            <w:tcW w:w="460" w:type="dxa"/>
            <w:vAlign w:val="bottom"/>
            <w:tcBorders>
              <w:bottom w:val="single" w:sz="8" w:color="005AFF"/>
            </w:tcBorders>
            <w:shd w:val="clear" w:color="auto" w:fill="F0F5FF"/>
          </w:tcPr>
          <w:p>
            <w:pPr>
              <w:spacing w:after="0"/>
              <w:rPr>
                <w:sz w:val="13"/>
                <w:szCs w:val="13"/>
                <w:color w:val="auto"/>
              </w:rPr>
            </w:pPr>
          </w:p>
        </w:tc>
        <w:tc>
          <w:tcPr>
            <w:tcW w:w="2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00" w:type="dxa"/>
            <w:vAlign w:val="bottom"/>
            <w:tcBorders>
              <w:bottom w:val="single" w:sz="8" w:color="005AFF"/>
            </w:tcBorders>
            <w:shd w:val="clear" w:color="auto" w:fill="F0F5FF"/>
          </w:tcPr>
          <w:p>
            <w:pPr>
              <w:spacing w:after="0"/>
              <w:rPr>
                <w:sz w:val="13"/>
                <w:szCs w:val="13"/>
                <w:color w:val="auto"/>
              </w:rPr>
            </w:pPr>
          </w:p>
        </w:tc>
        <w:tc>
          <w:tcPr>
            <w:tcW w:w="580" w:type="dxa"/>
            <w:vAlign w:val="bottom"/>
            <w:tcBorders>
              <w:bottom w:val="single" w:sz="8" w:color="005AFF"/>
            </w:tcBorders>
            <w:shd w:val="clear" w:color="auto" w:fill="F0F5FF"/>
          </w:tcPr>
          <w:p>
            <w:pPr>
              <w:ind w:left="460"/>
              <w:spacing w:after="0"/>
              <w:rPr>
                <w:sz w:val="20"/>
                <w:szCs w:val="20"/>
                <w:color w:val="auto"/>
              </w:rPr>
            </w:pPr>
            <w:r>
              <w:rPr>
                <w:rFonts w:ascii="Times New Roman" w:cs="Times New Roman" w:eastAsia="Times New Roman" w:hAnsi="Times New Roman"/>
                <w:sz w:val="10"/>
                <w:szCs w:val="10"/>
                <w:color w:val="005AFF"/>
                <w:w w:val="85"/>
              </w:rPr>
              <w:t>(7)</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w:t>
            </w:r>
          </w:p>
        </w:tc>
        <w:tc>
          <w:tcPr>
            <w:tcW w:w="800" w:type="dxa"/>
            <w:vAlign w:val="bottom"/>
            <w:tcBorders>
              <w:bottom w:val="single" w:sz="8" w:color="005AFF"/>
            </w:tcBorders>
            <w:gridSpan w:val="2"/>
          </w:tcPr>
          <w:p>
            <w:pPr>
              <w:jc w:val="right"/>
              <w:ind w:right="54"/>
              <w:spacing w:after="0"/>
              <w:rPr>
                <w:sz w:val="20"/>
                <w:szCs w:val="20"/>
                <w:color w:val="auto"/>
              </w:rPr>
            </w:pPr>
            <w:r>
              <w:rPr>
                <w:rFonts w:ascii="Times New Roman" w:cs="Times New Roman" w:eastAsia="Times New Roman" w:hAnsi="Times New Roman"/>
                <w:sz w:val="10"/>
                <w:szCs w:val="10"/>
                <w:color w:val="0D0D0D"/>
              </w:rPr>
              <w:t>2</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(11)</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w:t>
            </w:r>
          </w:p>
        </w:tc>
        <w:tc>
          <w:tcPr>
            <w:tcW w:w="0" w:type="dxa"/>
            <w:vAlign w:val="bottom"/>
          </w:tcPr>
          <w:p>
            <w:pPr>
              <w:spacing w:after="0"/>
              <w:rPr>
                <w:sz w:val="1"/>
                <w:szCs w:val="1"/>
                <w:color w:val="auto"/>
              </w:rPr>
            </w:pPr>
          </w:p>
        </w:tc>
      </w:tr>
      <w:tr>
        <w:trPr>
          <w:trHeight w:val="132"/>
        </w:trPr>
        <w:tc>
          <w:tcPr>
            <w:tcW w:w="5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w:t>
            </w:r>
          </w:p>
        </w:tc>
        <w:tc>
          <w:tcPr>
            <w:tcW w:w="32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(2 058)</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(52)</w:t>
            </w:r>
          </w:p>
        </w:tc>
        <w:tc>
          <w:tcPr>
            <w:tcW w:w="100" w:type="dxa"/>
            <w:vAlign w:val="bottom"/>
            <w:tcBorders>
              <w:bottom w:val="single" w:sz="8" w:color="005AFF"/>
            </w:tcBorders>
            <w:shd w:val="clear" w:color="auto" w:fill="F0F5FF"/>
          </w:tcPr>
          <w:p>
            <w:pPr>
              <w:spacing w:after="0"/>
              <w:rPr>
                <w:sz w:val="11"/>
                <w:szCs w:val="11"/>
                <w:color w:val="auto"/>
              </w:rPr>
            </w:pP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(95)</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(2 205)</w:t>
            </w:r>
          </w:p>
        </w:tc>
        <w:tc>
          <w:tcPr>
            <w:tcW w:w="80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(183)</w:t>
            </w:r>
          </w:p>
        </w:tc>
        <w:tc>
          <w:tcPr>
            <w:tcW w:w="72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color w:val="0D0D0D"/>
              </w:rPr>
              <w:t>(30)</w:t>
            </w:r>
          </w:p>
        </w:tc>
        <w:tc>
          <w:tcPr>
            <w:tcW w:w="740" w:type="dxa"/>
            <w:vAlign w:val="bottom"/>
            <w:tcBorders>
              <w:bottom w:val="single" w:sz="8" w:color="005AFF"/>
            </w:tcBorders>
          </w:tcPr>
          <w:p>
            <w:pPr>
              <w:jc w:val="right"/>
              <w:ind w:right="130"/>
              <w:spacing w:after="0"/>
              <w:rPr>
                <w:sz w:val="20"/>
                <w:szCs w:val="20"/>
                <w:color w:val="auto"/>
              </w:rPr>
            </w:pPr>
            <w:r>
              <w:rPr>
                <w:rFonts w:ascii="Times New Roman" w:cs="Times New Roman" w:eastAsia="Times New Roman" w:hAnsi="Times New Roman"/>
                <w:sz w:val="10"/>
                <w:szCs w:val="10"/>
                <w:color w:val="0D0D0D"/>
              </w:rPr>
              <w:t>(133)</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(346)</w:t>
            </w:r>
          </w:p>
        </w:tc>
        <w:tc>
          <w:tcPr>
            <w:tcW w:w="0" w:type="dxa"/>
            <w:vAlign w:val="bottom"/>
          </w:tcPr>
          <w:p>
            <w:pPr>
              <w:spacing w:after="0"/>
              <w:rPr>
                <w:sz w:val="1"/>
                <w:szCs w:val="1"/>
                <w:color w:val="auto"/>
              </w:rPr>
            </w:pPr>
          </w:p>
        </w:tc>
      </w:tr>
      <w:tr>
        <w:trPr>
          <w:trHeight w:val="132"/>
        </w:trPr>
        <w:tc>
          <w:tcPr>
            <w:tcW w:w="900" w:type="dxa"/>
            <w:vAlign w:val="bottom"/>
            <w:tcBorders>
              <w:bottom w:val="single" w:sz="8" w:color="005AFF"/>
            </w:tcBorders>
            <w:gridSpan w:val="2"/>
          </w:tcPr>
          <w:p>
            <w:pPr>
              <w:ind w:left="6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760" w:type="dxa"/>
            <w:vAlign w:val="bottom"/>
            <w:tcBorders>
              <w:bottom w:val="single" w:sz="8" w:color="005AFF"/>
            </w:tcBorders>
          </w:tcPr>
          <w:p>
            <w:pPr>
              <w:spacing w:after="0"/>
              <w:rPr>
                <w:sz w:val="11"/>
                <w:szCs w:val="11"/>
                <w:color w:val="auto"/>
              </w:rPr>
            </w:pPr>
          </w:p>
        </w:tc>
        <w:tc>
          <w:tcPr>
            <w:tcW w:w="86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gridSpan w:val="2"/>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16 285</w:t>
            </w:r>
          </w:p>
        </w:tc>
        <w:tc>
          <w:tcPr>
            <w:tcW w:w="6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675</w:t>
            </w:r>
          </w:p>
        </w:tc>
        <w:tc>
          <w:tcPr>
            <w:tcW w:w="100" w:type="dxa"/>
            <w:vAlign w:val="bottom"/>
            <w:tcBorders>
              <w:bottom w:val="single" w:sz="8" w:color="005AFF"/>
            </w:tcBorders>
            <w:shd w:val="clear" w:color="auto" w:fill="F0F5FF"/>
          </w:tcPr>
          <w:p>
            <w:pPr>
              <w:spacing w:after="0"/>
              <w:rPr>
                <w:sz w:val="11"/>
                <w:szCs w:val="11"/>
                <w:color w:val="auto"/>
              </w:rPr>
            </w:pPr>
          </w:p>
        </w:tc>
        <w:tc>
          <w:tcPr>
            <w:tcW w:w="5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3 954</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20 914</w:t>
            </w:r>
          </w:p>
        </w:tc>
        <w:tc>
          <w:tcPr>
            <w:tcW w:w="800" w:type="dxa"/>
            <w:vAlign w:val="bottom"/>
            <w:tcBorders>
              <w:bottom w:val="single" w:sz="8" w:color="005AFF"/>
            </w:tcBorders>
            <w:gridSpan w:val="2"/>
          </w:tcPr>
          <w:p>
            <w:pPr>
              <w:jc w:val="right"/>
              <w:ind w:right="94"/>
              <w:spacing w:after="0"/>
              <w:rPr>
                <w:sz w:val="20"/>
                <w:szCs w:val="20"/>
                <w:color w:val="auto"/>
              </w:rPr>
            </w:pPr>
            <w:r>
              <w:rPr>
                <w:rFonts w:ascii="Times New Roman" w:cs="Times New Roman" w:eastAsia="Times New Roman" w:hAnsi="Times New Roman"/>
                <w:sz w:val="10"/>
                <w:szCs w:val="10"/>
                <w:b w:val="1"/>
                <w:bCs w:val="1"/>
                <w:color w:val="auto"/>
              </w:rPr>
              <w:t>17 726</w:t>
            </w:r>
          </w:p>
        </w:tc>
        <w:tc>
          <w:tcPr>
            <w:tcW w:w="72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b w:val="1"/>
                <w:bCs w:val="1"/>
                <w:color w:val="auto"/>
              </w:rPr>
              <w:t>637</w:t>
            </w:r>
          </w:p>
        </w:tc>
        <w:tc>
          <w:tcPr>
            <w:tcW w:w="740" w:type="dxa"/>
            <w:vAlign w:val="bottom"/>
            <w:tcBorders>
              <w:bottom w:val="single" w:sz="8" w:color="005AFF"/>
            </w:tcBorders>
          </w:tcPr>
          <w:p>
            <w:pPr>
              <w:jc w:val="right"/>
              <w:ind w:right="190"/>
              <w:spacing w:after="0"/>
              <w:rPr>
                <w:sz w:val="20"/>
                <w:szCs w:val="20"/>
                <w:color w:val="auto"/>
              </w:rPr>
            </w:pPr>
            <w:r>
              <w:rPr>
                <w:rFonts w:ascii="Times New Roman" w:cs="Times New Roman" w:eastAsia="Times New Roman" w:hAnsi="Times New Roman"/>
                <w:sz w:val="10"/>
                <w:szCs w:val="10"/>
                <w:b w:val="1"/>
                <w:bCs w:val="1"/>
                <w:color w:val="auto"/>
              </w:rPr>
              <w:t>4 328</w:t>
            </w:r>
          </w:p>
        </w:tc>
        <w:tc>
          <w:tcPr>
            <w:tcW w:w="52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22 691</w:t>
            </w:r>
          </w:p>
        </w:tc>
        <w:tc>
          <w:tcPr>
            <w:tcW w:w="0" w:type="dxa"/>
            <w:vAlign w:val="bottom"/>
          </w:tcPr>
          <w:p>
            <w:pPr>
              <w:spacing w:after="0"/>
              <w:rPr>
                <w:sz w:val="1"/>
                <w:szCs w:val="1"/>
                <w:color w:val="auto"/>
              </w:rPr>
            </w:pPr>
          </w:p>
        </w:tc>
      </w:tr>
    </w:tbl>
    <w:p>
      <w:pPr>
        <w:spacing w:after="0" w:line="4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00" w:hanging="199"/>
        <w:spacing w:after="0"/>
        <w:tabs>
          <w:tab w:leader="none" w:pos="200" w:val="left"/>
        </w:tabs>
        <w:numPr>
          <w:ilvl w:val="0"/>
          <w:numId w:val="12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 2023, the settlement relates to transfer of assets from formerly Nokia managed Provident Fund to Indian government managed Provident Fund platform (EPFO).</w:t>
      </w:r>
    </w:p>
    <w:p>
      <w:pPr>
        <w:spacing w:after="0" w:line="12"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2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Refer to the Future cash flows section below for description of Section 420 transfers.</w:t>
      </w:r>
    </w:p>
    <w:p>
      <w:pPr>
        <w:spacing w:after="0" w:line="122" w:lineRule="exact"/>
        <w:rPr>
          <w:sz w:val="20"/>
          <w:szCs w:val="20"/>
          <w:color w:val="auto"/>
        </w:rPr>
      </w:pPr>
    </w:p>
    <w:tbl>
      <w:tblPr>
        <w:tblLayout w:type="fixed"/>
        <w:tblInd w:w="0" w:type="dxa"/>
        <w:tblCellMar>
          <w:top w:w="0" w:type="dxa"/>
          <w:left w:w="0" w:type="dxa"/>
          <w:bottom w:w="0" w:type="dxa"/>
          <w:right w:w="0" w:type="dxa"/>
        </w:tblCellMar>
      </w:tblPr>
      <w:tr>
        <w:trPr>
          <w:trHeight w:val="146"/>
        </w:trPr>
        <w:tc>
          <w:tcPr>
            <w:tcW w:w="454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The impact of the asset ceiling limitation</w:t>
            </w:r>
          </w:p>
        </w:tc>
        <w:tc>
          <w:tcPr>
            <w:tcW w:w="680" w:type="dxa"/>
            <w:vAlign w:val="bottom"/>
            <w:tcBorders>
              <w:bottom w:val="single" w:sz="8" w:color="005AFF"/>
            </w:tcBorders>
          </w:tcPr>
          <w:p>
            <w:pPr>
              <w:spacing w:after="0"/>
              <w:rPr>
                <w:sz w:val="12"/>
                <w:szCs w:val="12"/>
                <w:color w:val="auto"/>
              </w:rPr>
            </w:pP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spacing w:after="0"/>
              <w:rPr>
                <w:sz w:val="12"/>
                <w:szCs w:val="12"/>
                <w:color w:val="auto"/>
              </w:rPr>
            </w:pPr>
          </w:p>
        </w:tc>
        <w:tc>
          <w:tcPr>
            <w:tcW w:w="80" w:type="dxa"/>
            <w:vAlign w:val="bottom"/>
          </w:tcPr>
          <w:p>
            <w:pPr>
              <w:spacing w:after="0"/>
              <w:rPr>
                <w:sz w:val="12"/>
                <w:szCs w:val="12"/>
                <w:color w:val="auto"/>
              </w:rPr>
            </w:pPr>
          </w:p>
        </w:tc>
        <w:tc>
          <w:tcPr>
            <w:tcW w:w="720" w:type="dxa"/>
            <w:vAlign w:val="bottom"/>
            <w:tcBorders>
              <w:bottom w:val="single" w:sz="8" w:color="005AFF"/>
            </w:tcBorders>
          </w:tcPr>
          <w:p>
            <w:pPr>
              <w:spacing w:after="0"/>
              <w:rPr>
                <w:sz w:val="12"/>
                <w:szCs w:val="12"/>
                <w:color w:val="auto"/>
              </w:rPr>
            </w:pP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76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spacing w:after="0"/>
              <w:rPr>
                <w:sz w:val="12"/>
                <w:szCs w:val="12"/>
                <w:color w:val="auto"/>
              </w:rPr>
            </w:pPr>
          </w:p>
        </w:tc>
      </w:tr>
      <w:tr>
        <w:trPr>
          <w:trHeight w:val="100"/>
        </w:trPr>
        <w:tc>
          <w:tcPr>
            <w:tcW w:w="4540" w:type="dxa"/>
            <w:vAlign w:val="bottom"/>
          </w:tcPr>
          <w:p>
            <w:pPr>
              <w:spacing w:after="0"/>
              <w:rPr>
                <w:sz w:val="8"/>
                <w:szCs w:val="8"/>
                <w:color w:val="auto"/>
              </w:rPr>
            </w:pPr>
          </w:p>
        </w:tc>
        <w:tc>
          <w:tcPr>
            <w:tcW w:w="68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80" w:type="dxa"/>
            <w:vAlign w:val="bottom"/>
          </w:tcPr>
          <w:p>
            <w:pPr>
              <w:jc w:val="right"/>
              <w:ind w:right="13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580" w:type="dxa"/>
            <w:vAlign w:val="bottom"/>
          </w:tcPr>
          <w:p>
            <w:pPr>
              <w:spacing w:after="0"/>
              <w:rPr>
                <w:sz w:val="8"/>
                <w:szCs w:val="8"/>
                <w:color w:val="auto"/>
              </w:rPr>
            </w:pPr>
          </w:p>
        </w:tc>
        <w:tc>
          <w:tcPr>
            <w:tcW w:w="680" w:type="dxa"/>
            <w:vAlign w:val="bottom"/>
          </w:tcPr>
          <w:p>
            <w:pPr>
              <w:spacing w:after="0"/>
              <w:rPr>
                <w:sz w:val="8"/>
                <w:szCs w:val="8"/>
                <w:color w:val="auto"/>
              </w:rPr>
            </w:pPr>
          </w:p>
        </w:tc>
        <w:tc>
          <w:tcPr>
            <w:tcW w:w="80" w:type="dxa"/>
            <w:vAlign w:val="bottom"/>
          </w:tcPr>
          <w:p>
            <w:pPr>
              <w:spacing w:after="0"/>
              <w:rPr>
                <w:sz w:val="8"/>
                <w:szCs w:val="8"/>
                <w:color w:val="auto"/>
              </w:rPr>
            </w:pPr>
          </w:p>
        </w:tc>
        <w:tc>
          <w:tcPr>
            <w:tcW w:w="720" w:type="dxa"/>
            <w:vAlign w:val="bottom"/>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20" w:type="dxa"/>
            <w:vAlign w:val="bottom"/>
          </w:tcPr>
          <w:p>
            <w:pPr>
              <w:jc w:val="right"/>
              <w:ind w:right="13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60" w:type="dxa"/>
            <w:vAlign w:val="bottom"/>
          </w:tcPr>
          <w:p>
            <w:pPr>
              <w:spacing w:after="0"/>
              <w:rPr>
                <w:sz w:val="8"/>
                <w:szCs w:val="8"/>
                <w:color w:val="auto"/>
              </w:rPr>
            </w:pPr>
          </w:p>
        </w:tc>
        <w:tc>
          <w:tcPr>
            <w:tcW w:w="500" w:type="dxa"/>
            <w:vAlign w:val="bottom"/>
          </w:tcPr>
          <w:p>
            <w:pPr>
              <w:spacing w:after="0"/>
              <w:rPr>
                <w:sz w:val="8"/>
                <w:szCs w:val="8"/>
                <w:color w:val="auto"/>
              </w:rPr>
            </w:pPr>
          </w:p>
        </w:tc>
      </w:tr>
      <w:tr>
        <w:trPr>
          <w:trHeight w:val="114"/>
        </w:trPr>
        <w:tc>
          <w:tcPr>
            <w:tcW w:w="4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8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OPEB</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80" w:type="dxa"/>
            <w:vAlign w:val="bottom"/>
            <w:tcBorders>
              <w:bottom w:val="single" w:sz="8" w:color="005AFF"/>
            </w:tcBorders>
          </w:tcPr>
          <w:p>
            <w:pPr>
              <w:spacing w:after="0"/>
              <w:rPr>
                <w:sz w:val="9"/>
                <w:szCs w:val="9"/>
                <w:color w:val="auto"/>
              </w:rPr>
            </w:pP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OPEB</w:t>
            </w:r>
          </w:p>
        </w:tc>
        <w:tc>
          <w:tcPr>
            <w:tcW w:w="76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35"/>
        </w:trPr>
        <w:tc>
          <w:tcPr>
            <w:tcW w:w="4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780" w:type="dxa"/>
            <w:vAlign w:val="bottom"/>
            <w:tcBorders>
              <w:bottom w:val="single" w:sz="8" w:color="005AFF"/>
            </w:tcBorders>
            <w:shd w:val="clear" w:color="auto" w:fill="F0F5FF"/>
          </w:tcPr>
          <w:p>
            <w:pPr>
              <w:jc w:val="right"/>
              <w:ind w:right="94"/>
              <w:spacing w:after="0"/>
              <w:rPr>
                <w:sz w:val="20"/>
                <w:szCs w:val="20"/>
                <w:color w:val="auto"/>
              </w:rPr>
            </w:pPr>
            <w:r>
              <w:rPr>
                <w:rFonts w:ascii="Times New Roman" w:cs="Times New Roman" w:eastAsia="Times New Roman" w:hAnsi="Times New Roman"/>
                <w:sz w:val="10"/>
                <w:szCs w:val="10"/>
                <w:b w:val="1"/>
                <w:bCs w:val="1"/>
                <w:color w:val="005AFF"/>
              </w:rPr>
              <w:t>—</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(84)</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(84)</w:t>
            </w:r>
          </w:p>
        </w:tc>
        <w:tc>
          <w:tcPr>
            <w:tcW w:w="80" w:type="dxa"/>
            <w:vAlign w:val="bottom"/>
            <w:tcBorders>
              <w:bottom w:val="single" w:sz="8" w:color="005AFF"/>
            </w:tcBorders>
          </w:tcPr>
          <w:p>
            <w:pPr>
              <w:spacing w:after="0"/>
              <w:rPr>
                <w:sz w:val="11"/>
                <w:szCs w:val="11"/>
                <w:color w:val="auto"/>
              </w:rPr>
            </w:pPr>
          </w:p>
        </w:tc>
        <w:tc>
          <w:tcPr>
            <w:tcW w:w="720" w:type="dxa"/>
            <w:vAlign w:val="bottom"/>
            <w:tcBorders>
              <w:bottom w:val="single" w:sz="8" w:color="005AFF"/>
            </w:tcBorders>
          </w:tcPr>
          <w:p>
            <w:pPr>
              <w:jc w:val="right"/>
              <w:ind w:right="54"/>
              <w:spacing w:after="0"/>
              <w:rPr>
                <w:sz w:val="20"/>
                <w:szCs w:val="20"/>
                <w:color w:val="auto"/>
              </w:rPr>
            </w:pPr>
            <w:r>
              <w:rPr>
                <w:rFonts w:ascii="Times New Roman" w:cs="Times New Roman" w:eastAsia="Times New Roman" w:hAnsi="Times New Roman"/>
                <w:sz w:val="10"/>
                <w:szCs w:val="10"/>
                <w:b w:val="1"/>
                <w:bCs w:val="1"/>
                <w:color w:val="auto"/>
              </w:rPr>
              <w:t>—</w:t>
            </w:r>
          </w:p>
        </w:tc>
        <w:tc>
          <w:tcPr>
            <w:tcW w:w="720" w:type="dxa"/>
            <w:vAlign w:val="bottom"/>
            <w:tcBorders>
              <w:bottom w:val="single" w:sz="8" w:color="005AFF"/>
            </w:tcBorders>
          </w:tcPr>
          <w:p>
            <w:pPr>
              <w:jc w:val="right"/>
              <w:ind w:right="94"/>
              <w:spacing w:after="0"/>
              <w:rPr>
                <w:sz w:val="20"/>
                <w:szCs w:val="20"/>
                <w:color w:val="auto"/>
              </w:rPr>
            </w:pPr>
            <w:r>
              <w:rPr>
                <w:rFonts w:ascii="Times New Roman" w:cs="Times New Roman" w:eastAsia="Times New Roman" w:hAnsi="Times New Roman"/>
                <w:sz w:val="10"/>
                <w:szCs w:val="10"/>
                <w:b w:val="1"/>
                <w:bCs w:val="1"/>
                <w:color w:val="auto"/>
              </w:rPr>
              <w:t>—</w:t>
            </w:r>
          </w:p>
        </w:tc>
        <w:tc>
          <w:tcPr>
            <w:tcW w:w="7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(92)</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(92)</w:t>
            </w:r>
          </w:p>
        </w:tc>
      </w:tr>
      <w:tr>
        <w:trPr>
          <w:trHeight w:val="126"/>
        </w:trPr>
        <w:tc>
          <w:tcPr>
            <w:tcW w:w="4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 expense</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80" w:type="dxa"/>
            <w:vAlign w:val="bottom"/>
          </w:tcPr>
          <w:p>
            <w:pPr>
              <w:spacing w:after="0"/>
              <w:rPr>
                <w:sz w:val="10"/>
                <w:szCs w:val="10"/>
                <w:color w:val="auto"/>
              </w:rPr>
            </w:pPr>
          </w:p>
        </w:tc>
        <w:tc>
          <w:tcPr>
            <w:tcW w:w="720" w:type="dxa"/>
            <w:vAlign w:val="bottom"/>
          </w:tcPr>
          <w:p>
            <w:pPr>
              <w:jc w:val="right"/>
              <w:ind w:right="34"/>
              <w:spacing w:after="0"/>
              <w:rPr>
                <w:sz w:val="20"/>
                <w:szCs w:val="20"/>
                <w:color w:val="auto"/>
              </w:rPr>
            </w:pPr>
            <w:r>
              <w:rPr>
                <w:rFonts w:ascii="Times New Roman" w:cs="Times New Roman" w:eastAsia="Times New Roman" w:hAnsi="Times New Roman"/>
                <w:sz w:val="10"/>
                <w:szCs w:val="10"/>
                <w:color w:val="0D0D0D"/>
              </w:rPr>
              <w:t>—</w:t>
            </w:r>
          </w:p>
        </w:tc>
        <w:tc>
          <w:tcPr>
            <w:tcW w:w="720" w:type="dxa"/>
            <w:vAlign w:val="bottom"/>
          </w:tcPr>
          <w:p>
            <w:pPr>
              <w:jc w:val="right"/>
              <w:ind w:right="74"/>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52"/>
        </w:trPr>
        <w:tc>
          <w:tcPr>
            <w:tcW w:w="4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w:t>
            </w:r>
          </w:p>
        </w:tc>
        <w:tc>
          <w:tcPr>
            <w:tcW w:w="680" w:type="dxa"/>
            <w:vAlign w:val="bottom"/>
            <w:shd w:val="clear" w:color="auto" w:fill="F0F5FF"/>
          </w:tcPr>
          <w:p>
            <w:pPr>
              <w:spacing w:after="0"/>
              <w:rPr>
                <w:sz w:val="13"/>
                <w:szCs w:val="13"/>
                <w:color w:val="auto"/>
              </w:rPr>
            </w:pPr>
          </w:p>
        </w:tc>
        <w:tc>
          <w:tcPr>
            <w:tcW w:w="78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80" w:type="dxa"/>
            <w:vAlign w:val="bottom"/>
          </w:tcPr>
          <w:p>
            <w:pPr>
              <w:spacing w:after="0"/>
              <w:rPr>
                <w:sz w:val="13"/>
                <w:szCs w:val="13"/>
                <w:color w:val="auto"/>
              </w:rPr>
            </w:pPr>
          </w:p>
        </w:tc>
        <w:tc>
          <w:tcPr>
            <w:tcW w:w="720" w:type="dxa"/>
            <w:vAlign w:val="bottom"/>
          </w:tcPr>
          <w:p>
            <w:pPr>
              <w:spacing w:after="0"/>
              <w:rPr>
                <w:sz w:val="13"/>
                <w:szCs w:val="13"/>
                <w:color w:val="auto"/>
              </w:rPr>
            </w:pPr>
          </w:p>
        </w:tc>
        <w:tc>
          <w:tcPr>
            <w:tcW w:w="720" w:type="dxa"/>
            <w:vAlign w:val="bottom"/>
          </w:tcPr>
          <w:p>
            <w:pPr>
              <w:spacing w:after="0"/>
              <w:rPr>
                <w:sz w:val="13"/>
                <w:szCs w:val="13"/>
                <w:color w:val="auto"/>
              </w:rPr>
            </w:pPr>
          </w:p>
        </w:tc>
        <w:tc>
          <w:tcPr>
            <w:tcW w:w="760" w:type="dxa"/>
            <w:vAlign w:val="bottom"/>
          </w:tcPr>
          <w:p>
            <w:pPr>
              <w:spacing w:after="0"/>
              <w:rPr>
                <w:sz w:val="13"/>
                <w:szCs w:val="13"/>
                <w:color w:val="auto"/>
              </w:rPr>
            </w:pPr>
          </w:p>
        </w:tc>
        <w:tc>
          <w:tcPr>
            <w:tcW w:w="500" w:type="dxa"/>
            <w:vAlign w:val="bottom"/>
          </w:tcPr>
          <w:p>
            <w:pPr>
              <w:spacing w:after="0"/>
              <w:rPr>
                <w:sz w:val="13"/>
                <w:szCs w:val="13"/>
                <w:color w:val="auto"/>
              </w:rPr>
            </w:pPr>
          </w:p>
        </w:tc>
      </w:tr>
      <w:tr>
        <w:trPr>
          <w:trHeight w:val="152"/>
        </w:trPr>
        <w:tc>
          <w:tcPr>
            <w:tcW w:w="45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Change in asset ceiling, excluding amounts included in interest expense</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w:t>
            </w:r>
          </w:p>
        </w:tc>
        <w:tc>
          <w:tcPr>
            <w:tcW w:w="80" w:type="dxa"/>
            <w:vAlign w:val="bottom"/>
          </w:tcPr>
          <w:p>
            <w:pPr>
              <w:spacing w:after="0"/>
              <w:rPr>
                <w:sz w:val="13"/>
                <w:szCs w:val="13"/>
                <w:color w:val="auto"/>
              </w:rPr>
            </w:pPr>
          </w:p>
        </w:tc>
        <w:tc>
          <w:tcPr>
            <w:tcW w:w="720" w:type="dxa"/>
            <w:vAlign w:val="bottom"/>
          </w:tcPr>
          <w:p>
            <w:pPr>
              <w:jc w:val="right"/>
              <w:ind w:right="34"/>
              <w:spacing w:after="0"/>
              <w:rPr>
                <w:sz w:val="20"/>
                <w:szCs w:val="20"/>
                <w:color w:val="auto"/>
              </w:rPr>
            </w:pPr>
            <w:r>
              <w:rPr>
                <w:rFonts w:ascii="Times New Roman" w:cs="Times New Roman" w:eastAsia="Times New Roman" w:hAnsi="Times New Roman"/>
                <w:sz w:val="10"/>
                <w:szCs w:val="10"/>
                <w:color w:val="0D0D0D"/>
              </w:rPr>
              <w:t>—</w:t>
            </w:r>
          </w:p>
        </w:tc>
        <w:tc>
          <w:tcPr>
            <w:tcW w:w="720" w:type="dxa"/>
            <w:vAlign w:val="bottom"/>
          </w:tcPr>
          <w:p>
            <w:pPr>
              <w:jc w:val="right"/>
              <w:ind w:right="74"/>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12</w:t>
            </w:r>
          </w:p>
        </w:tc>
        <w:tc>
          <w:tcPr>
            <w:tcW w:w="5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12</w:t>
            </w:r>
          </w:p>
        </w:tc>
      </w:tr>
      <w:tr>
        <w:trPr>
          <w:trHeight w:val="157"/>
        </w:trPr>
        <w:tc>
          <w:tcPr>
            <w:tcW w:w="4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tcBorders>
              <w:bottom w:val="single" w:sz="8" w:color="005AFF"/>
            </w:tcBorders>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80" w:type="dxa"/>
            <w:vAlign w:val="bottom"/>
            <w:tcBorders>
              <w:bottom w:val="single" w:sz="8" w:color="005AFF"/>
            </w:tcBorders>
          </w:tcPr>
          <w:p>
            <w:pPr>
              <w:spacing w:after="0"/>
              <w:rPr>
                <w:sz w:val="13"/>
                <w:szCs w:val="13"/>
                <w:color w:val="auto"/>
              </w:rPr>
            </w:pPr>
          </w:p>
        </w:tc>
        <w:tc>
          <w:tcPr>
            <w:tcW w:w="720" w:type="dxa"/>
            <w:vAlign w:val="bottom"/>
            <w:tcBorders>
              <w:bottom w:val="single" w:sz="8" w:color="005AFF"/>
            </w:tcBorders>
          </w:tcPr>
          <w:p>
            <w:pPr>
              <w:jc w:val="right"/>
              <w:ind w:right="34"/>
              <w:spacing w:after="0"/>
              <w:rPr>
                <w:sz w:val="20"/>
                <w:szCs w:val="20"/>
                <w:color w:val="auto"/>
              </w:rPr>
            </w:pPr>
            <w:r>
              <w:rPr>
                <w:rFonts w:ascii="Times New Roman" w:cs="Times New Roman" w:eastAsia="Times New Roman" w:hAnsi="Times New Roman"/>
                <w:sz w:val="10"/>
                <w:szCs w:val="10"/>
                <w:color w:val="0D0D0D"/>
              </w:rPr>
              <w:t>—</w:t>
            </w: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color w:val="0D0D0D"/>
              </w:rPr>
              <w:t>(4)</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w:t>
            </w:r>
          </w:p>
        </w:tc>
      </w:tr>
      <w:tr>
        <w:trPr>
          <w:trHeight w:val="132"/>
        </w:trPr>
        <w:tc>
          <w:tcPr>
            <w:tcW w:w="45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780" w:type="dxa"/>
            <w:vAlign w:val="bottom"/>
            <w:tcBorders>
              <w:bottom w:val="single" w:sz="8" w:color="005AFF"/>
            </w:tcBorders>
            <w:shd w:val="clear" w:color="auto" w:fill="F0F5FF"/>
          </w:tcPr>
          <w:p>
            <w:pPr>
              <w:jc w:val="right"/>
              <w:ind w:right="94"/>
              <w:spacing w:after="0"/>
              <w:rPr>
                <w:sz w:val="20"/>
                <w:szCs w:val="20"/>
                <w:color w:val="auto"/>
              </w:rPr>
            </w:pPr>
            <w:r>
              <w:rPr>
                <w:rFonts w:ascii="Times New Roman" w:cs="Times New Roman" w:eastAsia="Times New Roman" w:hAnsi="Times New Roman"/>
                <w:sz w:val="10"/>
                <w:szCs w:val="10"/>
                <w:b w:val="1"/>
                <w:bCs w:val="1"/>
                <w:color w:val="005AFF"/>
              </w:rPr>
              <w:t>—</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(87)</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(87)</w:t>
            </w:r>
          </w:p>
        </w:tc>
        <w:tc>
          <w:tcPr>
            <w:tcW w:w="80" w:type="dxa"/>
            <w:vAlign w:val="bottom"/>
            <w:tcBorders>
              <w:bottom w:val="single" w:sz="8" w:color="005AFF"/>
            </w:tcBorders>
          </w:tcPr>
          <w:p>
            <w:pPr>
              <w:spacing w:after="0"/>
              <w:rPr>
                <w:sz w:val="11"/>
                <w:szCs w:val="11"/>
                <w:color w:val="auto"/>
              </w:rPr>
            </w:pPr>
          </w:p>
        </w:tc>
        <w:tc>
          <w:tcPr>
            <w:tcW w:w="720" w:type="dxa"/>
            <w:vAlign w:val="bottom"/>
            <w:tcBorders>
              <w:bottom w:val="single" w:sz="8" w:color="005AFF"/>
            </w:tcBorders>
          </w:tcPr>
          <w:p>
            <w:pPr>
              <w:jc w:val="right"/>
              <w:ind w:right="54"/>
              <w:spacing w:after="0"/>
              <w:rPr>
                <w:sz w:val="20"/>
                <w:szCs w:val="20"/>
                <w:color w:val="auto"/>
              </w:rPr>
            </w:pPr>
            <w:r>
              <w:rPr>
                <w:rFonts w:ascii="Times New Roman" w:cs="Times New Roman" w:eastAsia="Times New Roman" w:hAnsi="Times New Roman"/>
                <w:sz w:val="10"/>
                <w:szCs w:val="10"/>
                <w:b w:val="1"/>
                <w:bCs w:val="1"/>
                <w:color w:val="auto"/>
              </w:rPr>
              <w:t>—</w:t>
            </w:r>
          </w:p>
        </w:tc>
        <w:tc>
          <w:tcPr>
            <w:tcW w:w="720" w:type="dxa"/>
            <w:vAlign w:val="bottom"/>
            <w:tcBorders>
              <w:bottom w:val="single" w:sz="8" w:color="005AFF"/>
            </w:tcBorders>
          </w:tcPr>
          <w:p>
            <w:pPr>
              <w:jc w:val="right"/>
              <w:ind w:right="94"/>
              <w:spacing w:after="0"/>
              <w:rPr>
                <w:sz w:val="20"/>
                <w:szCs w:val="20"/>
                <w:color w:val="auto"/>
              </w:rPr>
            </w:pPr>
            <w:r>
              <w:rPr>
                <w:rFonts w:ascii="Times New Roman" w:cs="Times New Roman" w:eastAsia="Times New Roman" w:hAnsi="Times New Roman"/>
                <w:sz w:val="10"/>
                <w:szCs w:val="10"/>
                <w:b w:val="1"/>
                <w:bCs w:val="1"/>
                <w:color w:val="auto"/>
              </w:rPr>
              <w:t>—</w:t>
            </w:r>
          </w:p>
        </w:tc>
        <w:tc>
          <w:tcPr>
            <w:tcW w:w="7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10"/>
                <w:szCs w:val="10"/>
                <w:b w:val="1"/>
                <w:bCs w:val="1"/>
                <w:color w:val="auto"/>
              </w:rPr>
              <w:t>(84)</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(84)</w:t>
            </w:r>
          </w:p>
        </w:tc>
      </w:tr>
      <w:tr>
        <w:trPr>
          <w:trHeight w:val="339"/>
        </w:trPr>
        <w:tc>
          <w:tcPr>
            <w:tcW w:w="4540" w:type="dxa"/>
            <w:vAlign w:val="bottom"/>
          </w:tcPr>
          <w:p>
            <w:pPr>
              <w:ind w:left="40"/>
              <w:spacing w:after="0"/>
              <w:rPr>
                <w:sz w:val="20"/>
                <w:szCs w:val="20"/>
                <w:color w:val="auto"/>
              </w:rPr>
            </w:pPr>
            <w:r>
              <w:rPr>
                <w:rFonts w:ascii="Times New Roman" w:cs="Times New Roman" w:eastAsia="Times New Roman" w:hAnsi="Times New Roman"/>
                <w:sz w:val="11"/>
                <w:szCs w:val="11"/>
                <w:b w:val="1"/>
                <w:bCs w:val="1"/>
                <w:color w:val="auto"/>
              </w:rPr>
              <w:t>Net balances</w:t>
            </w:r>
          </w:p>
        </w:tc>
        <w:tc>
          <w:tcPr>
            <w:tcW w:w="680" w:type="dxa"/>
            <w:vAlign w:val="bottom"/>
            <w:tcBorders>
              <w:bottom w:val="single" w:sz="8" w:color="005AFF"/>
            </w:tcBorders>
          </w:tcPr>
          <w:p>
            <w:pPr>
              <w:spacing w:after="0"/>
              <w:rPr>
                <w:sz w:val="24"/>
                <w:szCs w:val="24"/>
                <w:color w:val="auto"/>
              </w:rPr>
            </w:pP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spacing w:after="0"/>
              <w:rPr>
                <w:sz w:val="24"/>
                <w:szCs w:val="24"/>
                <w:color w:val="auto"/>
              </w:rPr>
            </w:pPr>
          </w:p>
        </w:tc>
        <w:tc>
          <w:tcPr>
            <w:tcW w:w="680" w:type="dxa"/>
            <w:vAlign w:val="bottom"/>
            <w:tcBorders>
              <w:bottom w:val="single" w:sz="8" w:color="005AFF"/>
            </w:tcBorders>
          </w:tcPr>
          <w:p>
            <w:pPr>
              <w:spacing w:after="0"/>
              <w:rPr>
                <w:sz w:val="24"/>
                <w:szCs w:val="24"/>
                <w:color w:val="auto"/>
              </w:rPr>
            </w:pPr>
          </w:p>
        </w:tc>
        <w:tc>
          <w:tcPr>
            <w:tcW w:w="80" w:type="dxa"/>
            <w:vAlign w:val="bottom"/>
          </w:tcPr>
          <w:p>
            <w:pPr>
              <w:spacing w:after="0"/>
              <w:rPr>
                <w:sz w:val="24"/>
                <w:szCs w:val="24"/>
                <w:color w:val="auto"/>
              </w:rPr>
            </w:pPr>
          </w:p>
        </w:tc>
        <w:tc>
          <w:tcPr>
            <w:tcW w:w="720" w:type="dxa"/>
            <w:vAlign w:val="bottom"/>
            <w:tcBorders>
              <w:bottom w:val="single" w:sz="8" w:color="005AFF"/>
            </w:tcBorders>
          </w:tcPr>
          <w:p>
            <w:pPr>
              <w:spacing w:after="0"/>
              <w:rPr>
                <w:sz w:val="24"/>
                <w:szCs w:val="24"/>
                <w:color w:val="auto"/>
              </w:rPr>
            </w:pP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760" w:type="dxa"/>
            <w:vAlign w:val="bottom"/>
            <w:tcBorders>
              <w:bottom w:val="single" w:sz="8" w:color="005AFF"/>
            </w:tcBorders>
          </w:tcPr>
          <w:p>
            <w:pPr>
              <w:spacing w:after="0"/>
              <w:rPr>
                <w:sz w:val="24"/>
                <w:szCs w:val="24"/>
                <w:color w:val="auto"/>
              </w:rPr>
            </w:pPr>
          </w:p>
        </w:tc>
        <w:tc>
          <w:tcPr>
            <w:tcW w:w="500" w:type="dxa"/>
            <w:vAlign w:val="bottom"/>
            <w:tcBorders>
              <w:bottom w:val="single" w:sz="8" w:color="005AFF"/>
            </w:tcBorders>
          </w:tcPr>
          <w:p>
            <w:pPr>
              <w:spacing w:after="0"/>
              <w:rPr>
                <w:sz w:val="24"/>
                <w:szCs w:val="24"/>
                <w:color w:val="auto"/>
              </w:rPr>
            </w:pPr>
          </w:p>
        </w:tc>
      </w:tr>
      <w:tr>
        <w:trPr>
          <w:trHeight w:val="100"/>
        </w:trPr>
        <w:tc>
          <w:tcPr>
            <w:tcW w:w="4540" w:type="dxa"/>
            <w:vAlign w:val="bottom"/>
          </w:tcPr>
          <w:p>
            <w:pPr>
              <w:spacing w:after="0"/>
              <w:rPr>
                <w:sz w:val="8"/>
                <w:szCs w:val="8"/>
                <w:color w:val="auto"/>
              </w:rPr>
            </w:pPr>
          </w:p>
        </w:tc>
        <w:tc>
          <w:tcPr>
            <w:tcW w:w="680" w:type="dxa"/>
            <w:vAlign w:val="bottom"/>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80" w:type="dxa"/>
            <w:vAlign w:val="bottom"/>
          </w:tcPr>
          <w:p>
            <w:pPr>
              <w:jc w:val="right"/>
              <w:ind w:right="13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580" w:type="dxa"/>
            <w:vAlign w:val="bottom"/>
          </w:tcPr>
          <w:p>
            <w:pPr>
              <w:spacing w:after="0"/>
              <w:rPr>
                <w:sz w:val="8"/>
                <w:szCs w:val="8"/>
                <w:color w:val="auto"/>
              </w:rPr>
            </w:pPr>
          </w:p>
        </w:tc>
        <w:tc>
          <w:tcPr>
            <w:tcW w:w="680" w:type="dxa"/>
            <w:vAlign w:val="bottom"/>
          </w:tcPr>
          <w:p>
            <w:pPr>
              <w:spacing w:after="0"/>
              <w:rPr>
                <w:sz w:val="8"/>
                <w:szCs w:val="8"/>
                <w:color w:val="auto"/>
              </w:rPr>
            </w:pPr>
          </w:p>
        </w:tc>
        <w:tc>
          <w:tcPr>
            <w:tcW w:w="80" w:type="dxa"/>
            <w:vAlign w:val="bottom"/>
          </w:tcPr>
          <w:p>
            <w:pPr>
              <w:spacing w:after="0"/>
              <w:rPr>
                <w:sz w:val="8"/>
                <w:szCs w:val="8"/>
                <w:color w:val="auto"/>
              </w:rPr>
            </w:pPr>
          </w:p>
        </w:tc>
        <w:tc>
          <w:tcPr>
            <w:tcW w:w="720" w:type="dxa"/>
            <w:vAlign w:val="bottom"/>
          </w:tcPr>
          <w:p>
            <w:pPr>
              <w:jc w:val="right"/>
              <w:ind w:right="9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20" w:type="dxa"/>
            <w:vAlign w:val="bottom"/>
          </w:tcPr>
          <w:p>
            <w:pPr>
              <w:jc w:val="right"/>
              <w:ind w:right="134"/>
              <w:spacing w:after="0"/>
              <w:rPr>
                <w:sz w:val="20"/>
                <w:szCs w:val="20"/>
                <w:color w:val="auto"/>
              </w:rPr>
            </w:pPr>
            <w:r>
              <w:rPr>
                <w:rFonts w:ascii="Times New Roman" w:cs="Times New Roman" w:eastAsia="Times New Roman" w:hAnsi="Times New Roman"/>
                <w:sz w:val="8"/>
                <w:szCs w:val="8"/>
                <w:b w:val="1"/>
                <w:bCs w:val="1"/>
                <w:color w:val="005AFF"/>
              </w:rPr>
              <w:t>United States</w:t>
            </w:r>
          </w:p>
        </w:tc>
        <w:tc>
          <w:tcPr>
            <w:tcW w:w="760" w:type="dxa"/>
            <w:vAlign w:val="bottom"/>
          </w:tcPr>
          <w:p>
            <w:pPr>
              <w:spacing w:after="0"/>
              <w:rPr>
                <w:sz w:val="8"/>
                <w:szCs w:val="8"/>
                <w:color w:val="auto"/>
              </w:rPr>
            </w:pPr>
          </w:p>
        </w:tc>
        <w:tc>
          <w:tcPr>
            <w:tcW w:w="500" w:type="dxa"/>
            <w:vAlign w:val="bottom"/>
          </w:tcPr>
          <w:p>
            <w:pPr>
              <w:spacing w:after="0"/>
              <w:rPr>
                <w:sz w:val="8"/>
                <w:szCs w:val="8"/>
                <w:color w:val="auto"/>
              </w:rPr>
            </w:pPr>
          </w:p>
        </w:tc>
      </w:tr>
      <w:tr>
        <w:trPr>
          <w:trHeight w:val="114"/>
        </w:trPr>
        <w:tc>
          <w:tcPr>
            <w:tcW w:w="4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8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OPEB</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80" w:type="dxa"/>
            <w:vAlign w:val="bottom"/>
            <w:tcBorders>
              <w:bottom w:val="single" w:sz="8" w:color="005AFF"/>
            </w:tcBorders>
          </w:tcPr>
          <w:p>
            <w:pPr>
              <w:spacing w:after="0"/>
              <w:rPr>
                <w:sz w:val="9"/>
                <w:szCs w:val="9"/>
                <w:color w:val="auto"/>
              </w:rPr>
            </w:pP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8"/>
                <w:szCs w:val="8"/>
                <w:b w:val="1"/>
                <w:bCs w:val="1"/>
                <w:color w:val="005AFF"/>
              </w:rPr>
              <w:t>OPEB</w:t>
            </w:r>
          </w:p>
        </w:tc>
        <w:tc>
          <w:tcPr>
            <w:tcW w:w="76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Other pension</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40"/>
        </w:trPr>
        <w:tc>
          <w:tcPr>
            <w:tcW w:w="454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680" w:type="dxa"/>
            <w:vAlign w:val="bottom"/>
            <w:tcBorders>
              <w:bottom w:val="single" w:sz="8" w:color="005AFF"/>
            </w:tcBorders>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b w:val="1"/>
                <w:bCs w:val="1"/>
                <w:color w:val="005AFF"/>
              </w:rPr>
              <w:t>4 960</w:t>
            </w:r>
          </w:p>
        </w:tc>
        <w:tc>
          <w:tcPr>
            <w:tcW w:w="780" w:type="dxa"/>
            <w:vAlign w:val="bottom"/>
            <w:tcBorders>
              <w:bottom w:val="single" w:sz="8" w:color="005AFF"/>
            </w:tcBorders>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b w:val="1"/>
                <w:bCs w:val="1"/>
                <w:color w:val="005AFF"/>
              </w:rPr>
              <w:t>(796)</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(205)</w:t>
            </w:r>
          </w:p>
        </w:tc>
        <w:tc>
          <w:tcPr>
            <w:tcW w:w="6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3 959</w:t>
            </w:r>
          </w:p>
        </w:tc>
        <w:tc>
          <w:tcPr>
            <w:tcW w:w="800" w:type="dxa"/>
            <w:vAlign w:val="bottom"/>
            <w:tcBorders>
              <w:bottom w:val="single" w:sz="8" w:color="005AFF"/>
            </w:tcBorders>
            <w:gridSpan w:val="2"/>
          </w:tcPr>
          <w:p>
            <w:pPr>
              <w:jc w:val="right"/>
              <w:ind w:right="74"/>
              <w:spacing w:after="0"/>
              <w:rPr>
                <w:sz w:val="20"/>
                <w:szCs w:val="20"/>
                <w:color w:val="auto"/>
              </w:rPr>
            </w:pPr>
            <w:r>
              <w:rPr>
                <w:rFonts w:ascii="Times New Roman" w:cs="Times New Roman" w:eastAsia="Times New Roman" w:hAnsi="Times New Roman"/>
                <w:sz w:val="10"/>
                <w:szCs w:val="10"/>
                <w:b w:val="1"/>
                <w:bCs w:val="1"/>
                <w:color w:val="auto"/>
              </w:rPr>
              <w:t>5 386</w:t>
            </w: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10"/>
                <w:szCs w:val="10"/>
                <w:b w:val="1"/>
                <w:bCs w:val="1"/>
                <w:color w:val="auto"/>
              </w:rPr>
              <w:t>(978)</w:t>
            </w:r>
          </w:p>
        </w:tc>
        <w:tc>
          <w:tcPr>
            <w:tcW w:w="76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b w:val="1"/>
                <w:bCs w:val="1"/>
                <w:color w:val="auto"/>
              </w:rPr>
              <w:t>(113)</w:t>
            </w:r>
          </w:p>
        </w:tc>
        <w:tc>
          <w:tcPr>
            <w:tcW w:w="5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4 295</w:t>
            </w:r>
          </w:p>
        </w:tc>
      </w:tr>
      <w:tr>
        <w:trPr>
          <w:trHeight w:val="132"/>
        </w:trPr>
        <w:tc>
          <w:tcPr>
            <w:tcW w:w="4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Consisting of:</w:t>
            </w:r>
          </w:p>
        </w:tc>
        <w:tc>
          <w:tcPr>
            <w:tcW w:w="680" w:type="dxa"/>
            <w:vAlign w:val="bottom"/>
            <w:shd w:val="clear" w:color="auto" w:fill="F0F5FF"/>
          </w:tcPr>
          <w:p>
            <w:pPr>
              <w:spacing w:after="0"/>
              <w:rPr>
                <w:sz w:val="11"/>
                <w:szCs w:val="11"/>
                <w:color w:val="auto"/>
              </w:rPr>
            </w:pPr>
          </w:p>
        </w:tc>
        <w:tc>
          <w:tcPr>
            <w:tcW w:w="78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8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20" w:type="dxa"/>
            <w:vAlign w:val="bottom"/>
          </w:tcPr>
          <w:p>
            <w:pPr>
              <w:spacing w:after="0"/>
              <w:rPr>
                <w:sz w:val="11"/>
                <w:szCs w:val="11"/>
                <w:color w:val="auto"/>
              </w:rPr>
            </w:pPr>
          </w:p>
        </w:tc>
        <w:tc>
          <w:tcPr>
            <w:tcW w:w="760" w:type="dxa"/>
            <w:vAlign w:val="bottom"/>
          </w:tcPr>
          <w:p>
            <w:pPr>
              <w:spacing w:after="0"/>
              <w:rPr>
                <w:sz w:val="11"/>
                <w:szCs w:val="11"/>
                <w:color w:val="auto"/>
              </w:rPr>
            </w:pPr>
          </w:p>
        </w:tc>
        <w:tc>
          <w:tcPr>
            <w:tcW w:w="500" w:type="dxa"/>
            <w:vAlign w:val="bottom"/>
          </w:tcPr>
          <w:p>
            <w:pPr>
              <w:spacing w:after="0"/>
              <w:rPr>
                <w:sz w:val="11"/>
                <w:szCs w:val="11"/>
                <w:color w:val="auto"/>
              </w:rPr>
            </w:pPr>
          </w:p>
        </w:tc>
      </w:tr>
      <w:tr>
        <w:trPr>
          <w:trHeight w:val="152"/>
        </w:trPr>
        <w:tc>
          <w:tcPr>
            <w:tcW w:w="45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Net pension assets</w:t>
            </w:r>
          </w:p>
        </w:tc>
        <w:tc>
          <w:tcPr>
            <w:tcW w:w="6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5 217</w:t>
            </w:r>
          </w:p>
        </w:tc>
        <w:tc>
          <w:tcPr>
            <w:tcW w:w="780" w:type="dxa"/>
            <w:vAlign w:val="bottom"/>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1 041</w:t>
            </w:r>
          </w:p>
        </w:tc>
        <w:tc>
          <w:tcPr>
            <w:tcW w:w="6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6 258</w:t>
            </w:r>
          </w:p>
        </w:tc>
        <w:tc>
          <w:tcPr>
            <w:tcW w:w="800" w:type="dxa"/>
            <w:vAlign w:val="bottom"/>
            <w:gridSpan w:val="2"/>
          </w:tcPr>
          <w:p>
            <w:pPr>
              <w:jc w:val="right"/>
              <w:ind w:right="74"/>
              <w:spacing w:after="0"/>
              <w:rPr>
                <w:sz w:val="20"/>
                <w:szCs w:val="20"/>
                <w:color w:val="auto"/>
              </w:rPr>
            </w:pPr>
            <w:r>
              <w:rPr>
                <w:rFonts w:ascii="Times New Roman" w:cs="Times New Roman" w:eastAsia="Times New Roman" w:hAnsi="Times New Roman"/>
                <w:sz w:val="10"/>
                <w:szCs w:val="10"/>
                <w:color w:val="0D0D0D"/>
              </w:rPr>
              <w:t>5 658</w:t>
            </w:r>
          </w:p>
        </w:tc>
        <w:tc>
          <w:tcPr>
            <w:tcW w:w="720" w:type="dxa"/>
            <w:vAlign w:val="bottom"/>
          </w:tcPr>
          <w:p>
            <w:pPr>
              <w:jc w:val="right"/>
              <w:ind w:right="74"/>
              <w:spacing w:after="0"/>
              <w:rPr>
                <w:sz w:val="20"/>
                <w:szCs w:val="20"/>
                <w:color w:val="auto"/>
              </w:rPr>
            </w:pPr>
            <w:r>
              <w:rPr>
                <w:rFonts w:ascii="Times New Roman" w:cs="Times New Roman" w:eastAsia="Times New Roman" w:hAnsi="Times New Roman"/>
                <w:sz w:val="10"/>
                <w:szCs w:val="10"/>
                <w:color w:val="0D0D0D"/>
              </w:rPr>
              <w:t>—</w:t>
            </w:r>
          </w:p>
        </w:tc>
        <w:tc>
          <w:tcPr>
            <w:tcW w:w="760" w:type="dxa"/>
            <w:vAlign w:val="bottom"/>
          </w:tcPr>
          <w:p>
            <w:pPr>
              <w:jc w:val="right"/>
              <w:ind w:right="211"/>
              <w:spacing w:after="0"/>
              <w:rPr>
                <w:sz w:val="20"/>
                <w:szCs w:val="20"/>
                <w:color w:val="auto"/>
              </w:rPr>
            </w:pPr>
            <w:r>
              <w:rPr>
                <w:rFonts w:ascii="Times New Roman" w:cs="Times New Roman" w:eastAsia="Times New Roman" w:hAnsi="Times New Roman"/>
                <w:sz w:val="10"/>
                <w:szCs w:val="10"/>
                <w:color w:val="0D0D0D"/>
              </w:rPr>
              <w:t>1 096</w:t>
            </w:r>
          </w:p>
        </w:tc>
        <w:tc>
          <w:tcPr>
            <w:tcW w:w="5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6 754</w:t>
            </w:r>
          </w:p>
        </w:tc>
      </w:tr>
      <w:tr>
        <w:trPr>
          <w:trHeight w:val="152"/>
        </w:trPr>
        <w:tc>
          <w:tcPr>
            <w:tcW w:w="454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Net pension liabilities</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(257)</w:t>
            </w:r>
          </w:p>
        </w:tc>
        <w:tc>
          <w:tcPr>
            <w:tcW w:w="780" w:type="dxa"/>
            <w:vAlign w:val="bottom"/>
            <w:tcBorders>
              <w:bottom w:val="single" w:sz="8" w:color="005AFF"/>
            </w:tcBorders>
            <w:shd w:val="clear" w:color="auto" w:fill="F0F5FF"/>
          </w:tcPr>
          <w:p>
            <w:pPr>
              <w:jc w:val="right"/>
              <w:ind w:right="74"/>
              <w:spacing w:after="0"/>
              <w:rPr>
                <w:sz w:val="20"/>
                <w:szCs w:val="20"/>
                <w:color w:val="auto"/>
              </w:rPr>
            </w:pPr>
            <w:r>
              <w:rPr>
                <w:rFonts w:ascii="Times New Roman" w:cs="Times New Roman" w:eastAsia="Times New Roman" w:hAnsi="Times New Roman"/>
                <w:sz w:val="10"/>
                <w:szCs w:val="10"/>
                <w:color w:val="005AFF"/>
              </w:rPr>
              <w:t>(796)</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(1 246)</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(2 299)</w:t>
            </w:r>
          </w:p>
        </w:tc>
        <w:tc>
          <w:tcPr>
            <w:tcW w:w="800" w:type="dxa"/>
            <w:vAlign w:val="bottom"/>
            <w:tcBorders>
              <w:bottom w:val="single" w:sz="8" w:color="005AFF"/>
            </w:tcBorders>
            <w:gridSpan w:val="2"/>
          </w:tcPr>
          <w:p>
            <w:pPr>
              <w:jc w:val="right"/>
              <w:ind w:right="34"/>
              <w:spacing w:after="0"/>
              <w:rPr>
                <w:sz w:val="20"/>
                <w:szCs w:val="20"/>
                <w:color w:val="auto"/>
              </w:rPr>
            </w:pPr>
            <w:r>
              <w:rPr>
                <w:rFonts w:ascii="Times New Roman" w:cs="Times New Roman" w:eastAsia="Times New Roman" w:hAnsi="Times New Roman"/>
                <w:sz w:val="10"/>
                <w:szCs w:val="10"/>
                <w:color w:val="0D0D0D"/>
              </w:rPr>
              <w:t>(272)</w:t>
            </w:r>
          </w:p>
        </w:tc>
        <w:tc>
          <w:tcPr>
            <w:tcW w:w="720" w:type="dxa"/>
            <w:vAlign w:val="bottom"/>
            <w:tcBorders>
              <w:bottom w:val="single" w:sz="8" w:color="005AFF"/>
            </w:tcBorders>
          </w:tcPr>
          <w:p>
            <w:pPr>
              <w:jc w:val="right"/>
              <w:ind w:right="74"/>
              <w:spacing w:after="0"/>
              <w:rPr>
                <w:sz w:val="20"/>
                <w:szCs w:val="20"/>
                <w:color w:val="auto"/>
              </w:rPr>
            </w:pPr>
            <w:r>
              <w:rPr>
                <w:rFonts w:ascii="Times New Roman" w:cs="Times New Roman" w:eastAsia="Times New Roman" w:hAnsi="Times New Roman"/>
                <w:sz w:val="10"/>
                <w:szCs w:val="10"/>
                <w:color w:val="0D0D0D"/>
              </w:rPr>
              <w:t>(978)</w:t>
            </w:r>
          </w:p>
        </w:tc>
        <w:tc>
          <w:tcPr>
            <w:tcW w:w="76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color w:val="0D0D0D"/>
              </w:rPr>
              <w:t>(1 209)</w:t>
            </w: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(2 459)</w:t>
            </w:r>
          </w:p>
        </w:tc>
      </w:tr>
    </w:tbl>
    <w:p>
      <w:pPr>
        <w:spacing w:after="0" w:line="200" w:lineRule="exact"/>
        <w:rPr>
          <w:sz w:val="20"/>
          <w:szCs w:val="20"/>
          <w:color w:val="auto"/>
        </w:rPr>
      </w:pPr>
    </w:p>
    <w:p>
      <w:pPr>
        <w:spacing w:after="0" w:line="200" w:lineRule="exact"/>
        <w:rPr>
          <w:sz w:val="20"/>
          <w:szCs w:val="20"/>
          <w:color w:val="auto"/>
        </w:rPr>
      </w:pPr>
    </w:p>
    <w:p>
      <w:pPr>
        <w:spacing w:after="0" w:line="27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10" w:right="899" w:bottom="1440" w:gutter="0" w:footer="0" w:header="0"/>
        </w:sectPr>
      </w:pPr>
    </w:p>
    <w:bookmarkStart w:id="176" w:name="page177"/>
    <w:bookmarkEnd w:id="176"/>
    <w:tbl>
      <w:tblPr>
        <w:tblLayout w:type="fixed"/>
        <w:tblInd w:w="0" w:type="dxa"/>
        <w:tblCellMar>
          <w:top w:w="0" w:type="dxa"/>
          <w:left w:w="0" w:type="dxa"/>
          <w:bottom w:w="0" w:type="dxa"/>
          <w:right w:w="0" w:type="dxa"/>
        </w:tblCellMar>
      </w:tblPr>
      <w:tr>
        <w:trPr>
          <w:trHeight w:val="111"/>
        </w:trPr>
        <w:tc>
          <w:tcPr>
            <w:tcW w:w="40" w:type="dxa"/>
            <w:vAlign w:val="bottom"/>
          </w:tcPr>
          <w:p>
            <w:pPr>
              <w:spacing w:after="0"/>
              <w:rPr>
                <w:sz w:val="9"/>
                <w:szCs w:val="9"/>
                <w:color w:val="auto"/>
              </w:rPr>
            </w:pP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300" w:type="dxa"/>
            <w:vAlign w:val="bottom"/>
          </w:tcPr>
          <w:p>
            <w:pPr>
              <w:ind w:left="380"/>
              <w:spacing w:after="0"/>
              <w:rPr>
                <w:sz w:val="20"/>
                <w:szCs w:val="20"/>
                <w:color w:val="auto"/>
              </w:rPr>
            </w:pPr>
            <w:r>
              <w:rPr>
                <w:rFonts w:ascii="Times New Roman" w:cs="Times New Roman" w:eastAsia="Times New Roman" w:hAnsi="Times New Roman"/>
                <w:sz w:val="9"/>
                <w:szCs w:val="9"/>
                <w:color w:val="auto"/>
              </w:rPr>
              <w:t>Corporate</w:t>
            </w:r>
          </w:p>
        </w:tc>
        <w:tc>
          <w:tcPr>
            <w:tcW w:w="148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auto"/>
              </w:rPr>
              <w:t>Operating and financial</w:t>
            </w:r>
          </w:p>
        </w:tc>
        <w:tc>
          <w:tcPr>
            <w:tcW w:w="660" w:type="dxa"/>
            <w:vAlign w:val="bottom"/>
            <w:gridSpan w:val="2"/>
          </w:tcPr>
          <w:p>
            <w:pPr>
              <w:ind w:left="80"/>
              <w:spacing w:after="0"/>
              <w:rPr>
                <w:sz w:val="20"/>
                <w:szCs w:val="20"/>
                <w:color w:val="auto"/>
              </w:rPr>
            </w:pPr>
            <w:r>
              <w:rPr>
                <w:rFonts w:ascii="Times New Roman" w:cs="Times New Roman" w:eastAsia="Times New Roman" w:hAnsi="Times New Roman"/>
                <w:sz w:val="9"/>
                <w:szCs w:val="9"/>
                <w:color w:val="auto"/>
              </w:rPr>
              <w:t>General facts</w:t>
            </w:r>
          </w:p>
        </w:tc>
        <w:tc>
          <w:tcPr>
            <w:tcW w:w="480" w:type="dxa"/>
            <w:vAlign w:val="bottom"/>
          </w:tcPr>
          <w:p>
            <w:pPr>
              <w:spacing w:after="0"/>
              <w:rPr>
                <w:sz w:val="9"/>
                <w:szCs w:val="9"/>
                <w:color w:val="auto"/>
              </w:rPr>
            </w:pPr>
          </w:p>
        </w:tc>
        <w:tc>
          <w:tcPr>
            <w:tcW w:w="4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2"/>
        </w:trPr>
        <w:tc>
          <w:tcPr>
            <w:tcW w:w="40" w:type="dxa"/>
            <w:vAlign w:val="bottom"/>
          </w:tcPr>
          <w:p>
            <w:pPr>
              <w:spacing w:after="0"/>
              <w:rPr>
                <w:sz w:val="10"/>
                <w:szCs w:val="10"/>
                <w:color w:val="auto"/>
              </w:rPr>
            </w:pP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300" w:type="dxa"/>
            <w:vAlign w:val="bottom"/>
          </w:tcPr>
          <w:p>
            <w:pPr>
              <w:ind w:left="380"/>
              <w:spacing w:after="0"/>
              <w:rPr>
                <w:sz w:val="20"/>
                <w:szCs w:val="20"/>
                <w:color w:val="auto"/>
              </w:rPr>
            </w:pPr>
            <w:r>
              <w:rPr>
                <w:rFonts w:ascii="Times New Roman" w:cs="Times New Roman" w:eastAsia="Times New Roman" w:hAnsi="Times New Roman"/>
                <w:sz w:val="9"/>
                <w:szCs w:val="9"/>
                <w:color w:val="auto"/>
              </w:rPr>
              <w:t>governance</w:t>
            </w:r>
          </w:p>
        </w:tc>
        <w:tc>
          <w:tcPr>
            <w:tcW w:w="1480" w:type="dxa"/>
            <w:vAlign w:val="bottom"/>
            <w:gridSpan w:val="2"/>
          </w:tcPr>
          <w:p>
            <w:pPr>
              <w:ind w:left="100"/>
              <w:spacing w:after="0"/>
              <w:rPr>
                <w:sz w:val="20"/>
                <w:szCs w:val="20"/>
                <w:color w:val="auto"/>
              </w:rPr>
            </w:pPr>
            <w:r>
              <w:rPr>
                <w:rFonts w:ascii="Times New Roman" w:cs="Times New Roman" w:eastAsia="Times New Roman" w:hAnsi="Times New Roman"/>
                <w:sz w:val="9"/>
                <w:szCs w:val="9"/>
                <w:color w:val="auto"/>
              </w:rPr>
              <w:t>review and prospects</w:t>
            </w:r>
          </w:p>
        </w:tc>
        <w:tc>
          <w:tcPr>
            <w:tcW w:w="660" w:type="dxa"/>
            <w:vAlign w:val="bottom"/>
            <w:gridSpan w:val="2"/>
          </w:tcPr>
          <w:p>
            <w:pPr>
              <w:ind w:left="80"/>
              <w:spacing w:after="0"/>
              <w:rPr>
                <w:sz w:val="20"/>
                <w:szCs w:val="20"/>
                <w:color w:val="auto"/>
              </w:rPr>
            </w:pPr>
            <w:r>
              <w:rPr>
                <w:rFonts w:ascii="Times New Roman" w:cs="Times New Roman" w:eastAsia="Times New Roman" w:hAnsi="Times New Roman"/>
                <w:sz w:val="9"/>
                <w:szCs w:val="9"/>
                <w:color w:val="auto"/>
              </w:rPr>
              <w:t>on Nokia</w:t>
            </w:r>
          </w:p>
        </w:tc>
        <w:tc>
          <w:tcPr>
            <w:tcW w:w="480" w:type="dxa"/>
            <w:vAlign w:val="bottom"/>
          </w:tcPr>
          <w:p>
            <w:pPr>
              <w:spacing w:after="0"/>
              <w:rPr>
                <w:sz w:val="10"/>
                <w:szCs w:val="10"/>
                <w:color w:val="auto"/>
              </w:rPr>
            </w:pPr>
          </w:p>
        </w:tc>
        <w:tc>
          <w:tcPr>
            <w:tcW w:w="46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80" w:type="dxa"/>
            <w:vAlign w:val="bottom"/>
          </w:tcPr>
          <w:p>
            <w:pPr>
              <w:spacing w:after="0"/>
              <w:rPr>
                <w:sz w:val="10"/>
                <w:szCs w:val="10"/>
                <w:color w:val="auto"/>
              </w:rPr>
            </w:pPr>
          </w:p>
        </w:tc>
        <w:tc>
          <w:tcPr>
            <w:tcW w:w="0" w:type="dxa"/>
            <w:vAlign w:val="bottom"/>
          </w:tcPr>
          <w:p>
            <w:pPr>
              <w:spacing w:after="0"/>
              <w:rPr>
                <w:sz w:val="1"/>
                <w:szCs w:val="1"/>
                <w:color w:val="auto"/>
              </w:rPr>
            </w:pPr>
          </w:p>
        </w:tc>
      </w:tr>
      <w:tr>
        <w:trPr>
          <w:trHeight w:val="53"/>
        </w:trPr>
        <w:tc>
          <w:tcPr>
            <w:tcW w:w="40" w:type="dxa"/>
            <w:vAlign w:val="bottom"/>
          </w:tcPr>
          <w:p>
            <w:pPr>
              <w:spacing w:after="0"/>
              <w:rPr>
                <w:sz w:val="4"/>
                <w:szCs w:val="4"/>
                <w:color w:val="auto"/>
              </w:rPr>
            </w:pPr>
          </w:p>
        </w:tc>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80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520" w:type="dxa"/>
            <w:vAlign w:val="bottom"/>
          </w:tcPr>
          <w:p>
            <w:pPr>
              <w:spacing w:after="0"/>
              <w:rPr>
                <w:sz w:val="4"/>
                <w:szCs w:val="4"/>
                <w:color w:val="auto"/>
              </w:rPr>
            </w:pPr>
          </w:p>
        </w:tc>
        <w:tc>
          <w:tcPr>
            <w:tcW w:w="140" w:type="dxa"/>
            <w:vAlign w:val="bottom"/>
          </w:tcPr>
          <w:p>
            <w:pPr>
              <w:spacing w:after="0"/>
              <w:rPr>
                <w:sz w:val="4"/>
                <w:szCs w:val="4"/>
                <w:color w:val="auto"/>
              </w:rPr>
            </w:pPr>
          </w:p>
        </w:tc>
        <w:tc>
          <w:tcPr>
            <w:tcW w:w="480" w:type="dxa"/>
            <w:vAlign w:val="bottom"/>
          </w:tcPr>
          <w:p>
            <w:pPr>
              <w:spacing w:after="0"/>
              <w:rPr>
                <w:sz w:val="4"/>
                <w:szCs w:val="4"/>
                <w:color w:val="auto"/>
              </w:rPr>
            </w:pPr>
          </w:p>
        </w:tc>
        <w:tc>
          <w:tcPr>
            <w:tcW w:w="440" w:type="dxa"/>
            <w:vAlign w:val="bottom"/>
            <w:tcBorders>
              <w:bottom w:val="single" w:sz="8" w:color="005AFF"/>
            </w:tcBorders>
          </w:tcPr>
          <w:p>
            <w:pPr>
              <w:spacing w:after="0"/>
              <w:rPr>
                <w:sz w:val="4"/>
                <w:szCs w:val="4"/>
                <w:color w:val="auto"/>
              </w:rPr>
            </w:pPr>
          </w:p>
        </w:tc>
        <w:tc>
          <w:tcPr>
            <w:tcW w:w="20" w:type="dxa"/>
            <w:vAlign w:val="bottom"/>
            <w:tcBorders>
              <w:bottom w:val="single" w:sz="8" w:color="005AFF"/>
            </w:tcBorders>
          </w:tcPr>
          <w:p>
            <w:pPr>
              <w:spacing w:after="0"/>
              <w:rPr>
                <w:sz w:val="4"/>
                <w:szCs w:val="4"/>
                <w:color w:val="auto"/>
              </w:rPr>
            </w:pPr>
          </w:p>
        </w:tc>
        <w:tc>
          <w:tcPr>
            <w:tcW w:w="80" w:type="dxa"/>
            <w:vAlign w:val="bottom"/>
            <w:tcBorders>
              <w:bottom w:val="single" w:sz="8" w:color="005AFF"/>
            </w:tcBorders>
          </w:tcPr>
          <w:p>
            <w:pPr>
              <w:spacing w:after="0"/>
              <w:rPr>
                <w:sz w:val="4"/>
                <w:szCs w:val="4"/>
                <w:color w:val="auto"/>
              </w:rPr>
            </w:pPr>
          </w:p>
        </w:tc>
        <w:tc>
          <w:tcPr>
            <w:tcW w:w="0" w:type="dxa"/>
            <w:vAlign w:val="bottom"/>
          </w:tcPr>
          <w:p>
            <w:pPr>
              <w:spacing w:after="0"/>
              <w:rPr>
                <w:sz w:val="1"/>
                <w:szCs w:val="1"/>
                <w:color w:val="auto"/>
              </w:rPr>
            </w:pPr>
          </w:p>
        </w:tc>
      </w:tr>
      <w:tr>
        <w:trPr>
          <w:trHeight w:val="354"/>
        </w:trPr>
        <w:tc>
          <w:tcPr>
            <w:tcW w:w="40" w:type="dxa"/>
            <w:vAlign w:val="bottom"/>
          </w:tcPr>
          <w:p>
            <w:pPr>
              <w:spacing w:after="0"/>
              <w:rPr>
                <w:sz w:val="24"/>
                <w:szCs w:val="24"/>
                <w:color w:val="auto"/>
              </w:rPr>
            </w:pPr>
          </w:p>
        </w:tc>
        <w:tc>
          <w:tcPr>
            <w:tcW w:w="2520" w:type="dxa"/>
            <w:vAlign w:val="bottom"/>
            <w:gridSpan w:val="3"/>
            <w:vMerge w:val="continue"/>
          </w:tcPr>
          <w:p>
            <w:pPr>
              <w:spacing w:after="0"/>
              <w:rPr>
                <w:sz w:val="24"/>
                <w:szCs w:val="24"/>
                <w:color w:val="auto"/>
              </w:rPr>
            </w:pPr>
          </w:p>
        </w:tc>
        <w:tc>
          <w:tcPr>
            <w:tcW w:w="800" w:type="dxa"/>
            <w:vAlign w:val="bottom"/>
            <w:vMerge w:val="continue"/>
          </w:tcPr>
          <w:p>
            <w:pPr>
              <w:spacing w:after="0"/>
              <w:rPr>
                <w:sz w:val="24"/>
                <w:szCs w:val="24"/>
                <w:color w:val="auto"/>
              </w:rPr>
            </w:pPr>
          </w:p>
        </w:tc>
        <w:tc>
          <w:tcPr>
            <w:tcW w:w="52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49"/>
        </w:trPr>
        <w:tc>
          <w:tcPr>
            <w:tcW w:w="40" w:type="dxa"/>
            <w:vAlign w:val="bottom"/>
          </w:tcPr>
          <w:p>
            <w:pPr>
              <w:spacing w:after="0"/>
              <w:rPr>
                <w:sz w:val="24"/>
                <w:szCs w:val="24"/>
                <w:color w:val="auto"/>
              </w:rPr>
            </w:pPr>
          </w:p>
        </w:tc>
        <w:tc>
          <w:tcPr>
            <w:tcW w:w="184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Recognized in the income statement</w:t>
            </w:r>
          </w:p>
        </w:tc>
        <w:tc>
          <w:tcPr>
            <w:tcW w:w="680" w:type="dxa"/>
            <w:vAlign w:val="bottom"/>
          </w:tcPr>
          <w:p>
            <w:pPr>
              <w:spacing w:after="0"/>
              <w:rPr>
                <w:sz w:val="24"/>
                <w:szCs w:val="24"/>
                <w:color w:val="auto"/>
              </w:rPr>
            </w:pPr>
          </w:p>
        </w:tc>
        <w:tc>
          <w:tcPr>
            <w:tcW w:w="80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14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60"/>
        </w:trPr>
        <w:tc>
          <w:tcPr>
            <w:tcW w:w="40" w:type="dxa"/>
            <w:vAlign w:val="bottom"/>
          </w:tcPr>
          <w:p>
            <w:pPr>
              <w:spacing w:after="0"/>
              <w:rPr>
                <w:sz w:val="13"/>
                <w:szCs w:val="13"/>
                <w:color w:val="auto"/>
              </w:rPr>
            </w:pPr>
          </w:p>
        </w:tc>
        <w:tc>
          <w:tcPr>
            <w:tcW w:w="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300" w:type="dxa"/>
            <w:vAlign w:val="bottom"/>
            <w:tcBorders>
              <w:bottom w:val="single" w:sz="8" w:color="005AFF"/>
            </w:tcBorders>
          </w:tcPr>
          <w:p>
            <w:pPr>
              <w:spacing w:after="0"/>
              <w:rPr>
                <w:sz w:val="13"/>
                <w:szCs w:val="13"/>
                <w:color w:val="auto"/>
              </w:rPr>
            </w:pPr>
          </w:p>
        </w:tc>
        <w:tc>
          <w:tcPr>
            <w:tcW w:w="680" w:type="dxa"/>
            <w:vAlign w:val="bottom"/>
            <w:tcBorders>
              <w:bottom w:val="single" w:sz="8" w:color="005AFF"/>
            </w:tcBorders>
          </w:tcPr>
          <w:p>
            <w:pPr>
              <w:spacing w:after="0"/>
              <w:rPr>
                <w:sz w:val="13"/>
                <w:szCs w:val="13"/>
                <w:color w:val="auto"/>
              </w:rPr>
            </w:pPr>
          </w:p>
        </w:tc>
        <w:tc>
          <w:tcPr>
            <w:tcW w:w="800" w:type="dxa"/>
            <w:vAlign w:val="bottom"/>
            <w:tcBorders>
              <w:bottom w:val="single" w:sz="8" w:color="005AFF"/>
            </w:tcBorders>
          </w:tcPr>
          <w:p>
            <w:pPr>
              <w:spacing w:after="0"/>
              <w:rPr>
                <w:sz w:val="13"/>
                <w:szCs w:val="13"/>
                <w:color w:val="auto"/>
              </w:rPr>
            </w:pP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14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2021</w:t>
            </w:r>
          </w:p>
        </w:tc>
        <w:tc>
          <w:tcPr>
            <w:tcW w:w="20" w:type="dxa"/>
            <w:vAlign w:val="bottom"/>
            <w:tcBorders>
              <w:bottom w:val="single" w:sz="8" w:color="005AFF"/>
            </w:tcBorders>
          </w:tcPr>
          <w:p>
            <w:pPr>
              <w:spacing w:after="0"/>
              <w:rPr>
                <w:sz w:val="13"/>
                <w:szCs w:val="13"/>
                <w:color w:val="auto"/>
              </w:rPr>
            </w:pPr>
          </w:p>
        </w:tc>
        <w:tc>
          <w:tcPr>
            <w:tcW w:w="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66"/>
        </w:trPr>
        <w:tc>
          <w:tcPr>
            <w:tcW w:w="40" w:type="dxa"/>
            <w:vAlign w:val="bottom"/>
          </w:tcPr>
          <w:p>
            <w:pPr>
              <w:spacing w:after="0"/>
              <w:rPr>
                <w:sz w:val="14"/>
                <w:szCs w:val="14"/>
                <w:color w:val="auto"/>
              </w:rPr>
            </w:pPr>
          </w:p>
        </w:tc>
        <w:tc>
          <w:tcPr>
            <w:tcW w:w="18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Current service cost  </w:t>
            </w:r>
            <w:r>
              <w:rPr>
                <w:rFonts w:ascii="Times New Roman" w:cs="Times New Roman" w:eastAsia="Times New Roman" w:hAnsi="Times New Roman"/>
                <w:sz w:val="13"/>
                <w:szCs w:val="13"/>
                <w:color w:val="0D0D0D"/>
                <w:vertAlign w:val="superscript"/>
              </w:rPr>
              <w:t>(1)</w:t>
            </w:r>
          </w:p>
        </w:tc>
        <w:tc>
          <w:tcPr>
            <w:tcW w:w="680" w:type="dxa"/>
            <w:vAlign w:val="bottom"/>
          </w:tcPr>
          <w:p>
            <w:pPr>
              <w:spacing w:after="0"/>
              <w:rPr>
                <w:sz w:val="14"/>
                <w:szCs w:val="14"/>
                <w:color w:val="auto"/>
              </w:rPr>
            </w:pPr>
          </w:p>
        </w:tc>
        <w:tc>
          <w:tcPr>
            <w:tcW w:w="800" w:type="dxa"/>
            <w:vAlign w:val="bottom"/>
          </w:tcPr>
          <w:p>
            <w:pPr>
              <w:spacing w:after="0"/>
              <w:rPr>
                <w:sz w:val="14"/>
                <w:szCs w:val="14"/>
                <w:color w:val="auto"/>
              </w:rPr>
            </w:pPr>
          </w:p>
        </w:tc>
        <w:tc>
          <w:tcPr>
            <w:tcW w:w="5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157</w:t>
            </w:r>
          </w:p>
        </w:tc>
        <w:tc>
          <w:tcPr>
            <w:tcW w:w="140" w:type="dxa"/>
            <w:vAlign w:val="bottom"/>
            <w:tcBorders>
              <w:left w:val="single" w:sz="8" w:color="F0F5FF"/>
            </w:tcBorders>
          </w:tcPr>
          <w:p>
            <w:pPr>
              <w:spacing w:after="0"/>
              <w:rPr>
                <w:sz w:val="14"/>
                <w:szCs w:val="14"/>
                <w:color w:val="auto"/>
              </w:rPr>
            </w:pPr>
          </w:p>
        </w:tc>
        <w:tc>
          <w:tcPr>
            <w:tcW w:w="4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205</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196</w:t>
            </w:r>
          </w:p>
        </w:tc>
        <w:tc>
          <w:tcPr>
            <w:tcW w:w="2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40" w:type="dxa"/>
            <w:vAlign w:val="bottom"/>
          </w:tcPr>
          <w:p>
            <w:pPr>
              <w:spacing w:after="0"/>
              <w:rPr>
                <w:sz w:val="14"/>
                <w:szCs w:val="14"/>
                <w:color w:val="auto"/>
              </w:rPr>
            </w:pPr>
          </w:p>
        </w:tc>
        <w:tc>
          <w:tcPr>
            <w:tcW w:w="18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Past service cost  </w:t>
            </w:r>
            <w:r>
              <w:rPr>
                <w:rFonts w:ascii="Times New Roman" w:cs="Times New Roman" w:eastAsia="Times New Roman" w:hAnsi="Times New Roman"/>
                <w:sz w:val="13"/>
                <w:szCs w:val="13"/>
                <w:color w:val="0D0D0D"/>
                <w:vertAlign w:val="superscript"/>
              </w:rPr>
              <w:t>(1)</w:t>
            </w:r>
          </w:p>
        </w:tc>
        <w:tc>
          <w:tcPr>
            <w:tcW w:w="680" w:type="dxa"/>
            <w:vAlign w:val="bottom"/>
          </w:tcPr>
          <w:p>
            <w:pPr>
              <w:spacing w:after="0"/>
              <w:rPr>
                <w:sz w:val="14"/>
                <w:szCs w:val="14"/>
                <w:color w:val="auto"/>
              </w:rPr>
            </w:pPr>
          </w:p>
        </w:tc>
        <w:tc>
          <w:tcPr>
            <w:tcW w:w="800" w:type="dxa"/>
            <w:vAlign w:val="bottom"/>
          </w:tcPr>
          <w:p>
            <w:pPr>
              <w:spacing w:after="0"/>
              <w:rPr>
                <w:sz w:val="14"/>
                <w:szCs w:val="14"/>
                <w:color w:val="auto"/>
              </w:rPr>
            </w:pP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140" w:type="dxa"/>
            <w:vAlign w:val="bottom"/>
            <w:tcBorders>
              <w:left w:val="single" w:sz="8" w:color="F0F5FF"/>
            </w:tcBorders>
          </w:tcPr>
          <w:p>
            <w:pPr>
              <w:spacing w:after="0"/>
              <w:rPr>
                <w:sz w:val="14"/>
                <w:szCs w:val="14"/>
                <w:color w:val="auto"/>
              </w:rPr>
            </w:pPr>
          </w:p>
        </w:tc>
        <w:tc>
          <w:tcPr>
            <w:tcW w:w="4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w:t>
            </w:r>
          </w:p>
        </w:tc>
        <w:tc>
          <w:tcPr>
            <w:tcW w:w="460" w:type="dxa"/>
            <w:vAlign w:val="bottom"/>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(17)</w:t>
            </w: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35"/>
        </w:trPr>
        <w:tc>
          <w:tcPr>
            <w:tcW w:w="40" w:type="dxa"/>
            <w:vAlign w:val="bottom"/>
          </w:tcPr>
          <w:p>
            <w:pPr>
              <w:spacing w:after="0"/>
              <w:rPr>
                <w:sz w:val="11"/>
                <w:szCs w:val="11"/>
                <w:color w:val="auto"/>
              </w:rPr>
            </w:pPr>
          </w:p>
        </w:tc>
        <w:tc>
          <w:tcPr>
            <w:tcW w:w="5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interest</w:t>
            </w:r>
          </w:p>
        </w:tc>
        <w:tc>
          <w:tcPr>
            <w:tcW w:w="1300" w:type="dxa"/>
            <w:vAlign w:val="bottom"/>
          </w:tcPr>
          <w:p>
            <w:pPr>
              <w:jc w:val="right"/>
              <w:ind w:right="1140"/>
              <w:spacing w:after="0"/>
              <w:rPr>
                <w:sz w:val="20"/>
                <w:szCs w:val="20"/>
                <w:color w:val="auto"/>
              </w:rPr>
            </w:pPr>
            <w:r>
              <w:rPr>
                <w:rFonts w:ascii="Times New Roman" w:cs="Times New Roman" w:eastAsia="Times New Roman" w:hAnsi="Times New Roman"/>
                <w:sz w:val="7"/>
                <w:szCs w:val="7"/>
                <w:color w:val="0D0D0D"/>
              </w:rPr>
              <w:t>(2)</w:t>
            </w:r>
          </w:p>
        </w:tc>
        <w:tc>
          <w:tcPr>
            <w:tcW w:w="680" w:type="dxa"/>
            <w:vAlign w:val="bottom"/>
          </w:tcPr>
          <w:p>
            <w:pPr>
              <w:spacing w:after="0"/>
              <w:rPr>
                <w:sz w:val="11"/>
                <w:szCs w:val="11"/>
                <w:color w:val="auto"/>
              </w:rPr>
            </w:pPr>
          </w:p>
        </w:tc>
        <w:tc>
          <w:tcPr>
            <w:tcW w:w="800" w:type="dxa"/>
            <w:vAlign w:val="bottom"/>
          </w:tcPr>
          <w:p>
            <w:pPr>
              <w:spacing w:after="0"/>
              <w:rPr>
                <w:sz w:val="11"/>
                <w:szCs w:val="11"/>
                <w:color w:val="auto"/>
              </w:rPr>
            </w:pP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(187)</w:t>
            </w:r>
          </w:p>
        </w:tc>
        <w:tc>
          <w:tcPr>
            <w:tcW w:w="140" w:type="dxa"/>
            <w:vAlign w:val="bottom"/>
            <w:tcBorders>
              <w:left w:val="single" w:sz="8" w:color="F0F5FF"/>
            </w:tcBorders>
          </w:tcPr>
          <w:p>
            <w:pPr>
              <w:spacing w:after="0"/>
              <w:rPr>
                <w:sz w:val="11"/>
                <w:szCs w:val="11"/>
                <w:color w:val="auto"/>
              </w:rPr>
            </w:pPr>
          </w:p>
        </w:tc>
        <w:tc>
          <w:tcPr>
            <w:tcW w:w="4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(92)</w:t>
            </w:r>
          </w:p>
        </w:tc>
        <w:tc>
          <w:tcPr>
            <w:tcW w:w="460" w:type="dxa"/>
            <w:vAlign w:val="bottom"/>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(26)</w:t>
            </w:r>
          </w:p>
        </w:tc>
        <w:tc>
          <w:tcPr>
            <w:tcW w:w="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7"/>
        </w:trPr>
        <w:tc>
          <w:tcPr>
            <w:tcW w:w="40" w:type="dxa"/>
            <w:vAlign w:val="bottom"/>
          </w:tcPr>
          <w:p>
            <w:pPr>
              <w:spacing w:after="0"/>
              <w:rPr>
                <w:sz w:val="14"/>
                <w:szCs w:val="14"/>
                <w:color w:val="auto"/>
              </w:rPr>
            </w:pPr>
          </w:p>
        </w:tc>
        <w:tc>
          <w:tcPr>
            <w:tcW w:w="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Settlements</w:t>
            </w:r>
          </w:p>
        </w:tc>
        <w:tc>
          <w:tcPr>
            <w:tcW w:w="1300" w:type="dxa"/>
            <w:vAlign w:val="bottom"/>
            <w:tcBorders>
              <w:bottom w:val="single" w:sz="8" w:color="005AFF"/>
            </w:tcBorders>
          </w:tcPr>
          <w:p>
            <w:pPr>
              <w:jc w:val="right"/>
              <w:ind w:right="1140"/>
              <w:spacing w:after="0"/>
              <w:rPr>
                <w:sz w:val="20"/>
                <w:szCs w:val="20"/>
                <w:color w:val="auto"/>
              </w:rPr>
            </w:pPr>
            <w:r>
              <w:rPr>
                <w:rFonts w:ascii="Times New Roman" w:cs="Times New Roman" w:eastAsia="Times New Roman" w:hAnsi="Times New Roman"/>
                <w:sz w:val="7"/>
                <w:szCs w:val="7"/>
                <w:color w:val="0D0D0D"/>
              </w:rPr>
              <w:t>(1)</w:t>
            </w:r>
          </w:p>
        </w:tc>
        <w:tc>
          <w:tcPr>
            <w:tcW w:w="680" w:type="dxa"/>
            <w:vAlign w:val="bottom"/>
            <w:tcBorders>
              <w:bottom w:val="single" w:sz="8" w:color="005AFF"/>
            </w:tcBorders>
          </w:tcPr>
          <w:p>
            <w:pPr>
              <w:spacing w:after="0"/>
              <w:rPr>
                <w:sz w:val="14"/>
                <w:szCs w:val="14"/>
                <w:color w:val="auto"/>
              </w:rPr>
            </w:pPr>
          </w:p>
        </w:tc>
        <w:tc>
          <w:tcPr>
            <w:tcW w:w="80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w:t>
            </w:r>
          </w:p>
        </w:tc>
        <w:tc>
          <w:tcPr>
            <w:tcW w:w="140" w:type="dxa"/>
            <w:vAlign w:val="bottom"/>
            <w:tcBorders>
              <w:left w:val="single" w:sz="8" w:color="F0F5FF"/>
              <w:bottom w:val="single" w:sz="8" w:color="005AFF"/>
            </w:tcBorders>
          </w:tcPr>
          <w:p>
            <w:pPr>
              <w:spacing w:after="0"/>
              <w:rPr>
                <w:sz w:val="14"/>
                <w:szCs w:val="14"/>
                <w:color w:val="auto"/>
              </w:rPr>
            </w:pPr>
          </w:p>
        </w:tc>
        <w:tc>
          <w:tcPr>
            <w:tcW w:w="4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(10)</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w:t>
            </w:r>
          </w:p>
        </w:tc>
        <w:tc>
          <w:tcPr>
            <w:tcW w:w="20" w:type="dxa"/>
            <w:vAlign w:val="bottom"/>
            <w:tcBorders>
              <w:bottom w:val="single" w:sz="8" w:color="005AFF"/>
            </w:tcBorders>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40" w:type="dxa"/>
            <w:vAlign w:val="bottom"/>
          </w:tcPr>
          <w:p>
            <w:pPr>
              <w:spacing w:after="0"/>
              <w:rPr>
                <w:sz w:val="12"/>
                <w:szCs w:val="12"/>
                <w:color w:val="auto"/>
              </w:rPr>
            </w:pPr>
          </w:p>
        </w:tc>
        <w:tc>
          <w:tcPr>
            <w:tcW w:w="5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0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(31)</w:t>
            </w:r>
          </w:p>
        </w:tc>
        <w:tc>
          <w:tcPr>
            <w:tcW w:w="140" w:type="dxa"/>
            <w:vAlign w:val="bottom"/>
            <w:tcBorders>
              <w:left w:val="single" w:sz="8" w:color="F0F5FF"/>
              <w:bottom w:val="single" w:sz="8" w:color="005AFF"/>
            </w:tcBorders>
          </w:tcPr>
          <w:p>
            <w:pPr>
              <w:spacing w:after="0"/>
              <w:rPr>
                <w:sz w:val="12"/>
                <w:szCs w:val="12"/>
                <w:color w:val="auto"/>
              </w:rPr>
            </w:pPr>
          </w:p>
        </w:tc>
        <w:tc>
          <w:tcPr>
            <w:tcW w:w="4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101</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157</w:t>
            </w:r>
          </w:p>
        </w:tc>
        <w:tc>
          <w:tcPr>
            <w:tcW w:w="20" w:type="dxa"/>
            <w:vAlign w:val="bottom"/>
            <w:tcBorders>
              <w:bottom w:val="single" w:sz="8" w:color="005AFF"/>
            </w:tcBorders>
          </w:tcPr>
          <w:p>
            <w:pPr>
              <w:spacing w:after="0"/>
              <w:rPr>
                <w:sz w:val="12"/>
                <w:szCs w:val="12"/>
                <w:color w:val="auto"/>
              </w:rPr>
            </w:pPr>
          </w:p>
        </w:tc>
        <w:tc>
          <w:tcPr>
            <w:tcW w:w="8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28"/>
        </w:trPr>
        <w:tc>
          <w:tcPr>
            <w:tcW w:w="40" w:type="dxa"/>
            <w:vAlign w:val="bottom"/>
          </w:tcPr>
          <w:p>
            <w:pPr>
              <w:spacing w:after="0"/>
              <w:rPr>
                <w:sz w:val="11"/>
                <w:szCs w:val="11"/>
                <w:color w:val="auto"/>
              </w:rPr>
            </w:pPr>
          </w:p>
        </w:tc>
        <w:tc>
          <w:tcPr>
            <w:tcW w:w="2520" w:type="dxa"/>
            <w:vAlign w:val="bottom"/>
            <w:gridSpan w:val="3"/>
          </w:tcPr>
          <w:p>
            <w:pPr>
              <w:spacing w:after="0"/>
              <w:rPr>
                <w:sz w:val="20"/>
                <w:szCs w:val="20"/>
                <w:color w:val="auto"/>
              </w:rPr>
            </w:pPr>
            <w:r>
              <w:rPr>
                <w:rFonts w:ascii="Times New Roman" w:cs="Times New Roman" w:eastAsia="Times New Roman" w:hAnsi="Times New Roman"/>
                <w:sz w:val="8"/>
                <w:szCs w:val="8"/>
                <w:color w:val="auto"/>
              </w:rPr>
              <w:t>(1)   Included in operating expenses within the income statement.</w:t>
            </w:r>
          </w:p>
        </w:tc>
        <w:tc>
          <w:tcPr>
            <w:tcW w:w="80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440" w:type="dxa"/>
            <w:vAlign w:val="bottom"/>
          </w:tcPr>
          <w:p>
            <w:pPr>
              <w:spacing w:after="0"/>
              <w:rPr>
                <w:sz w:val="11"/>
                <w:szCs w:val="11"/>
                <w:color w:val="auto"/>
              </w:rPr>
            </w:pPr>
          </w:p>
        </w:tc>
        <w:tc>
          <w:tcPr>
            <w:tcW w:w="2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04"/>
        </w:trPr>
        <w:tc>
          <w:tcPr>
            <w:tcW w:w="40" w:type="dxa"/>
            <w:vAlign w:val="bottom"/>
          </w:tcPr>
          <w:p>
            <w:pPr>
              <w:spacing w:after="0"/>
              <w:rPr>
                <w:sz w:val="9"/>
                <w:szCs w:val="9"/>
                <w:color w:val="auto"/>
              </w:rPr>
            </w:pPr>
          </w:p>
        </w:tc>
        <w:tc>
          <w:tcPr>
            <w:tcW w:w="2520" w:type="dxa"/>
            <w:vAlign w:val="bottom"/>
            <w:gridSpan w:val="3"/>
          </w:tcPr>
          <w:p>
            <w:pPr>
              <w:spacing w:after="0"/>
              <w:rPr>
                <w:sz w:val="20"/>
                <w:szCs w:val="20"/>
                <w:color w:val="auto"/>
              </w:rPr>
            </w:pPr>
            <w:r>
              <w:rPr>
                <w:rFonts w:ascii="Times New Roman" w:cs="Times New Roman" w:eastAsia="Times New Roman" w:hAnsi="Times New Roman"/>
                <w:sz w:val="8"/>
                <w:szCs w:val="8"/>
                <w:color w:val="auto"/>
              </w:rPr>
              <w:t>(2)   Included in financial income within the income statement.</w:t>
            </w:r>
          </w:p>
        </w:tc>
        <w:tc>
          <w:tcPr>
            <w:tcW w:w="800" w:type="dxa"/>
            <w:vAlign w:val="bottom"/>
          </w:tcPr>
          <w:p>
            <w:pPr>
              <w:spacing w:after="0"/>
              <w:rPr>
                <w:sz w:val="9"/>
                <w:szCs w:val="9"/>
                <w:color w:val="auto"/>
              </w:rPr>
            </w:pPr>
          </w:p>
        </w:tc>
        <w:tc>
          <w:tcPr>
            <w:tcW w:w="520" w:type="dxa"/>
            <w:vAlign w:val="bottom"/>
          </w:tcPr>
          <w:p>
            <w:pPr>
              <w:spacing w:after="0"/>
              <w:rPr>
                <w:sz w:val="9"/>
                <w:szCs w:val="9"/>
                <w:color w:val="auto"/>
              </w:rPr>
            </w:pPr>
          </w:p>
        </w:tc>
        <w:tc>
          <w:tcPr>
            <w:tcW w:w="140" w:type="dxa"/>
            <w:vAlign w:val="bottom"/>
          </w:tcPr>
          <w:p>
            <w:pPr>
              <w:spacing w:after="0"/>
              <w:rPr>
                <w:sz w:val="9"/>
                <w:szCs w:val="9"/>
                <w:color w:val="auto"/>
              </w:rPr>
            </w:pPr>
          </w:p>
        </w:tc>
        <w:tc>
          <w:tcPr>
            <w:tcW w:w="480" w:type="dxa"/>
            <w:vAlign w:val="bottom"/>
          </w:tcPr>
          <w:p>
            <w:pPr>
              <w:spacing w:after="0"/>
              <w:rPr>
                <w:sz w:val="9"/>
                <w:szCs w:val="9"/>
                <w:color w:val="auto"/>
              </w:rPr>
            </w:pPr>
          </w:p>
        </w:tc>
        <w:tc>
          <w:tcPr>
            <w:tcW w:w="440" w:type="dxa"/>
            <w:vAlign w:val="bottom"/>
          </w:tcPr>
          <w:p>
            <w:pPr>
              <w:spacing w:after="0"/>
              <w:rPr>
                <w:sz w:val="9"/>
                <w:szCs w:val="9"/>
                <w:color w:val="auto"/>
              </w:rPr>
            </w:pPr>
          </w:p>
        </w:tc>
        <w:tc>
          <w:tcPr>
            <w:tcW w:w="20" w:type="dxa"/>
            <w:vAlign w:val="bottom"/>
          </w:tcPr>
          <w:p>
            <w:pPr>
              <w:spacing w:after="0"/>
              <w:rPr>
                <w:sz w:val="9"/>
                <w:szCs w:val="9"/>
                <w:color w:val="auto"/>
              </w:rPr>
            </w:pPr>
          </w:p>
        </w:tc>
        <w:tc>
          <w:tcPr>
            <w:tcW w:w="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222"/>
        </w:trPr>
        <w:tc>
          <w:tcPr>
            <w:tcW w:w="40" w:type="dxa"/>
            <w:vAlign w:val="bottom"/>
          </w:tcPr>
          <w:p>
            <w:pPr>
              <w:spacing w:after="0"/>
              <w:rPr>
                <w:sz w:val="19"/>
                <w:szCs w:val="19"/>
                <w:color w:val="auto"/>
              </w:rPr>
            </w:pPr>
          </w:p>
        </w:tc>
        <w:tc>
          <w:tcPr>
            <w:tcW w:w="2520" w:type="dxa"/>
            <w:vAlign w:val="bottom"/>
            <w:gridSpan w:val="3"/>
          </w:tcPr>
          <w:p>
            <w:pPr>
              <w:spacing w:after="0"/>
              <w:rPr>
                <w:sz w:val="20"/>
                <w:szCs w:val="20"/>
                <w:color w:val="auto"/>
              </w:rPr>
            </w:pPr>
            <w:r>
              <w:rPr>
                <w:rFonts w:ascii="Times New Roman" w:cs="Times New Roman" w:eastAsia="Times New Roman" w:hAnsi="Times New Roman"/>
                <w:sz w:val="11"/>
                <w:szCs w:val="11"/>
                <w:b w:val="1"/>
                <w:bCs w:val="1"/>
                <w:color w:val="auto"/>
              </w:rPr>
              <w:t>Recognized in other comprehensive income</w:t>
            </w:r>
          </w:p>
        </w:tc>
        <w:tc>
          <w:tcPr>
            <w:tcW w:w="800" w:type="dxa"/>
            <w:vAlign w:val="bottom"/>
          </w:tcPr>
          <w:p>
            <w:pPr>
              <w:spacing w:after="0"/>
              <w:rPr>
                <w:sz w:val="19"/>
                <w:szCs w:val="19"/>
                <w:color w:val="auto"/>
              </w:rPr>
            </w:pPr>
          </w:p>
        </w:tc>
        <w:tc>
          <w:tcPr>
            <w:tcW w:w="520" w:type="dxa"/>
            <w:vAlign w:val="bottom"/>
          </w:tcPr>
          <w:p>
            <w:pPr>
              <w:spacing w:after="0"/>
              <w:rPr>
                <w:sz w:val="19"/>
                <w:szCs w:val="19"/>
                <w:color w:val="auto"/>
              </w:rPr>
            </w:pPr>
          </w:p>
        </w:tc>
        <w:tc>
          <w:tcPr>
            <w:tcW w:w="140" w:type="dxa"/>
            <w:vAlign w:val="bottom"/>
          </w:tcPr>
          <w:p>
            <w:pPr>
              <w:spacing w:after="0"/>
              <w:rPr>
                <w:sz w:val="19"/>
                <w:szCs w:val="19"/>
                <w:color w:val="auto"/>
              </w:rPr>
            </w:pPr>
          </w:p>
        </w:tc>
        <w:tc>
          <w:tcPr>
            <w:tcW w:w="480" w:type="dxa"/>
            <w:vAlign w:val="bottom"/>
          </w:tcPr>
          <w:p>
            <w:pPr>
              <w:spacing w:after="0"/>
              <w:rPr>
                <w:sz w:val="19"/>
                <w:szCs w:val="19"/>
                <w:color w:val="auto"/>
              </w:rPr>
            </w:pPr>
          </w:p>
        </w:tc>
        <w:tc>
          <w:tcPr>
            <w:tcW w:w="440" w:type="dxa"/>
            <w:vAlign w:val="bottom"/>
          </w:tcPr>
          <w:p>
            <w:pPr>
              <w:spacing w:after="0"/>
              <w:rPr>
                <w:sz w:val="19"/>
                <w:szCs w:val="19"/>
                <w:color w:val="auto"/>
              </w:rPr>
            </w:pPr>
          </w:p>
        </w:tc>
        <w:tc>
          <w:tcPr>
            <w:tcW w:w="20" w:type="dxa"/>
            <w:vAlign w:val="bottom"/>
          </w:tcPr>
          <w:p>
            <w:pPr>
              <w:spacing w:after="0"/>
              <w:rPr>
                <w:sz w:val="19"/>
                <w:szCs w:val="19"/>
                <w:color w:val="auto"/>
              </w:rPr>
            </w:pPr>
          </w:p>
        </w:tc>
        <w:tc>
          <w:tcPr>
            <w:tcW w:w="80" w:type="dxa"/>
            <w:vAlign w:val="bottom"/>
          </w:tcPr>
          <w:p>
            <w:pPr>
              <w:spacing w:after="0"/>
              <w:rPr>
                <w:sz w:val="19"/>
                <w:szCs w:val="19"/>
                <w:color w:val="auto"/>
              </w:rPr>
            </w:pPr>
          </w:p>
        </w:tc>
        <w:tc>
          <w:tcPr>
            <w:tcW w:w="0" w:type="dxa"/>
            <w:vAlign w:val="bottom"/>
          </w:tcPr>
          <w:p>
            <w:pPr>
              <w:spacing w:after="0"/>
              <w:rPr>
                <w:sz w:val="1"/>
                <w:szCs w:val="1"/>
                <w:color w:val="auto"/>
              </w:rPr>
            </w:pPr>
          </w:p>
        </w:tc>
      </w:tr>
      <w:tr>
        <w:trPr>
          <w:trHeight w:val="155"/>
        </w:trPr>
        <w:tc>
          <w:tcPr>
            <w:tcW w:w="58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300" w:type="dxa"/>
            <w:vAlign w:val="bottom"/>
            <w:tcBorders>
              <w:bottom w:val="single" w:sz="8" w:color="005AFF"/>
            </w:tcBorders>
          </w:tcPr>
          <w:p>
            <w:pPr>
              <w:spacing w:after="0"/>
              <w:rPr>
                <w:sz w:val="13"/>
                <w:szCs w:val="13"/>
                <w:color w:val="auto"/>
              </w:rPr>
            </w:pPr>
          </w:p>
        </w:tc>
        <w:tc>
          <w:tcPr>
            <w:tcW w:w="680" w:type="dxa"/>
            <w:vAlign w:val="bottom"/>
            <w:tcBorders>
              <w:bottom w:val="single" w:sz="8" w:color="005AFF"/>
            </w:tcBorders>
          </w:tcPr>
          <w:p>
            <w:pPr>
              <w:spacing w:after="0"/>
              <w:rPr>
                <w:sz w:val="13"/>
                <w:szCs w:val="13"/>
                <w:color w:val="auto"/>
              </w:rPr>
            </w:pPr>
          </w:p>
        </w:tc>
        <w:tc>
          <w:tcPr>
            <w:tcW w:w="800" w:type="dxa"/>
            <w:vAlign w:val="bottom"/>
            <w:tcBorders>
              <w:bottom w:val="single" w:sz="8" w:color="005AFF"/>
            </w:tcBorders>
          </w:tcPr>
          <w:p>
            <w:pPr>
              <w:spacing w:after="0"/>
              <w:rPr>
                <w:sz w:val="13"/>
                <w:szCs w:val="13"/>
                <w:color w:val="auto"/>
              </w:rPr>
            </w:pP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140" w:type="dxa"/>
            <w:vAlign w:val="bottom"/>
            <w:tcBorders>
              <w:bottom w:val="single" w:sz="8" w:color="005AFF"/>
            </w:tcBorders>
          </w:tcPr>
          <w:p>
            <w:pPr>
              <w:spacing w:after="0"/>
              <w:rPr>
                <w:sz w:val="13"/>
                <w:szCs w:val="13"/>
                <w:color w:val="auto"/>
              </w:rPr>
            </w:pPr>
          </w:p>
        </w:tc>
        <w:tc>
          <w:tcPr>
            <w:tcW w:w="48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c>
          <w:tcPr>
            <w:tcW w:w="2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35"/>
        </w:trPr>
        <w:tc>
          <w:tcPr>
            <w:tcW w:w="40" w:type="dxa"/>
            <w:vAlign w:val="bottom"/>
          </w:tcPr>
          <w:p>
            <w:pPr>
              <w:spacing w:after="0"/>
              <w:rPr>
                <w:sz w:val="11"/>
                <w:szCs w:val="11"/>
                <w:color w:val="auto"/>
              </w:rPr>
            </w:pPr>
          </w:p>
        </w:tc>
        <w:tc>
          <w:tcPr>
            <w:tcW w:w="3320" w:type="dxa"/>
            <w:vAlign w:val="bottom"/>
            <w:tcBorders>
              <w:right w:val="single" w:sz="8" w:color="F0F5FF"/>
            </w:tcBorders>
            <w:gridSpan w:val="4"/>
          </w:tcPr>
          <w:p>
            <w:pPr>
              <w:spacing w:after="0"/>
              <w:rPr>
                <w:sz w:val="20"/>
                <w:szCs w:val="20"/>
                <w:color w:val="auto"/>
              </w:rPr>
            </w:pPr>
            <w:r>
              <w:rPr>
                <w:rFonts w:ascii="Times New Roman" w:cs="Times New Roman" w:eastAsia="Times New Roman" w:hAnsi="Times New Roman"/>
                <w:sz w:val="10"/>
                <w:szCs w:val="10"/>
                <w:color w:val="0D0D0D"/>
              </w:rPr>
              <w:t>Return on plan assets, excluding amounts included in interest income</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(76)</w:t>
            </w:r>
          </w:p>
        </w:tc>
        <w:tc>
          <w:tcPr>
            <w:tcW w:w="140" w:type="dxa"/>
            <w:vAlign w:val="bottom"/>
          </w:tcPr>
          <w:p>
            <w:pPr>
              <w:spacing w:after="0"/>
              <w:rPr>
                <w:sz w:val="11"/>
                <w:szCs w:val="11"/>
                <w:color w:val="auto"/>
              </w:rPr>
            </w:pPr>
          </w:p>
        </w:tc>
        <w:tc>
          <w:tcPr>
            <w:tcW w:w="4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(4 646)</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853</w:t>
            </w:r>
          </w:p>
        </w:tc>
        <w:tc>
          <w:tcPr>
            <w:tcW w:w="2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40" w:type="dxa"/>
            <w:vAlign w:val="bottom"/>
          </w:tcPr>
          <w:p>
            <w:pPr>
              <w:spacing w:after="0"/>
              <w:rPr>
                <w:sz w:val="14"/>
                <w:szCs w:val="14"/>
                <w:color w:val="auto"/>
              </w:rPr>
            </w:pPr>
          </w:p>
        </w:tc>
        <w:tc>
          <w:tcPr>
            <w:tcW w:w="2520" w:type="dxa"/>
            <w:vAlign w:val="bottom"/>
            <w:gridSpan w:val="3"/>
          </w:tcPr>
          <w:p>
            <w:pPr>
              <w:spacing w:after="0"/>
              <w:rPr>
                <w:sz w:val="20"/>
                <w:szCs w:val="20"/>
                <w:color w:val="auto"/>
              </w:rPr>
            </w:pPr>
            <w:r>
              <w:rPr>
                <w:rFonts w:ascii="Times New Roman" w:cs="Times New Roman" w:eastAsia="Times New Roman" w:hAnsi="Times New Roman"/>
                <w:sz w:val="10"/>
                <w:szCs w:val="10"/>
                <w:color w:val="0D0D0D"/>
              </w:rPr>
              <w:t>Gain/(loss) from change in demographic assumptions</w:t>
            </w:r>
          </w:p>
        </w:tc>
        <w:tc>
          <w:tcPr>
            <w:tcW w:w="800" w:type="dxa"/>
            <w:vAlign w:val="bottom"/>
            <w:tcBorders>
              <w:right w:val="single" w:sz="8" w:color="F0F5FF"/>
            </w:tcBorders>
          </w:tcPr>
          <w:p>
            <w:pPr>
              <w:spacing w:after="0"/>
              <w:rPr>
                <w:sz w:val="14"/>
                <w:szCs w:val="14"/>
                <w:color w:val="auto"/>
              </w:rPr>
            </w:pPr>
          </w:p>
        </w:tc>
        <w:tc>
          <w:tcPr>
            <w:tcW w:w="5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55</w:t>
            </w:r>
          </w:p>
        </w:tc>
        <w:tc>
          <w:tcPr>
            <w:tcW w:w="140" w:type="dxa"/>
            <w:vAlign w:val="bottom"/>
          </w:tcPr>
          <w:p>
            <w:pPr>
              <w:spacing w:after="0"/>
              <w:rPr>
                <w:sz w:val="14"/>
                <w:szCs w:val="14"/>
                <w:color w:val="auto"/>
              </w:rPr>
            </w:pPr>
          </w:p>
        </w:tc>
        <w:tc>
          <w:tcPr>
            <w:tcW w:w="4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(4)</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(13)</w:t>
            </w:r>
          </w:p>
        </w:tc>
        <w:tc>
          <w:tcPr>
            <w:tcW w:w="2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40" w:type="dxa"/>
            <w:vAlign w:val="bottom"/>
          </w:tcPr>
          <w:p>
            <w:pPr>
              <w:spacing w:after="0"/>
              <w:rPr>
                <w:sz w:val="14"/>
                <w:szCs w:val="14"/>
                <w:color w:val="auto"/>
              </w:rPr>
            </w:pPr>
          </w:p>
        </w:tc>
        <w:tc>
          <w:tcPr>
            <w:tcW w:w="2520" w:type="dxa"/>
            <w:vAlign w:val="bottom"/>
            <w:gridSpan w:val="3"/>
          </w:tcPr>
          <w:p>
            <w:pPr>
              <w:spacing w:after="0"/>
              <w:rPr>
                <w:sz w:val="20"/>
                <w:szCs w:val="20"/>
                <w:color w:val="auto"/>
              </w:rPr>
            </w:pPr>
            <w:r>
              <w:rPr>
                <w:rFonts w:ascii="Times New Roman" w:cs="Times New Roman" w:eastAsia="Times New Roman" w:hAnsi="Times New Roman"/>
                <w:sz w:val="10"/>
                <w:szCs w:val="10"/>
                <w:color w:val="0D0D0D"/>
              </w:rPr>
              <w:t>(Loss)/gain from change in financial assumptions</w:t>
            </w:r>
          </w:p>
        </w:tc>
        <w:tc>
          <w:tcPr>
            <w:tcW w:w="800" w:type="dxa"/>
            <w:vAlign w:val="bottom"/>
            <w:tcBorders>
              <w:right w:val="single" w:sz="8" w:color="F0F5FF"/>
            </w:tcBorders>
          </w:tcPr>
          <w:p>
            <w:pPr>
              <w:spacing w:after="0"/>
              <w:rPr>
                <w:sz w:val="14"/>
                <w:szCs w:val="14"/>
                <w:color w:val="auto"/>
              </w:rPr>
            </w:pP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(301)</w:t>
            </w:r>
          </w:p>
        </w:tc>
        <w:tc>
          <w:tcPr>
            <w:tcW w:w="140" w:type="dxa"/>
            <w:vAlign w:val="bottom"/>
          </w:tcPr>
          <w:p>
            <w:pPr>
              <w:spacing w:after="0"/>
              <w:rPr>
                <w:sz w:val="14"/>
                <w:szCs w:val="14"/>
                <w:color w:val="auto"/>
              </w:rPr>
            </w:pPr>
          </w:p>
        </w:tc>
        <w:tc>
          <w:tcPr>
            <w:tcW w:w="48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4 534</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989</w:t>
            </w:r>
          </w:p>
        </w:tc>
        <w:tc>
          <w:tcPr>
            <w:tcW w:w="2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40" w:type="dxa"/>
            <w:vAlign w:val="bottom"/>
          </w:tcPr>
          <w:p>
            <w:pPr>
              <w:spacing w:after="0"/>
              <w:rPr>
                <w:sz w:val="14"/>
                <w:szCs w:val="14"/>
                <w:color w:val="auto"/>
              </w:rPr>
            </w:pPr>
          </w:p>
        </w:tc>
        <w:tc>
          <w:tcPr>
            <w:tcW w:w="1840" w:type="dxa"/>
            <w:vAlign w:val="bottom"/>
            <w:gridSpan w:val="2"/>
          </w:tcPr>
          <w:p>
            <w:pPr>
              <w:spacing w:after="0"/>
              <w:rPr>
                <w:sz w:val="20"/>
                <w:szCs w:val="20"/>
                <w:color w:val="auto"/>
              </w:rPr>
            </w:pPr>
            <w:r>
              <w:rPr>
                <w:rFonts w:ascii="Times New Roman" w:cs="Times New Roman" w:eastAsia="Times New Roman" w:hAnsi="Times New Roman"/>
                <w:sz w:val="10"/>
                <w:szCs w:val="10"/>
                <w:color w:val="0D0D0D"/>
              </w:rPr>
              <w:t>Experience (loss)/gain</w:t>
            </w:r>
          </w:p>
        </w:tc>
        <w:tc>
          <w:tcPr>
            <w:tcW w:w="680" w:type="dxa"/>
            <w:vAlign w:val="bottom"/>
          </w:tcPr>
          <w:p>
            <w:pPr>
              <w:spacing w:after="0"/>
              <w:rPr>
                <w:sz w:val="14"/>
                <w:szCs w:val="14"/>
                <w:color w:val="auto"/>
              </w:rPr>
            </w:pPr>
          </w:p>
        </w:tc>
        <w:tc>
          <w:tcPr>
            <w:tcW w:w="800" w:type="dxa"/>
            <w:vAlign w:val="bottom"/>
            <w:tcBorders>
              <w:right w:val="single" w:sz="8" w:color="F0F5FF"/>
            </w:tcBorders>
          </w:tcPr>
          <w:p>
            <w:pPr>
              <w:spacing w:after="0"/>
              <w:rPr>
                <w:sz w:val="14"/>
                <w:szCs w:val="14"/>
                <w:color w:val="auto"/>
              </w:rPr>
            </w:pP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140" w:type="dxa"/>
            <w:vAlign w:val="bottom"/>
          </w:tcPr>
          <w:p>
            <w:pPr>
              <w:spacing w:after="0"/>
              <w:rPr>
                <w:sz w:val="14"/>
                <w:szCs w:val="14"/>
                <w:color w:val="auto"/>
              </w:rPr>
            </w:pPr>
          </w:p>
        </w:tc>
        <w:tc>
          <w:tcPr>
            <w:tcW w:w="4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(320)</w:t>
            </w:r>
          </w:p>
        </w:tc>
        <w:tc>
          <w:tcPr>
            <w:tcW w:w="4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30</w:t>
            </w:r>
          </w:p>
        </w:tc>
        <w:tc>
          <w:tcPr>
            <w:tcW w:w="2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7"/>
        </w:trPr>
        <w:tc>
          <w:tcPr>
            <w:tcW w:w="40" w:type="dxa"/>
            <w:vAlign w:val="bottom"/>
            <w:tcBorders>
              <w:bottom w:val="single" w:sz="8" w:color="005AFF"/>
            </w:tcBorders>
          </w:tcPr>
          <w:p>
            <w:pPr>
              <w:spacing w:after="0"/>
              <w:rPr>
                <w:sz w:val="14"/>
                <w:szCs w:val="14"/>
                <w:color w:val="auto"/>
              </w:rPr>
            </w:pPr>
          </w:p>
        </w:tc>
        <w:tc>
          <w:tcPr>
            <w:tcW w:w="3320" w:type="dxa"/>
            <w:vAlign w:val="bottom"/>
            <w:tcBorders>
              <w:bottom w:val="single" w:sz="8" w:color="005AFF"/>
              <w:right w:val="single" w:sz="8" w:color="F0F5FF"/>
            </w:tcBorders>
            <w:gridSpan w:val="4"/>
          </w:tcPr>
          <w:p>
            <w:pPr>
              <w:spacing w:after="0"/>
              <w:rPr>
                <w:sz w:val="20"/>
                <w:szCs w:val="20"/>
                <w:color w:val="auto"/>
              </w:rPr>
            </w:pPr>
            <w:r>
              <w:rPr>
                <w:rFonts w:ascii="Times New Roman" w:cs="Times New Roman" w:eastAsia="Times New Roman" w:hAnsi="Times New Roman"/>
                <w:sz w:val="10"/>
                <w:szCs w:val="10"/>
                <w:color w:val="0D0D0D"/>
              </w:rPr>
              <w:t>Change in asset ceiling, excluding amounts included in interest expense</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w:t>
            </w:r>
          </w:p>
        </w:tc>
        <w:tc>
          <w:tcPr>
            <w:tcW w:w="14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12</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1 181</w:t>
            </w:r>
          </w:p>
        </w:tc>
        <w:tc>
          <w:tcPr>
            <w:tcW w:w="20" w:type="dxa"/>
            <w:vAlign w:val="bottom"/>
          </w:tcPr>
          <w:p>
            <w:pPr>
              <w:spacing w:after="0"/>
              <w:rPr>
                <w:sz w:val="14"/>
                <w:szCs w:val="14"/>
                <w:color w:val="auto"/>
              </w:rPr>
            </w:pPr>
          </w:p>
        </w:tc>
        <w:tc>
          <w:tcPr>
            <w:tcW w:w="8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42"/>
        </w:trPr>
        <w:tc>
          <w:tcPr>
            <w:tcW w:w="4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tcPr>
          <w:p>
            <w:pPr>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0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tcPr>
          <w:p>
            <w:pPr>
              <w:spacing w:after="0"/>
              <w:rPr>
                <w:sz w:val="12"/>
                <w:szCs w:val="12"/>
                <w:color w:val="auto"/>
              </w:rPr>
            </w:pPr>
          </w:p>
        </w:tc>
        <w:tc>
          <w:tcPr>
            <w:tcW w:w="800" w:type="dxa"/>
            <w:vAlign w:val="bottom"/>
            <w:tcBorders>
              <w:bottom w:val="single" w:sz="8" w:color="005AFF"/>
              <w:right w:val="single" w:sz="8" w:color="F0F5FF"/>
            </w:tcBorders>
          </w:tcPr>
          <w:p>
            <w:pPr>
              <w:spacing w:after="0"/>
              <w:rPr>
                <w:sz w:val="12"/>
                <w:szCs w:val="12"/>
                <w:color w:val="auto"/>
              </w:rPr>
            </w:pP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(343)</w:t>
            </w:r>
          </w:p>
        </w:tc>
        <w:tc>
          <w:tcPr>
            <w:tcW w:w="14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(424)</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3 040</w:t>
            </w:r>
          </w:p>
        </w:tc>
        <w:tc>
          <w:tcPr>
            <w:tcW w:w="20" w:type="dxa"/>
            <w:vAlign w:val="bottom"/>
          </w:tcPr>
          <w:p>
            <w:pPr>
              <w:spacing w:after="0"/>
              <w:rPr>
                <w:sz w:val="12"/>
                <w:szCs w:val="12"/>
                <w:color w:val="auto"/>
              </w:rPr>
            </w:pPr>
          </w:p>
        </w:tc>
        <w:tc>
          <w:tcPr>
            <w:tcW w:w="8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pacing w:after="0" w:line="16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40"/>
        <w:spacing w:after="0"/>
        <w:rPr>
          <w:sz w:val="20"/>
          <w:szCs w:val="20"/>
          <w:color w:val="auto"/>
        </w:rPr>
      </w:pPr>
      <w:r>
        <w:rPr>
          <w:rFonts w:ascii="Times New Roman" w:cs="Times New Roman" w:eastAsia="Times New Roman" w:hAnsi="Times New Roman"/>
          <w:sz w:val="13"/>
          <w:szCs w:val="13"/>
          <w:color w:val="auto"/>
        </w:rPr>
        <w:t>Actuarial assumptions and sensitivity analysis</w:t>
      </w:r>
    </w:p>
    <w:p>
      <w:pPr>
        <w:spacing w:after="0" w:line="30"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b w:val="1"/>
          <w:bCs w:val="1"/>
          <w:color w:val="auto"/>
        </w:rPr>
        <w:t>Actuarial assumptions</w:t>
      </w:r>
    </w:p>
    <w:p>
      <w:pPr>
        <w:spacing w:after="0" w:line="24"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The discount rates and mortality tables used for the significant plans:</w:t>
      </w:r>
    </w:p>
    <w:p>
      <w:pPr>
        <w:spacing w:after="0" w:line="142" w:lineRule="exact"/>
        <w:rPr>
          <w:sz w:val="20"/>
          <w:szCs w:val="20"/>
          <w:color w:val="auto"/>
        </w:rPr>
      </w:pPr>
    </w:p>
    <w:tbl>
      <w:tblPr>
        <w:tblLayout w:type="fixed"/>
        <w:tblInd w:w="40" w:type="dxa"/>
        <w:tblCellMar>
          <w:top w:w="0" w:type="dxa"/>
          <w:left w:w="0" w:type="dxa"/>
          <w:bottom w:w="0" w:type="dxa"/>
          <w:right w:w="0" w:type="dxa"/>
        </w:tblCellMar>
      </w:tblPr>
      <w:tr>
        <w:trPr>
          <w:trHeight w:val="114"/>
        </w:trPr>
        <w:tc>
          <w:tcPr>
            <w:tcW w:w="2180" w:type="dxa"/>
            <w:vAlign w:val="bottom"/>
          </w:tcPr>
          <w:p>
            <w:pPr>
              <w:spacing w:after="0"/>
              <w:rPr>
                <w:sz w:val="9"/>
                <w:szCs w:val="9"/>
                <w:color w:val="auto"/>
              </w:rPr>
            </w:pPr>
          </w:p>
        </w:tc>
        <w:tc>
          <w:tcPr>
            <w:tcW w:w="140" w:type="dxa"/>
            <w:vAlign w:val="bottom"/>
            <w:tcBorders>
              <w:bottom w:val="single" w:sz="8" w:color="005AFF"/>
            </w:tcBorders>
          </w:tcPr>
          <w:p>
            <w:pPr>
              <w:spacing w:after="0"/>
              <w:rPr>
                <w:sz w:val="9"/>
                <w:szCs w:val="9"/>
                <w:color w:val="auto"/>
              </w:rPr>
            </w:pPr>
          </w:p>
        </w:tc>
        <w:tc>
          <w:tcPr>
            <w:tcW w:w="860" w:type="dxa"/>
            <w:vAlign w:val="bottom"/>
            <w:tcBorders>
              <w:bottom w:val="single" w:sz="8" w:color="005AFF"/>
            </w:tcBorders>
            <w:gridSpan w:val="2"/>
          </w:tcPr>
          <w:p>
            <w:pPr>
              <w:ind w:left="280"/>
              <w:spacing w:after="0"/>
              <w:rPr>
                <w:sz w:val="20"/>
                <w:szCs w:val="20"/>
                <w:color w:val="auto"/>
              </w:rPr>
            </w:pPr>
            <w:r>
              <w:rPr>
                <w:rFonts w:ascii="Times New Roman" w:cs="Times New Roman" w:eastAsia="Times New Roman" w:hAnsi="Times New Roman"/>
                <w:sz w:val="8"/>
                <w:szCs w:val="8"/>
                <w:b w:val="1"/>
                <w:bCs w:val="1"/>
                <w:color w:val="005AFF"/>
              </w:rPr>
              <w:t>Discount rate</w:t>
            </w:r>
          </w:p>
        </w:tc>
        <w:tc>
          <w:tcPr>
            <w:tcW w:w="340" w:type="dxa"/>
            <w:vAlign w:val="bottom"/>
            <w:tcBorders>
              <w:bottom w:val="single" w:sz="8" w:color="005AFF"/>
            </w:tcBorders>
          </w:tcPr>
          <w:p>
            <w:pPr>
              <w:spacing w:after="0"/>
              <w:rPr>
                <w:sz w:val="9"/>
                <w:szCs w:val="9"/>
                <w:color w:val="auto"/>
              </w:rPr>
            </w:pPr>
          </w:p>
        </w:tc>
        <w:tc>
          <w:tcPr>
            <w:tcW w:w="80" w:type="dxa"/>
            <w:vAlign w:val="bottom"/>
          </w:tcPr>
          <w:p>
            <w:pPr>
              <w:spacing w:after="0"/>
              <w:rPr>
                <w:sz w:val="9"/>
                <w:szCs w:val="9"/>
                <w:color w:val="auto"/>
              </w:rPr>
            </w:pPr>
          </w:p>
        </w:tc>
        <w:tc>
          <w:tcPr>
            <w:tcW w:w="120" w:type="dxa"/>
            <w:vAlign w:val="bottom"/>
            <w:tcBorders>
              <w:bottom w:val="single" w:sz="8" w:color="005AFF"/>
            </w:tcBorders>
          </w:tcPr>
          <w:p>
            <w:pPr>
              <w:spacing w:after="0"/>
              <w:rPr>
                <w:sz w:val="9"/>
                <w:szCs w:val="9"/>
                <w:color w:val="auto"/>
              </w:rPr>
            </w:pPr>
          </w:p>
        </w:tc>
        <w:tc>
          <w:tcPr>
            <w:tcW w:w="1220" w:type="dxa"/>
            <w:vAlign w:val="bottom"/>
            <w:tcBorders>
              <w:bottom w:val="single" w:sz="8" w:color="005AFF"/>
            </w:tcBorders>
          </w:tcPr>
          <w:p>
            <w:pPr>
              <w:jc w:val="right"/>
              <w:ind w:right="373"/>
              <w:spacing w:after="0"/>
              <w:rPr>
                <w:sz w:val="20"/>
                <w:szCs w:val="20"/>
                <w:color w:val="auto"/>
              </w:rPr>
            </w:pPr>
            <w:r>
              <w:rPr>
                <w:rFonts w:ascii="Times New Roman" w:cs="Times New Roman" w:eastAsia="Times New Roman" w:hAnsi="Times New Roman"/>
                <w:sz w:val="8"/>
                <w:szCs w:val="8"/>
                <w:b w:val="1"/>
                <w:bCs w:val="1"/>
                <w:color w:val="005AFF"/>
              </w:rPr>
              <w:t>Mortality table</w:t>
            </w:r>
          </w:p>
        </w:tc>
      </w:tr>
      <w:tr>
        <w:trPr>
          <w:trHeight w:val="132"/>
        </w:trPr>
        <w:tc>
          <w:tcPr>
            <w:tcW w:w="2180" w:type="dxa"/>
            <w:vAlign w:val="bottom"/>
            <w:tcBorders>
              <w:bottom w:val="single" w:sz="8" w:color="005AFF"/>
            </w:tcBorders>
          </w:tcPr>
          <w:p>
            <w:pPr>
              <w:spacing w:after="0"/>
              <w:rPr>
                <w:sz w:val="11"/>
                <w:szCs w:val="11"/>
                <w:color w:val="auto"/>
              </w:rPr>
            </w:pPr>
          </w:p>
        </w:tc>
        <w:tc>
          <w:tcPr>
            <w:tcW w:w="14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tcPr>
          <w:p>
            <w:pPr>
              <w:jc w:val="right"/>
              <w:ind w:right="34"/>
              <w:spacing w:after="0"/>
              <w:rPr>
                <w:sz w:val="20"/>
                <w:szCs w:val="20"/>
                <w:color w:val="auto"/>
              </w:rPr>
            </w:pPr>
            <w:r>
              <w:rPr>
                <w:rFonts w:ascii="Times New Roman" w:cs="Times New Roman" w:eastAsia="Times New Roman" w:hAnsi="Times New Roman"/>
                <w:sz w:val="8"/>
                <w:szCs w:val="8"/>
                <w:b w:val="1"/>
                <w:bCs w:val="1"/>
                <w:color w:val="005AFF"/>
              </w:rPr>
              <w:t>2023</w:t>
            </w:r>
          </w:p>
        </w:tc>
        <w:tc>
          <w:tcPr>
            <w:tcW w:w="320" w:type="dxa"/>
            <w:vAlign w:val="bottom"/>
            <w:tcBorders>
              <w:bottom w:val="single" w:sz="8" w:color="005AFF"/>
            </w:tcBorders>
          </w:tcPr>
          <w:p>
            <w:pPr>
              <w:spacing w:after="0"/>
              <w:rPr>
                <w:sz w:val="11"/>
                <w:szCs w:val="11"/>
                <w:color w:val="auto"/>
              </w:rPr>
            </w:pPr>
          </w:p>
        </w:tc>
        <w:tc>
          <w:tcPr>
            <w:tcW w:w="3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80" w:type="dxa"/>
            <w:vAlign w:val="bottom"/>
            <w:tcBorders>
              <w:bottom w:val="single" w:sz="8" w:color="005AFF"/>
            </w:tcBorders>
          </w:tcPr>
          <w:p>
            <w:pPr>
              <w:spacing w:after="0"/>
              <w:rPr>
                <w:sz w:val="11"/>
                <w:szCs w:val="11"/>
                <w:color w:val="auto"/>
              </w:rPr>
            </w:pPr>
          </w:p>
        </w:tc>
        <w:tc>
          <w:tcPr>
            <w:tcW w:w="120" w:type="dxa"/>
            <w:vAlign w:val="bottom"/>
            <w:tcBorders>
              <w:bottom w:val="single" w:sz="8" w:color="005AFF"/>
            </w:tcBorders>
          </w:tcPr>
          <w:p>
            <w:pPr>
              <w:spacing w:after="0"/>
              <w:rPr>
                <w:sz w:val="11"/>
                <w:szCs w:val="11"/>
                <w:color w:val="auto"/>
              </w:rPr>
            </w:pPr>
          </w:p>
        </w:tc>
        <w:tc>
          <w:tcPr>
            <w:tcW w:w="122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2023</w:t>
            </w:r>
          </w:p>
        </w:tc>
      </w:tr>
      <w:tr>
        <w:trPr>
          <w:trHeight w:val="121"/>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United States</w:t>
            </w:r>
          </w:p>
        </w:tc>
        <w:tc>
          <w:tcPr>
            <w:tcW w:w="140" w:type="dxa"/>
            <w:vAlign w:val="bottom"/>
            <w:shd w:val="clear" w:color="auto" w:fill="F0F5FF"/>
          </w:tcPr>
          <w:p>
            <w:pPr>
              <w:spacing w:after="0"/>
              <w:rPr>
                <w:sz w:val="10"/>
                <w:szCs w:val="10"/>
                <w:color w:val="auto"/>
              </w:rPr>
            </w:pPr>
          </w:p>
        </w:tc>
        <w:tc>
          <w:tcPr>
            <w:tcW w:w="540" w:type="dxa"/>
            <w:vAlign w:val="bottom"/>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4.7%</w:t>
            </w:r>
          </w:p>
        </w:tc>
        <w:tc>
          <w:tcPr>
            <w:tcW w:w="320" w:type="dxa"/>
            <w:vAlign w:val="bottom"/>
          </w:tcPr>
          <w:p>
            <w:pPr>
              <w:spacing w:after="0"/>
              <w:rPr>
                <w:sz w:val="10"/>
                <w:szCs w:val="10"/>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4.9 %</w:t>
            </w:r>
          </w:p>
        </w:tc>
        <w:tc>
          <w:tcPr>
            <w:tcW w:w="80" w:type="dxa"/>
            <w:vAlign w:val="bottom"/>
          </w:tcPr>
          <w:p>
            <w:pPr>
              <w:spacing w:after="0"/>
              <w:rPr>
                <w:sz w:val="10"/>
                <w:szCs w:val="10"/>
                <w:color w:val="auto"/>
              </w:rPr>
            </w:pPr>
          </w:p>
        </w:tc>
        <w:tc>
          <w:tcPr>
            <w:tcW w:w="120" w:type="dxa"/>
            <w:vAlign w:val="bottom"/>
            <w:shd w:val="clear" w:color="auto" w:fill="F0F5FF"/>
          </w:tcPr>
          <w:p>
            <w:pPr>
              <w:spacing w:after="0"/>
              <w:rPr>
                <w:sz w:val="10"/>
                <w:szCs w:val="10"/>
                <w:color w:val="auto"/>
              </w:rPr>
            </w:pPr>
          </w:p>
        </w:tc>
        <w:tc>
          <w:tcPr>
            <w:tcW w:w="1220" w:type="dxa"/>
            <w:vAlign w:val="bottom"/>
            <w:shd w:val="clear" w:color="auto" w:fill="F0F5FF"/>
          </w:tcPr>
          <w:p>
            <w:pPr>
              <w:jc w:val="right"/>
              <w:ind w:right="73"/>
              <w:spacing w:after="0"/>
              <w:rPr>
                <w:sz w:val="20"/>
                <w:szCs w:val="20"/>
                <w:color w:val="auto"/>
              </w:rPr>
            </w:pPr>
            <w:r>
              <w:rPr>
                <w:rFonts w:ascii="Times New Roman" w:cs="Times New Roman" w:eastAsia="Times New Roman" w:hAnsi="Times New Roman"/>
                <w:sz w:val="10"/>
                <w:szCs w:val="10"/>
                <w:color w:val="005AFF"/>
              </w:rPr>
              <w:t>Pri-2012 w/MP-2020</w:t>
            </w:r>
          </w:p>
        </w:tc>
      </w:tr>
      <w:tr>
        <w:trPr>
          <w:trHeight w:val="130"/>
        </w:trPr>
        <w:tc>
          <w:tcPr>
            <w:tcW w:w="2180" w:type="dxa"/>
            <w:vAlign w:val="bottom"/>
          </w:tcPr>
          <w:p>
            <w:pPr>
              <w:spacing w:after="0"/>
              <w:rPr>
                <w:sz w:val="11"/>
                <w:szCs w:val="11"/>
                <w:color w:val="auto"/>
              </w:rPr>
            </w:pPr>
          </w:p>
        </w:tc>
        <w:tc>
          <w:tcPr>
            <w:tcW w:w="14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320" w:type="dxa"/>
            <w:vAlign w:val="bottom"/>
          </w:tcPr>
          <w:p>
            <w:pPr>
              <w:spacing w:after="0"/>
              <w:rPr>
                <w:sz w:val="11"/>
                <w:szCs w:val="11"/>
                <w:color w:val="auto"/>
              </w:rPr>
            </w:pPr>
          </w:p>
        </w:tc>
        <w:tc>
          <w:tcPr>
            <w:tcW w:w="340" w:type="dxa"/>
            <w:vAlign w:val="bottom"/>
          </w:tcPr>
          <w:p>
            <w:pPr>
              <w:spacing w:after="0"/>
              <w:rPr>
                <w:sz w:val="11"/>
                <w:szCs w:val="11"/>
                <w:color w:val="auto"/>
              </w:rPr>
            </w:pPr>
          </w:p>
        </w:tc>
        <w:tc>
          <w:tcPr>
            <w:tcW w:w="80" w:type="dxa"/>
            <w:vAlign w:val="bottom"/>
          </w:tcPr>
          <w:p>
            <w:pPr>
              <w:spacing w:after="0"/>
              <w:rPr>
                <w:sz w:val="11"/>
                <w:szCs w:val="11"/>
                <w:color w:val="auto"/>
              </w:rPr>
            </w:pPr>
          </w:p>
        </w:tc>
        <w:tc>
          <w:tcPr>
            <w:tcW w:w="120" w:type="dxa"/>
            <w:vAlign w:val="bottom"/>
            <w:shd w:val="clear" w:color="auto" w:fill="F0F5FF"/>
          </w:tcPr>
          <w:p>
            <w:pPr>
              <w:spacing w:after="0"/>
              <w:rPr>
                <w:sz w:val="11"/>
                <w:szCs w:val="11"/>
                <w:color w:val="auto"/>
              </w:rPr>
            </w:pPr>
          </w:p>
        </w:tc>
        <w:tc>
          <w:tcPr>
            <w:tcW w:w="1220" w:type="dxa"/>
            <w:vAlign w:val="bottom"/>
            <w:shd w:val="clear" w:color="auto" w:fill="F0F5FF"/>
          </w:tcPr>
          <w:p>
            <w:pPr>
              <w:jc w:val="right"/>
              <w:ind w:right="73"/>
              <w:spacing w:after="0"/>
              <w:rPr>
                <w:sz w:val="20"/>
                <w:szCs w:val="20"/>
                <w:color w:val="auto"/>
              </w:rPr>
            </w:pPr>
            <w:r>
              <w:rPr>
                <w:rFonts w:ascii="Times New Roman" w:cs="Times New Roman" w:eastAsia="Times New Roman" w:hAnsi="Times New Roman"/>
                <w:sz w:val="10"/>
                <w:szCs w:val="10"/>
                <w:color w:val="005AFF"/>
              </w:rPr>
              <w:t>Mortality projection scale</w:t>
            </w:r>
          </w:p>
        </w:tc>
      </w:tr>
      <w:tr>
        <w:trPr>
          <w:trHeight w:val="172"/>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Germany</w:t>
            </w:r>
          </w:p>
        </w:tc>
        <w:tc>
          <w:tcPr>
            <w:tcW w:w="140" w:type="dxa"/>
            <w:vAlign w:val="bottom"/>
            <w:shd w:val="clear" w:color="auto" w:fill="F0F5FF"/>
          </w:tcPr>
          <w:p>
            <w:pPr>
              <w:spacing w:after="0"/>
              <w:rPr>
                <w:sz w:val="14"/>
                <w:szCs w:val="14"/>
                <w:color w:val="auto"/>
              </w:rPr>
            </w:pPr>
          </w:p>
        </w:tc>
        <w:tc>
          <w:tcPr>
            <w:tcW w:w="540" w:type="dxa"/>
            <w:vAlign w:val="bottom"/>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3.2%</w:t>
            </w:r>
          </w:p>
        </w:tc>
        <w:tc>
          <w:tcPr>
            <w:tcW w:w="320" w:type="dxa"/>
            <w:vAlign w:val="bottom"/>
          </w:tcPr>
          <w:p>
            <w:pPr>
              <w:spacing w:after="0"/>
              <w:rPr>
                <w:sz w:val="14"/>
                <w:szCs w:val="14"/>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3.7 %</w:t>
            </w:r>
          </w:p>
        </w:tc>
        <w:tc>
          <w:tcPr>
            <w:tcW w:w="80" w:type="dxa"/>
            <w:vAlign w:val="bottom"/>
          </w:tcPr>
          <w:p>
            <w:pPr>
              <w:spacing w:after="0"/>
              <w:rPr>
                <w:sz w:val="14"/>
                <w:szCs w:val="14"/>
                <w:color w:val="auto"/>
              </w:rPr>
            </w:pPr>
          </w:p>
        </w:tc>
        <w:tc>
          <w:tcPr>
            <w:tcW w:w="120" w:type="dxa"/>
            <w:vAlign w:val="bottom"/>
            <w:shd w:val="clear" w:color="auto" w:fill="F0F5FF"/>
          </w:tcPr>
          <w:p>
            <w:pPr>
              <w:spacing w:after="0"/>
              <w:rPr>
                <w:sz w:val="14"/>
                <w:szCs w:val="14"/>
                <w:color w:val="auto"/>
              </w:rPr>
            </w:pPr>
          </w:p>
        </w:tc>
        <w:tc>
          <w:tcPr>
            <w:tcW w:w="1220" w:type="dxa"/>
            <w:vAlign w:val="bottom"/>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color w:val="005AFF"/>
              </w:rPr>
              <w:t>Heubeck 2018G</w:t>
            </w:r>
          </w:p>
        </w:tc>
      </w:tr>
      <w:tr>
        <w:trPr>
          <w:trHeight w:val="194"/>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United Kingdom </w:t>
            </w:r>
            <w:r>
              <w:rPr>
                <w:rFonts w:ascii="Times New Roman" w:cs="Times New Roman" w:eastAsia="Times New Roman" w:hAnsi="Times New Roman"/>
                <w:sz w:val="13"/>
                <w:szCs w:val="13"/>
                <w:color w:val="0D0D0D"/>
                <w:vertAlign w:val="superscript"/>
              </w:rPr>
              <w:t>(1)</w:t>
            </w:r>
          </w:p>
        </w:tc>
        <w:tc>
          <w:tcPr>
            <w:tcW w:w="140" w:type="dxa"/>
            <w:vAlign w:val="bottom"/>
            <w:shd w:val="clear" w:color="auto" w:fill="F0F5FF"/>
          </w:tcPr>
          <w:p>
            <w:pPr>
              <w:spacing w:after="0"/>
              <w:rPr>
                <w:sz w:val="16"/>
                <w:szCs w:val="16"/>
                <w:color w:val="auto"/>
              </w:rPr>
            </w:pPr>
          </w:p>
        </w:tc>
        <w:tc>
          <w:tcPr>
            <w:tcW w:w="540" w:type="dxa"/>
            <w:vAlign w:val="bottom"/>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4.5%</w:t>
            </w:r>
          </w:p>
        </w:tc>
        <w:tc>
          <w:tcPr>
            <w:tcW w:w="320" w:type="dxa"/>
            <w:vAlign w:val="bottom"/>
          </w:tcPr>
          <w:p>
            <w:pPr>
              <w:spacing w:after="0"/>
              <w:rPr>
                <w:sz w:val="16"/>
                <w:szCs w:val="16"/>
                <w:color w:val="auto"/>
              </w:rPr>
            </w:pPr>
          </w:p>
        </w:tc>
        <w:tc>
          <w:tcPr>
            <w:tcW w:w="3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4.8 %</w:t>
            </w:r>
          </w:p>
        </w:tc>
        <w:tc>
          <w:tcPr>
            <w:tcW w:w="80" w:type="dxa"/>
            <w:vAlign w:val="bottom"/>
          </w:tcPr>
          <w:p>
            <w:pPr>
              <w:spacing w:after="0"/>
              <w:rPr>
                <w:sz w:val="16"/>
                <w:szCs w:val="16"/>
                <w:color w:val="auto"/>
              </w:rPr>
            </w:pPr>
          </w:p>
        </w:tc>
        <w:tc>
          <w:tcPr>
            <w:tcW w:w="120" w:type="dxa"/>
            <w:vAlign w:val="bottom"/>
            <w:shd w:val="clear" w:color="auto" w:fill="F0F5FF"/>
          </w:tcPr>
          <w:p>
            <w:pPr>
              <w:spacing w:after="0"/>
              <w:rPr>
                <w:sz w:val="16"/>
                <w:szCs w:val="16"/>
                <w:color w:val="auto"/>
              </w:rPr>
            </w:pPr>
          </w:p>
        </w:tc>
        <w:tc>
          <w:tcPr>
            <w:tcW w:w="12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CMI 2021</w:t>
            </w:r>
          </w:p>
        </w:tc>
      </w:tr>
      <w:tr>
        <w:trPr>
          <w:trHeight w:val="135"/>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Total weighted average for all countries</w:t>
            </w:r>
          </w:p>
        </w:tc>
        <w:tc>
          <w:tcPr>
            <w:tcW w:w="140" w:type="dxa"/>
            <w:vAlign w:val="bottom"/>
            <w:tcBorders>
              <w:bottom w:val="single" w:sz="8" w:color="005AFF"/>
            </w:tcBorders>
            <w:shd w:val="clear" w:color="auto" w:fill="F0F5FF"/>
          </w:tcPr>
          <w:p>
            <w:pPr>
              <w:spacing w:after="0"/>
              <w:rPr>
                <w:sz w:val="11"/>
                <w:szCs w:val="11"/>
                <w:color w:val="auto"/>
              </w:rPr>
            </w:pPr>
          </w:p>
        </w:tc>
        <w:tc>
          <w:tcPr>
            <w:tcW w:w="540" w:type="dxa"/>
            <w:vAlign w:val="bottom"/>
            <w:tcBorders>
              <w:bottom w:val="single" w:sz="8" w:color="005AFF"/>
            </w:tcBorders>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4.4%</w:t>
            </w:r>
          </w:p>
        </w:tc>
        <w:tc>
          <w:tcPr>
            <w:tcW w:w="320" w:type="dxa"/>
            <w:vAlign w:val="bottom"/>
            <w:tcBorders>
              <w:bottom w:val="single" w:sz="8" w:color="005AFF"/>
            </w:tcBorders>
          </w:tcPr>
          <w:p>
            <w:pPr>
              <w:spacing w:after="0"/>
              <w:rPr>
                <w:sz w:val="11"/>
                <w:szCs w:val="11"/>
                <w:color w:val="auto"/>
              </w:rPr>
            </w:pPr>
          </w:p>
        </w:tc>
        <w:tc>
          <w:tcPr>
            <w:tcW w:w="3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4.7 %</w:t>
            </w:r>
          </w:p>
        </w:tc>
        <w:tc>
          <w:tcPr>
            <w:tcW w:w="80" w:type="dxa"/>
            <w:vAlign w:val="bottom"/>
            <w:tcBorders>
              <w:bottom w:val="single" w:sz="8" w:color="005AFF"/>
            </w:tcBorders>
          </w:tcPr>
          <w:p>
            <w:pPr>
              <w:spacing w:after="0"/>
              <w:rPr>
                <w:sz w:val="11"/>
                <w:szCs w:val="11"/>
                <w:color w:val="auto"/>
              </w:rPr>
            </w:pPr>
          </w:p>
        </w:tc>
        <w:tc>
          <w:tcPr>
            <w:tcW w:w="120" w:type="dxa"/>
            <w:vAlign w:val="bottom"/>
            <w:tcBorders>
              <w:bottom w:val="single" w:sz="8" w:color="005AFF"/>
            </w:tcBorders>
            <w:shd w:val="clear" w:color="auto" w:fill="F0F5FF"/>
          </w:tcPr>
          <w:p>
            <w:pPr>
              <w:spacing w:after="0"/>
              <w:rPr>
                <w:sz w:val="11"/>
                <w:szCs w:val="11"/>
                <w:color w:val="auto"/>
              </w:rPr>
            </w:pPr>
          </w:p>
        </w:tc>
        <w:tc>
          <w:tcPr>
            <w:tcW w:w="1220" w:type="dxa"/>
            <w:vAlign w:val="bottom"/>
            <w:tcBorders>
              <w:bottom w:val="single" w:sz="8" w:color="005AFF"/>
            </w:tcBorders>
            <w:shd w:val="clear" w:color="auto" w:fill="F0F5FF"/>
          </w:tcPr>
          <w:p>
            <w:pPr>
              <w:spacing w:after="0"/>
              <w:rPr>
                <w:sz w:val="11"/>
                <w:szCs w:val="11"/>
                <w:color w:val="auto"/>
              </w:rPr>
            </w:pPr>
          </w:p>
        </w:tc>
      </w:tr>
      <w:tr>
        <w:trPr>
          <w:trHeight w:val="141"/>
        </w:trPr>
        <w:tc>
          <w:tcPr>
            <w:tcW w:w="2320" w:type="dxa"/>
            <w:vAlign w:val="bottom"/>
            <w:gridSpan w:val="2"/>
          </w:tcPr>
          <w:p>
            <w:pPr>
              <w:spacing w:after="0"/>
              <w:rPr>
                <w:sz w:val="20"/>
                <w:szCs w:val="20"/>
                <w:color w:val="auto"/>
              </w:rPr>
            </w:pPr>
            <w:r>
              <w:rPr>
                <w:rFonts w:ascii="Times New Roman" w:cs="Times New Roman" w:eastAsia="Times New Roman" w:hAnsi="Times New Roman"/>
                <w:sz w:val="8"/>
                <w:szCs w:val="8"/>
                <w:color w:val="auto"/>
              </w:rPr>
              <w:t>(1)   Mortality t ables for United Kingdom have been adjusted with</w:t>
            </w:r>
          </w:p>
        </w:tc>
        <w:tc>
          <w:tcPr>
            <w:tcW w:w="1400" w:type="dxa"/>
            <w:vAlign w:val="bottom"/>
            <w:gridSpan w:val="5"/>
          </w:tcPr>
          <w:p>
            <w:pPr>
              <w:ind w:left="100"/>
              <w:spacing w:after="0"/>
              <w:rPr>
                <w:sz w:val="20"/>
                <w:szCs w:val="20"/>
                <w:color w:val="auto"/>
              </w:rPr>
            </w:pPr>
            <w:r>
              <w:rPr>
                <w:rFonts w:ascii="Times New Roman" w:cs="Times New Roman" w:eastAsia="Times New Roman" w:hAnsi="Times New Roman"/>
                <w:sz w:val="8"/>
                <w:szCs w:val="8"/>
                <w:color w:val="auto"/>
              </w:rPr>
              <w:t>1.5% long-term rate of improvement.</w:t>
            </w:r>
          </w:p>
        </w:tc>
        <w:tc>
          <w:tcPr>
            <w:tcW w:w="1220" w:type="dxa"/>
            <w:vAlign w:val="bottom"/>
          </w:tcPr>
          <w:p>
            <w:pPr>
              <w:spacing w:after="0"/>
              <w:rPr>
                <w:sz w:val="12"/>
                <w:szCs w:val="12"/>
                <w:color w:val="auto"/>
              </w:rPr>
            </w:pPr>
          </w:p>
        </w:tc>
      </w:tr>
    </w:tbl>
    <w:p>
      <w:pPr>
        <w:spacing w:after="0" w:line="64" w:lineRule="exact"/>
        <w:rPr>
          <w:sz w:val="20"/>
          <w:szCs w:val="20"/>
          <w:color w:val="auto"/>
        </w:rPr>
      </w:pPr>
    </w:p>
    <w:p>
      <w:pPr>
        <w:ind w:left="40" w:right="780"/>
        <w:spacing w:after="0" w:line="309" w:lineRule="auto"/>
        <w:rPr>
          <w:sz w:val="20"/>
          <w:szCs w:val="20"/>
          <w:color w:val="auto"/>
        </w:rPr>
      </w:pPr>
      <w:r>
        <w:rPr>
          <w:rFonts w:ascii="Times New Roman" w:cs="Times New Roman" w:eastAsia="Times New Roman" w:hAnsi="Times New Roman"/>
          <w:sz w:val="11"/>
          <w:szCs w:val="11"/>
          <w:color w:val="auto"/>
        </w:rPr>
        <w:t>Assumptions regarding future mortality are set based on actuarial advice in accordance with published statistics and experience in each country.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0"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40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169</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320" w:lineRule="exact"/>
        <w:rPr>
          <w:sz w:val="20"/>
          <w:szCs w:val="20"/>
          <w:color w:val="auto"/>
        </w:rPr>
      </w:pPr>
    </w:p>
    <w:p>
      <w:pPr>
        <w:ind w:right="620"/>
        <w:spacing w:after="0" w:line="309" w:lineRule="auto"/>
        <w:rPr>
          <w:sz w:val="20"/>
          <w:szCs w:val="20"/>
          <w:color w:val="auto"/>
        </w:rPr>
      </w:pPr>
      <w:r>
        <w:rPr>
          <w:rFonts w:ascii="Times New Roman" w:cs="Times New Roman" w:eastAsia="Times New Roman" w:hAnsi="Times New Roman"/>
          <w:sz w:val="11"/>
          <w:szCs w:val="11"/>
          <w:color w:val="auto"/>
        </w:rPr>
        <w:t>The principal actuarial weighted average assumptions used for determining the defined benefit obligation and sensitivity of the defined benefit obligation to changes in these assumptions:</w:t>
      </w:r>
    </w:p>
    <w:p>
      <w:pPr>
        <w:spacing w:after="0" w:line="100" w:lineRule="exact"/>
        <w:rPr>
          <w:sz w:val="20"/>
          <w:szCs w:val="20"/>
          <w:color w:val="auto"/>
        </w:rPr>
      </w:pPr>
    </w:p>
    <w:tbl>
      <w:tblPr>
        <w:tblLayout w:type="fixed"/>
        <w:tblInd w:w="0" w:type="dxa"/>
        <w:tblCellMar>
          <w:top w:w="0" w:type="dxa"/>
          <w:left w:w="0" w:type="dxa"/>
          <w:bottom w:w="0" w:type="dxa"/>
          <w:right w:w="0" w:type="dxa"/>
        </w:tblCellMar>
      </w:tblPr>
      <w:tr>
        <w:trPr>
          <w:trHeight w:val="92"/>
        </w:trPr>
        <w:tc>
          <w:tcPr>
            <w:tcW w:w="1560" w:type="dxa"/>
            <w:vAlign w:val="bottom"/>
          </w:tcPr>
          <w:p>
            <w:pPr>
              <w:spacing w:after="0"/>
              <w:rPr>
                <w:sz w:val="7"/>
                <w:szCs w:val="7"/>
                <w:color w:val="auto"/>
              </w:rPr>
            </w:pPr>
          </w:p>
        </w:tc>
        <w:tc>
          <w:tcPr>
            <w:tcW w:w="680" w:type="dxa"/>
            <w:vAlign w:val="bottom"/>
          </w:tcPr>
          <w:p>
            <w:pPr>
              <w:spacing w:after="0"/>
              <w:rPr>
                <w:sz w:val="7"/>
                <w:szCs w:val="7"/>
                <w:color w:val="auto"/>
              </w:rPr>
            </w:pPr>
          </w:p>
        </w:tc>
        <w:tc>
          <w:tcPr>
            <w:tcW w:w="680" w:type="dxa"/>
            <w:vAlign w:val="bottom"/>
          </w:tcPr>
          <w:p>
            <w:pPr>
              <w:spacing w:after="0"/>
              <w:rPr>
                <w:sz w:val="7"/>
                <w:szCs w:val="7"/>
                <w:color w:val="auto"/>
              </w:rPr>
            </w:pPr>
          </w:p>
        </w:tc>
        <w:tc>
          <w:tcPr>
            <w:tcW w:w="680" w:type="dxa"/>
            <w:vAlign w:val="bottom"/>
          </w:tcPr>
          <w:p>
            <w:pPr>
              <w:spacing w:after="0"/>
              <w:rPr>
                <w:sz w:val="7"/>
                <w:szCs w:val="7"/>
                <w:color w:val="auto"/>
              </w:rPr>
            </w:pPr>
          </w:p>
        </w:tc>
        <w:tc>
          <w:tcPr>
            <w:tcW w:w="680" w:type="dxa"/>
            <w:vAlign w:val="bottom"/>
          </w:tcPr>
          <w:p>
            <w:pPr>
              <w:ind w:left="240"/>
              <w:spacing w:after="0"/>
              <w:rPr>
                <w:sz w:val="20"/>
                <w:szCs w:val="20"/>
                <w:color w:val="auto"/>
              </w:rPr>
            </w:pPr>
            <w:r>
              <w:rPr>
                <w:rFonts w:ascii="Times New Roman" w:cs="Times New Roman" w:eastAsia="Times New Roman" w:hAnsi="Times New Roman"/>
                <w:sz w:val="8"/>
                <w:szCs w:val="8"/>
                <w:b w:val="1"/>
                <w:bCs w:val="1"/>
                <w:color w:val="005AFF"/>
              </w:rPr>
              <w:t>Increase in</w:t>
            </w:r>
          </w:p>
        </w:tc>
        <w:tc>
          <w:tcPr>
            <w:tcW w:w="680" w:type="dxa"/>
            <w:vAlign w:val="bottom"/>
          </w:tcPr>
          <w:p>
            <w:pPr>
              <w:jc w:val="right"/>
              <w:ind w:right="34"/>
              <w:spacing w:after="0"/>
              <w:rPr>
                <w:sz w:val="20"/>
                <w:szCs w:val="20"/>
                <w:color w:val="auto"/>
              </w:rPr>
            </w:pPr>
            <w:r>
              <w:rPr>
                <w:rFonts w:ascii="Times New Roman" w:cs="Times New Roman" w:eastAsia="Times New Roman" w:hAnsi="Times New Roman"/>
                <w:sz w:val="8"/>
                <w:szCs w:val="8"/>
                <w:b w:val="1"/>
                <w:bCs w:val="1"/>
                <w:color w:val="005AFF"/>
              </w:rPr>
              <w:t>Decrease in</w:t>
            </w:r>
          </w:p>
        </w:tc>
      </w:tr>
      <w:tr>
        <w:trPr>
          <w:trHeight w:val="101"/>
        </w:trPr>
        <w:tc>
          <w:tcPr>
            <w:tcW w:w="1560" w:type="dxa"/>
            <w:vAlign w:val="bottom"/>
          </w:tcPr>
          <w:p>
            <w:pPr>
              <w:spacing w:after="0"/>
              <w:rPr>
                <w:sz w:val="8"/>
                <w:szCs w:val="8"/>
                <w:color w:val="auto"/>
              </w:rPr>
            </w:pPr>
          </w:p>
        </w:tc>
        <w:tc>
          <w:tcPr>
            <w:tcW w:w="680" w:type="dxa"/>
            <w:vAlign w:val="bottom"/>
          </w:tcPr>
          <w:p>
            <w:pPr>
              <w:spacing w:after="0"/>
              <w:rPr>
                <w:sz w:val="8"/>
                <w:szCs w:val="8"/>
                <w:color w:val="auto"/>
              </w:rPr>
            </w:pPr>
          </w:p>
        </w:tc>
        <w:tc>
          <w:tcPr>
            <w:tcW w:w="680" w:type="dxa"/>
            <w:vAlign w:val="bottom"/>
          </w:tcPr>
          <w:p>
            <w:pPr>
              <w:spacing w:after="0"/>
              <w:rPr>
                <w:sz w:val="8"/>
                <w:szCs w:val="8"/>
                <w:color w:val="auto"/>
              </w:rPr>
            </w:pPr>
          </w:p>
        </w:tc>
        <w:tc>
          <w:tcPr>
            <w:tcW w:w="680" w:type="dxa"/>
            <w:vAlign w:val="bottom"/>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Change in</w:t>
            </w:r>
          </w:p>
        </w:tc>
        <w:tc>
          <w:tcPr>
            <w:tcW w:w="680" w:type="dxa"/>
            <w:vAlign w:val="bottom"/>
          </w:tcPr>
          <w:p>
            <w:pPr>
              <w:ind w:left="140"/>
              <w:spacing w:after="0"/>
              <w:rPr>
                <w:sz w:val="20"/>
                <w:szCs w:val="20"/>
                <w:color w:val="auto"/>
              </w:rPr>
            </w:pPr>
            <w:r>
              <w:rPr>
                <w:rFonts w:ascii="Times New Roman" w:cs="Times New Roman" w:eastAsia="Times New Roman" w:hAnsi="Times New Roman"/>
                <w:sz w:val="8"/>
                <w:szCs w:val="8"/>
                <w:b w:val="1"/>
                <w:bCs w:val="1"/>
                <w:color w:val="005AFF"/>
              </w:rPr>
              <w:t xml:space="preserve">assumption </w:t>
            </w:r>
            <w:r>
              <w:rPr>
                <w:rFonts w:ascii="Times New Roman" w:cs="Times New Roman" w:eastAsia="Times New Roman" w:hAnsi="Times New Roman"/>
                <w:sz w:val="5"/>
                <w:szCs w:val="5"/>
                <w:b w:val="1"/>
                <w:bCs w:val="1"/>
                <w:color w:val="005AFF"/>
              </w:rPr>
              <w:t>(1)</w:t>
            </w:r>
          </w:p>
        </w:tc>
        <w:tc>
          <w:tcPr>
            <w:tcW w:w="68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assumption </w:t>
            </w:r>
            <w:r>
              <w:rPr>
                <w:rFonts w:ascii="Times New Roman" w:cs="Times New Roman" w:eastAsia="Times New Roman" w:hAnsi="Times New Roman"/>
                <w:sz w:val="5"/>
                <w:szCs w:val="5"/>
                <w:b w:val="1"/>
                <w:bCs w:val="1"/>
                <w:color w:val="005AFF"/>
              </w:rPr>
              <w:t>(1)</w:t>
            </w:r>
          </w:p>
        </w:tc>
      </w:tr>
      <w:tr>
        <w:trPr>
          <w:trHeight w:val="114"/>
        </w:trPr>
        <w:tc>
          <w:tcPr>
            <w:tcW w:w="156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c>
          <w:tcPr>
            <w:tcW w:w="680" w:type="dxa"/>
            <w:vAlign w:val="bottom"/>
            <w:tcBorders>
              <w:bottom w:val="single" w:sz="8" w:color="005AFF"/>
            </w:tcBorders>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assumption</w:t>
            </w:r>
          </w:p>
        </w:tc>
        <w:tc>
          <w:tcPr>
            <w:tcW w:w="680" w:type="dxa"/>
            <w:vAlign w:val="bottom"/>
            <w:tcBorders>
              <w:bottom w:val="single" w:sz="8" w:color="005AFF"/>
            </w:tcBorders>
          </w:tcPr>
          <w:p>
            <w:pPr>
              <w:ind w:left="42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EURm</w:t>
            </w:r>
          </w:p>
        </w:tc>
      </w:tr>
      <w:tr>
        <w:trPr>
          <w:trHeight w:val="131"/>
        </w:trPr>
        <w:tc>
          <w:tcPr>
            <w:tcW w:w="1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Discount rate for determining</w:t>
            </w:r>
          </w:p>
        </w:tc>
        <w:tc>
          <w:tcPr>
            <w:tcW w:w="680" w:type="dxa"/>
            <w:vAlign w:val="bottom"/>
            <w:shd w:val="clear" w:color="auto" w:fill="F0F5FF"/>
          </w:tcPr>
          <w:p>
            <w:pPr>
              <w:spacing w:after="0"/>
              <w:rPr>
                <w:sz w:val="11"/>
                <w:szCs w:val="11"/>
                <w:color w:val="auto"/>
              </w:rPr>
            </w:pPr>
          </w:p>
        </w:tc>
        <w:tc>
          <w:tcPr>
            <w:tcW w:w="680" w:type="dxa"/>
            <w:vAlign w:val="bottom"/>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r>
      <w:tr>
        <w:trPr>
          <w:trHeight w:val="130"/>
        </w:trPr>
        <w:tc>
          <w:tcPr>
            <w:tcW w:w="1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present values</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4.4%</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4.7 %</w:t>
            </w:r>
          </w:p>
        </w:tc>
        <w:tc>
          <w:tcPr>
            <w:tcW w:w="6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680" w:type="dxa"/>
            <w:vAlign w:val="bottom"/>
            <w:shd w:val="clear" w:color="auto" w:fill="F0F5FF"/>
          </w:tcPr>
          <w:p>
            <w:pPr>
              <w:ind w:left="360"/>
              <w:spacing w:after="0"/>
              <w:rPr>
                <w:sz w:val="20"/>
                <w:szCs w:val="20"/>
                <w:color w:val="auto"/>
              </w:rPr>
            </w:pPr>
            <w:r>
              <w:rPr>
                <w:rFonts w:ascii="Times New Roman" w:cs="Times New Roman" w:eastAsia="Times New Roman" w:hAnsi="Times New Roman"/>
                <w:sz w:val="10"/>
                <w:szCs w:val="10"/>
                <w:color w:val="005AFF"/>
              </w:rPr>
              <w:t>1 279</w:t>
            </w:r>
          </w:p>
        </w:tc>
        <w:tc>
          <w:tcPr>
            <w:tcW w:w="680" w:type="dxa"/>
            <w:vAlign w:val="bottom"/>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(1 547)</w:t>
            </w:r>
          </w:p>
        </w:tc>
      </w:tr>
      <w:tr>
        <w:trPr>
          <w:trHeight w:val="162"/>
        </w:trPr>
        <w:tc>
          <w:tcPr>
            <w:tcW w:w="1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Pension growth rate</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3.3%</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2.2 %</w:t>
            </w:r>
          </w:p>
        </w:tc>
        <w:tc>
          <w:tcPr>
            <w:tcW w:w="6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680" w:type="dxa"/>
            <w:vAlign w:val="bottom"/>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rPr>
              <w:t>(266)</w:t>
            </w:r>
          </w:p>
        </w:tc>
        <w:tc>
          <w:tcPr>
            <w:tcW w:w="68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214</w:t>
            </w:r>
          </w:p>
        </w:tc>
      </w:tr>
      <w:tr>
        <w:trPr>
          <w:trHeight w:val="162"/>
        </w:trPr>
        <w:tc>
          <w:tcPr>
            <w:tcW w:w="1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Inflation rate</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2.3%</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2.1 %</w:t>
            </w:r>
          </w:p>
        </w:tc>
        <w:tc>
          <w:tcPr>
            <w:tcW w:w="6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680" w:type="dxa"/>
            <w:vAlign w:val="bottom"/>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rPr>
              <w:t>(294)</w:t>
            </w:r>
          </w:p>
        </w:tc>
        <w:tc>
          <w:tcPr>
            <w:tcW w:w="68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270</w:t>
            </w:r>
          </w:p>
        </w:tc>
      </w:tr>
      <w:tr>
        <w:trPr>
          <w:trHeight w:val="167"/>
        </w:trPr>
        <w:tc>
          <w:tcPr>
            <w:tcW w:w="1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Life expectancy</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87 -88 yrs</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87 -89 yrs</w:t>
            </w:r>
          </w:p>
        </w:tc>
        <w:tc>
          <w:tcPr>
            <w:tcW w:w="680" w:type="dxa"/>
            <w:vAlign w:val="bottom"/>
            <w:tcBorders>
              <w:bottom w:val="single" w:sz="8" w:color="005AFF"/>
            </w:tcBorders>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color w:val="005AFF"/>
              </w:rPr>
              <w:t>1 year</w:t>
            </w:r>
          </w:p>
        </w:tc>
        <w:tc>
          <w:tcPr>
            <w:tcW w:w="680" w:type="dxa"/>
            <w:vAlign w:val="bottom"/>
            <w:tcBorders>
              <w:bottom w:val="single" w:sz="8" w:color="005AFF"/>
            </w:tcBorders>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rPr>
              <w:t>(626)</w:t>
            </w:r>
          </w:p>
        </w:tc>
        <w:tc>
          <w:tcPr>
            <w:tcW w:w="680" w:type="dxa"/>
            <w:vAlign w:val="bottom"/>
            <w:tcBorders>
              <w:bottom w:val="single" w:sz="8" w:color="005AFF"/>
            </w:tcBorders>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587</w:t>
            </w:r>
          </w:p>
        </w:tc>
      </w:tr>
    </w:tbl>
    <w:p>
      <w:pPr>
        <w:spacing w:after="0" w:line="31" w:lineRule="exact"/>
        <w:rPr>
          <w:sz w:val="20"/>
          <w:szCs w:val="20"/>
          <w:color w:val="auto"/>
        </w:rPr>
      </w:pPr>
    </w:p>
    <w:p>
      <w:pPr>
        <w:ind w:left="200" w:right="760" w:hanging="198"/>
        <w:spacing w:after="0" w:line="295" w:lineRule="auto"/>
        <w:tabs>
          <w:tab w:leader="none" w:pos="200" w:val="left"/>
        </w:tabs>
        <w:numPr>
          <w:ilvl w:val="0"/>
          <w:numId w:val="12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Positive movement indicates a reduction in the defined benefit obligation; a negative movement indicates an increase in the defined benefit obligation.</w:t>
      </w:r>
    </w:p>
    <w:p>
      <w:pPr>
        <w:spacing w:after="0" w:line="10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Sensitivity analysis</w:t>
      </w:r>
    </w:p>
    <w:p>
      <w:pPr>
        <w:spacing w:after="0" w:line="19" w:lineRule="exact"/>
        <w:rPr>
          <w:sz w:val="20"/>
          <w:szCs w:val="20"/>
          <w:color w:val="auto"/>
        </w:rPr>
      </w:pPr>
    </w:p>
    <w:p>
      <w:pPr>
        <w:ind w:right="580"/>
        <w:spacing w:after="0" w:line="260" w:lineRule="auto"/>
        <w:rPr>
          <w:sz w:val="20"/>
          <w:szCs w:val="20"/>
          <w:color w:val="auto"/>
        </w:rPr>
      </w:pPr>
      <w:r>
        <w:rPr>
          <w:rFonts w:ascii="Times New Roman" w:cs="Times New Roman" w:eastAsia="Times New Roman" w:hAnsi="Times New Roman"/>
          <w:sz w:val="11"/>
          <w:szCs w:val="11"/>
          <w:color w:val="auto"/>
        </w:rPr>
        <w:t>When calculating the sensitivity of the defined benefit obligation to significant actuarial assumptions, the present value of the defined benefit obligation is calculated using the projected unit credit method. The sensitivity analyses are based on a change in an assumption while holding all other assumptions constant and may not be representative of the actual impact of changes. If more than one assumption is changed simultaneously, the combined impact</w:t>
      </w:r>
    </w:p>
    <w:p>
      <w:pPr>
        <w:spacing w:after="0" w:line="3" w:lineRule="exact"/>
        <w:rPr>
          <w:sz w:val="20"/>
          <w:szCs w:val="20"/>
          <w:color w:val="auto"/>
        </w:rPr>
      </w:pPr>
    </w:p>
    <w:p>
      <w:pPr>
        <w:ind w:right="520"/>
        <w:spacing w:after="0" w:line="261" w:lineRule="auto"/>
        <w:rPr>
          <w:sz w:val="20"/>
          <w:szCs w:val="20"/>
          <w:color w:val="auto"/>
        </w:rPr>
      </w:pPr>
      <w:r>
        <w:rPr>
          <w:rFonts w:ascii="Times New Roman" w:cs="Times New Roman" w:eastAsia="Times New Roman" w:hAnsi="Times New Roman"/>
          <w:sz w:val="11"/>
          <w:szCs w:val="11"/>
          <w:color w:val="auto"/>
        </w:rPr>
        <w:t>of changes would not necessarily be the same as the sum of the individual changes. If the assumptions change to a different level compared with that presented, the effect on the defined benefit obligation may not be linear. Increases and decreases in the principal assumptions, which are used in determining the defined benefit obligation, do not have a symmetrical effect on</w:t>
      </w:r>
    </w:p>
    <w:p>
      <w:pPr>
        <w:ind w:right="860"/>
        <w:spacing w:after="0" w:line="278" w:lineRule="auto"/>
        <w:rPr>
          <w:sz w:val="20"/>
          <w:szCs w:val="20"/>
          <w:color w:val="auto"/>
        </w:rPr>
      </w:pPr>
      <w:r>
        <w:rPr>
          <w:rFonts w:ascii="Times New Roman" w:cs="Times New Roman" w:eastAsia="Times New Roman" w:hAnsi="Times New Roman"/>
          <w:sz w:val="11"/>
          <w:szCs w:val="11"/>
          <w:color w:val="auto"/>
        </w:rPr>
        <w:t>the defined benefit obligation primarily due to the compound interest effect created when determining the net present value of the future benefit.</w:t>
      </w:r>
    </w:p>
    <w:p>
      <w:pPr>
        <w:spacing w:after="0" w:line="27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Key source of estimation uncertainty</w:t>
      </w:r>
    </w:p>
    <w:p>
      <w:pPr>
        <w:spacing w:after="0" w:line="24" w:lineRule="exact"/>
        <w:rPr>
          <w:sz w:val="20"/>
          <w:szCs w:val="20"/>
          <w:color w:val="auto"/>
        </w:rPr>
      </w:pPr>
    </w:p>
    <w:p>
      <w:pPr>
        <w:ind w:left="160" w:right="880"/>
        <w:spacing w:after="0" w:line="262" w:lineRule="auto"/>
        <w:rPr>
          <w:sz w:val="20"/>
          <w:szCs w:val="20"/>
          <w:color w:val="auto"/>
        </w:rPr>
      </w:pPr>
      <w:r>
        <w:rPr>
          <w:rFonts w:ascii="Times New Roman" w:cs="Times New Roman" w:eastAsia="Times New Roman" w:hAnsi="Times New Roman"/>
          <w:sz w:val="11"/>
          <w:szCs w:val="11"/>
          <w:color w:val="auto"/>
        </w:rPr>
        <w:t>The determination of pension and other post-employment benefit obligations and expenses for defined benefit plans is dependent on a number of estimates and assumptions, including the discount rate, future mortality rate, annual rate of increase in future compensation levels, and healthcare costs trend rates and usage of services in the United States where the majority of our post-employment healthcare plans are maintained. Changes in assumptions and actuarial estimates may materially affect the benefit obligation, future expense and future cash flow.</w:t>
      </w:r>
    </w:p>
    <w:p>
      <w:pPr>
        <w:sectPr>
          <w:pgSz w:w="11900" w:h="16838" w:orient="portrait"/>
          <w:cols w:equalWidth="0" w:num="2">
            <w:col w:w="5040" w:space="100"/>
            <w:col w:w="4960"/>
          </w:cols>
          <w:pgMar w:left="920" w:top="410" w:right="879" w:bottom="1440" w:gutter="0" w:footer="0" w:header="0"/>
        </w:sectPr>
      </w:pPr>
    </w:p>
    <w:bookmarkStart w:id="177" w:name="page178"/>
    <w:bookmarkEnd w:id="177"/>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170</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Investment strategies</w:t>
      </w:r>
    </w:p>
    <w:p>
      <w:pPr>
        <w:spacing w:after="0" w:line="32"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The overall pension investment objective of Nokia is to preserve or enhance the defined benefit pension plans’ funded status through the implementation of an investment strategy that maximizes return within the context of minimizing funded status risk. In formulating the asset allocation for the plans, multiple factors are considered, including, but not limited to, the long-term risk and return expectations for a variety of asset classes as well as current and multi-year projections</w:t>
      </w:r>
    </w:p>
    <w:p>
      <w:pPr>
        <w:spacing w:after="0" w:line="1" w:lineRule="exact"/>
        <w:rPr>
          <w:sz w:val="20"/>
          <w:szCs w:val="20"/>
          <w:color w:val="auto"/>
        </w:rPr>
      </w:pPr>
    </w:p>
    <w:p>
      <w:pPr>
        <w:ind w:right="40"/>
        <w:spacing w:after="0" w:line="263" w:lineRule="auto"/>
        <w:rPr>
          <w:sz w:val="20"/>
          <w:szCs w:val="20"/>
          <w:color w:val="auto"/>
        </w:rPr>
      </w:pPr>
      <w:r>
        <w:rPr>
          <w:rFonts w:ascii="Times New Roman" w:cs="Times New Roman" w:eastAsia="Times New Roman" w:hAnsi="Times New Roman"/>
          <w:sz w:val="11"/>
          <w:szCs w:val="11"/>
          <w:color w:val="auto"/>
        </w:rPr>
        <w:t>of the defined benefit pension plans’ demographics, benefit payments, contributions and funded status. Local trustee boards are responsible for conducting Asset-Liability Management (ALM) studies, when appropriate; overseeing the investment of plan assets; and monitoring and managing associated risks under company oversight and in accordance with local law. The results of the ALM framework are implemented on a plan level.</w:t>
      </w:r>
    </w:p>
    <w:p>
      <w:pPr>
        <w:spacing w:after="0" w:line="201"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Nokia’s pension investment managers may use derivative financial instruments including futures contracts, forward contracts, options and interest rate swaps to manage market risk. The performance and risk profile of investments is regularly monitored on a standalone basis as well as in the broader portfolio context. One risk is a decline in the plan’s funded status as a result of the adverse performance of plan assets and/or defined benefit obligations. The application of the ALM study focuses on minimizing such risks.</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United States plan assets</w:t>
      </w:r>
    </w:p>
    <w:p>
      <w:pPr>
        <w:spacing w:after="0" w:line="24"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The majority of Nokia’s United States pension plan assets are held in a master pension trust. The OPEB plan assets are held in two separate trusts. The Pension &amp; Benefits Investment Committee formally approves the target allocation ranges every few years on the completion of the ALM study by external advisers and Nokia’s investment management company (NIMCO). The overall United States pension plan asset portfolio, at 31 December 2023 , reflects a balance of investments split of approximate ly 20 / 80 between equity, including alternative investments for this purpose, and fixed income securities.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Disaggregation of plan assets</w:t>
      </w:r>
    </w:p>
    <w:p>
      <w:pPr>
        <w:spacing w:after="0" w:line="69"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300" w:type="dxa"/>
            <w:vAlign w:val="bottom"/>
          </w:tcPr>
          <w:p>
            <w:pPr>
              <w:spacing w:after="0"/>
              <w:rPr>
                <w:sz w:val="9"/>
                <w:szCs w:val="9"/>
                <w:color w:val="auto"/>
              </w:rPr>
            </w:pPr>
          </w:p>
        </w:tc>
        <w:tc>
          <w:tcPr>
            <w:tcW w:w="540" w:type="dxa"/>
            <w:vAlign w:val="bottom"/>
            <w:tcBorders>
              <w:bottom w:val="single" w:sz="8" w:color="005AFF"/>
            </w:tcBorders>
          </w:tcPr>
          <w:p>
            <w:pPr>
              <w:spacing w:after="0"/>
              <w:rPr>
                <w:sz w:val="9"/>
                <w:szCs w:val="9"/>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2023</w:t>
            </w:r>
          </w:p>
        </w:tc>
        <w:tc>
          <w:tcPr>
            <w:tcW w:w="440" w:type="dxa"/>
            <w:vAlign w:val="bottom"/>
            <w:tcBorders>
              <w:bottom w:val="single" w:sz="8" w:color="005AFF"/>
            </w:tcBorders>
          </w:tcPr>
          <w:p>
            <w:pPr>
              <w:spacing w:after="0"/>
              <w:rPr>
                <w:sz w:val="9"/>
                <w:szCs w:val="9"/>
                <w:color w:val="auto"/>
              </w:rPr>
            </w:pPr>
          </w:p>
        </w:tc>
        <w:tc>
          <w:tcPr>
            <w:tcW w:w="520" w:type="dxa"/>
            <w:vAlign w:val="bottom"/>
            <w:tcBorders>
              <w:bottom w:val="single" w:sz="8" w:color="005AFF"/>
            </w:tcBorders>
          </w:tcPr>
          <w:p>
            <w:pPr>
              <w:spacing w:after="0"/>
              <w:rPr>
                <w:sz w:val="9"/>
                <w:szCs w:val="9"/>
                <w:color w:val="auto"/>
              </w:rPr>
            </w:pPr>
          </w:p>
        </w:tc>
        <w:tc>
          <w:tcPr>
            <w:tcW w:w="80" w:type="dxa"/>
            <w:vAlign w:val="bottom"/>
          </w:tcPr>
          <w:p>
            <w:pPr>
              <w:spacing w:after="0"/>
              <w:rPr>
                <w:sz w:val="9"/>
                <w:szCs w:val="9"/>
                <w:color w:val="auto"/>
              </w:rPr>
            </w:pPr>
          </w:p>
        </w:tc>
        <w:tc>
          <w:tcPr>
            <w:tcW w:w="580" w:type="dxa"/>
            <w:vAlign w:val="bottom"/>
            <w:tcBorders>
              <w:bottom w:val="single" w:sz="8" w:color="005AFF"/>
            </w:tcBorders>
          </w:tcPr>
          <w:p>
            <w:pPr>
              <w:spacing w:after="0"/>
              <w:rPr>
                <w:sz w:val="9"/>
                <w:szCs w:val="9"/>
                <w:color w:val="auto"/>
              </w:rPr>
            </w:pPr>
          </w:p>
        </w:tc>
        <w:tc>
          <w:tcPr>
            <w:tcW w:w="6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spacing w:after="0"/>
              <w:rPr>
                <w:sz w:val="9"/>
                <w:szCs w:val="9"/>
                <w:color w:val="auto"/>
              </w:rPr>
            </w:pPr>
          </w:p>
        </w:tc>
      </w:tr>
      <w:tr>
        <w:trPr>
          <w:trHeight w:val="132"/>
        </w:trPr>
        <w:tc>
          <w:tcPr>
            <w:tcW w:w="23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Quoted</w:t>
            </w:r>
          </w:p>
        </w:tc>
        <w:tc>
          <w:tcPr>
            <w:tcW w:w="64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Unquoted</w:t>
            </w:r>
          </w:p>
        </w:tc>
        <w:tc>
          <w:tcPr>
            <w:tcW w:w="4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w:t>
            </w:r>
          </w:p>
        </w:tc>
        <w:tc>
          <w:tcPr>
            <w:tcW w:w="80" w:type="dxa"/>
            <w:vAlign w:val="bottom"/>
            <w:tcBorders>
              <w:bottom w:val="single" w:sz="8" w:color="005AFF"/>
            </w:tcBorders>
          </w:tcPr>
          <w:p>
            <w:pPr>
              <w:spacing w:after="0"/>
              <w:rPr>
                <w:sz w:val="11"/>
                <w:szCs w:val="11"/>
                <w:color w:val="auto"/>
              </w:rPr>
            </w:pPr>
          </w:p>
        </w:tc>
        <w:tc>
          <w:tcPr>
            <w:tcW w:w="580" w:type="dxa"/>
            <w:vAlign w:val="bottom"/>
            <w:tcBorders>
              <w:bottom w:val="single" w:sz="8" w:color="005AFF"/>
            </w:tcBorders>
          </w:tcPr>
          <w:p>
            <w:pPr>
              <w:jc w:val="right"/>
              <w:ind w:right="93"/>
              <w:spacing w:after="0"/>
              <w:rPr>
                <w:sz w:val="20"/>
                <w:szCs w:val="20"/>
                <w:color w:val="auto"/>
              </w:rPr>
            </w:pPr>
            <w:r>
              <w:rPr>
                <w:rFonts w:ascii="Times New Roman" w:cs="Times New Roman" w:eastAsia="Times New Roman" w:hAnsi="Times New Roman"/>
                <w:sz w:val="8"/>
                <w:szCs w:val="8"/>
                <w:b w:val="1"/>
                <w:bCs w:val="1"/>
                <w:color w:val="005AFF"/>
              </w:rPr>
              <w:t>Quoted</w:t>
            </w:r>
          </w:p>
        </w:tc>
        <w:tc>
          <w:tcPr>
            <w:tcW w:w="60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Unquoted</w:t>
            </w:r>
          </w:p>
        </w:tc>
        <w:tc>
          <w:tcPr>
            <w:tcW w:w="5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w:t>
            </w:r>
          </w:p>
        </w:tc>
      </w:tr>
      <w:tr>
        <w:trPr>
          <w:trHeight w:val="140"/>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Equity securities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1 242</w:t>
            </w:r>
          </w:p>
        </w:tc>
        <w:tc>
          <w:tcPr>
            <w:tcW w:w="64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1 242</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660" w:type="dxa"/>
            <w:vAlign w:val="bottom"/>
            <w:gridSpan w:val="2"/>
          </w:tcPr>
          <w:p>
            <w:pPr>
              <w:jc w:val="right"/>
              <w:ind w:right="93"/>
              <w:spacing w:after="0"/>
              <w:rPr>
                <w:sz w:val="20"/>
                <w:szCs w:val="20"/>
                <w:color w:val="auto"/>
              </w:rPr>
            </w:pPr>
            <w:r>
              <w:rPr>
                <w:rFonts w:ascii="Times New Roman" w:cs="Times New Roman" w:eastAsia="Times New Roman" w:hAnsi="Times New Roman"/>
                <w:sz w:val="10"/>
                <w:szCs w:val="10"/>
                <w:color w:val="0D0D0D"/>
              </w:rPr>
              <w:t>1 086</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w:t>
            </w:r>
          </w:p>
        </w:tc>
        <w:tc>
          <w:tcPr>
            <w:tcW w:w="56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1 086</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r>
      <w:tr>
        <w:trPr>
          <w:trHeight w:val="16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Fixed income securities</w:t>
            </w:r>
          </w:p>
        </w:tc>
        <w:tc>
          <w:tcPr>
            <w:tcW w:w="5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14 952</w:t>
            </w:r>
          </w:p>
        </w:tc>
        <w:tc>
          <w:tcPr>
            <w:tcW w:w="64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color w:val="005AFF"/>
              </w:rPr>
              <w:t>140</w:t>
            </w:r>
          </w:p>
        </w:tc>
        <w:tc>
          <w:tcPr>
            <w:tcW w:w="4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15 092</w:t>
            </w:r>
          </w:p>
        </w:tc>
        <w:tc>
          <w:tcPr>
            <w:tcW w:w="5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72</w:t>
            </w:r>
          </w:p>
        </w:tc>
        <w:tc>
          <w:tcPr>
            <w:tcW w:w="660" w:type="dxa"/>
            <w:vAlign w:val="bottom"/>
            <w:gridSpan w:val="2"/>
          </w:tcPr>
          <w:p>
            <w:pPr>
              <w:jc w:val="right"/>
              <w:ind w:right="93"/>
              <w:spacing w:after="0"/>
              <w:rPr>
                <w:sz w:val="20"/>
                <w:szCs w:val="20"/>
                <w:color w:val="auto"/>
              </w:rPr>
            </w:pPr>
            <w:r>
              <w:rPr>
                <w:rFonts w:ascii="Times New Roman" w:cs="Times New Roman" w:eastAsia="Times New Roman" w:hAnsi="Times New Roman"/>
                <w:sz w:val="10"/>
                <w:szCs w:val="10"/>
                <w:color w:val="0D0D0D"/>
              </w:rPr>
              <w:t>16 070</w:t>
            </w:r>
          </w:p>
        </w:tc>
        <w:tc>
          <w:tcPr>
            <w:tcW w:w="600" w:type="dxa"/>
            <w:vAlign w:val="bottom"/>
          </w:tcPr>
          <w:p>
            <w:pPr>
              <w:jc w:val="right"/>
              <w:ind w:right="132"/>
              <w:spacing w:after="0"/>
              <w:rPr>
                <w:sz w:val="20"/>
                <w:szCs w:val="20"/>
                <w:color w:val="auto"/>
              </w:rPr>
            </w:pPr>
            <w:r>
              <w:rPr>
                <w:rFonts w:ascii="Times New Roman" w:cs="Times New Roman" w:eastAsia="Times New Roman" w:hAnsi="Times New Roman"/>
                <w:sz w:val="10"/>
                <w:szCs w:val="10"/>
                <w:color w:val="0D0D0D"/>
              </w:rPr>
              <w:t>164</w:t>
            </w:r>
          </w:p>
        </w:tc>
        <w:tc>
          <w:tcPr>
            <w:tcW w:w="56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16 234</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71</w:t>
            </w:r>
          </w:p>
        </w:tc>
      </w:tr>
      <w:tr>
        <w:trPr>
          <w:trHeight w:val="16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Insurance contracts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4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color w:val="005AFF"/>
              </w:rPr>
              <w:t>807</w:t>
            </w:r>
          </w:p>
        </w:tc>
        <w:tc>
          <w:tcPr>
            <w:tcW w:w="4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807</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80" w:type="dxa"/>
            <w:vAlign w:val="bottom"/>
          </w:tcPr>
          <w:p>
            <w:pPr>
              <w:spacing w:after="0"/>
              <w:rPr>
                <w:sz w:val="14"/>
                <w:szCs w:val="14"/>
                <w:color w:val="auto"/>
              </w:rPr>
            </w:pPr>
          </w:p>
        </w:tc>
        <w:tc>
          <w:tcPr>
            <w:tcW w:w="58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jc w:val="right"/>
              <w:ind w:right="132"/>
              <w:spacing w:after="0"/>
              <w:rPr>
                <w:sz w:val="20"/>
                <w:szCs w:val="20"/>
                <w:color w:val="auto"/>
              </w:rPr>
            </w:pPr>
            <w:r>
              <w:rPr>
                <w:rFonts w:ascii="Times New Roman" w:cs="Times New Roman" w:eastAsia="Times New Roman" w:hAnsi="Times New Roman"/>
                <w:sz w:val="10"/>
                <w:szCs w:val="10"/>
                <w:color w:val="0D0D0D"/>
              </w:rPr>
              <w:t>790</w:t>
            </w:r>
          </w:p>
        </w:tc>
        <w:tc>
          <w:tcPr>
            <w:tcW w:w="56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790</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w:t>
            </w:r>
          </w:p>
        </w:tc>
      </w:tr>
      <w:tr>
        <w:trPr>
          <w:trHeight w:val="16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Real estate</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40" w:type="dxa"/>
            <w:vAlign w:val="bottom"/>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color w:val="005AFF"/>
              </w:rPr>
              <w:t>1 012</w:t>
            </w:r>
          </w:p>
        </w:tc>
        <w:tc>
          <w:tcPr>
            <w:tcW w:w="44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1 012</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w:t>
            </w:r>
          </w:p>
        </w:tc>
        <w:tc>
          <w:tcPr>
            <w:tcW w:w="80" w:type="dxa"/>
            <w:vAlign w:val="bottom"/>
          </w:tcPr>
          <w:p>
            <w:pPr>
              <w:spacing w:after="0"/>
              <w:rPr>
                <w:sz w:val="14"/>
                <w:szCs w:val="14"/>
                <w:color w:val="auto"/>
              </w:rPr>
            </w:pPr>
          </w:p>
        </w:tc>
        <w:tc>
          <w:tcPr>
            <w:tcW w:w="58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jc w:val="right"/>
              <w:ind w:right="152"/>
              <w:spacing w:after="0"/>
              <w:rPr>
                <w:sz w:val="20"/>
                <w:szCs w:val="20"/>
                <w:color w:val="auto"/>
              </w:rPr>
            </w:pPr>
            <w:r>
              <w:rPr>
                <w:rFonts w:ascii="Times New Roman" w:cs="Times New Roman" w:eastAsia="Times New Roman" w:hAnsi="Times New Roman"/>
                <w:sz w:val="10"/>
                <w:szCs w:val="10"/>
                <w:color w:val="0D0D0D"/>
              </w:rPr>
              <w:t>1 297</w:t>
            </w:r>
          </w:p>
        </w:tc>
        <w:tc>
          <w:tcPr>
            <w:tcW w:w="56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1 297</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w:t>
            </w:r>
          </w:p>
        </w:tc>
      </w:tr>
      <w:tr>
        <w:trPr>
          <w:trHeight w:val="162"/>
        </w:trPr>
        <w:tc>
          <w:tcPr>
            <w:tcW w:w="23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Short-term investments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397</w:t>
            </w:r>
          </w:p>
        </w:tc>
        <w:tc>
          <w:tcPr>
            <w:tcW w:w="640" w:type="dxa"/>
            <w:vAlign w:val="bottom"/>
            <w:shd w:val="clear" w:color="auto" w:fill="F0F5FF"/>
          </w:tcPr>
          <w:p>
            <w:pPr>
              <w:jc w:val="right"/>
              <w:ind w:right="92"/>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397</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660" w:type="dxa"/>
            <w:vAlign w:val="bottom"/>
            <w:gridSpan w:val="2"/>
          </w:tcPr>
          <w:p>
            <w:pPr>
              <w:jc w:val="right"/>
              <w:ind w:right="73"/>
              <w:spacing w:after="0"/>
              <w:rPr>
                <w:sz w:val="20"/>
                <w:szCs w:val="20"/>
                <w:color w:val="auto"/>
              </w:rPr>
            </w:pPr>
            <w:r>
              <w:rPr>
                <w:rFonts w:ascii="Times New Roman" w:cs="Times New Roman" w:eastAsia="Times New Roman" w:hAnsi="Times New Roman"/>
                <w:sz w:val="10"/>
                <w:szCs w:val="10"/>
                <w:color w:val="0D0D0D"/>
              </w:rPr>
              <w:t>482</w:t>
            </w:r>
          </w:p>
        </w:tc>
        <w:tc>
          <w:tcPr>
            <w:tcW w:w="60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w:t>
            </w:r>
          </w:p>
        </w:tc>
        <w:tc>
          <w:tcPr>
            <w:tcW w:w="56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482</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w:t>
            </w:r>
          </w:p>
        </w:tc>
      </w:tr>
      <w:tr>
        <w:trPr>
          <w:trHeight w:val="167"/>
        </w:trPr>
        <w:tc>
          <w:tcPr>
            <w:tcW w:w="23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Private equity and other</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106</w:t>
            </w:r>
          </w:p>
        </w:tc>
        <w:tc>
          <w:tcPr>
            <w:tcW w:w="640" w:type="dxa"/>
            <w:vAlign w:val="bottom"/>
            <w:tcBorders>
              <w:bottom w:val="single" w:sz="8" w:color="005AFF"/>
            </w:tcBorders>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color w:val="005AFF"/>
              </w:rPr>
              <w:t>2 258</w:t>
            </w:r>
          </w:p>
        </w:tc>
        <w:tc>
          <w:tcPr>
            <w:tcW w:w="44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2 364</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11</w:t>
            </w:r>
          </w:p>
        </w:tc>
        <w:tc>
          <w:tcPr>
            <w:tcW w:w="660" w:type="dxa"/>
            <w:vAlign w:val="bottom"/>
            <w:tcBorders>
              <w:bottom w:val="single" w:sz="8" w:color="005AFF"/>
            </w:tcBorders>
            <w:gridSpan w:val="2"/>
          </w:tcPr>
          <w:p>
            <w:pPr>
              <w:jc w:val="right"/>
              <w:ind w:right="73"/>
              <w:spacing w:after="0"/>
              <w:rPr>
                <w:sz w:val="20"/>
                <w:szCs w:val="20"/>
                <w:color w:val="auto"/>
              </w:rPr>
            </w:pPr>
            <w:r>
              <w:rPr>
                <w:rFonts w:ascii="Times New Roman" w:cs="Times New Roman" w:eastAsia="Times New Roman" w:hAnsi="Times New Roman"/>
                <w:sz w:val="10"/>
                <w:szCs w:val="10"/>
                <w:color w:val="0D0D0D"/>
              </w:rPr>
              <w:t>93</w:t>
            </w:r>
          </w:p>
        </w:tc>
        <w:tc>
          <w:tcPr>
            <w:tcW w:w="60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10"/>
                <w:szCs w:val="10"/>
                <w:color w:val="0D0D0D"/>
              </w:rPr>
              <w:t>2 709</w:t>
            </w:r>
          </w:p>
        </w:tc>
        <w:tc>
          <w:tcPr>
            <w:tcW w:w="56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color w:val="0D0D0D"/>
              </w:rPr>
              <w:t>2 802</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12</w:t>
            </w:r>
          </w:p>
        </w:tc>
      </w:tr>
      <w:tr>
        <w:trPr>
          <w:trHeight w:val="142"/>
        </w:trPr>
        <w:tc>
          <w:tcPr>
            <w:tcW w:w="23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16 697</w:t>
            </w:r>
          </w:p>
        </w:tc>
        <w:tc>
          <w:tcPr>
            <w:tcW w:w="640" w:type="dxa"/>
            <w:vAlign w:val="bottom"/>
            <w:tcBorders>
              <w:bottom w:val="single" w:sz="8" w:color="005AFF"/>
            </w:tcBorders>
            <w:shd w:val="clear" w:color="auto" w:fill="F0F5FF"/>
          </w:tcPr>
          <w:p>
            <w:pPr>
              <w:jc w:val="right"/>
              <w:ind w:right="132"/>
              <w:spacing w:after="0"/>
              <w:rPr>
                <w:sz w:val="20"/>
                <w:szCs w:val="20"/>
                <w:color w:val="auto"/>
              </w:rPr>
            </w:pPr>
            <w:r>
              <w:rPr>
                <w:rFonts w:ascii="Times New Roman" w:cs="Times New Roman" w:eastAsia="Times New Roman" w:hAnsi="Times New Roman"/>
                <w:sz w:val="10"/>
                <w:szCs w:val="10"/>
                <w:b w:val="1"/>
                <w:bCs w:val="1"/>
                <w:color w:val="005AFF"/>
              </w:rPr>
              <w:t>4 217</w:t>
            </w:r>
          </w:p>
        </w:tc>
        <w:tc>
          <w:tcPr>
            <w:tcW w:w="44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20 914</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100</w:t>
            </w:r>
          </w:p>
        </w:tc>
        <w:tc>
          <w:tcPr>
            <w:tcW w:w="660" w:type="dxa"/>
            <w:vAlign w:val="bottom"/>
            <w:tcBorders>
              <w:bottom w:val="single" w:sz="8" w:color="005AFF"/>
            </w:tcBorders>
            <w:gridSpan w:val="2"/>
          </w:tcPr>
          <w:p>
            <w:pPr>
              <w:jc w:val="right"/>
              <w:ind w:right="93"/>
              <w:spacing w:after="0"/>
              <w:rPr>
                <w:sz w:val="20"/>
                <w:szCs w:val="20"/>
                <w:color w:val="auto"/>
              </w:rPr>
            </w:pPr>
            <w:r>
              <w:rPr>
                <w:rFonts w:ascii="Times New Roman" w:cs="Times New Roman" w:eastAsia="Times New Roman" w:hAnsi="Times New Roman"/>
                <w:sz w:val="10"/>
                <w:szCs w:val="10"/>
                <w:b w:val="1"/>
                <w:bCs w:val="1"/>
                <w:color w:val="auto"/>
              </w:rPr>
              <w:t>17 731</w:t>
            </w:r>
          </w:p>
        </w:tc>
        <w:tc>
          <w:tcPr>
            <w:tcW w:w="600" w:type="dxa"/>
            <w:vAlign w:val="bottom"/>
            <w:tcBorders>
              <w:bottom w:val="single" w:sz="8" w:color="005AFF"/>
            </w:tcBorders>
          </w:tcPr>
          <w:p>
            <w:pPr>
              <w:jc w:val="right"/>
              <w:ind w:right="152"/>
              <w:spacing w:after="0"/>
              <w:rPr>
                <w:sz w:val="20"/>
                <w:szCs w:val="20"/>
                <w:color w:val="auto"/>
              </w:rPr>
            </w:pPr>
            <w:r>
              <w:rPr>
                <w:rFonts w:ascii="Times New Roman" w:cs="Times New Roman" w:eastAsia="Times New Roman" w:hAnsi="Times New Roman"/>
                <w:sz w:val="10"/>
                <w:szCs w:val="10"/>
                <w:b w:val="1"/>
                <w:bCs w:val="1"/>
                <w:color w:val="auto"/>
              </w:rPr>
              <w:t>4 960</w:t>
            </w:r>
          </w:p>
        </w:tc>
        <w:tc>
          <w:tcPr>
            <w:tcW w:w="56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b w:val="1"/>
                <w:bCs w:val="1"/>
                <w:color w:val="auto"/>
              </w:rPr>
              <w:t>22 691</w:t>
            </w:r>
          </w:p>
        </w:tc>
        <w:tc>
          <w:tcPr>
            <w:tcW w:w="4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100</w:t>
            </w:r>
          </w:p>
        </w:tc>
      </w:tr>
    </w:tbl>
    <w:p>
      <w:pPr>
        <w:spacing w:after="0" w:line="139" w:lineRule="exact"/>
        <w:rPr>
          <w:sz w:val="20"/>
          <w:szCs w:val="20"/>
          <w:color w:val="auto"/>
        </w:rPr>
      </w:pPr>
    </w:p>
    <w:p>
      <w:pPr>
        <w:ind w:left="40" w:right="820"/>
        <w:spacing w:after="0" w:line="269" w:lineRule="auto"/>
        <w:rPr>
          <w:sz w:val="20"/>
          <w:szCs w:val="20"/>
          <w:color w:val="auto"/>
        </w:rPr>
      </w:pPr>
      <w:r>
        <w:rPr>
          <w:rFonts w:ascii="Times New Roman" w:cs="Times New Roman" w:eastAsia="Times New Roman" w:hAnsi="Times New Roman"/>
          <w:sz w:val="11"/>
          <w:szCs w:val="11"/>
          <w:color w:val="auto"/>
        </w:rPr>
        <w:t>Most short-term investments including cash, equities and fixed-income securities have quoted market prices in active markets. Equity securities represent investments in equity funds and direct investments, which have quoted market prices in an active market. Fixed income securities represent direct investments in government and corporate bonds, as well as investments in bond funds, which have quoted market prices in an active market. Insurance contracts are customary pension insurance contracts structured under domestic law in the respective countries. Real estate investments are investments in commercial properties or real estate funds, which invest in a diverse range of real estate properties.</w:t>
      </w:r>
    </w:p>
    <w:p>
      <w:pPr>
        <w:spacing w:after="0" w:line="60" w:lineRule="exact"/>
        <w:rPr>
          <w:sz w:val="20"/>
          <w:szCs w:val="20"/>
          <w:color w:val="auto"/>
        </w:rPr>
      </w:pPr>
    </w:p>
    <w:p>
      <w:pPr>
        <w:ind w:left="40" w:right="800"/>
        <w:spacing w:after="0" w:line="269" w:lineRule="auto"/>
        <w:rPr>
          <w:sz w:val="20"/>
          <w:szCs w:val="20"/>
          <w:color w:val="auto"/>
        </w:rPr>
      </w:pPr>
      <w:r>
        <w:rPr>
          <w:rFonts w:ascii="Times New Roman" w:cs="Times New Roman" w:eastAsia="Times New Roman" w:hAnsi="Times New Roman"/>
          <w:sz w:val="11"/>
          <w:szCs w:val="11"/>
          <w:color w:val="auto"/>
        </w:rPr>
        <w:t>Short-term investments are liquid assets or cash, which are being held for a short period of time, with the primary purpose of controlling the tactical asset allocation. Private equity net asset values (NAVs) are determined by the asset managers based on inputs such as operating results, discounted future cash flows and market-based comparable data. Assets invested in alternative asset classes such as private equity, real estate and absolute return, are measured using latest available valuations provided by the asset managers, reviewed by Nokia, and adjusted for subsequent cash flows.</w:t>
      </w:r>
    </w:p>
    <w:p>
      <w:pPr>
        <w:sectPr>
          <w:pgSz w:w="11900" w:h="16838" w:orient="portrait"/>
          <w:cols w:equalWidth="0" w:num="2">
            <w:col w:w="2900" w:space="500"/>
            <w:col w:w="6660"/>
          </w:cols>
          <w:pgMar w:left="960" w:top="410" w:right="879" w:bottom="1440" w:gutter="0" w:footer="0" w:header="0"/>
          <w:type w:val="continuous"/>
        </w:sectPr>
      </w:pPr>
    </w:p>
    <w:bookmarkStart w:id="178" w:name="page179"/>
    <w:bookmarkEnd w:id="178"/>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171</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Future cash flows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Contributions</w:t>
      </w:r>
    </w:p>
    <w:p>
      <w:pPr>
        <w:spacing w:after="0" w:line="24" w:lineRule="exact"/>
        <w:rPr>
          <w:sz w:val="20"/>
          <w:szCs w:val="20"/>
          <w:color w:val="auto"/>
        </w:rPr>
      </w:pPr>
    </w:p>
    <w:p>
      <w:pPr>
        <w:ind w:right="380"/>
        <w:spacing w:after="0" w:line="266" w:lineRule="auto"/>
        <w:rPr>
          <w:sz w:val="20"/>
          <w:szCs w:val="20"/>
          <w:color w:val="auto"/>
        </w:rPr>
      </w:pPr>
      <w:r>
        <w:rPr>
          <w:rFonts w:ascii="Times New Roman" w:cs="Times New Roman" w:eastAsia="Times New Roman" w:hAnsi="Times New Roman"/>
          <w:sz w:val="11"/>
          <w:szCs w:val="11"/>
          <w:color w:val="auto"/>
        </w:rPr>
        <w:t>Group contributions to the pension and other post-employment benefit plans are made to facilitate future benefit payments to plan participants. The funding policy is to meet minimum funding requirements as set forth in the employee benefit and tax laws, as well as any such additional amounts as Nokia may determine appropriate. Contributions are made to benefit plans for the sole benefit of plan participants. Employer contributions expected to be paid in 2024 total EUR 56 million.</w:t>
      </w:r>
    </w:p>
    <w:p>
      <w:pPr>
        <w:spacing w:after="0" w:line="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United States</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Funding methods</w:t>
      </w:r>
    </w:p>
    <w:p>
      <w:pPr>
        <w:spacing w:after="0" w:line="10"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1"/>
          <w:szCs w:val="11"/>
          <w:color w:val="auto"/>
        </w:rPr>
        <w:t>Funding requirements for th e two United States qualified defined benefit pension plans are determined by the applicable statutes, namely the Employee Retirement Income Security Act of 1974 (ERISA), the Internal Revenue Code of 1986, and regulations issued by the Internal Revenue Service (IRS). In determining funding requirements, ERISA allows assets to be either fair value or an average value over a period of time; and liabilities to be based on spot interest rates or average interest rates over a period of time. For the non-represented and formerly represented defined benefit pension plans, Nokia does not foresee any future funding requirement for regulatory funding purposes, given the plans’ asset allocation and the level of assets compared to liabilities.</w:t>
      </w:r>
    </w:p>
    <w:p>
      <w:pPr>
        <w:spacing w:after="0" w:line="19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Post-employment healthcare benefits for both non-represented and formerly union</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represented retirees are capped for those who retired after 28 February 1990. The benefit</w:t>
      </w:r>
    </w:p>
    <w:p>
      <w:pPr>
        <w:spacing w:after="0" w:line="10" w:lineRule="exact"/>
        <w:rPr>
          <w:sz w:val="20"/>
          <w:szCs w:val="20"/>
          <w:color w:val="auto"/>
        </w:rPr>
      </w:pPr>
    </w:p>
    <w:p>
      <w:pPr>
        <w:spacing w:after="0"/>
        <w:tabs>
          <w:tab w:leader="none" w:pos="2560" w:val="left"/>
        </w:tabs>
        <w:rPr>
          <w:sz w:val="20"/>
          <w:szCs w:val="20"/>
          <w:color w:val="auto"/>
        </w:rPr>
      </w:pPr>
      <w:r>
        <w:rPr>
          <w:rFonts w:ascii="Times New Roman" w:cs="Times New Roman" w:eastAsia="Times New Roman" w:hAnsi="Times New Roman"/>
          <w:sz w:val="11"/>
          <w:szCs w:val="11"/>
          <w:color w:val="auto"/>
        </w:rPr>
        <w:t>obligation associated with this group of retirees is</w:t>
      </w:r>
      <w:r>
        <w:rPr>
          <w:sz w:val="20"/>
          <w:szCs w:val="20"/>
          <w:color w:val="auto"/>
        </w:rPr>
        <w:tab/>
      </w:r>
      <w:r>
        <w:rPr>
          <w:rFonts w:ascii="Times New Roman" w:cs="Times New Roman" w:eastAsia="Times New Roman" w:hAnsi="Times New Roman"/>
          <w:sz w:val="11"/>
          <w:szCs w:val="11"/>
          <w:color w:val="auto"/>
        </w:rPr>
        <w:t>98% of the total United States retiree</w:t>
      </w:r>
    </w:p>
    <w:p>
      <w:pPr>
        <w:spacing w:after="0" w:line="10" w:lineRule="exact"/>
        <w:rPr>
          <w:sz w:val="20"/>
          <w:szCs w:val="20"/>
          <w:color w:val="auto"/>
        </w:rPr>
      </w:pPr>
    </w:p>
    <w:p>
      <w:pPr>
        <w:ind w:right="240"/>
        <w:spacing w:after="0" w:line="297" w:lineRule="auto"/>
        <w:rPr>
          <w:sz w:val="20"/>
          <w:szCs w:val="20"/>
          <w:color w:val="auto"/>
        </w:rPr>
      </w:pPr>
      <w:r>
        <w:rPr>
          <w:rFonts w:ascii="Times New Roman" w:cs="Times New Roman" w:eastAsia="Times New Roman" w:hAnsi="Times New Roman"/>
          <w:sz w:val="11"/>
          <w:szCs w:val="11"/>
          <w:color w:val="auto"/>
        </w:rPr>
        <w:t>healthcare obligation at 31 December 2023 . The US government’s Medicare program is the primary payer for those aged 65 and older.</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005AFF"/>
        </w:rPr>
        <w:t>Section 420 transfers</w:t>
      </w:r>
    </w:p>
    <w:p>
      <w:pPr>
        <w:spacing w:after="0" w:line="24" w:lineRule="exact"/>
        <w:rPr>
          <w:sz w:val="20"/>
          <w:szCs w:val="20"/>
          <w:color w:val="auto"/>
        </w:rPr>
      </w:pPr>
    </w:p>
    <w:p>
      <w:pPr>
        <w:ind w:right="320"/>
        <w:spacing w:after="0" w:line="261" w:lineRule="auto"/>
        <w:rPr>
          <w:sz w:val="20"/>
          <w:szCs w:val="20"/>
          <w:color w:val="auto"/>
        </w:rPr>
      </w:pPr>
      <w:r>
        <w:rPr>
          <w:rFonts w:ascii="Times New Roman" w:cs="Times New Roman" w:eastAsia="Times New Roman" w:hAnsi="Times New Roman"/>
          <w:sz w:val="11"/>
          <w:szCs w:val="11"/>
          <w:color w:val="auto"/>
        </w:rPr>
        <w:t>Section 420 of the U.S. Internal Revenue Code (Section 420) allows for the transfer of pension assets in excess of specified thresholds above the plan’s funding obligation (excess pension assets) to a retiree health benefits account, a retiree life insurance account, or both, maintained within the pension plan and to use the assets in such accounts to pay for, or to reimburse the</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42"/>
        </w:trPr>
        <w:tc>
          <w:tcPr>
            <w:tcW w:w="1060" w:type="dxa"/>
            <w:vAlign w:val="bottom"/>
          </w:tcPr>
          <w:p>
            <w:pPr>
              <w:spacing w:after="0"/>
              <w:rPr>
                <w:sz w:val="20"/>
                <w:szCs w:val="20"/>
                <w:color w:val="auto"/>
              </w:rPr>
            </w:pPr>
            <w:r>
              <w:rPr>
                <w:rFonts w:ascii="Times New Roman" w:cs="Times New Roman" w:eastAsia="Times New Roman" w:hAnsi="Times New Roman"/>
                <w:sz w:val="11"/>
                <w:szCs w:val="11"/>
                <w:color w:val="auto"/>
              </w:rPr>
              <w:t>employer for the cost</w:t>
            </w:r>
          </w:p>
        </w:tc>
        <w:tc>
          <w:tcPr>
            <w:tcW w:w="3500" w:type="dxa"/>
            <w:vAlign w:val="bottom"/>
          </w:tcPr>
          <w:p>
            <w:pPr>
              <w:ind w:left="80"/>
              <w:spacing w:after="0"/>
              <w:rPr>
                <w:sz w:val="20"/>
                <w:szCs w:val="20"/>
                <w:color w:val="auto"/>
              </w:rPr>
            </w:pPr>
            <w:r>
              <w:rPr>
                <w:rFonts w:ascii="Times New Roman" w:cs="Times New Roman" w:eastAsia="Times New Roman" w:hAnsi="Times New Roman"/>
                <w:sz w:val="11"/>
                <w:szCs w:val="11"/>
                <w:color w:val="auto"/>
              </w:rPr>
              <w:t xml:space="preserve">of </w:t>
            </w:r>
            <w:r>
              <w:rPr>
                <w:rFonts w:ascii="Times New Roman" w:cs="Times New Roman" w:eastAsia="Times New Roman" w:hAnsi="Times New Roman"/>
                <w:sz w:val="11"/>
                <w:szCs w:val="11"/>
                <w:color w:val="auto"/>
                <w:highlight w:val="white"/>
              </w:rPr>
              <w:t>providing applicable  health</w:t>
            </w:r>
            <w:r>
              <w:rPr>
                <w:rFonts w:ascii="Times New Roman" w:cs="Times New Roman" w:eastAsia="Times New Roman" w:hAnsi="Times New Roman"/>
                <w:sz w:val="11"/>
                <w:szCs w:val="11"/>
                <w:color w:val="auto"/>
              </w:rPr>
              <w:t xml:space="preserve"> or life insurance benefits, each as defined</w:t>
            </w:r>
          </w:p>
        </w:tc>
      </w:tr>
    </w:tbl>
    <w:p>
      <w:pPr>
        <w:spacing w:after="0" w:line="265" w:lineRule="auto"/>
        <w:rPr>
          <w:sz w:val="20"/>
          <w:szCs w:val="20"/>
          <w:color w:val="auto"/>
        </w:rPr>
      </w:pPr>
      <w:r>
        <w:rPr>
          <w:rFonts w:ascii="Times New Roman" w:cs="Times New Roman" w:eastAsia="Times New Roman" w:hAnsi="Times New Roman"/>
          <w:sz w:val="11"/>
          <w:szCs w:val="11"/>
          <w:color w:val="auto"/>
        </w:rPr>
        <w:t>in Section 420, for retired employees, and with respect to health benefits, their spouses and dependents. Employers making such transfers are required to continue to provide healthcare benefits or life insurance coverage, as the case may be, for a certain period of time (cost maintenance period) at levels prescribed by regulations. Pursuant to Section 420, Nokia has transferred EUR 131 million during 2023 (EUR117 million in 2022 ). Section 420 is currently set to expire on 31 December 2032.</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9"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b w:val="1"/>
          <w:bCs w:val="1"/>
          <w:color w:val="auto"/>
        </w:rPr>
        <w:t>Benefit payments</w:t>
      </w:r>
    </w:p>
    <w:p>
      <w:pPr>
        <w:spacing w:after="0" w:line="24"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1"/>
          <w:szCs w:val="11"/>
          <w:color w:val="auto"/>
        </w:rPr>
        <w:t>The following table summarizes expected benefit payments from the defined benefit pension</w:t>
      </w:r>
    </w:p>
    <w:p>
      <w:pPr>
        <w:spacing w:after="0" w:line="14" w:lineRule="exact"/>
        <w:rPr>
          <w:sz w:val="20"/>
          <w:szCs w:val="20"/>
          <w:color w:val="auto"/>
        </w:rPr>
      </w:pPr>
    </w:p>
    <w:tbl>
      <w:tblPr>
        <w:tblLayout w:type="fixed"/>
        <w:tblInd w:w="0" w:type="dxa"/>
        <w:tblCellMar>
          <w:top w:w="0" w:type="dxa"/>
          <w:left w:w="0" w:type="dxa"/>
          <w:bottom w:w="0" w:type="dxa"/>
          <w:right w:w="0" w:type="dxa"/>
        </w:tblCellMar>
      </w:tblPr>
      <w:tr>
        <w:trPr>
          <w:trHeight w:val="126"/>
        </w:trPr>
        <w:tc>
          <w:tcPr>
            <w:tcW w:w="2580" w:type="dxa"/>
            <w:vAlign w:val="bottom"/>
            <w:gridSpan w:val="5"/>
          </w:tcPr>
          <w:p>
            <w:pPr>
              <w:ind w:left="20"/>
              <w:spacing w:after="0"/>
              <w:rPr>
                <w:sz w:val="20"/>
                <w:szCs w:val="20"/>
                <w:color w:val="auto"/>
              </w:rPr>
            </w:pPr>
            <w:r>
              <w:rPr>
                <w:rFonts w:ascii="Times New Roman" w:cs="Times New Roman" w:eastAsia="Times New Roman" w:hAnsi="Times New Roman"/>
                <w:sz w:val="11"/>
                <w:szCs w:val="11"/>
                <w:color w:val="auto"/>
              </w:rPr>
              <w:t>plans and other post-employment benefit plans until</w:t>
            </w:r>
          </w:p>
        </w:tc>
        <w:tc>
          <w:tcPr>
            <w:tcW w:w="2400" w:type="dxa"/>
            <w:vAlign w:val="bottom"/>
            <w:gridSpan w:val="7"/>
          </w:tcPr>
          <w:p>
            <w:pPr>
              <w:ind w:left="180"/>
              <w:spacing w:after="0"/>
              <w:rPr>
                <w:sz w:val="20"/>
                <w:szCs w:val="20"/>
                <w:color w:val="auto"/>
              </w:rPr>
            </w:pPr>
            <w:r>
              <w:rPr>
                <w:rFonts w:ascii="Times New Roman" w:cs="Times New Roman" w:eastAsia="Times New Roman" w:hAnsi="Times New Roman"/>
                <w:sz w:val="11"/>
                <w:szCs w:val="11"/>
                <w:color w:val="auto"/>
              </w:rPr>
              <w:t>2033 . Actual benefit payments may differ</w:t>
            </w:r>
          </w:p>
        </w:tc>
      </w:tr>
      <w:tr>
        <w:trPr>
          <w:trHeight w:val="148"/>
        </w:trPr>
        <w:tc>
          <w:tcPr>
            <w:tcW w:w="222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from expected benefit payments.</w:t>
            </w:r>
          </w:p>
        </w:tc>
        <w:tc>
          <w:tcPr>
            <w:tcW w:w="32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680" w:type="dxa"/>
            <w:vAlign w:val="bottom"/>
          </w:tcPr>
          <w:p>
            <w:pPr>
              <w:spacing w:after="0"/>
              <w:rPr>
                <w:sz w:val="12"/>
                <w:szCs w:val="12"/>
                <w:color w:val="auto"/>
              </w:rPr>
            </w:pPr>
          </w:p>
        </w:tc>
        <w:tc>
          <w:tcPr>
            <w:tcW w:w="58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50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520" w:type="dxa"/>
            <w:vAlign w:val="bottom"/>
          </w:tcPr>
          <w:p>
            <w:pPr>
              <w:spacing w:after="0"/>
              <w:rPr>
                <w:sz w:val="12"/>
                <w:szCs w:val="12"/>
                <w:color w:val="auto"/>
              </w:rPr>
            </w:pPr>
          </w:p>
        </w:tc>
      </w:tr>
      <w:tr>
        <w:trPr>
          <w:trHeight w:val="218"/>
        </w:trPr>
        <w:tc>
          <w:tcPr>
            <w:tcW w:w="680" w:type="dxa"/>
            <w:vAlign w:val="bottom"/>
          </w:tcPr>
          <w:p>
            <w:pPr>
              <w:spacing w:after="0"/>
              <w:rPr>
                <w:sz w:val="18"/>
                <w:szCs w:val="18"/>
                <w:color w:val="auto"/>
              </w:rPr>
            </w:pPr>
          </w:p>
        </w:tc>
        <w:tc>
          <w:tcPr>
            <w:tcW w:w="620" w:type="dxa"/>
            <w:vAlign w:val="bottom"/>
          </w:tcPr>
          <w:p>
            <w:pPr>
              <w:spacing w:after="0"/>
              <w:rPr>
                <w:sz w:val="18"/>
                <w:szCs w:val="18"/>
                <w:color w:val="auto"/>
              </w:rPr>
            </w:pPr>
          </w:p>
        </w:tc>
        <w:tc>
          <w:tcPr>
            <w:tcW w:w="920" w:type="dxa"/>
            <w:vAlign w:val="bottom"/>
          </w:tcPr>
          <w:p>
            <w:pPr>
              <w:spacing w:after="0"/>
              <w:rPr>
                <w:sz w:val="18"/>
                <w:szCs w:val="18"/>
                <w:color w:val="auto"/>
              </w:rPr>
            </w:pPr>
          </w:p>
        </w:tc>
        <w:tc>
          <w:tcPr>
            <w:tcW w:w="320" w:type="dxa"/>
            <w:vAlign w:val="bottom"/>
          </w:tcPr>
          <w:p>
            <w:pPr>
              <w:spacing w:after="0"/>
              <w:rPr>
                <w:sz w:val="18"/>
                <w:szCs w:val="18"/>
                <w:color w:val="auto"/>
              </w:rPr>
            </w:pPr>
          </w:p>
        </w:tc>
        <w:tc>
          <w:tcPr>
            <w:tcW w:w="40" w:type="dxa"/>
            <w:vAlign w:val="bottom"/>
          </w:tcPr>
          <w:p>
            <w:pPr>
              <w:spacing w:after="0"/>
              <w:rPr>
                <w:sz w:val="18"/>
                <w:szCs w:val="18"/>
                <w:color w:val="auto"/>
              </w:rPr>
            </w:pPr>
          </w:p>
        </w:tc>
        <w:tc>
          <w:tcPr>
            <w:tcW w:w="680" w:type="dxa"/>
            <w:vAlign w:val="bottom"/>
          </w:tcPr>
          <w:p>
            <w:pPr>
              <w:spacing w:after="0"/>
              <w:rPr>
                <w:sz w:val="18"/>
                <w:szCs w:val="18"/>
                <w:color w:val="auto"/>
              </w:rPr>
            </w:pPr>
          </w:p>
        </w:tc>
        <w:tc>
          <w:tcPr>
            <w:tcW w:w="580" w:type="dxa"/>
            <w:vAlign w:val="bottom"/>
          </w:tcPr>
          <w:p>
            <w:pPr>
              <w:spacing w:after="0"/>
              <w:rPr>
                <w:sz w:val="18"/>
                <w:szCs w:val="18"/>
                <w:color w:val="auto"/>
              </w:rPr>
            </w:pPr>
          </w:p>
        </w:tc>
        <w:tc>
          <w:tcPr>
            <w:tcW w:w="40" w:type="dxa"/>
            <w:vAlign w:val="bottom"/>
          </w:tcPr>
          <w:p>
            <w:pPr>
              <w:spacing w:after="0"/>
              <w:rPr>
                <w:sz w:val="18"/>
                <w:szCs w:val="18"/>
                <w:color w:val="auto"/>
              </w:rPr>
            </w:pPr>
          </w:p>
        </w:tc>
        <w:tc>
          <w:tcPr>
            <w:tcW w:w="40" w:type="dxa"/>
            <w:vAlign w:val="bottom"/>
          </w:tcPr>
          <w:p>
            <w:pPr>
              <w:spacing w:after="0"/>
              <w:rPr>
                <w:sz w:val="18"/>
                <w:szCs w:val="18"/>
                <w:color w:val="auto"/>
              </w:rPr>
            </w:pPr>
          </w:p>
        </w:tc>
        <w:tc>
          <w:tcPr>
            <w:tcW w:w="540" w:type="dxa"/>
            <w:vAlign w:val="bottom"/>
            <w:gridSpan w:val="2"/>
          </w:tcPr>
          <w:p>
            <w:pPr>
              <w:ind w:left="120"/>
              <w:spacing w:after="0"/>
              <w:rPr>
                <w:sz w:val="20"/>
                <w:szCs w:val="20"/>
                <w:color w:val="auto"/>
              </w:rPr>
            </w:pPr>
            <w:r>
              <w:rPr>
                <w:rFonts w:ascii="Times New Roman" w:cs="Times New Roman" w:eastAsia="Times New Roman" w:hAnsi="Times New Roman"/>
                <w:sz w:val="8"/>
                <w:szCs w:val="8"/>
                <w:b w:val="1"/>
                <w:bCs w:val="1"/>
                <w:color w:val="005AFF"/>
              </w:rPr>
              <w:t>Other</w:t>
            </w:r>
          </w:p>
        </w:tc>
        <w:tc>
          <w:tcPr>
            <w:tcW w:w="520" w:type="dxa"/>
            <w:vAlign w:val="bottom"/>
          </w:tcPr>
          <w:p>
            <w:pPr>
              <w:spacing w:after="0"/>
              <w:rPr>
                <w:sz w:val="18"/>
                <w:szCs w:val="18"/>
                <w:color w:val="auto"/>
              </w:rPr>
            </w:pPr>
          </w:p>
        </w:tc>
      </w:tr>
      <w:tr>
        <w:trPr>
          <w:trHeight w:val="114"/>
        </w:trPr>
        <w:tc>
          <w:tcPr>
            <w:tcW w:w="680" w:type="dxa"/>
            <w:vAlign w:val="bottom"/>
          </w:tcPr>
          <w:p>
            <w:pPr>
              <w:spacing w:after="0"/>
              <w:rPr>
                <w:sz w:val="9"/>
                <w:szCs w:val="9"/>
                <w:color w:val="auto"/>
              </w:rPr>
            </w:pPr>
          </w:p>
        </w:tc>
        <w:tc>
          <w:tcPr>
            <w:tcW w:w="620" w:type="dxa"/>
            <w:vAlign w:val="bottom"/>
            <w:tcBorders>
              <w:bottom w:val="single" w:sz="8" w:color="005AFF"/>
            </w:tcBorders>
          </w:tcPr>
          <w:p>
            <w:pPr>
              <w:spacing w:after="0"/>
              <w:rPr>
                <w:sz w:val="9"/>
                <w:szCs w:val="9"/>
                <w:color w:val="auto"/>
              </w:rPr>
            </w:pPr>
          </w:p>
        </w:tc>
        <w:tc>
          <w:tcPr>
            <w:tcW w:w="920" w:type="dxa"/>
            <w:vAlign w:val="bottom"/>
            <w:tcBorders>
              <w:bottom w:val="single" w:sz="8" w:color="005AFF"/>
            </w:tcBorders>
          </w:tcPr>
          <w:p>
            <w:pPr>
              <w:jc w:val="right"/>
              <w:ind w:right="373"/>
              <w:spacing w:after="0"/>
              <w:rPr>
                <w:sz w:val="20"/>
                <w:szCs w:val="20"/>
                <w:color w:val="auto"/>
              </w:rPr>
            </w:pPr>
            <w:r>
              <w:rPr>
                <w:rFonts w:ascii="Times New Roman" w:cs="Times New Roman" w:eastAsia="Times New Roman" w:hAnsi="Times New Roman"/>
                <w:sz w:val="8"/>
                <w:szCs w:val="8"/>
                <w:b w:val="1"/>
                <w:bCs w:val="1"/>
                <w:color w:val="005AFF"/>
              </w:rPr>
              <w:t>US Pension</w:t>
            </w:r>
          </w:p>
        </w:tc>
        <w:tc>
          <w:tcPr>
            <w:tcW w:w="32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1260" w:type="dxa"/>
            <w:vAlign w:val="bottom"/>
            <w:tcBorders>
              <w:bottom w:val="single" w:sz="8" w:color="005AFF"/>
            </w:tcBorders>
            <w:gridSpan w:val="2"/>
          </w:tcPr>
          <w:p>
            <w:pPr>
              <w:jc w:val="right"/>
              <w:ind w:right="411"/>
              <w:spacing w:after="0"/>
              <w:rPr>
                <w:sz w:val="20"/>
                <w:szCs w:val="20"/>
                <w:color w:val="auto"/>
              </w:rPr>
            </w:pPr>
            <w:r>
              <w:rPr>
                <w:rFonts w:ascii="Times New Roman" w:cs="Times New Roman" w:eastAsia="Times New Roman" w:hAnsi="Times New Roman"/>
                <w:sz w:val="8"/>
                <w:szCs w:val="8"/>
                <w:b w:val="1"/>
                <w:bCs w:val="1"/>
                <w:color w:val="005AFF"/>
              </w:rPr>
              <w:t>US OPEB</w:t>
            </w:r>
          </w:p>
        </w:tc>
        <w:tc>
          <w:tcPr>
            <w:tcW w:w="40" w:type="dxa"/>
            <w:vAlign w:val="bottom"/>
          </w:tcPr>
          <w:p>
            <w:pPr>
              <w:spacing w:after="0"/>
              <w:rPr>
                <w:sz w:val="9"/>
                <w:szCs w:val="9"/>
                <w:color w:val="auto"/>
              </w:rPr>
            </w:pPr>
          </w:p>
        </w:tc>
        <w:tc>
          <w:tcPr>
            <w:tcW w:w="40" w:type="dxa"/>
            <w:vAlign w:val="bottom"/>
            <w:tcBorders>
              <w:bottom w:val="single" w:sz="8" w:color="005AFF"/>
            </w:tcBorders>
          </w:tcPr>
          <w:p>
            <w:pPr>
              <w:spacing w:after="0"/>
              <w:rPr>
                <w:sz w:val="9"/>
                <w:szCs w:val="9"/>
                <w:color w:val="auto"/>
              </w:rPr>
            </w:pPr>
          </w:p>
        </w:tc>
        <w:tc>
          <w:tcPr>
            <w:tcW w:w="50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8"/>
                <w:szCs w:val="8"/>
                <w:b w:val="1"/>
                <w:bCs w:val="1"/>
                <w:color w:val="005AFF"/>
              </w:rPr>
              <w:t>countries</w:t>
            </w:r>
          </w:p>
        </w:tc>
        <w:tc>
          <w:tcPr>
            <w:tcW w:w="40" w:type="dxa"/>
            <w:vAlign w:val="bottom"/>
          </w:tcPr>
          <w:p>
            <w:pPr>
              <w:spacing w:after="0"/>
              <w:rPr>
                <w:sz w:val="9"/>
                <w:szCs w:val="9"/>
                <w:color w:val="auto"/>
              </w:rPr>
            </w:pPr>
          </w:p>
        </w:tc>
        <w:tc>
          <w:tcPr>
            <w:tcW w:w="5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08"/>
        </w:trPr>
        <w:tc>
          <w:tcPr>
            <w:tcW w:w="680" w:type="dxa"/>
            <w:vAlign w:val="bottom"/>
          </w:tcPr>
          <w:p>
            <w:pPr>
              <w:spacing w:after="0"/>
              <w:rPr>
                <w:sz w:val="9"/>
                <w:szCs w:val="9"/>
                <w:color w:val="auto"/>
              </w:rPr>
            </w:pPr>
          </w:p>
        </w:tc>
        <w:tc>
          <w:tcPr>
            <w:tcW w:w="620" w:type="dxa"/>
            <w:vAlign w:val="bottom"/>
          </w:tcPr>
          <w:p>
            <w:pPr>
              <w:spacing w:after="0"/>
              <w:rPr>
                <w:sz w:val="9"/>
                <w:szCs w:val="9"/>
                <w:color w:val="auto"/>
              </w:rPr>
            </w:pPr>
          </w:p>
        </w:tc>
        <w:tc>
          <w:tcPr>
            <w:tcW w:w="1280" w:type="dxa"/>
            <w:vAlign w:val="bottom"/>
            <w:gridSpan w:val="3"/>
          </w:tcPr>
          <w:p>
            <w:pPr>
              <w:ind w:left="680"/>
              <w:spacing w:after="0"/>
              <w:rPr>
                <w:sz w:val="20"/>
                <w:szCs w:val="20"/>
                <w:color w:val="auto"/>
              </w:rPr>
            </w:pPr>
            <w:r>
              <w:rPr>
                <w:rFonts w:ascii="Times New Roman" w:cs="Times New Roman" w:eastAsia="Times New Roman" w:hAnsi="Times New Roman"/>
                <w:sz w:val="8"/>
                <w:szCs w:val="8"/>
                <w:b w:val="1"/>
                <w:bCs w:val="1"/>
                <w:color w:val="005AFF"/>
              </w:rPr>
              <w:t>Supplemental</w:t>
            </w: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Formerly union</w:t>
            </w:r>
          </w:p>
        </w:tc>
        <w:tc>
          <w:tcPr>
            <w:tcW w:w="660" w:type="dxa"/>
            <w:vAlign w:val="bottom"/>
            <w:gridSpan w:val="3"/>
          </w:tcPr>
          <w:p>
            <w:pPr>
              <w:jc w:val="right"/>
              <w:ind w:right="140"/>
              <w:spacing w:after="0"/>
              <w:rPr>
                <w:sz w:val="20"/>
                <w:szCs w:val="20"/>
                <w:color w:val="auto"/>
              </w:rPr>
            </w:pPr>
            <w:r>
              <w:rPr>
                <w:rFonts w:ascii="Times New Roman" w:cs="Times New Roman" w:eastAsia="Times New Roman" w:hAnsi="Times New Roman"/>
                <w:sz w:val="8"/>
                <w:szCs w:val="8"/>
                <w:b w:val="1"/>
                <w:bCs w:val="1"/>
                <w:color w:val="005AFF"/>
              </w:rPr>
              <w:t>Non-union</w:t>
            </w:r>
          </w:p>
        </w:tc>
        <w:tc>
          <w:tcPr>
            <w:tcW w:w="500" w:type="dxa"/>
            <w:vAlign w:val="bottom"/>
          </w:tcPr>
          <w:p>
            <w:pPr>
              <w:spacing w:after="0"/>
              <w:rPr>
                <w:sz w:val="9"/>
                <w:szCs w:val="9"/>
                <w:color w:val="auto"/>
              </w:rPr>
            </w:pPr>
          </w:p>
        </w:tc>
        <w:tc>
          <w:tcPr>
            <w:tcW w:w="40" w:type="dxa"/>
            <w:vAlign w:val="bottom"/>
          </w:tcPr>
          <w:p>
            <w:pPr>
              <w:spacing w:after="0"/>
              <w:rPr>
                <w:sz w:val="9"/>
                <w:szCs w:val="9"/>
                <w:color w:val="auto"/>
              </w:rPr>
            </w:pPr>
          </w:p>
        </w:tc>
        <w:tc>
          <w:tcPr>
            <w:tcW w:w="520" w:type="dxa"/>
            <w:vAlign w:val="bottom"/>
          </w:tcPr>
          <w:p>
            <w:pPr>
              <w:spacing w:after="0"/>
              <w:rPr>
                <w:sz w:val="9"/>
                <w:szCs w:val="9"/>
                <w:color w:val="auto"/>
              </w:rPr>
            </w:pPr>
          </w:p>
        </w:tc>
      </w:tr>
      <w:tr>
        <w:trPr>
          <w:trHeight w:val="114"/>
        </w:trPr>
        <w:tc>
          <w:tcPr>
            <w:tcW w:w="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Management</w:t>
            </w:r>
          </w:p>
        </w:tc>
        <w:tc>
          <w:tcPr>
            <w:tcW w:w="920" w:type="dxa"/>
            <w:vAlign w:val="bottom"/>
            <w:tcBorders>
              <w:bottom w:val="single" w:sz="8" w:color="005AFF"/>
            </w:tcBorders>
          </w:tcPr>
          <w:p>
            <w:pPr>
              <w:jc w:val="right"/>
              <w:ind w:right="333"/>
              <w:spacing w:after="0"/>
              <w:rPr>
                <w:sz w:val="20"/>
                <w:szCs w:val="20"/>
                <w:color w:val="auto"/>
              </w:rPr>
            </w:pPr>
            <w:r>
              <w:rPr>
                <w:rFonts w:ascii="Times New Roman" w:cs="Times New Roman" w:eastAsia="Times New Roman" w:hAnsi="Times New Roman"/>
                <w:sz w:val="8"/>
                <w:szCs w:val="8"/>
                <w:b w:val="1"/>
                <w:bCs w:val="1"/>
                <w:color w:val="005AFF"/>
              </w:rPr>
              <w:t>Occupational</w:t>
            </w:r>
          </w:p>
        </w:tc>
        <w:tc>
          <w:tcPr>
            <w:tcW w:w="360" w:type="dxa"/>
            <w:vAlign w:val="bottom"/>
            <w:tcBorders>
              <w:bottom w:val="single" w:sz="8" w:color="005AFF"/>
            </w:tcBorders>
            <w:gridSpan w:val="2"/>
          </w:tcPr>
          <w:p>
            <w:pPr>
              <w:ind w:left="80"/>
              <w:spacing w:after="0"/>
              <w:rPr>
                <w:sz w:val="20"/>
                <w:szCs w:val="20"/>
                <w:color w:val="auto"/>
              </w:rPr>
            </w:pPr>
            <w:r>
              <w:rPr>
                <w:rFonts w:ascii="Times New Roman" w:cs="Times New Roman" w:eastAsia="Times New Roman" w:hAnsi="Times New Roman"/>
                <w:sz w:val="8"/>
                <w:szCs w:val="8"/>
                <w:b w:val="1"/>
                <w:bCs w:val="1"/>
                <w:color w:val="005AFF"/>
              </w:rPr>
              <w:t>plans</w:t>
            </w:r>
          </w:p>
        </w:tc>
        <w:tc>
          <w:tcPr>
            <w:tcW w:w="680" w:type="dxa"/>
            <w:vAlign w:val="bottom"/>
            <w:tcBorders>
              <w:bottom w:val="single" w:sz="8" w:color="005AFF"/>
            </w:tcBorders>
          </w:tcPr>
          <w:p>
            <w:pPr>
              <w:ind w:left="160"/>
              <w:spacing w:after="0"/>
              <w:rPr>
                <w:sz w:val="20"/>
                <w:szCs w:val="20"/>
                <w:color w:val="auto"/>
              </w:rPr>
            </w:pPr>
            <w:r>
              <w:rPr>
                <w:rFonts w:ascii="Times New Roman" w:cs="Times New Roman" w:eastAsia="Times New Roman" w:hAnsi="Times New Roman"/>
                <w:sz w:val="8"/>
                <w:szCs w:val="8"/>
                <w:b w:val="1"/>
                <w:bCs w:val="1"/>
                <w:color w:val="005AFF"/>
              </w:rPr>
              <w:t>represented</w:t>
            </w:r>
          </w:p>
        </w:tc>
        <w:tc>
          <w:tcPr>
            <w:tcW w:w="660" w:type="dxa"/>
            <w:vAlign w:val="bottom"/>
            <w:tcBorders>
              <w:bottom w:val="single" w:sz="8" w:color="005AFF"/>
            </w:tcBorders>
            <w:gridSpan w:val="3"/>
          </w:tcPr>
          <w:p>
            <w:pPr>
              <w:ind w:left="80"/>
              <w:spacing w:after="0"/>
              <w:rPr>
                <w:sz w:val="20"/>
                <w:szCs w:val="20"/>
                <w:color w:val="auto"/>
              </w:rPr>
            </w:pPr>
            <w:r>
              <w:rPr>
                <w:rFonts w:ascii="Times New Roman" w:cs="Times New Roman" w:eastAsia="Times New Roman" w:hAnsi="Times New Roman"/>
                <w:sz w:val="8"/>
                <w:szCs w:val="8"/>
                <w:b w:val="1"/>
                <w:bCs w:val="1"/>
                <w:color w:val="005AFF"/>
              </w:rPr>
              <w:t>represented</w:t>
            </w:r>
          </w:p>
        </w:tc>
        <w:tc>
          <w:tcPr>
            <w:tcW w:w="500" w:type="dxa"/>
            <w:vAlign w:val="bottom"/>
            <w:tcBorders>
              <w:bottom w:val="single" w:sz="8" w:color="005AFF"/>
            </w:tcBorders>
          </w:tcPr>
          <w:p>
            <w:pPr>
              <w:spacing w:after="0"/>
              <w:rPr>
                <w:sz w:val="9"/>
                <w:szCs w:val="9"/>
                <w:color w:val="auto"/>
              </w:rPr>
            </w:pPr>
          </w:p>
        </w:tc>
        <w:tc>
          <w:tcPr>
            <w:tcW w:w="40" w:type="dxa"/>
            <w:vAlign w:val="bottom"/>
            <w:tcBorders>
              <w:bottom w:val="single" w:sz="8" w:color="005AFF"/>
            </w:tcBorders>
          </w:tcPr>
          <w:p>
            <w:pPr>
              <w:spacing w:after="0"/>
              <w:rPr>
                <w:sz w:val="9"/>
                <w:szCs w:val="9"/>
                <w:color w:val="auto"/>
              </w:rPr>
            </w:pPr>
          </w:p>
        </w:tc>
        <w:tc>
          <w:tcPr>
            <w:tcW w:w="520" w:type="dxa"/>
            <w:vAlign w:val="bottom"/>
            <w:tcBorders>
              <w:bottom w:val="single" w:sz="8" w:color="005AFF"/>
            </w:tcBorders>
          </w:tcPr>
          <w:p>
            <w:pPr>
              <w:spacing w:after="0"/>
              <w:rPr>
                <w:sz w:val="9"/>
                <w:szCs w:val="9"/>
                <w:color w:val="auto"/>
              </w:rPr>
            </w:pPr>
          </w:p>
        </w:tc>
      </w:tr>
      <w:tr>
        <w:trPr>
          <w:trHeight w:val="140"/>
        </w:trPr>
        <w:tc>
          <w:tcPr>
            <w:tcW w:w="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2024</w:t>
            </w:r>
          </w:p>
        </w:tc>
        <w:tc>
          <w:tcPr>
            <w:tcW w:w="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1 058</w:t>
            </w:r>
          </w:p>
        </w:tc>
        <w:tc>
          <w:tcPr>
            <w:tcW w:w="920" w:type="dxa"/>
            <w:vAlign w:val="bottom"/>
          </w:tcPr>
          <w:p>
            <w:pPr>
              <w:jc w:val="right"/>
              <w:ind w:right="353"/>
              <w:spacing w:after="0"/>
              <w:rPr>
                <w:sz w:val="20"/>
                <w:szCs w:val="20"/>
                <w:color w:val="auto"/>
              </w:rPr>
            </w:pPr>
            <w:r>
              <w:rPr>
                <w:rFonts w:ascii="Times New Roman" w:cs="Times New Roman" w:eastAsia="Times New Roman" w:hAnsi="Times New Roman"/>
                <w:sz w:val="10"/>
                <w:szCs w:val="10"/>
                <w:color w:val="0D0D0D"/>
              </w:rPr>
              <w:t>217</w:t>
            </w:r>
          </w:p>
        </w:tc>
        <w:tc>
          <w:tcPr>
            <w:tcW w:w="3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25</w:t>
            </w:r>
          </w:p>
        </w:tc>
        <w:tc>
          <w:tcPr>
            <w:tcW w:w="40" w:type="dxa"/>
            <w:vAlign w:val="bottom"/>
          </w:tcPr>
          <w:p>
            <w:pPr>
              <w:spacing w:after="0"/>
              <w:rPr>
                <w:sz w:val="12"/>
                <w:szCs w:val="12"/>
                <w:color w:val="auto"/>
              </w:rPr>
            </w:pP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65</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57</w:t>
            </w:r>
          </w:p>
        </w:tc>
        <w:tc>
          <w:tcPr>
            <w:tcW w:w="4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5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273</w:t>
            </w:r>
          </w:p>
        </w:tc>
        <w:tc>
          <w:tcPr>
            <w:tcW w:w="40" w:type="dxa"/>
            <w:vAlign w:val="bottom"/>
          </w:tcPr>
          <w:p>
            <w:pPr>
              <w:spacing w:after="0"/>
              <w:rPr>
                <w:sz w:val="12"/>
                <w:szCs w:val="12"/>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1 695</w:t>
            </w:r>
          </w:p>
        </w:tc>
      </w:tr>
      <w:tr>
        <w:trPr>
          <w:trHeight w:val="162"/>
        </w:trPr>
        <w:tc>
          <w:tcPr>
            <w:tcW w:w="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2025</w:t>
            </w:r>
          </w:p>
        </w:tc>
        <w:tc>
          <w:tcPr>
            <w:tcW w:w="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950</w:t>
            </w:r>
          </w:p>
        </w:tc>
        <w:tc>
          <w:tcPr>
            <w:tcW w:w="920" w:type="dxa"/>
            <w:vAlign w:val="bottom"/>
          </w:tcPr>
          <w:p>
            <w:pPr>
              <w:jc w:val="right"/>
              <w:ind w:right="353"/>
              <w:spacing w:after="0"/>
              <w:rPr>
                <w:sz w:val="20"/>
                <w:szCs w:val="20"/>
                <w:color w:val="auto"/>
              </w:rPr>
            </w:pPr>
            <w:r>
              <w:rPr>
                <w:rFonts w:ascii="Times New Roman" w:cs="Times New Roman" w:eastAsia="Times New Roman" w:hAnsi="Times New Roman"/>
                <w:sz w:val="10"/>
                <w:szCs w:val="10"/>
                <w:color w:val="0D0D0D"/>
              </w:rPr>
              <w:t>202</w:t>
            </w:r>
          </w:p>
        </w:tc>
        <w:tc>
          <w:tcPr>
            <w:tcW w:w="3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25</w:t>
            </w:r>
          </w:p>
        </w:tc>
        <w:tc>
          <w:tcPr>
            <w:tcW w:w="40" w:type="dxa"/>
            <w:vAlign w:val="bottom"/>
          </w:tcPr>
          <w:p>
            <w:pPr>
              <w:spacing w:after="0"/>
              <w:rPr>
                <w:sz w:val="14"/>
                <w:szCs w:val="14"/>
                <w:color w:val="auto"/>
              </w:rPr>
            </w:pP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56</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57</w:t>
            </w:r>
          </w:p>
        </w:tc>
        <w:tc>
          <w:tcPr>
            <w:tcW w:w="4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5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248</w:t>
            </w:r>
          </w:p>
        </w:tc>
        <w:tc>
          <w:tcPr>
            <w:tcW w:w="40" w:type="dxa"/>
            <w:vAlign w:val="bottom"/>
          </w:tcPr>
          <w:p>
            <w:pPr>
              <w:spacing w:after="0"/>
              <w:rPr>
                <w:sz w:val="14"/>
                <w:szCs w:val="14"/>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1 538</w:t>
            </w:r>
          </w:p>
        </w:tc>
      </w:tr>
      <w:tr>
        <w:trPr>
          <w:trHeight w:val="162"/>
        </w:trPr>
        <w:tc>
          <w:tcPr>
            <w:tcW w:w="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2026</w:t>
            </w:r>
          </w:p>
        </w:tc>
        <w:tc>
          <w:tcPr>
            <w:tcW w:w="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909</w:t>
            </w:r>
          </w:p>
        </w:tc>
        <w:tc>
          <w:tcPr>
            <w:tcW w:w="920" w:type="dxa"/>
            <w:vAlign w:val="bottom"/>
          </w:tcPr>
          <w:p>
            <w:pPr>
              <w:jc w:val="right"/>
              <w:ind w:right="353"/>
              <w:spacing w:after="0"/>
              <w:rPr>
                <w:sz w:val="20"/>
                <w:szCs w:val="20"/>
                <w:color w:val="auto"/>
              </w:rPr>
            </w:pPr>
            <w:r>
              <w:rPr>
                <w:rFonts w:ascii="Times New Roman" w:cs="Times New Roman" w:eastAsia="Times New Roman" w:hAnsi="Times New Roman"/>
                <w:sz w:val="10"/>
                <w:szCs w:val="10"/>
                <w:color w:val="0D0D0D"/>
              </w:rPr>
              <w:t>190</w:t>
            </w:r>
          </w:p>
        </w:tc>
        <w:tc>
          <w:tcPr>
            <w:tcW w:w="3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24</w:t>
            </w:r>
          </w:p>
        </w:tc>
        <w:tc>
          <w:tcPr>
            <w:tcW w:w="40" w:type="dxa"/>
            <w:vAlign w:val="bottom"/>
          </w:tcPr>
          <w:p>
            <w:pPr>
              <w:spacing w:after="0"/>
              <w:rPr>
                <w:sz w:val="14"/>
                <w:szCs w:val="14"/>
                <w:color w:val="auto"/>
              </w:rPr>
            </w:pP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55</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58</w:t>
            </w:r>
          </w:p>
        </w:tc>
        <w:tc>
          <w:tcPr>
            <w:tcW w:w="4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5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252</w:t>
            </w:r>
          </w:p>
        </w:tc>
        <w:tc>
          <w:tcPr>
            <w:tcW w:w="40" w:type="dxa"/>
            <w:vAlign w:val="bottom"/>
          </w:tcPr>
          <w:p>
            <w:pPr>
              <w:spacing w:after="0"/>
              <w:rPr>
                <w:sz w:val="14"/>
                <w:szCs w:val="14"/>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1 488</w:t>
            </w:r>
          </w:p>
        </w:tc>
      </w:tr>
      <w:tr>
        <w:trPr>
          <w:trHeight w:val="162"/>
        </w:trPr>
        <w:tc>
          <w:tcPr>
            <w:tcW w:w="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2027</w:t>
            </w:r>
          </w:p>
        </w:tc>
        <w:tc>
          <w:tcPr>
            <w:tcW w:w="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861</w:t>
            </w:r>
          </w:p>
        </w:tc>
        <w:tc>
          <w:tcPr>
            <w:tcW w:w="920" w:type="dxa"/>
            <w:vAlign w:val="bottom"/>
          </w:tcPr>
          <w:p>
            <w:pPr>
              <w:jc w:val="right"/>
              <w:ind w:right="353"/>
              <w:spacing w:after="0"/>
              <w:rPr>
                <w:sz w:val="20"/>
                <w:szCs w:val="20"/>
                <w:color w:val="auto"/>
              </w:rPr>
            </w:pPr>
            <w:r>
              <w:rPr>
                <w:rFonts w:ascii="Times New Roman" w:cs="Times New Roman" w:eastAsia="Times New Roman" w:hAnsi="Times New Roman"/>
                <w:sz w:val="10"/>
                <w:szCs w:val="10"/>
                <w:color w:val="0D0D0D"/>
              </w:rPr>
              <w:t>177</w:t>
            </w:r>
          </w:p>
        </w:tc>
        <w:tc>
          <w:tcPr>
            <w:tcW w:w="3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23</w:t>
            </w:r>
          </w:p>
        </w:tc>
        <w:tc>
          <w:tcPr>
            <w:tcW w:w="40" w:type="dxa"/>
            <w:vAlign w:val="bottom"/>
          </w:tcPr>
          <w:p>
            <w:pPr>
              <w:spacing w:after="0"/>
              <w:rPr>
                <w:sz w:val="14"/>
                <w:szCs w:val="14"/>
                <w:color w:val="auto"/>
              </w:rPr>
            </w:pP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47</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58</w:t>
            </w:r>
          </w:p>
        </w:tc>
        <w:tc>
          <w:tcPr>
            <w:tcW w:w="4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5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252</w:t>
            </w:r>
          </w:p>
        </w:tc>
        <w:tc>
          <w:tcPr>
            <w:tcW w:w="40" w:type="dxa"/>
            <w:vAlign w:val="bottom"/>
          </w:tcPr>
          <w:p>
            <w:pPr>
              <w:spacing w:after="0"/>
              <w:rPr>
                <w:sz w:val="14"/>
                <w:szCs w:val="14"/>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1 418</w:t>
            </w:r>
          </w:p>
        </w:tc>
      </w:tr>
      <w:tr>
        <w:trPr>
          <w:trHeight w:val="162"/>
        </w:trPr>
        <w:tc>
          <w:tcPr>
            <w:tcW w:w="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2028</w:t>
            </w:r>
          </w:p>
        </w:tc>
        <w:tc>
          <w:tcPr>
            <w:tcW w:w="6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811</w:t>
            </w:r>
          </w:p>
        </w:tc>
        <w:tc>
          <w:tcPr>
            <w:tcW w:w="920" w:type="dxa"/>
            <w:vAlign w:val="bottom"/>
          </w:tcPr>
          <w:p>
            <w:pPr>
              <w:jc w:val="right"/>
              <w:ind w:right="353"/>
              <w:spacing w:after="0"/>
              <w:rPr>
                <w:sz w:val="20"/>
                <w:szCs w:val="20"/>
                <w:color w:val="auto"/>
              </w:rPr>
            </w:pPr>
            <w:r>
              <w:rPr>
                <w:rFonts w:ascii="Times New Roman" w:cs="Times New Roman" w:eastAsia="Times New Roman" w:hAnsi="Times New Roman"/>
                <w:sz w:val="10"/>
                <w:szCs w:val="10"/>
                <w:color w:val="0D0D0D"/>
              </w:rPr>
              <w:t>165</w:t>
            </w:r>
          </w:p>
        </w:tc>
        <w:tc>
          <w:tcPr>
            <w:tcW w:w="3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23</w:t>
            </w:r>
          </w:p>
        </w:tc>
        <w:tc>
          <w:tcPr>
            <w:tcW w:w="40" w:type="dxa"/>
            <w:vAlign w:val="bottom"/>
          </w:tcPr>
          <w:p>
            <w:pPr>
              <w:spacing w:after="0"/>
              <w:rPr>
                <w:sz w:val="14"/>
                <w:szCs w:val="14"/>
                <w:color w:val="auto"/>
              </w:rPr>
            </w:pPr>
          </w:p>
        </w:tc>
        <w:tc>
          <w:tcPr>
            <w:tcW w:w="6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77</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58</w:t>
            </w:r>
          </w:p>
        </w:tc>
        <w:tc>
          <w:tcPr>
            <w:tcW w:w="4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50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252</w:t>
            </w:r>
          </w:p>
        </w:tc>
        <w:tc>
          <w:tcPr>
            <w:tcW w:w="40" w:type="dxa"/>
            <w:vAlign w:val="bottom"/>
          </w:tcPr>
          <w:p>
            <w:pPr>
              <w:spacing w:after="0"/>
              <w:rPr>
                <w:sz w:val="14"/>
                <w:szCs w:val="14"/>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1 386</w:t>
            </w:r>
          </w:p>
        </w:tc>
      </w:tr>
      <w:tr>
        <w:trPr>
          <w:trHeight w:val="167"/>
        </w:trPr>
        <w:tc>
          <w:tcPr>
            <w:tcW w:w="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2029-2033</w:t>
            </w:r>
          </w:p>
        </w:tc>
        <w:tc>
          <w:tcPr>
            <w:tcW w:w="6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3 374</w:t>
            </w:r>
          </w:p>
        </w:tc>
        <w:tc>
          <w:tcPr>
            <w:tcW w:w="920" w:type="dxa"/>
            <w:vAlign w:val="bottom"/>
            <w:tcBorders>
              <w:bottom w:val="single" w:sz="8" w:color="005AFF"/>
            </w:tcBorders>
          </w:tcPr>
          <w:p>
            <w:pPr>
              <w:jc w:val="right"/>
              <w:ind w:right="353"/>
              <w:spacing w:after="0"/>
              <w:rPr>
                <w:sz w:val="20"/>
                <w:szCs w:val="20"/>
                <w:color w:val="auto"/>
              </w:rPr>
            </w:pPr>
            <w:r>
              <w:rPr>
                <w:rFonts w:ascii="Times New Roman" w:cs="Times New Roman" w:eastAsia="Times New Roman" w:hAnsi="Times New Roman"/>
                <w:sz w:val="10"/>
                <w:szCs w:val="10"/>
                <w:color w:val="0D0D0D"/>
              </w:rPr>
              <w:t>655</w:t>
            </w:r>
          </w:p>
        </w:tc>
        <w:tc>
          <w:tcPr>
            <w:tcW w:w="3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99</w:t>
            </w:r>
          </w:p>
        </w:tc>
        <w:tc>
          <w:tcPr>
            <w:tcW w:w="4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309</w:t>
            </w:r>
          </w:p>
        </w:tc>
        <w:tc>
          <w:tcPr>
            <w:tcW w:w="5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292</w:t>
            </w:r>
          </w:p>
        </w:tc>
        <w:tc>
          <w:tcPr>
            <w:tcW w:w="40" w:type="dxa"/>
            <w:vAlign w:val="bottom"/>
            <w:tcBorders>
              <w:bottom w:val="single" w:sz="8" w:color="005AFF"/>
            </w:tcBorders>
          </w:tcPr>
          <w:p>
            <w:pPr>
              <w:spacing w:after="0"/>
              <w:rPr>
                <w:sz w:val="14"/>
                <w:szCs w:val="14"/>
                <w:color w:val="auto"/>
              </w:rPr>
            </w:pPr>
          </w:p>
        </w:tc>
        <w:tc>
          <w:tcPr>
            <w:tcW w:w="4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1 391</w:t>
            </w:r>
          </w:p>
        </w:tc>
        <w:tc>
          <w:tcPr>
            <w:tcW w:w="4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6 120</w:t>
            </w:r>
          </w:p>
        </w:tc>
      </w:tr>
      <w:tr>
        <w:trPr>
          <w:trHeight w:val="245"/>
        </w:trPr>
        <w:tc>
          <w:tcPr>
            <w:tcW w:w="4460" w:type="dxa"/>
            <w:vAlign w:val="bottom"/>
            <w:gridSpan w:val="11"/>
          </w:tcPr>
          <w:p>
            <w:pPr>
              <w:ind w:left="20"/>
              <w:spacing w:after="0"/>
              <w:rPr>
                <w:sz w:val="20"/>
                <w:szCs w:val="20"/>
                <w:color w:val="auto"/>
              </w:rPr>
            </w:pPr>
            <w:r>
              <w:rPr>
                <w:rFonts w:ascii="Times New Roman" w:cs="Times New Roman" w:eastAsia="Times New Roman" w:hAnsi="Times New Roman"/>
                <w:sz w:val="11"/>
                <w:szCs w:val="11"/>
                <w:color w:val="auto"/>
              </w:rPr>
              <w:t>Benefits are paid from plan assets where there is sufficient funding available to the plan to cover</w:t>
            </w:r>
          </w:p>
        </w:tc>
        <w:tc>
          <w:tcPr>
            <w:tcW w:w="520" w:type="dxa"/>
            <w:vAlign w:val="bottom"/>
          </w:tcPr>
          <w:p>
            <w:pPr>
              <w:spacing w:after="0"/>
              <w:rPr>
                <w:sz w:val="21"/>
                <w:szCs w:val="21"/>
                <w:color w:val="auto"/>
              </w:rPr>
            </w:pPr>
          </w:p>
        </w:tc>
      </w:tr>
      <w:tr>
        <w:trPr>
          <w:trHeight w:val="142"/>
        </w:trPr>
        <w:tc>
          <w:tcPr>
            <w:tcW w:w="4460" w:type="dxa"/>
            <w:vAlign w:val="bottom"/>
            <w:gridSpan w:val="11"/>
          </w:tcPr>
          <w:p>
            <w:pPr>
              <w:ind w:left="20"/>
              <w:spacing w:after="0"/>
              <w:rPr>
                <w:sz w:val="20"/>
                <w:szCs w:val="20"/>
                <w:color w:val="auto"/>
              </w:rPr>
            </w:pPr>
            <w:r>
              <w:rPr>
                <w:rFonts w:ascii="Times New Roman" w:cs="Times New Roman" w:eastAsia="Times New Roman" w:hAnsi="Times New Roman"/>
                <w:sz w:val="11"/>
                <w:szCs w:val="11"/>
                <w:color w:val="auto"/>
              </w:rPr>
              <w:t>the benefit obligation. Any payments in excess of the plan assets are paid directly by Nokia.</w:t>
            </w:r>
          </w:p>
        </w:tc>
        <w:tc>
          <w:tcPr>
            <w:tcW w:w="520" w:type="dxa"/>
            <w:vAlign w:val="bottom"/>
          </w:tcPr>
          <w:p>
            <w:pPr>
              <w:spacing w:after="0"/>
              <w:rPr>
                <w:sz w:val="12"/>
                <w:szCs w:val="12"/>
                <w:color w:val="auto"/>
              </w:rPr>
            </w:pPr>
          </w:p>
        </w:tc>
      </w:tr>
      <w:tr>
        <w:trPr>
          <w:trHeight w:val="148"/>
        </w:trPr>
        <w:tc>
          <w:tcPr>
            <w:tcW w:w="222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Direct benefit payments expected to be paid in</w:t>
            </w:r>
          </w:p>
        </w:tc>
        <w:tc>
          <w:tcPr>
            <w:tcW w:w="1040" w:type="dxa"/>
            <w:vAlign w:val="bottom"/>
            <w:gridSpan w:val="3"/>
          </w:tcPr>
          <w:p>
            <w:pPr>
              <w:jc w:val="right"/>
              <w:spacing w:after="0"/>
              <w:rPr>
                <w:sz w:val="20"/>
                <w:szCs w:val="20"/>
                <w:color w:val="auto"/>
              </w:rPr>
            </w:pPr>
            <w:r>
              <w:rPr>
                <w:rFonts w:ascii="Times New Roman" w:cs="Times New Roman" w:eastAsia="Times New Roman" w:hAnsi="Times New Roman"/>
                <w:sz w:val="11"/>
                <w:szCs w:val="11"/>
                <w:color w:val="auto"/>
              </w:rPr>
              <w:t>2024 total EUR</w:t>
            </w:r>
          </w:p>
        </w:tc>
        <w:tc>
          <w:tcPr>
            <w:tcW w:w="66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111 million.</w:t>
            </w:r>
          </w:p>
        </w:tc>
        <w:tc>
          <w:tcPr>
            <w:tcW w:w="500" w:type="dxa"/>
            <w:vAlign w:val="bottom"/>
          </w:tcPr>
          <w:p>
            <w:pPr>
              <w:spacing w:after="0"/>
              <w:rPr>
                <w:sz w:val="12"/>
                <w:szCs w:val="12"/>
                <w:color w:val="auto"/>
              </w:rPr>
            </w:pPr>
          </w:p>
        </w:tc>
        <w:tc>
          <w:tcPr>
            <w:tcW w:w="40" w:type="dxa"/>
            <w:vAlign w:val="bottom"/>
          </w:tcPr>
          <w:p>
            <w:pPr>
              <w:spacing w:after="0"/>
              <w:rPr>
                <w:sz w:val="12"/>
                <w:szCs w:val="12"/>
                <w:color w:val="auto"/>
              </w:rPr>
            </w:pPr>
          </w:p>
        </w:tc>
        <w:tc>
          <w:tcPr>
            <w:tcW w:w="520" w:type="dxa"/>
            <w:vAlign w:val="bottom"/>
          </w:tcPr>
          <w:p>
            <w:pPr>
              <w:spacing w:after="0"/>
              <w:rPr>
                <w:sz w:val="12"/>
                <w:szCs w:val="12"/>
                <w:color w:val="auto"/>
              </w:rPr>
            </w:pPr>
          </w:p>
        </w:tc>
      </w:tr>
    </w:tbl>
    <w:p>
      <w:pPr>
        <w:sectPr>
          <w:pgSz w:w="11900" w:h="16838" w:orient="portrait"/>
          <w:cols w:equalWidth="0" w:num="2">
            <w:col w:w="4680" w:space="400"/>
            <w:col w:w="4980"/>
          </w:cols>
          <w:pgMar w:left="960" w:top="410" w:right="879" w:bottom="1440" w:gutter="0" w:footer="0" w:header="0"/>
          <w:type w:val="continuous"/>
        </w:sectPr>
      </w:pPr>
    </w:p>
    <w:bookmarkStart w:id="179" w:name="page180"/>
    <w:bookmarkEnd w:id="179"/>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0" w:lineRule="exact"/>
        <w:rPr>
          <w:sz w:val="20"/>
          <w:szCs w:val="20"/>
          <w:color w:val="auto"/>
        </w:r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4</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172</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06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3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4.1. Goodwill and intangible assets</w:t>
      </w:r>
    </w:p>
    <w:p>
      <w:pPr>
        <w:spacing w:after="0" w:line="104" w:lineRule="exact"/>
        <w:rPr>
          <w:sz w:val="20"/>
          <w:szCs w:val="20"/>
          <w:color w:val="auto"/>
        </w:rPr>
      </w:pPr>
    </w:p>
    <w:p>
      <w:pPr>
        <w:sectPr>
          <w:pgSz w:w="11900" w:h="16838" w:orient="portrait"/>
          <w:cols w:equalWidth="0" w:num="2">
            <w:col w:w="3120" w:space="280"/>
            <w:col w:w="6580"/>
          </w:cols>
          <w:pgMar w:left="960" w:top="410" w:right="959" w:bottom="1440" w:gutter="0" w:footer="0" w:header="0"/>
        </w:sectPr>
      </w:pPr>
    </w:p>
    <w:p>
      <w:pPr>
        <w:jc w:val="both"/>
        <w:ind w:right="1060"/>
        <w:spacing w:after="0" w:line="235" w:lineRule="auto"/>
        <w:rPr>
          <w:sz w:val="20"/>
          <w:szCs w:val="20"/>
          <w:color w:val="auto"/>
        </w:rPr>
      </w:pPr>
      <w:r>
        <w:rPr>
          <w:rFonts w:ascii="Times New Roman" w:cs="Times New Roman" w:eastAsia="Times New Roman" w:hAnsi="Times New Roman"/>
          <w:sz w:val="45"/>
          <w:szCs w:val="45"/>
          <w:color w:val="auto"/>
        </w:rPr>
        <w:t>Operating assets and liabilities</w:t>
      </w:r>
    </w:p>
    <w:p>
      <w:pPr>
        <w:spacing w:after="0" w:line="81"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3"/>
          <w:szCs w:val="13"/>
          <w:color w:val="auto"/>
        </w:rPr>
        <w:t>This section provides detailed information on Nokia’s assets and liabilities related to its operating activities such as tangible and intangible fixed assets, leases, inventories, trade receivables and other customer related balances, and provisions.</w:t>
      </w:r>
    </w:p>
    <w:p>
      <w:pPr>
        <w:spacing w:after="0" w:line="20" w:lineRule="exact"/>
        <w:rPr>
          <w:sz w:val="20"/>
          <w:szCs w:val="20"/>
          <w:color w:val="auto"/>
        </w:rPr>
      </w:pPr>
      <w:r>
        <w:rPr>
          <w:sz w:val="20"/>
          <w:szCs w:val="20"/>
          <w:color w:val="auto"/>
        </w:rPr>
        <w:br w:type="column"/>
      </w:r>
    </w:p>
    <w:p>
      <w:pPr>
        <w:spacing w:after="0" w:line="10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color w:val="auto"/>
        </w:rPr>
        <w:t>Intangible assets acquired separately are measured on initial recognition at cost. Internally generated intangibles, except for development costs that may be capitalized, are expensed as incurred. Development costs are capitalized only if Nokia has the technical feasibility to complete the asset; has an ability and intention to use or sell the asset; can demonstrate that the asset will generate future economic benefits; has resources available to complete the asset; and has the ability to measure reliably the expenditure during development.</w:t>
      </w:r>
    </w:p>
    <w:p>
      <w:pPr>
        <w:spacing w:after="0" w:line="204" w:lineRule="exact"/>
        <w:rPr>
          <w:sz w:val="20"/>
          <w:szCs w:val="20"/>
          <w:color w:val="auto"/>
        </w:rPr>
      </w:pPr>
    </w:p>
    <w:p>
      <w:pPr>
        <w:ind w:right="200"/>
        <w:spacing w:after="0" w:line="262" w:lineRule="auto"/>
        <w:rPr>
          <w:sz w:val="20"/>
          <w:szCs w:val="20"/>
          <w:color w:val="auto"/>
        </w:rPr>
      </w:pPr>
      <w:r>
        <w:rPr>
          <w:rFonts w:ascii="Times New Roman" w:cs="Times New Roman" w:eastAsia="Times New Roman" w:hAnsi="Times New Roman"/>
          <w:sz w:val="11"/>
          <w:szCs w:val="11"/>
          <w:color w:val="auto"/>
        </w:rPr>
        <w:t>The useful life of Nokia’s intangible assets, other than goodwill, is finite. Following initial recognition, finite intangible assets are carried at cost less accumulated amortization and accumulated impairment losses. Intangible</w:t>
      </w:r>
    </w:p>
    <w:p>
      <w:pPr>
        <w:spacing w:after="0"/>
        <w:tabs>
          <w:tab w:leader="none" w:pos="2720" w:val="left"/>
        </w:tabs>
        <w:rPr>
          <w:sz w:val="20"/>
          <w:szCs w:val="20"/>
          <w:color w:val="auto"/>
        </w:rPr>
      </w:pPr>
      <w:r>
        <w:rPr>
          <w:rFonts w:ascii="Times New Roman" w:cs="Times New Roman" w:eastAsia="Times New Roman" w:hAnsi="Times New Roman"/>
          <w:sz w:val="11"/>
          <w:szCs w:val="11"/>
          <w:color w:val="auto"/>
        </w:rPr>
        <w:t>assets are amortized over their useful lives, generally</w:t>
      </w:r>
      <w:r>
        <w:rPr>
          <w:sz w:val="20"/>
          <w:szCs w:val="20"/>
          <w:color w:val="auto"/>
        </w:rPr>
        <w:tab/>
      </w:r>
      <w:r>
        <w:rPr>
          <w:rFonts w:ascii="Times New Roman" w:cs="Times New Roman" w:eastAsia="Times New Roman" w:hAnsi="Times New Roman"/>
          <w:sz w:val="11"/>
          <w:szCs w:val="11"/>
          <w:color w:val="auto"/>
        </w:rPr>
        <w:t>three</w:t>
      </w:r>
    </w:p>
    <w:p>
      <w:pPr>
        <w:spacing w:after="0" w:line="20" w:lineRule="exact"/>
        <w:rPr>
          <w:sz w:val="20"/>
          <w:szCs w:val="20"/>
          <w:color w:val="auto"/>
        </w:rPr>
      </w:pPr>
      <w:r>
        <w:rPr>
          <w:sz w:val="20"/>
          <w:szCs w:val="20"/>
          <w:color w:val="auto"/>
        </w:rPr>
        <w:br w:type="column"/>
      </w:r>
    </w:p>
    <w:p>
      <w:pPr>
        <w:spacing w:after="0" w:line="286" w:lineRule="exact"/>
        <w:rPr>
          <w:sz w:val="20"/>
          <w:szCs w:val="20"/>
          <w:color w:val="auto"/>
        </w:rPr>
      </w:pPr>
    </w:p>
    <w:p>
      <w:pPr>
        <w:ind w:right="440"/>
        <w:spacing w:after="0" w:line="265" w:lineRule="auto"/>
        <w:rPr>
          <w:sz w:val="20"/>
          <w:szCs w:val="20"/>
          <w:color w:val="auto"/>
        </w:rPr>
      </w:pPr>
      <w:r>
        <w:rPr>
          <w:rFonts w:ascii="Times New Roman" w:cs="Times New Roman" w:eastAsia="Times New Roman" w:hAnsi="Times New Roman"/>
          <w:sz w:val="11"/>
          <w:szCs w:val="11"/>
          <w:color w:val="auto"/>
        </w:rPr>
        <w:t>Nokia tests the carrying value of goodwill for impairment annually. In addition, Nokia assesses the recoverability of the carrying value of goodwill and intangible assets if events or changes in circumstances indicate that the carrying value may be impaired. Factors that Nokia considers when it reviews indications of impairment include, but are not limited to, underperformance of the asset relative to its historical or projected future results, significant changes in the manner of using the asset or the strategy for the overall business, and significant negative industry or economic trends.</w:t>
      </w:r>
    </w:p>
    <w:p>
      <w:pPr>
        <w:spacing w:after="0" w:line="191" w:lineRule="exact"/>
        <w:rPr>
          <w:sz w:val="20"/>
          <w:szCs w:val="20"/>
          <w:color w:val="auto"/>
        </w:rPr>
      </w:pPr>
    </w:p>
    <w:p>
      <w:pPr>
        <w:jc w:val="both"/>
        <w:ind w:right="520"/>
        <w:spacing w:after="0" w:line="266" w:lineRule="auto"/>
        <w:rPr>
          <w:sz w:val="20"/>
          <w:szCs w:val="20"/>
          <w:color w:val="auto"/>
        </w:rPr>
      </w:pPr>
      <w:r>
        <w:rPr>
          <w:rFonts w:ascii="Times New Roman" w:cs="Times New Roman" w:eastAsia="Times New Roman" w:hAnsi="Times New Roman"/>
          <w:sz w:val="11"/>
          <w:szCs w:val="11"/>
          <w:color w:val="auto"/>
        </w:rPr>
        <w:t>Nokia conducts its impairment testing by determining the recoverable amount for an asset, a cash-generating unit or groups of cash-generating units. The recoverable amount of an asset, a cash-generating unit or groups of cash-</w:t>
      </w:r>
    </w:p>
    <w:p>
      <w:pPr>
        <w:spacing w:after="0" w:line="2" w:lineRule="exact"/>
        <w:rPr>
          <w:sz w:val="20"/>
          <w:szCs w:val="20"/>
          <w:color w:val="auto"/>
        </w:rPr>
      </w:pPr>
    </w:p>
    <w:p>
      <w:pPr>
        <w:sectPr>
          <w:pgSz w:w="11900" w:h="16838" w:orient="portrait"/>
          <w:cols w:equalWidth="0" w:num="3">
            <w:col w:w="2900" w:space="660"/>
            <w:col w:w="2960" w:space="280"/>
            <w:col w:w="3180"/>
          </w:cols>
          <w:pgMar w:left="960" w:top="410" w:right="95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years to ten years , using the straight-line method, which is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considered to best reflect the pattern in which the asset’s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future economic benefits are expected to be consumed.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Depending on the nature of the intangible asset,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amortization charges are included in cost of sales,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research and development expenses or selling, general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administrative expenses.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Goodwill is allocated to the cash-generating units or groups</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cash-generating units that are expected to benefit from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synergies of the related business combination and that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reflect the lowest level at which goodwill is monitored for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internal management purposes. A cash-generating unit, 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determined for the purposes of Nokia’s goodwill impairment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testing, is the smallest group of assets generating cash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inflows that are largely independent of the cash inflows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from other assets or groups of assets. The carrying value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a cash-generating unit includes its share of relevant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corporate assets allocated to it on a reasonable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consistent basis. When the composition of one or more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groups of cash-generating units to which goodwill has been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allocated is changed, the goodwill is reallocated based 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relative fair value of the affected groups of cash-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generating units.</w:t>
      </w:r>
    </w:p>
    <w:p>
      <w:pPr>
        <w:spacing w:after="0" w:line="20" w:lineRule="exact"/>
        <w:rPr>
          <w:sz w:val="20"/>
          <w:szCs w:val="20"/>
          <w:color w:val="auto"/>
        </w:rPr>
      </w:pPr>
      <w:r>
        <w:rPr>
          <w:sz w:val="20"/>
          <w:szCs w:val="20"/>
          <w:color w:val="auto"/>
        </w:rPr>
        <w:br w:type="column"/>
      </w:r>
    </w:p>
    <w:p>
      <w:pPr>
        <w:ind w:right="480"/>
        <w:spacing w:after="0" w:line="260" w:lineRule="auto"/>
        <w:rPr>
          <w:sz w:val="20"/>
          <w:szCs w:val="20"/>
          <w:color w:val="auto"/>
        </w:rPr>
      </w:pPr>
      <w:r>
        <w:rPr>
          <w:rFonts w:ascii="Times New Roman" w:cs="Times New Roman" w:eastAsia="Times New Roman" w:hAnsi="Times New Roman"/>
          <w:sz w:val="11"/>
          <w:szCs w:val="11"/>
          <w:color w:val="auto"/>
        </w:rPr>
        <w:t>generating units is the higher of its fair value less costs of disposal and its value-in-use. The recoverable amount is compared to the asset’s, cash-generating unit’s or groups of cash-generating units’ carrying value. If the recoverable amount for the asset, cash-generating unit or groups of cash-generating units is less than its carrying value, the asset is considered impaired and is written down to its recoverable amount. Impairment losses are presented</w:t>
      </w:r>
    </w:p>
    <w:p>
      <w:pPr>
        <w:spacing w:after="0" w:line="1" w:lineRule="exact"/>
        <w:rPr>
          <w:sz w:val="20"/>
          <w:szCs w:val="20"/>
          <w:color w:val="auto"/>
        </w:rPr>
      </w:pPr>
    </w:p>
    <w:p>
      <w:pPr>
        <w:jc w:val="both"/>
        <w:ind w:right="640"/>
        <w:spacing w:after="0" w:line="268" w:lineRule="auto"/>
        <w:rPr>
          <w:sz w:val="20"/>
          <w:szCs w:val="20"/>
          <w:color w:val="auto"/>
        </w:rPr>
      </w:pPr>
      <w:r>
        <w:rPr>
          <w:rFonts w:ascii="Times New Roman" w:cs="Times New Roman" w:eastAsia="Times New Roman" w:hAnsi="Times New Roman"/>
          <w:sz w:val="11"/>
          <w:szCs w:val="11"/>
          <w:color w:val="auto"/>
        </w:rPr>
        <w:t>in cost of sales, research and development expenses or selling, general and administrative expenses, except for impairment losses on goodwill, which are presented in other operating expenses.</w:t>
      </w:r>
    </w:p>
    <w:p>
      <w:pPr>
        <w:sectPr>
          <w:pgSz w:w="11900" w:h="16838" w:orient="portrait"/>
          <w:cols w:equalWidth="0" w:num="3">
            <w:col w:w="2840" w:space="720"/>
            <w:col w:w="2780" w:space="460"/>
            <w:col w:w="3180"/>
          </w:cols>
          <w:pgMar w:left="960" w:top="410" w:right="959" w:bottom="1440" w:gutter="0" w:footer="0" w:header="0"/>
          <w:type w:val="continuous"/>
        </w:sectPr>
      </w:pPr>
    </w:p>
    <w:bookmarkStart w:id="180" w:name="page181"/>
    <w:bookmarkEnd w:id="180"/>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20"/>
          </w:cols>
          <w:pgMar w:left="960" w:top="410" w:right="91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53"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4560" w:type="dxa"/>
            <w:vAlign w:val="bottom"/>
          </w:tcPr>
          <w:p>
            <w:pPr>
              <w:spacing w:after="0"/>
              <w:rPr>
                <w:sz w:val="8"/>
                <w:szCs w:val="8"/>
                <w:color w:val="auto"/>
              </w:rPr>
            </w:pPr>
          </w:p>
        </w:tc>
        <w:tc>
          <w:tcPr>
            <w:tcW w:w="680" w:type="dxa"/>
            <w:vAlign w:val="bottom"/>
          </w:tcPr>
          <w:p>
            <w:pPr>
              <w:spacing w:after="0"/>
              <w:rPr>
                <w:sz w:val="8"/>
                <w:szCs w:val="8"/>
                <w:color w:val="auto"/>
              </w:rPr>
            </w:pP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Intangible</w:t>
            </w:r>
          </w:p>
        </w:tc>
        <w:tc>
          <w:tcPr>
            <w:tcW w:w="680" w:type="dxa"/>
            <w:vAlign w:val="bottom"/>
          </w:tcPr>
          <w:p>
            <w:pPr>
              <w:spacing w:after="0"/>
              <w:rPr>
                <w:sz w:val="8"/>
                <w:szCs w:val="8"/>
                <w:color w:val="auto"/>
              </w:rPr>
            </w:pPr>
          </w:p>
        </w:tc>
      </w:tr>
      <w:tr>
        <w:trPr>
          <w:trHeight w:val="109"/>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Goodwill</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assets</w:t>
            </w:r>
          </w:p>
        </w:tc>
        <w:tc>
          <w:tcPr>
            <w:tcW w:w="6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35"/>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6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6 799</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9 778</w:t>
            </w:r>
          </w:p>
        </w:tc>
        <w:tc>
          <w:tcPr>
            <w:tcW w:w="68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16 577</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Additions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299</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299</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retirements and reclassifications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(22)</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(45)</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(148)</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(161)</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(309)</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6 629</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9 893</w:t>
            </w:r>
          </w:p>
        </w:tc>
        <w:tc>
          <w:tcPr>
            <w:tcW w:w="68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16 522</w:t>
            </w:r>
          </w:p>
        </w:tc>
      </w:tr>
      <w:tr>
        <w:trPr>
          <w:trHeight w:val="137"/>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amortization and impairment charges at 1 January</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(1 132)</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(8 515)</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(9 647)</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Amortization</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(423)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(423)</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retirements and reclassifications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17</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17</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7</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140</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147</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amortization and impairment charges at 31 December</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(1 125)</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(8 807)</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(9 932)</w:t>
            </w:r>
          </w:p>
        </w:tc>
      </w:tr>
      <w:tr>
        <w:trPr>
          <w:trHeight w:val="177"/>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5 667</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1 263</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6 930</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5 504</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1 086</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6 590</w:t>
            </w:r>
          </w:p>
        </w:tc>
      </w:tr>
      <w:tr>
        <w:trPr>
          <w:trHeight w:val="268"/>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680" w:type="dxa"/>
            <w:vAlign w:val="bottom"/>
          </w:tcPr>
          <w:p>
            <w:pPr>
              <w:spacing w:after="0"/>
              <w:rPr>
                <w:sz w:val="23"/>
                <w:szCs w:val="23"/>
                <w:color w:val="auto"/>
              </w:rPr>
            </w:pPr>
          </w:p>
        </w:tc>
        <w:tc>
          <w:tcPr>
            <w:tcW w:w="680" w:type="dxa"/>
            <w:vAlign w:val="bottom"/>
          </w:tcPr>
          <w:p>
            <w:pPr>
              <w:spacing w:after="0"/>
              <w:rPr>
                <w:sz w:val="23"/>
                <w:szCs w:val="23"/>
                <w:color w:val="auto"/>
              </w:rPr>
            </w:pPr>
          </w:p>
        </w:tc>
        <w:tc>
          <w:tcPr>
            <w:tcW w:w="680" w:type="dxa"/>
            <w:vAlign w:val="bottom"/>
          </w:tcPr>
          <w:p>
            <w:pPr>
              <w:spacing w:after="0"/>
              <w:rPr>
                <w:sz w:val="23"/>
                <w:szCs w:val="23"/>
                <w:color w:val="auto"/>
              </w:rPr>
            </w:pP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6 552</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9 499</w:t>
            </w:r>
          </w:p>
        </w:tc>
        <w:tc>
          <w:tcPr>
            <w:tcW w:w="68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16 051</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Additions</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49</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49</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retirements and reclassifications</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247</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249</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496</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6 799</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9 778</w:t>
            </w:r>
          </w:p>
        </w:tc>
        <w:tc>
          <w:tcPr>
            <w:tcW w:w="68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16 577</w:t>
            </w:r>
          </w:p>
        </w:tc>
      </w:tr>
      <w:tr>
        <w:trPr>
          <w:trHeight w:val="137"/>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amortization and impairment charges at 1 January</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(1 121)</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(7 879)</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(9 000)</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Amortization</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(465)</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(465)</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retirements and reclassifications</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19</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19</w:t>
            </w:r>
          </w:p>
        </w:tc>
      </w:tr>
      <w:tr>
        <w:trPr>
          <w:trHeight w:val="162"/>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(11)</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(190)</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(201)</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amortization and impairment charges at 31 December</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(1 132)</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(8 515)</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(9 647)</w:t>
            </w:r>
          </w:p>
        </w:tc>
      </w:tr>
      <w:tr>
        <w:trPr>
          <w:trHeight w:val="177"/>
        </w:trPr>
        <w:tc>
          <w:tcPr>
            <w:tcW w:w="4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5 431</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1 620</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7 051</w:t>
            </w:r>
          </w:p>
        </w:tc>
      </w:tr>
      <w:tr>
        <w:trPr>
          <w:trHeight w:val="167"/>
        </w:trPr>
        <w:tc>
          <w:tcPr>
            <w:tcW w:w="4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5 667</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1 263</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6 930</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Net book value of intangible assets by type of asset</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2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2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Customer relationships</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605</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923</w:t>
            </w:r>
          </w:p>
        </w:tc>
      </w:tr>
      <w:tr>
        <w:trPr>
          <w:trHeight w:val="162"/>
        </w:trPr>
        <w:tc>
          <w:tcPr>
            <w:tcW w:w="2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Patents and licenses</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316</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151</w:t>
            </w:r>
          </w:p>
        </w:tc>
      </w:tr>
      <w:tr>
        <w:trPr>
          <w:trHeight w:val="162"/>
        </w:trPr>
        <w:tc>
          <w:tcPr>
            <w:tcW w:w="2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Technologies and IPR&amp;D</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31</w:t>
            </w:r>
          </w:p>
        </w:tc>
        <w:tc>
          <w:tcPr>
            <w:tcW w:w="5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83</w:t>
            </w:r>
          </w:p>
        </w:tc>
      </w:tr>
      <w:tr>
        <w:trPr>
          <w:trHeight w:val="167"/>
        </w:trPr>
        <w:tc>
          <w:tcPr>
            <w:tcW w:w="2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Tradenames and other</w:t>
            </w:r>
          </w:p>
        </w:tc>
        <w:tc>
          <w:tcPr>
            <w:tcW w:w="58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134</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106</w:t>
            </w:r>
          </w:p>
        </w:tc>
      </w:tr>
      <w:tr>
        <w:trPr>
          <w:trHeight w:val="142"/>
        </w:trPr>
        <w:tc>
          <w:tcPr>
            <w:tcW w:w="2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80" w:type="dxa"/>
            <w:vAlign w:val="bottom"/>
            <w:tcBorders>
              <w:bottom w:val="single" w:sz="8" w:color="005AFF"/>
            </w:tcBorders>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b w:val="1"/>
                <w:bCs w:val="1"/>
                <w:color w:val="005AFF"/>
              </w:rPr>
              <w:t>1 086</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1 263</w:t>
            </w:r>
          </w:p>
        </w:tc>
      </w:tr>
    </w:tbl>
    <w:p>
      <w:pPr>
        <w:spacing w:after="0" w:line="119" w:lineRule="exact"/>
        <w:rPr>
          <w:sz w:val="20"/>
          <w:szCs w:val="20"/>
          <w:color w:val="auto"/>
        </w:rPr>
      </w:pPr>
    </w:p>
    <w:p>
      <w:pPr>
        <w:spacing w:after="0"/>
        <w:tabs>
          <w:tab w:leader="none" w:pos="1100" w:val="left"/>
        </w:tabs>
        <w:rPr>
          <w:sz w:val="20"/>
          <w:szCs w:val="20"/>
          <w:color w:val="auto"/>
        </w:rPr>
      </w:pPr>
      <w:r>
        <w:rPr>
          <w:rFonts w:ascii="Times New Roman" w:cs="Times New Roman" w:eastAsia="Times New Roman" w:hAnsi="Times New Roman"/>
          <w:sz w:val="11"/>
          <w:szCs w:val="11"/>
          <w:color w:val="auto"/>
        </w:rPr>
        <w:t>At 31 December 2023</w:t>
        <w:tab/>
        <w:t>, the weighted average for the remaining</w:t>
      </w:r>
    </w:p>
    <w:p>
      <w:pPr>
        <w:spacing w:after="0" w:line="22" w:lineRule="exact"/>
        <w:rPr>
          <w:sz w:val="20"/>
          <w:szCs w:val="20"/>
          <w:color w:val="auto"/>
        </w:rPr>
      </w:pPr>
    </w:p>
    <w:p>
      <w:pPr>
        <w:spacing w:after="0"/>
        <w:tabs>
          <w:tab w:leader="none" w:pos="1900" w:val="left"/>
        </w:tabs>
        <w:rPr>
          <w:sz w:val="20"/>
          <w:szCs w:val="20"/>
          <w:color w:val="auto"/>
        </w:rPr>
      </w:pPr>
      <w:r>
        <w:rPr>
          <w:rFonts w:ascii="Times New Roman" w:cs="Times New Roman" w:eastAsia="Times New Roman" w:hAnsi="Times New Roman"/>
          <w:sz w:val="11"/>
          <w:szCs w:val="11"/>
          <w:color w:val="auto"/>
        </w:rPr>
        <w:t>amortization period is approximately</w:t>
      </w:r>
      <w:r>
        <w:rPr>
          <w:sz w:val="20"/>
          <w:szCs w:val="20"/>
          <w:color w:val="auto"/>
        </w:rPr>
        <w:tab/>
      </w:r>
      <w:r>
        <w:rPr>
          <w:rFonts w:ascii="Times New Roman" w:cs="Times New Roman" w:eastAsia="Times New Roman" w:hAnsi="Times New Roman"/>
          <w:sz w:val="11"/>
          <w:szCs w:val="11"/>
          <w:color w:val="auto"/>
        </w:rPr>
        <w:t>two years  for customer</w:t>
      </w:r>
    </w:p>
    <w:p>
      <w:pPr>
        <w:spacing w:after="0" w:line="10" w:lineRule="exact"/>
        <w:rPr>
          <w:sz w:val="20"/>
          <w:szCs w:val="20"/>
          <w:color w:val="auto"/>
        </w:rPr>
      </w:pPr>
    </w:p>
    <w:p>
      <w:pPr>
        <w:spacing w:after="0"/>
        <w:tabs>
          <w:tab w:leader="none" w:pos="700" w:val="left"/>
          <w:tab w:leader="none" w:pos="2440" w:val="left"/>
        </w:tabs>
        <w:rPr>
          <w:sz w:val="20"/>
          <w:szCs w:val="20"/>
          <w:color w:val="auto"/>
        </w:rPr>
      </w:pPr>
      <w:r>
        <w:rPr>
          <w:rFonts w:ascii="Times New Roman" w:cs="Times New Roman" w:eastAsia="Times New Roman" w:hAnsi="Times New Roman"/>
          <w:sz w:val="11"/>
          <w:szCs w:val="11"/>
          <w:color w:val="auto"/>
        </w:rPr>
        <w:t>relationships,</w:t>
        <w:tab/>
        <w:t>six years for patents and licenses,</w:t>
      </w:r>
      <w:r>
        <w:rPr>
          <w:sz w:val="20"/>
          <w:szCs w:val="20"/>
          <w:color w:val="auto"/>
        </w:rPr>
        <w:tab/>
      </w:r>
      <w:r>
        <w:rPr>
          <w:rFonts w:ascii="Times New Roman" w:cs="Times New Roman" w:eastAsia="Times New Roman" w:hAnsi="Times New Roman"/>
          <w:sz w:val="11"/>
          <w:szCs w:val="11"/>
          <w:color w:val="auto"/>
        </w:rPr>
        <w:t>two years  for</w:t>
      </w:r>
    </w:p>
    <w:p>
      <w:pPr>
        <w:spacing w:after="0" w:line="10" w:lineRule="exact"/>
        <w:rPr>
          <w:sz w:val="20"/>
          <w:szCs w:val="20"/>
          <w:color w:val="auto"/>
        </w:rPr>
      </w:pPr>
    </w:p>
    <w:p>
      <w:pPr>
        <w:ind w:right="440"/>
        <w:spacing w:after="0" w:line="278" w:lineRule="auto"/>
        <w:rPr>
          <w:sz w:val="20"/>
          <w:szCs w:val="20"/>
          <w:color w:val="auto"/>
        </w:rPr>
      </w:pPr>
      <w:r>
        <w:rPr>
          <w:rFonts w:ascii="Times New Roman" w:cs="Times New Roman" w:eastAsia="Times New Roman" w:hAnsi="Times New Roman"/>
          <w:sz w:val="11"/>
          <w:szCs w:val="11"/>
          <w:color w:val="auto"/>
        </w:rPr>
        <w:t>technologies and IPR&amp;D, and three years for tradenames and other.</w:t>
      </w:r>
    </w:p>
    <w:p>
      <w:pPr>
        <w:sectPr>
          <w:pgSz w:w="11900" w:h="16838" w:orient="portrait"/>
          <w:cols w:equalWidth="0" w:num="2">
            <w:col w:w="6600" w:space="200"/>
            <w:col w:w="3220"/>
          </w:cols>
          <w:pgMar w:left="960" w:top="410" w:right="919" w:bottom="1440" w:gutter="0" w:footer="0" w:header="0"/>
          <w:type w:val="continuous"/>
        </w:sectPr>
      </w:pPr>
    </w:p>
    <w:bookmarkStart w:id="181" w:name="page182"/>
    <w:bookmarkEnd w:id="181"/>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174</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Goodwill</w:t>
      </w:r>
    </w:p>
    <w:p>
      <w:pPr>
        <w:spacing w:after="0" w:line="32" w:lineRule="exact"/>
        <w:rPr>
          <w:sz w:val="20"/>
          <w:szCs w:val="20"/>
          <w:color w:val="auto"/>
        </w:rPr>
      </w:pPr>
    </w:p>
    <w:p>
      <w:pPr>
        <w:ind w:right="400"/>
        <w:spacing w:after="0" w:line="274" w:lineRule="auto"/>
        <w:rPr>
          <w:sz w:val="20"/>
          <w:szCs w:val="20"/>
          <w:color w:val="auto"/>
        </w:rPr>
      </w:pPr>
      <w:r>
        <w:rPr>
          <w:rFonts w:ascii="Times New Roman" w:cs="Times New Roman" w:eastAsia="Times New Roman" w:hAnsi="Times New Roman"/>
          <w:sz w:val="11"/>
          <w:szCs w:val="11"/>
          <w:color w:val="auto"/>
        </w:rPr>
        <w:t>Nokia has allocated goodwill to its operating segments corresponding to groups of cash-generating units (CGUs) that</w:t>
      </w:r>
    </w:p>
    <w:tbl>
      <w:tblPr>
        <w:tblLayout w:type="fixed"/>
        <w:tblInd w:w="0" w:type="dxa"/>
        <w:tblCellMar>
          <w:top w:w="0" w:type="dxa"/>
          <w:left w:w="0" w:type="dxa"/>
          <w:bottom w:w="0" w:type="dxa"/>
          <w:right w:w="0" w:type="dxa"/>
        </w:tblCellMar>
      </w:tblPr>
      <w:tr>
        <w:trPr>
          <w:trHeight w:val="126"/>
        </w:trPr>
        <w:tc>
          <w:tcPr>
            <w:tcW w:w="2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are expected to benefit from goodwill. Refer to Note</w:t>
            </w:r>
          </w:p>
        </w:tc>
        <w:tc>
          <w:tcPr>
            <w:tcW w:w="300" w:type="dxa"/>
            <w:vAlign w:val="bottom"/>
          </w:tcPr>
          <w:p>
            <w:pPr>
              <w:spacing w:after="0"/>
              <w:rPr>
                <w:sz w:val="10"/>
                <w:szCs w:val="10"/>
                <w:color w:val="auto"/>
              </w:rPr>
            </w:pPr>
          </w:p>
        </w:tc>
        <w:tc>
          <w:tcPr>
            <w:tcW w:w="540" w:type="dxa"/>
            <w:vAlign w:val="bottom"/>
          </w:tcPr>
          <w:p>
            <w:pPr>
              <w:jc w:val="right"/>
              <w:ind w:right="310"/>
              <w:spacing w:after="0"/>
              <w:rPr>
                <w:sz w:val="20"/>
                <w:szCs w:val="20"/>
                <w:color w:val="auto"/>
              </w:rPr>
            </w:pPr>
            <w:r>
              <w:rPr>
                <w:rFonts w:ascii="Times New Roman" w:cs="Times New Roman" w:eastAsia="Times New Roman" w:hAnsi="Times New Roman"/>
                <w:sz w:val="11"/>
                <w:szCs w:val="11"/>
                <w:color w:val="auto"/>
                <w:w w:val="96"/>
              </w:rPr>
              <w:t>2.2.</w:t>
            </w:r>
          </w:p>
        </w:tc>
      </w:tr>
      <w:tr>
        <w:trPr>
          <w:trHeight w:val="148"/>
        </w:trPr>
        <w:tc>
          <w:tcPr>
            <w:tcW w:w="2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Segment information  .</w:t>
            </w:r>
          </w:p>
        </w:tc>
        <w:tc>
          <w:tcPr>
            <w:tcW w:w="300" w:type="dxa"/>
            <w:vAlign w:val="bottom"/>
          </w:tcPr>
          <w:p>
            <w:pPr>
              <w:spacing w:after="0"/>
              <w:rPr>
                <w:sz w:val="12"/>
                <w:szCs w:val="12"/>
                <w:color w:val="auto"/>
              </w:rPr>
            </w:pPr>
          </w:p>
        </w:tc>
        <w:tc>
          <w:tcPr>
            <w:tcW w:w="540" w:type="dxa"/>
            <w:vAlign w:val="bottom"/>
          </w:tcPr>
          <w:p>
            <w:pPr>
              <w:spacing w:after="0"/>
              <w:rPr>
                <w:sz w:val="12"/>
                <w:szCs w:val="12"/>
                <w:color w:val="auto"/>
              </w:rPr>
            </w:pPr>
          </w:p>
        </w:tc>
      </w:tr>
      <w:tr>
        <w:trPr>
          <w:trHeight w:val="206"/>
        </w:trPr>
        <w:tc>
          <w:tcPr>
            <w:tcW w:w="240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auto"/>
              </w:rPr>
              <w:t>Allocation of goodwill</w:t>
            </w:r>
          </w:p>
        </w:tc>
        <w:tc>
          <w:tcPr>
            <w:tcW w:w="300" w:type="dxa"/>
            <w:vAlign w:val="bottom"/>
          </w:tcPr>
          <w:p>
            <w:pPr>
              <w:spacing w:after="0"/>
              <w:rPr>
                <w:sz w:val="17"/>
                <w:szCs w:val="17"/>
                <w:color w:val="auto"/>
              </w:rPr>
            </w:pPr>
          </w:p>
        </w:tc>
        <w:tc>
          <w:tcPr>
            <w:tcW w:w="540" w:type="dxa"/>
            <w:vAlign w:val="bottom"/>
          </w:tcPr>
          <w:p>
            <w:pPr>
              <w:spacing w:after="0"/>
              <w:rPr>
                <w:sz w:val="17"/>
                <w:szCs w:val="17"/>
                <w:color w:val="auto"/>
              </w:rPr>
            </w:pPr>
          </w:p>
        </w:tc>
      </w:tr>
      <w:tr>
        <w:trPr>
          <w:trHeight w:val="142"/>
        </w:trPr>
        <w:tc>
          <w:tcPr>
            <w:tcW w:w="27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following table presents the allocation of goodwill to</w:t>
            </w:r>
          </w:p>
        </w:tc>
        <w:tc>
          <w:tcPr>
            <w:tcW w:w="540" w:type="dxa"/>
            <w:vAlign w:val="bottom"/>
          </w:tcPr>
          <w:p>
            <w:pPr>
              <w:spacing w:after="0"/>
              <w:rPr>
                <w:sz w:val="12"/>
                <w:szCs w:val="12"/>
                <w:color w:val="auto"/>
              </w:rPr>
            </w:pPr>
          </w:p>
        </w:tc>
      </w:tr>
      <w:tr>
        <w:trPr>
          <w:trHeight w:val="148"/>
        </w:trPr>
        <w:tc>
          <w:tcPr>
            <w:tcW w:w="24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groups of CGUs at 31 December:</w:t>
            </w:r>
          </w:p>
        </w:tc>
        <w:tc>
          <w:tcPr>
            <w:tcW w:w="300" w:type="dxa"/>
            <w:vAlign w:val="bottom"/>
          </w:tcPr>
          <w:p>
            <w:pPr>
              <w:spacing w:after="0"/>
              <w:rPr>
                <w:sz w:val="12"/>
                <w:szCs w:val="12"/>
                <w:color w:val="auto"/>
              </w:rPr>
            </w:pPr>
          </w:p>
        </w:tc>
        <w:tc>
          <w:tcPr>
            <w:tcW w:w="540" w:type="dxa"/>
            <w:vAlign w:val="bottom"/>
          </w:tcPr>
          <w:p>
            <w:pPr>
              <w:spacing w:after="0"/>
              <w:rPr>
                <w:sz w:val="12"/>
                <w:szCs w:val="12"/>
                <w:color w:val="auto"/>
              </w:rPr>
            </w:pPr>
          </w:p>
        </w:tc>
      </w:tr>
      <w:tr>
        <w:trPr>
          <w:trHeight w:val="241"/>
        </w:trPr>
        <w:tc>
          <w:tcPr>
            <w:tcW w:w="240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3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Network Infrastructure</w:t>
            </w:r>
          </w:p>
        </w:tc>
        <w:tc>
          <w:tcPr>
            <w:tcW w:w="220" w:type="dxa"/>
            <w:vAlign w:val="bottom"/>
            <w:shd w:val="clear" w:color="auto" w:fill="F0F5FF"/>
          </w:tcPr>
          <w:p>
            <w:pPr>
              <w:spacing w:after="0"/>
              <w:rPr>
                <w:sz w:val="12"/>
                <w:szCs w:val="12"/>
                <w:color w:val="auto"/>
              </w:rPr>
            </w:pPr>
          </w:p>
        </w:tc>
        <w:tc>
          <w:tcPr>
            <w:tcW w:w="30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w w:val="97"/>
              </w:rPr>
              <w:t>2 739</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2 812</w:t>
            </w:r>
          </w:p>
        </w:tc>
      </w:tr>
      <w:tr>
        <w:trPr>
          <w:trHeight w:val="162"/>
        </w:trPr>
        <w:tc>
          <w:tcPr>
            <w:tcW w:w="2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Mobile Networks</w:t>
            </w:r>
          </w:p>
        </w:tc>
        <w:tc>
          <w:tcPr>
            <w:tcW w:w="220" w:type="dxa"/>
            <w:vAlign w:val="bottom"/>
            <w:shd w:val="clear" w:color="auto" w:fill="F0F5FF"/>
          </w:tcPr>
          <w:p>
            <w:pPr>
              <w:spacing w:after="0"/>
              <w:rPr>
                <w:sz w:val="14"/>
                <w:szCs w:val="14"/>
                <w:color w:val="auto"/>
              </w:rPr>
            </w:pPr>
          </w:p>
        </w:tc>
        <w:tc>
          <w:tcPr>
            <w:tcW w:w="30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w w:val="97"/>
              </w:rPr>
              <w:t>2 228</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2 284</w:t>
            </w:r>
          </w:p>
        </w:tc>
      </w:tr>
      <w:tr>
        <w:trPr>
          <w:trHeight w:val="167"/>
        </w:trPr>
        <w:tc>
          <w:tcPr>
            <w:tcW w:w="2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Cloud and Network Services</w:t>
            </w:r>
          </w:p>
        </w:tc>
        <w:tc>
          <w:tcPr>
            <w:tcW w:w="220" w:type="dxa"/>
            <w:vAlign w:val="bottom"/>
            <w:tcBorders>
              <w:bottom w:val="single" w:sz="8" w:color="005AFF"/>
            </w:tcBorders>
            <w:shd w:val="clear" w:color="auto" w:fill="F0F5FF"/>
          </w:tcPr>
          <w:p>
            <w:pPr>
              <w:spacing w:after="0"/>
              <w:rPr>
                <w:sz w:val="14"/>
                <w:szCs w:val="14"/>
                <w:color w:val="auto"/>
              </w:rPr>
            </w:pPr>
          </w:p>
        </w:tc>
        <w:tc>
          <w:tcPr>
            <w:tcW w:w="30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537</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571</w:t>
            </w:r>
          </w:p>
        </w:tc>
      </w:tr>
    </w:tbl>
    <w:p>
      <w:pPr>
        <w:spacing w:after="0" w:line="10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Recoverable amounts</w:t>
      </w:r>
    </w:p>
    <w:p>
      <w:pPr>
        <w:spacing w:after="0" w:line="16" w:lineRule="exact"/>
        <w:rPr>
          <w:sz w:val="20"/>
          <w:szCs w:val="20"/>
          <w:color w:val="auto"/>
        </w:rPr>
      </w:pPr>
    </w:p>
    <w:p>
      <w:pPr>
        <w:ind w:right="380"/>
        <w:spacing w:after="0" w:line="267" w:lineRule="auto"/>
        <w:rPr>
          <w:sz w:val="20"/>
          <w:szCs w:val="20"/>
          <w:color w:val="auto"/>
        </w:rPr>
      </w:pPr>
      <w:r>
        <w:rPr>
          <w:rFonts w:ascii="Times New Roman" w:cs="Times New Roman" w:eastAsia="Times New Roman" w:hAnsi="Times New Roman"/>
          <w:sz w:val="11"/>
          <w:szCs w:val="11"/>
          <w:color w:val="auto"/>
        </w:rPr>
        <w:t>The recoverable amounts of the groups of CGUs in 2023 were based on value-in-use that was determined using a discounted cash flow calculation. The cash flow projections used in calculating the recoverable amounts were based on financial plans approved by management covering an explicit forecast period of three years .</w:t>
      </w:r>
    </w:p>
    <w:p>
      <w:pPr>
        <w:spacing w:after="0" w:line="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Seven additional years of cash flow projections subsequent</w:t>
      </w:r>
    </w:p>
    <w:p>
      <w:pPr>
        <w:spacing w:after="0" w:line="17" w:lineRule="exact"/>
        <w:rPr>
          <w:sz w:val="20"/>
          <w:szCs w:val="20"/>
          <w:color w:val="auto"/>
        </w:rPr>
      </w:pPr>
    </w:p>
    <w:p>
      <w:pPr>
        <w:ind w:right="200"/>
        <w:spacing w:after="0" w:line="260" w:lineRule="auto"/>
        <w:rPr>
          <w:sz w:val="20"/>
          <w:szCs w:val="20"/>
          <w:color w:val="auto"/>
        </w:rPr>
      </w:pPr>
      <w:r>
        <w:rPr>
          <w:rFonts w:ascii="Times New Roman" w:cs="Times New Roman" w:eastAsia="Times New Roman" w:hAnsi="Times New Roman"/>
          <w:sz w:val="11"/>
          <w:szCs w:val="11"/>
          <w:color w:val="auto"/>
        </w:rPr>
        <w:t>to the explicit forecast period of three years reflect a gradual progression towards the steady state cash flow projections modeled in the terminal year. The terminal growth rate assumptions reflect long-term average growth rates for the industries and economies in which the groups of CGUs operate. The discount rates reflect current assessments of the time</w:t>
      </w:r>
    </w:p>
    <w:p>
      <w:pPr>
        <w:spacing w:after="0" w:line="2" w:lineRule="exact"/>
        <w:rPr>
          <w:sz w:val="20"/>
          <w:szCs w:val="20"/>
          <w:color w:val="auto"/>
        </w:rPr>
      </w:pPr>
    </w:p>
    <w:p>
      <w:pPr>
        <w:ind w:right="340"/>
        <w:spacing w:after="0" w:line="264" w:lineRule="auto"/>
        <w:rPr>
          <w:sz w:val="20"/>
          <w:szCs w:val="20"/>
          <w:color w:val="auto"/>
        </w:rPr>
      </w:pPr>
      <w:r>
        <w:rPr>
          <w:rFonts w:ascii="Times New Roman" w:cs="Times New Roman" w:eastAsia="Times New Roman" w:hAnsi="Times New Roman"/>
          <w:sz w:val="11"/>
          <w:szCs w:val="11"/>
          <w:color w:val="auto"/>
        </w:rPr>
        <w:t>value of money and relevant market risk premiums considering risks and uncertainties for which the future cash flow estimates have not been adjusted. Discounted cash flow projections are based on post-tax cash flows and post-tax discount rates, which do not materially differ from the pre-tax basis discounted cash flow projections. Other key variables in future cash flow projections include assumptions on estimated sales growth, gross margin and operating margin.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Sales growth and gross margin assumptions reflect</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management expectations of addressable market growth,</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market share and competitive position, strategy and long-term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business outlook. Gross margin and operating profit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assumptions include the impact of an ongoing cost savings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program announced on 19 October 2023. The cost savings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program is expected to reduce cost base and increase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operational efficiency especially within Mobile Networks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Cloud and Network Services.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Terminal growth rate and post-tax discount rate applied in the</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impairment test for the groups of CGUs:</w:t>
      </w:r>
    </w:p>
    <w:p>
      <w:pPr>
        <w:spacing w:after="0" w:line="136"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100" w:type="dxa"/>
            <w:vAlign w:val="bottom"/>
          </w:tcPr>
          <w:p>
            <w:pPr>
              <w:spacing w:after="0"/>
              <w:rPr>
                <w:sz w:val="9"/>
                <w:szCs w:val="9"/>
                <w:color w:val="auto"/>
              </w:rPr>
            </w:pPr>
          </w:p>
        </w:tc>
        <w:tc>
          <w:tcPr>
            <w:tcW w:w="1140" w:type="dxa"/>
            <w:vAlign w:val="bottom"/>
            <w:gridSpan w:val="4"/>
          </w:tcPr>
          <w:p>
            <w:pPr>
              <w:jc w:val="right"/>
              <w:ind w:right="260"/>
              <w:spacing w:after="0"/>
              <w:rPr>
                <w:sz w:val="20"/>
                <w:szCs w:val="20"/>
                <w:color w:val="auto"/>
              </w:rPr>
            </w:pPr>
            <w:r>
              <w:rPr>
                <w:rFonts w:ascii="Times New Roman" w:cs="Times New Roman" w:eastAsia="Times New Roman" w:hAnsi="Times New Roman"/>
                <w:sz w:val="8"/>
                <w:szCs w:val="8"/>
                <w:b w:val="1"/>
                <w:bCs w:val="1"/>
                <w:color w:val="005AFF"/>
              </w:rPr>
              <w:t>Terminal growth rate</w:t>
            </w:r>
          </w:p>
        </w:tc>
        <w:tc>
          <w:tcPr>
            <w:tcW w:w="980" w:type="dxa"/>
            <w:vAlign w:val="bottom"/>
            <w:gridSpan w:val="2"/>
          </w:tcPr>
          <w:p>
            <w:pPr>
              <w:jc w:val="right"/>
              <w:ind w:right="112"/>
              <w:spacing w:after="0"/>
              <w:rPr>
                <w:sz w:val="20"/>
                <w:szCs w:val="20"/>
                <w:color w:val="auto"/>
              </w:rPr>
            </w:pPr>
            <w:r>
              <w:rPr>
                <w:rFonts w:ascii="Times New Roman" w:cs="Times New Roman" w:eastAsia="Times New Roman" w:hAnsi="Times New Roman"/>
                <w:sz w:val="8"/>
                <w:szCs w:val="8"/>
                <w:b w:val="1"/>
                <w:bCs w:val="1"/>
                <w:color w:val="005AFF"/>
              </w:rPr>
              <w:t>Post-tax discount rate</w:t>
            </w:r>
          </w:p>
        </w:tc>
      </w:tr>
      <w:tr>
        <w:trPr>
          <w:trHeight w:val="132"/>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Key assumption %</w:t>
            </w:r>
          </w:p>
        </w:tc>
        <w:tc>
          <w:tcPr>
            <w:tcW w:w="540" w:type="dxa"/>
            <w:vAlign w:val="bottom"/>
            <w:tcBorders>
              <w:top w:val="single" w:sz="8" w:color="005AFF"/>
              <w:bottom w:val="single" w:sz="8" w:color="005AFF"/>
            </w:tcBorders>
          </w:tcPr>
          <w:p>
            <w:pPr>
              <w:jc w:val="right"/>
              <w:ind w:right="33"/>
              <w:spacing w:after="0"/>
              <w:rPr>
                <w:sz w:val="20"/>
                <w:szCs w:val="20"/>
                <w:color w:val="auto"/>
              </w:rPr>
            </w:pPr>
            <w:r>
              <w:rPr>
                <w:rFonts w:ascii="Times New Roman" w:cs="Times New Roman" w:eastAsia="Times New Roman" w:hAnsi="Times New Roman"/>
                <w:sz w:val="8"/>
                <w:szCs w:val="8"/>
                <w:b w:val="1"/>
                <w:bCs w:val="1"/>
                <w:color w:val="005AFF"/>
              </w:rPr>
              <w:t>2023</w:t>
            </w:r>
          </w:p>
        </w:tc>
        <w:tc>
          <w:tcPr>
            <w:tcW w:w="160" w:type="dxa"/>
            <w:vAlign w:val="bottom"/>
            <w:tcBorders>
              <w:top w:val="single" w:sz="8" w:color="005AFF"/>
              <w:bottom w:val="single" w:sz="8" w:color="005AFF"/>
            </w:tcBorders>
          </w:tcPr>
          <w:p>
            <w:pPr>
              <w:spacing w:after="0"/>
              <w:rPr>
                <w:sz w:val="11"/>
                <w:szCs w:val="11"/>
                <w:color w:val="auto"/>
              </w:rPr>
            </w:pPr>
          </w:p>
        </w:tc>
        <w:tc>
          <w:tcPr>
            <w:tcW w:w="360" w:type="dxa"/>
            <w:vAlign w:val="bottom"/>
            <w:tcBorders>
              <w:top w:val="single" w:sz="8" w:color="005AFF"/>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2022</w:t>
            </w:r>
          </w:p>
        </w:tc>
        <w:tc>
          <w:tcPr>
            <w:tcW w:w="80" w:type="dxa"/>
            <w:vAlign w:val="bottom"/>
            <w:tcBorders>
              <w:bottom w:val="single" w:sz="8" w:color="005AFF"/>
            </w:tcBorders>
          </w:tcPr>
          <w:p>
            <w:pPr>
              <w:spacing w:after="0"/>
              <w:rPr>
                <w:sz w:val="11"/>
                <w:szCs w:val="11"/>
                <w:color w:val="auto"/>
              </w:rPr>
            </w:pPr>
          </w:p>
        </w:tc>
        <w:tc>
          <w:tcPr>
            <w:tcW w:w="480" w:type="dxa"/>
            <w:vAlign w:val="bottom"/>
            <w:tcBorders>
              <w:top w:val="single" w:sz="8" w:color="005AFF"/>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top w:val="single" w:sz="8" w:color="005AFF"/>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Network Infrastructure</w:t>
            </w:r>
          </w:p>
        </w:tc>
        <w:tc>
          <w:tcPr>
            <w:tcW w:w="54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160" w:type="dxa"/>
            <w:vAlign w:val="bottom"/>
          </w:tcPr>
          <w:p>
            <w:pPr>
              <w:spacing w:after="0"/>
              <w:rPr>
                <w:sz w:val="12"/>
                <w:szCs w:val="12"/>
                <w:color w:val="auto"/>
              </w:rPr>
            </w:pPr>
          </w:p>
        </w:tc>
        <w:tc>
          <w:tcPr>
            <w:tcW w:w="3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1.6</w:t>
            </w:r>
          </w:p>
        </w:tc>
        <w:tc>
          <w:tcPr>
            <w:tcW w:w="80" w:type="dxa"/>
            <w:vAlign w:val="bottom"/>
          </w:tcPr>
          <w:p>
            <w:pPr>
              <w:spacing w:after="0"/>
              <w:rPr>
                <w:sz w:val="12"/>
                <w:szCs w:val="12"/>
                <w:color w:val="auto"/>
              </w:rPr>
            </w:pPr>
          </w:p>
        </w:tc>
        <w:tc>
          <w:tcPr>
            <w:tcW w:w="4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9.3</w:t>
            </w:r>
          </w:p>
        </w:tc>
        <w:tc>
          <w:tcPr>
            <w:tcW w:w="50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9.0</w:t>
            </w:r>
          </w:p>
        </w:tc>
      </w:tr>
      <w:tr>
        <w:trPr>
          <w:trHeight w:val="162"/>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Mobile Networks</w:t>
            </w:r>
          </w:p>
        </w:tc>
        <w:tc>
          <w:tcPr>
            <w:tcW w:w="54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160" w:type="dxa"/>
            <w:vAlign w:val="bottom"/>
          </w:tcPr>
          <w:p>
            <w:pPr>
              <w:spacing w:after="0"/>
              <w:rPr>
                <w:sz w:val="14"/>
                <w:szCs w:val="14"/>
                <w:color w:val="auto"/>
              </w:rPr>
            </w:pPr>
          </w:p>
        </w:tc>
        <w:tc>
          <w:tcPr>
            <w:tcW w:w="3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1.3</w:t>
            </w:r>
          </w:p>
        </w:tc>
        <w:tc>
          <w:tcPr>
            <w:tcW w:w="80" w:type="dxa"/>
            <w:vAlign w:val="bottom"/>
          </w:tcPr>
          <w:p>
            <w:pPr>
              <w:spacing w:after="0"/>
              <w:rPr>
                <w:sz w:val="14"/>
                <w:szCs w:val="14"/>
                <w:color w:val="auto"/>
              </w:rPr>
            </w:pPr>
          </w:p>
        </w:tc>
        <w:tc>
          <w:tcPr>
            <w:tcW w:w="4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8.3</w:t>
            </w:r>
          </w:p>
        </w:tc>
        <w:tc>
          <w:tcPr>
            <w:tcW w:w="50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7.7</w:t>
            </w:r>
          </w:p>
        </w:tc>
      </w:tr>
      <w:tr>
        <w:trPr>
          <w:trHeight w:val="153"/>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Cloud and Network</w:t>
            </w:r>
          </w:p>
        </w:tc>
        <w:tc>
          <w:tcPr>
            <w:tcW w:w="540" w:type="dxa"/>
            <w:vAlign w:val="bottom"/>
            <w:shd w:val="clear" w:color="auto" w:fill="F0F5FF"/>
          </w:tcPr>
          <w:p>
            <w:pPr>
              <w:spacing w:after="0"/>
              <w:rPr>
                <w:sz w:val="13"/>
                <w:szCs w:val="13"/>
                <w:color w:val="auto"/>
              </w:rPr>
            </w:pPr>
          </w:p>
        </w:tc>
        <w:tc>
          <w:tcPr>
            <w:tcW w:w="160" w:type="dxa"/>
            <w:vAlign w:val="bottom"/>
          </w:tcPr>
          <w:p>
            <w:pPr>
              <w:spacing w:after="0"/>
              <w:rPr>
                <w:sz w:val="13"/>
                <w:szCs w:val="13"/>
                <w:color w:val="auto"/>
              </w:rPr>
            </w:pPr>
          </w:p>
        </w:tc>
        <w:tc>
          <w:tcPr>
            <w:tcW w:w="360" w:type="dxa"/>
            <w:vAlign w:val="bottom"/>
          </w:tcPr>
          <w:p>
            <w:pPr>
              <w:spacing w:after="0"/>
              <w:rPr>
                <w:sz w:val="13"/>
                <w:szCs w:val="13"/>
                <w:color w:val="auto"/>
              </w:rPr>
            </w:pPr>
          </w:p>
        </w:tc>
        <w:tc>
          <w:tcPr>
            <w:tcW w:w="80" w:type="dxa"/>
            <w:vAlign w:val="bottom"/>
          </w:tcPr>
          <w:p>
            <w:pPr>
              <w:spacing w:after="0"/>
              <w:rPr>
                <w:sz w:val="13"/>
                <w:szCs w:val="13"/>
                <w:color w:val="auto"/>
              </w:rPr>
            </w:pPr>
          </w:p>
        </w:tc>
        <w:tc>
          <w:tcPr>
            <w:tcW w:w="480" w:type="dxa"/>
            <w:vAlign w:val="bottom"/>
            <w:shd w:val="clear" w:color="auto" w:fill="F0F5FF"/>
          </w:tcPr>
          <w:p>
            <w:pPr>
              <w:spacing w:after="0"/>
              <w:rPr>
                <w:sz w:val="13"/>
                <w:szCs w:val="13"/>
                <w:color w:val="auto"/>
              </w:rPr>
            </w:pPr>
          </w:p>
        </w:tc>
        <w:tc>
          <w:tcPr>
            <w:tcW w:w="500" w:type="dxa"/>
            <w:vAlign w:val="bottom"/>
          </w:tcPr>
          <w:p>
            <w:pPr>
              <w:spacing w:after="0"/>
              <w:rPr>
                <w:sz w:val="13"/>
                <w:szCs w:val="13"/>
                <w:color w:val="auto"/>
              </w:rPr>
            </w:pPr>
          </w:p>
        </w:tc>
      </w:tr>
      <w:tr>
        <w:trPr>
          <w:trHeight w:val="135"/>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Services</w:t>
            </w:r>
          </w:p>
        </w:tc>
        <w:tc>
          <w:tcPr>
            <w:tcW w:w="540" w:type="dxa"/>
            <w:vAlign w:val="bottom"/>
            <w:tcBorders>
              <w:bottom w:val="single" w:sz="8" w:color="005AFF"/>
            </w:tcBorders>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1.0</w:t>
            </w:r>
          </w:p>
        </w:tc>
        <w:tc>
          <w:tcPr>
            <w:tcW w:w="160" w:type="dxa"/>
            <w:vAlign w:val="bottom"/>
            <w:tcBorders>
              <w:bottom w:val="single" w:sz="8" w:color="005AFF"/>
            </w:tcBorders>
          </w:tcPr>
          <w:p>
            <w:pPr>
              <w:spacing w:after="0"/>
              <w:rPr>
                <w:sz w:val="11"/>
                <w:szCs w:val="11"/>
                <w:color w:val="auto"/>
              </w:rPr>
            </w:pPr>
          </w:p>
        </w:tc>
        <w:tc>
          <w:tcPr>
            <w:tcW w:w="3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1.8</w:t>
            </w:r>
          </w:p>
        </w:tc>
        <w:tc>
          <w:tcPr>
            <w:tcW w:w="80" w:type="dxa"/>
            <w:vAlign w:val="bottom"/>
            <w:tcBorders>
              <w:bottom w:val="single" w:sz="8" w:color="005AFF"/>
            </w:tcBorders>
          </w:tcPr>
          <w:p>
            <w:pPr>
              <w:spacing w:after="0"/>
              <w:rPr>
                <w:sz w:val="11"/>
                <w:szCs w:val="11"/>
                <w:color w:val="auto"/>
              </w:rPr>
            </w:pPr>
          </w:p>
        </w:tc>
        <w:tc>
          <w:tcPr>
            <w:tcW w:w="480" w:type="dxa"/>
            <w:vAlign w:val="bottom"/>
            <w:tcBorders>
              <w:bottom w:val="single" w:sz="8" w:color="005AFF"/>
            </w:tcBorders>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7.7</w:t>
            </w:r>
          </w:p>
        </w:tc>
        <w:tc>
          <w:tcPr>
            <w:tcW w:w="50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7.0</w:t>
            </w:r>
          </w:p>
        </w:tc>
      </w:tr>
      <w:tr>
        <w:trPr>
          <w:trHeight w:val="245"/>
        </w:trPr>
        <w:tc>
          <w:tcPr>
            <w:tcW w:w="272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The results of the impairment testing indicate adequate</w:t>
            </w:r>
          </w:p>
        </w:tc>
        <w:tc>
          <w:tcPr>
            <w:tcW w:w="500" w:type="dxa"/>
            <w:vAlign w:val="bottom"/>
          </w:tcPr>
          <w:p>
            <w:pPr>
              <w:spacing w:after="0"/>
              <w:rPr>
                <w:sz w:val="21"/>
                <w:szCs w:val="21"/>
                <w:color w:val="auto"/>
              </w:rPr>
            </w:pPr>
          </w:p>
        </w:tc>
      </w:tr>
      <w:tr>
        <w:trPr>
          <w:trHeight w:val="148"/>
        </w:trPr>
        <w:tc>
          <w:tcPr>
            <w:tcW w:w="18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headroom for each group of CGUs in</w:t>
            </w:r>
          </w:p>
        </w:tc>
        <w:tc>
          <w:tcPr>
            <w:tcW w:w="440" w:type="dxa"/>
            <w:vAlign w:val="bottom"/>
            <w:gridSpan w:val="2"/>
          </w:tcPr>
          <w:p>
            <w:pPr>
              <w:jc w:val="right"/>
              <w:ind w:right="40"/>
              <w:spacing w:after="0"/>
              <w:rPr>
                <w:sz w:val="20"/>
                <w:szCs w:val="20"/>
                <w:color w:val="auto"/>
              </w:rPr>
            </w:pPr>
            <w:r>
              <w:rPr>
                <w:rFonts w:ascii="Times New Roman" w:cs="Times New Roman" w:eastAsia="Times New Roman" w:hAnsi="Times New Roman"/>
                <w:sz w:val="11"/>
                <w:szCs w:val="11"/>
                <w:color w:val="auto"/>
              </w:rPr>
              <w:t>2023 .</w:t>
            </w:r>
          </w:p>
        </w:tc>
        <w:tc>
          <w:tcPr>
            <w:tcW w:w="480" w:type="dxa"/>
            <w:vAlign w:val="bottom"/>
          </w:tcPr>
          <w:p>
            <w:pPr>
              <w:spacing w:after="0"/>
              <w:rPr>
                <w:sz w:val="12"/>
                <w:szCs w:val="12"/>
                <w:color w:val="auto"/>
              </w:rPr>
            </w:pPr>
          </w:p>
        </w:tc>
        <w:tc>
          <w:tcPr>
            <w:tcW w:w="500" w:type="dxa"/>
            <w:vAlign w:val="bottom"/>
          </w:tcPr>
          <w:p>
            <w:pPr>
              <w:spacing w:after="0"/>
              <w:rPr>
                <w:sz w:val="12"/>
                <w:szCs w:val="12"/>
                <w:color w:val="auto"/>
              </w:rPr>
            </w:pPr>
          </w:p>
        </w:tc>
      </w:tr>
    </w:tbl>
    <w:p>
      <w:pPr>
        <w:sectPr>
          <w:pgSz w:w="11900" w:h="16838" w:orient="portrait"/>
          <w:cols w:equalWidth="0" w:num="2">
            <w:col w:w="3240" w:space="160"/>
            <w:col w:w="6580"/>
          </w:cols>
          <w:pgMar w:left="960" w:top="410" w:right="959" w:bottom="1440" w:gutter="0" w:footer="0" w:header="0"/>
          <w:type w:val="continuous"/>
        </w:sectPr>
      </w:pPr>
    </w:p>
    <w:bookmarkStart w:id="182" w:name="page183"/>
    <w:bookmarkEnd w:id="182"/>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175</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9980"/>
          </w:cols>
          <w:pgMar w:left="960" w:top="410" w:right="959" w:bottom="1440" w:gutter="0" w:footer="0" w:header="0"/>
        </w:sectPr>
      </w:pPr>
    </w:p>
    <w:p>
      <w:pPr>
        <w:spacing w:after="0" w:line="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4.2. Property, plant and equipment</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400"/>
        <w:spacing w:after="0" w:line="269" w:lineRule="auto"/>
        <w:rPr>
          <w:sz w:val="20"/>
          <w:szCs w:val="20"/>
          <w:color w:val="auto"/>
        </w:rPr>
      </w:pPr>
      <w:r>
        <w:rPr>
          <w:rFonts w:ascii="Times New Roman" w:cs="Times New Roman" w:eastAsia="Times New Roman" w:hAnsi="Times New Roman"/>
          <w:sz w:val="11"/>
          <w:szCs w:val="11"/>
          <w:color w:val="auto"/>
        </w:rPr>
        <w:t>Property, plant and equipment are stated at cost less accumulated depreciation and accumulated impairment losses. Depreciation is recorded on a straight-line basis over the expected useful lives of the assets as follows:</w:t>
      </w:r>
    </w:p>
    <w:p>
      <w:pPr>
        <w:spacing w:after="0" w:line="133" w:lineRule="exact"/>
        <w:rPr>
          <w:sz w:val="20"/>
          <w:szCs w:val="20"/>
          <w:color w:val="auto"/>
        </w:rPr>
      </w:pPr>
    </w:p>
    <w:tbl>
      <w:tblPr>
        <w:tblLayout w:type="fixed"/>
        <w:tblInd w:w="140" w:type="dxa"/>
        <w:tblCellMar>
          <w:top w:w="0" w:type="dxa"/>
          <w:left w:w="0" w:type="dxa"/>
          <w:bottom w:w="0" w:type="dxa"/>
          <w:right w:w="0" w:type="dxa"/>
        </w:tblCellMar>
      </w:tblPr>
      <w:tr>
        <w:trPr>
          <w:trHeight w:val="132"/>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b w:val="1"/>
                <w:bCs w:val="1"/>
                <w:color w:val="auto"/>
              </w:rPr>
              <w:t>Buildings and constructions</w:t>
            </w:r>
          </w:p>
        </w:tc>
        <w:tc>
          <w:tcPr>
            <w:tcW w:w="44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62"/>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Buildings and constructions</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20</w:t>
            </w:r>
          </w:p>
        </w:tc>
        <w:tc>
          <w:tcPr>
            <w:tcW w:w="480" w:type="dxa"/>
            <w:vAlign w:val="bottom"/>
          </w:tcPr>
          <w:p>
            <w:pPr>
              <w:ind w:left="20"/>
              <w:spacing w:after="0"/>
              <w:rPr>
                <w:sz w:val="20"/>
                <w:szCs w:val="20"/>
                <w:color w:val="auto"/>
              </w:rPr>
            </w:pPr>
            <w:r>
              <w:rPr>
                <w:rFonts w:ascii="Times New Roman" w:cs="Times New Roman" w:eastAsia="Times New Roman" w:hAnsi="Times New Roman"/>
                <w:sz w:val="10"/>
                <w:szCs w:val="10"/>
                <w:color w:val="auto"/>
              </w:rPr>
              <w:t>–33 years</w:t>
            </w:r>
          </w:p>
        </w:tc>
      </w:tr>
      <w:tr>
        <w:trPr>
          <w:trHeight w:val="167"/>
        </w:trPr>
        <w:tc>
          <w:tcPr>
            <w:tcW w:w="206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Light buildings and constructions</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auto"/>
              </w:rPr>
              <w:t>3</w:t>
            </w:r>
          </w:p>
        </w:tc>
        <w:tc>
          <w:tcPr>
            <w:tcW w:w="48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0"/>
                <w:szCs w:val="10"/>
                <w:color w:val="auto"/>
              </w:rPr>
              <w:t>–20 years</w:t>
            </w:r>
          </w:p>
        </w:tc>
      </w:tr>
      <w:tr>
        <w:trPr>
          <w:trHeight w:val="137"/>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b w:val="1"/>
                <w:bCs w:val="1"/>
                <w:color w:val="auto"/>
              </w:rPr>
              <w:t>Vessels</w:t>
            </w:r>
          </w:p>
        </w:tc>
        <w:tc>
          <w:tcPr>
            <w:tcW w:w="44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62"/>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Cable-laying vessels</w:t>
            </w:r>
          </w:p>
        </w:tc>
        <w:tc>
          <w:tcPr>
            <w:tcW w:w="440" w:type="dxa"/>
            <w:vAlign w:val="bottom"/>
          </w:tcPr>
          <w:p>
            <w:pPr>
              <w:jc w:val="right"/>
              <w:spacing w:after="0"/>
              <w:rPr>
                <w:sz w:val="20"/>
                <w:szCs w:val="20"/>
                <w:color w:val="auto"/>
              </w:rPr>
            </w:pPr>
            <w:r>
              <w:rPr>
                <w:rFonts w:ascii="Times New Roman" w:cs="Times New Roman" w:eastAsia="Times New Roman" w:hAnsi="Times New Roman"/>
                <w:sz w:val="10"/>
                <w:szCs w:val="10"/>
                <w:color w:val="auto"/>
              </w:rPr>
              <w:t>15</w:t>
            </w:r>
          </w:p>
        </w:tc>
        <w:tc>
          <w:tcPr>
            <w:tcW w:w="480" w:type="dxa"/>
            <w:vAlign w:val="bottom"/>
          </w:tcPr>
          <w:p>
            <w:pPr>
              <w:ind w:left="20"/>
              <w:spacing w:after="0"/>
              <w:rPr>
                <w:sz w:val="20"/>
                <w:szCs w:val="20"/>
                <w:color w:val="auto"/>
              </w:rPr>
            </w:pPr>
            <w:r>
              <w:rPr>
                <w:rFonts w:ascii="Times New Roman" w:cs="Times New Roman" w:eastAsia="Times New Roman" w:hAnsi="Times New Roman"/>
                <w:sz w:val="10"/>
                <w:szCs w:val="10"/>
                <w:color w:val="auto"/>
              </w:rPr>
              <w:t>–40 years</w:t>
            </w:r>
          </w:p>
        </w:tc>
      </w:tr>
      <w:tr>
        <w:trPr>
          <w:trHeight w:val="167"/>
        </w:trPr>
        <w:tc>
          <w:tcPr>
            <w:tcW w:w="206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Cable-laying accessories</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auto"/>
              </w:rPr>
              <w:t>4</w:t>
            </w:r>
          </w:p>
        </w:tc>
        <w:tc>
          <w:tcPr>
            <w:tcW w:w="48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0"/>
                <w:szCs w:val="10"/>
                <w:color w:val="auto"/>
              </w:rPr>
              <w:t>–10 years</w:t>
            </w:r>
          </w:p>
        </w:tc>
      </w:tr>
      <w:tr>
        <w:trPr>
          <w:trHeight w:val="137"/>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b w:val="1"/>
                <w:bCs w:val="1"/>
                <w:color w:val="auto"/>
              </w:rPr>
              <w:t>Machinery and equipment</w:t>
            </w:r>
          </w:p>
        </w:tc>
        <w:tc>
          <w:tcPr>
            <w:tcW w:w="440" w:type="dxa"/>
            <w:vAlign w:val="bottom"/>
          </w:tcPr>
          <w:p>
            <w:pPr>
              <w:spacing w:after="0"/>
              <w:rPr>
                <w:sz w:val="11"/>
                <w:szCs w:val="11"/>
                <w:color w:val="auto"/>
              </w:rPr>
            </w:pPr>
          </w:p>
        </w:tc>
        <w:tc>
          <w:tcPr>
            <w:tcW w:w="480" w:type="dxa"/>
            <w:vAlign w:val="bottom"/>
          </w:tcPr>
          <w:p>
            <w:pPr>
              <w:spacing w:after="0"/>
              <w:rPr>
                <w:sz w:val="11"/>
                <w:szCs w:val="11"/>
                <w:color w:val="auto"/>
              </w:rPr>
            </w:pPr>
          </w:p>
        </w:tc>
      </w:tr>
      <w:tr>
        <w:trPr>
          <w:trHeight w:val="153"/>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Production machinery and measuring and</w:t>
            </w:r>
          </w:p>
        </w:tc>
        <w:tc>
          <w:tcPr>
            <w:tcW w:w="440" w:type="dxa"/>
            <w:vAlign w:val="bottom"/>
          </w:tcPr>
          <w:p>
            <w:pPr>
              <w:spacing w:after="0"/>
              <w:rPr>
                <w:sz w:val="13"/>
                <w:szCs w:val="13"/>
                <w:color w:val="auto"/>
              </w:rPr>
            </w:pPr>
          </w:p>
        </w:tc>
        <w:tc>
          <w:tcPr>
            <w:tcW w:w="480" w:type="dxa"/>
            <w:vAlign w:val="bottom"/>
          </w:tcPr>
          <w:p>
            <w:pPr>
              <w:spacing w:after="0"/>
              <w:rPr>
                <w:sz w:val="13"/>
                <w:szCs w:val="13"/>
                <w:color w:val="auto"/>
              </w:rPr>
            </w:pPr>
          </w:p>
        </w:tc>
      </w:tr>
      <w:tr>
        <w:trPr>
          <w:trHeight w:val="130"/>
        </w:trPr>
        <w:tc>
          <w:tcPr>
            <w:tcW w:w="206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test equipment</w:t>
            </w:r>
          </w:p>
        </w:tc>
        <w:tc>
          <w:tcPr>
            <w:tcW w:w="440" w:type="dxa"/>
            <w:vAlign w:val="bottom"/>
          </w:tcPr>
          <w:p>
            <w:pPr>
              <w:spacing w:after="0"/>
              <w:rPr>
                <w:sz w:val="11"/>
                <w:szCs w:val="11"/>
                <w:color w:val="auto"/>
              </w:rPr>
            </w:pPr>
          </w:p>
        </w:tc>
        <w:tc>
          <w:tcPr>
            <w:tcW w:w="480" w:type="dxa"/>
            <w:vAlign w:val="bottom"/>
          </w:tcPr>
          <w:p>
            <w:pPr>
              <w:ind w:left="20"/>
              <w:spacing w:after="0"/>
              <w:rPr>
                <w:sz w:val="20"/>
                <w:szCs w:val="20"/>
                <w:color w:val="auto"/>
              </w:rPr>
            </w:pPr>
            <w:r>
              <w:rPr>
                <w:rFonts w:ascii="Times New Roman" w:cs="Times New Roman" w:eastAsia="Times New Roman" w:hAnsi="Times New Roman"/>
                <w:sz w:val="10"/>
                <w:szCs w:val="10"/>
                <w:color w:val="auto"/>
              </w:rPr>
              <w:t>1–5 years</w:t>
            </w:r>
          </w:p>
        </w:tc>
      </w:tr>
      <w:tr>
        <w:trPr>
          <w:trHeight w:val="167"/>
        </w:trPr>
        <w:tc>
          <w:tcPr>
            <w:tcW w:w="206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Other machinery and equipment</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auto"/>
              </w:rPr>
              <w:t>3</w:t>
            </w:r>
          </w:p>
        </w:tc>
        <w:tc>
          <w:tcPr>
            <w:tcW w:w="48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10"/>
                <w:szCs w:val="10"/>
                <w:color w:val="auto"/>
              </w:rPr>
              <w:t>–10 years</w:t>
            </w:r>
          </w:p>
        </w:tc>
      </w:tr>
    </w:tbl>
    <w:p>
      <w:pPr>
        <w:spacing w:after="0" w:line="119"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Land and water areas are not depreciated.</w:t>
      </w:r>
    </w:p>
    <w:p>
      <w:pPr>
        <w:spacing w:after="0" w:line="86" w:lineRule="exact"/>
        <w:rPr>
          <w:sz w:val="20"/>
          <w:szCs w:val="20"/>
          <w:color w:val="auto"/>
        </w:rPr>
      </w:pPr>
    </w:p>
    <w:p>
      <w:pPr>
        <w:ind w:left="160" w:right="260"/>
        <w:spacing w:after="0" w:line="262" w:lineRule="auto"/>
        <w:rPr>
          <w:sz w:val="20"/>
          <w:szCs w:val="20"/>
          <w:color w:val="auto"/>
        </w:rPr>
      </w:pPr>
      <w:r>
        <w:rPr>
          <w:rFonts w:ascii="Times New Roman" w:cs="Times New Roman" w:eastAsia="Times New Roman" w:hAnsi="Times New Roman"/>
          <w:sz w:val="11"/>
          <w:szCs w:val="11"/>
          <w:color w:val="auto"/>
        </w:rPr>
        <w:t>Maintenance, repairs and renewals are generally expensed in the period in which they are incurred. However, major renovations are capitalized and included in the carrying amount of the asset when it is probable that future economic benefits in excess of the originally assessed standard of performance of the existing asset will flow to Nokia. Major renovations are depreciated over the remaining useful life of the related asset. Leasehold improvements are depreciated over the shorter of the lease term and the useful life. Gains and losses on the disposal of property, plant and equipment are included</w:t>
      </w:r>
    </w:p>
    <w:p>
      <w:pPr>
        <w:spacing w:after="0" w:line="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in other operating income or expenses.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23"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1"/>
        </w:trPr>
        <w:tc>
          <w:tcPr>
            <w:tcW w:w="3680" w:type="dxa"/>
            <w:vAlign w:val="bottom"/>
          </w:tcPr>
          <w:p>
            <w:pPr>
              <w:spacing w:after="0"/>
              <w:rPr>
                <w:sz w:val="8"/>
                <w:szCs w:val="8"/>
                <w:color w:val="auto"/>
              </w:rPr>
            </w:pPr>
          </w:p>
        </w:tc>
        <w:tc>
          <w:tcPr>
            <w:tcW w:w="72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Land, buildings,</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Machinery,</w:t>
            </w:r>
          </w:p>
        </w:tc>
        <w:tc>
          <w:tcPr>
            <w:tcW w:w="740" w:type="dxa"/>
            <w:vAlign w:val="bottom"/>
          </w:tcPr>
          <w:p>
            <w:pPr>
              <w:spacing w:after="0"/>
              <w:rPr>
                <w:sz w:val="8"/>
                <w:szCs w:val="8"/>
                <w:color w:val="auto"/>
              </w:rPr>
            </w:pPr>
          </w:p>
        </w:tc>
        <w:tc>
          <w:tcPr>
            <w:tcW w:w="700" w:type="dxa"/>
            <w:vAlign w:val="bottom"/>
          </w:tcPr>
          <w:p>
            <w:pPr>
              <w:spacing w:after="0"/>
              <w:rPr>
                <w:sz w:val="8"/>
                <w:szCs w:val="8"/>
                <w:color w:val="auto"/>
              </w:rPr>
            </w:pPr>
          </w:p>
        </w:tc>
      </w:tr>
      <w:tr>
        <w:trPr>
          <w:trHeight w:val="101"/>
        </w:trPr>
        <w:tc>
          <w:tcPr>
            <w:tcW w:w="3680" w:type="dxa"/>
            <w:vAlign w:val="bottom"/>
          </w:tcPr>
          <w:p>
            <w:pPr>
              <w:spacing w:after="0"/>
              <w:rPr>
                <w:sz w:val="8"/>
                <w:szCs w:val="8"/>
                <w:color w:val="auto"/>
              </w:rPr>
            </w:pPr>
          </w:p>
        </w:tc>
        <w:tc>
          <w:tcPr>
            <w:tcW w:w="72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constructions</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equipment and</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Assets under</w:t>
            </w:r>
          </w:p>
        </w:tc>
        <w:tc>
          <w:tcPr>
            <w:tcW w:w="700" w:type="dxa"/>
            <w:vAlign w:val="bottom"/>
          </w:tcPr>
          <w:p>
            <w:pPr>
              <w:spacing w:after="0"/>
              <w:rPr>
                <w:sz w:val="8"/>
                <w:szCs w:val="8"/>
                <w:color w:val="auto"/>
              </w:rPr>
            </w:pPr>
          </w:p>
        </w:tc>
      </w:tr>
      <w:tr>
        <w:trPr>
          <w:trHeight w:val="109"/>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2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and vessels</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other</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construction</w:t>
            </w: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35"/>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720" w:type="dxa"/>
            <w:vAlign w:val="bottom"/>
            <w:shd w:val="clear" w:color="auto" w:fill="F0F5FF"/>
          </w:tcPr>
          <w:p>
            <w:pPr>
              <w:spacing w:after="0"/>
              <w:rPr>
                <w:sz w:val="11"/>
                <w:szCs w:val="11"/>
                <w:color w:val="auto"/>
              </w:rPr>
            </w:pPr>
          </w:p>
        </w:tc>
        <w:tc>
          <w:tcPr>
            <w:tcW w:w="740" w:type="dxa"/>
            <w:vAlign w:val="bottom"/>
            <w:shd w:val="clear" w:color="auto" w:fill="F0F5FF"/>
          </w:tcPr>
          <w:p>
            <w:pPr>
              <w:spacing w:after="0"/>
              <w:rPr>
                <w:sz w:val="11"/>
                <w:szCs w:val="11"/>
                <w:color w:val="auto"/>
              </w:rPr>
            </w:pPr>
          </w:p>
        </w:tc>
        <w:tc>
          <w:tcPr>
            <w:tcW w:w="740" w:type="dxa"/>
            <w:vAlign w:val="bottom"/>
            <w:shd w:val="clear" w:color="auto" w:fill="F0F5FF"/>
          </w:tcPr>
          <w:p>
            <w:pPr>
              <w:spacing w:after="0"/>
              <w:rPr>
                <w:sz w:val="11"/>
                <w:szCs w:val="11"/>
                <w:color w:val="auto"/>
              </w:rPr>
            </w:pPr>
          </w:p>
        </w:tc>
        <w:tc>
          <w:tcPr>
            <w:tcW w:w="700" w:type="dxa"/>
            <w:vAlign w:val="bottom"/>
            <w:shd w:val="clear" w:color="auto" w:fill="F0F5FF"/>
          </w:tcPr>
          <w:p>
            <w:pPr>
              <w:spacing w:after="0"/>
              <w:rPr>
                <w:sz w:val="11"/>
                <w:szCs w:val="11"/>
                <w:color w:val="auto"/>
              </w:rPr>
            </w:pP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1 409</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3 589</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248</w:t>
            </w:r>
          </w:p>
        </w:tc>
        <w:tc>
          <w:tcPr>
            <w:tcW w:w="7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5 246</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Additions</w:t>
            </w:r>
          </w:p>
        </w:tc>
        <w:tc>
          <w:tcPr>
            <w:tcW w:w="7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33</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314</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115</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462</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Reclassifications</w:t>
            </w: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107</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85</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(192)</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and retirements</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(88)</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(374)</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(1)</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(463)</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(27)</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(67)</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(3)</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(97)</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7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1 434</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3 547</w:t>
            </w:r>
          </w:p>
        </w:tc>
        <w:tc>
          <w:tcPr>
            <w:tcW w:w="7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167</w:t>
            </w:r>
          </w:p>
        </w:tc>
        <w:tc>
          <w:tcPr>
            <w:tcW w:w="70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5 148</w:t>
            </w:r>
          </w:p>
        </w:tc>
      </w:tr>
      <w:tr>
        <w:trPr>
          <w:trHeight w:val="137"/>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depreciation at 1 January</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(575)</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(2 656)</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(3 231)</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(90)</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(358)</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(448)</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and retirements</w:t>
            </w:r>
          </w:p>
        </w:tc>
        <w:tc>
          <w:tcPr>
            <w:tcW w:w="7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79</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333</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412</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7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17</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53</w:t>
            </w:r>
          </w:p>
        </w:tc>
        <w:tc>
          <w:tcPr>
            <w:tcW w:w="740" w:type="dxa"/>
            <w:vAlign w:val="bottom"/>
            <w:shd w:val="clear" w:color="auto" w:fill="F0F5FF"/>
          </w:tcPr>
          <w:p>
            <w:pPr>
              <w:ind w:left="600"/>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70</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depreciation at 31 December</w:t>
            </w: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(569)</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(2 628)</w:t>
            </w:r>
          </w:p>
        </w:tc>
        <w:tc>
          <w:tcPr>
            <w:tcW w:w="740" w:type="dxa"/>
            <w:vAlign w:val="bottom"/>
            <w:tcBorders>
              <w:bottom w:val="single" w:sz="8" w:color="005AFF"/>
            </w:tcBorders>
            <w:shd w:val="clear" w:color="auto" w:fill="F0F5FF"/>
          </w:tcPr>
          <w:p>
            <w:pPr>
              <w:jc w:val="center"/>
              <w:ind w:left="490"/>
              <w:spacing w:after="0"/>
              <w:rPr>
                <w:sz w:val="20"/>
                <w:szCs w:val="20"/>
                <w:color w:val="auto"/>
              </w:rPr>
            </w:pPr>
            <w:r>
              <w:rPr>
                <w:rFonts w:ascii="Times New Roman" w:cs="Times New Roman" w:eastAsia="Times New Roman" w:hAnsi="Times New Roman"/>
                <w:sz w:val="10"/>
                <w:szCs w:val="10"/>
                <w:b w:val="1"/>
                <w:bCs w:val="1"/>
                <w:color w:val="005AFF"/>
              </w:rPr>
              <w:t>—</w:t>
            </w:r>
          </w:p>
        </w:tc>
        <w:tc>
          <w:tcPr>
            <w:tcW w:w="7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(3 197)</w:t>
            </w:r>
          </w:p>
        </w:tc>
      </w:tr>
      <w:tr>
        <w:trPr>
          <w:trHeight w:val="248"/>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834</w:t>
            </w:r>
          </w:p>
        </w:tc>
        <w:tc>
          <w:tcPr>
            <w:tcW w:w="7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933</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248</w:t>
            </w:r>
          </w:p>
        </w:tc>
        <w:tc>
          <w:tcPr>
            <w:tcW w:w="7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2 015</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7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865</w:t>
            </w:r>
          </w:p>
        </w:tc>
        <w:tc>
          <w:tcPr>
            <w:tcW w:w="7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919</w:t>
            </w:r>
          </w:p>
        </w:tc>
        <w:tc>
          <w:tcPr>
            <w:tcW w:w="7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167</w:t>
            </w:r>
          </w:p>
        </w:tc>
        <w:tc>
          <w:tcPr>
            <w:tcW w:w="70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1 951</w:t>
            </w:r>
          </w:p>
        </w:tc>
      </w:tr>
      <w:tr>
        <w:trPr>
          <w:trHeight w:val="298"/>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72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740" w:type="dxa"/>
            <w:vAlign w:val="bottom"/>
          </w:tcPr>
          <w:p>
            <w:pPr>
              <w:spacing w:after="0"/>
              <w:rPr>
                <w:sz w:val="24"/>
                <w:szCs w:val="24"/>
                <w:color w:val="auto"/>
              </w:rPr>
            </w:pPr>
          </w:p>
        </w:tc>
        <w:tc>
          <w:tcPr>
            <w:tcW w:w="700" w:type="dxa"/>
            <w:vAlign w:val="bottom"/>
          </w:tcPr>
          <w:p>
            <w:pPr>
              <w:spacing w:after="0"/>
              <w:rPr>
                <w:sz w:val="24"/>
                <w:szCs w:val="24"/>
                <w:color w:val="auto"/>
              </w:rPr>
            </w:pP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7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1 228</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3 371</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280</w:t>
            </w:r>
          </w:p>
        </w:tc>
        <w:tc>
          <w:tcPr>
            <w:tcW w:w="7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4 879</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Additions</w:t>
            </w:r>
          </w:p>
        </w:tc>
        <w:tc>
          <w:tcPr>
            <w:tcW w:w="7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55</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361</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166</w:t>
            </w:r>
          </w:p>
        </w:tc>
        <w:tc>
          <w:tcPr>
            <w:tcW w:w="7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582</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Reclassifications</w:t>
            </w:r>
          </w:p>
        </w:tc>
        <w:tc>
          <w:tcPr>
            <w:tcW w:w="7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160</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40</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(200)</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and retirements</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(49)</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(191)</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(1)</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(241)</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7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15</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w:t>
            </w:r>
          </w:p>
        </w:tc>
        <w:tc>
          <w:tcPr>
            <w:tcW w:w="740" w:type="dxa"/>
            <w:vAlign w:val="bottom"/>
          </w:tcPr>
          <w:p>
            <w:pPr>
              <w:jc w:val="center"/>
              <w:ind w:left="510"/>
              <w:spacing w:after="0"/>
              <w:rPr>
                <w:sz w:val="20"/>
                <w:szCs w:val="20"/>
                <w:color w:val="auto"/>
              </w:rPr>
            </w:pPr>
            <w:r>
              <w:rPr>
                <w:rFonts w:ascii="Times New Roman" w:cs="Times New Roman" w:eastAsia="Times New Roman" w:hAnsi="Times New Roman"/>
                <w:sz w:val="10"/>
                <w:szCs w:val="10"/>
                <w:color w:val="0D0D0D"/>
              </w:rPr>
              <w:t>3</w:t>
            </w:r>
          </w:p>
        </w:tc>
        <w:tc>
          <w:tcPr>
            <w:tcW w:w="7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26</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7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9"/>
                <w:szCs w:val="9"/>
                <w:b w:val="1"/>
                <w:bCs w:val="1"/>
                <w:color w:val="0D0D0D"/>
              </w:rPr>
              <w:t>1 409</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9"/>
                <w:szCs w:val="9"/>
                <w:b w:val="1"/>
                <w:bCs w:val="1"/>
                <w:color w:val="0D0D0D"/>
              </w:rPr>
              <w:t>3 589</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9"/>
                <w:szCs w:val="9"/>
                <w:b w:val="1"/>
                <w:bCs w:val="1"/>
                <w:color w:val="0D0D0D"/>
              </w:rPr>
              <w:t>248</w:t>
            </w:r>
          </w:p>
        </w:tc>
        <w:tc>
          <w:tcPr>
            <w:tcW w:w="7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9"/>
                <w:szCs w:val="9"/>
                <w:b w:val="1"/>
                <w:bCs w:val="1"/>
                <w:color w:val="0D0D0D"/>
              </w:rPr>
              <w:t>5 246</w:t>
            </w:r>
          </w:p>
        </w:tc>
      </w:tr>
      <w:tr>
        <w:trPr>
          <w:trHeight w:val="137"/>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depreciation at 1 January</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(495)</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(2 460)</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(2 955)</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(87)</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(363)</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(450)</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(33)</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(45)</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Disposals and retirements</w:t>
            </w:r>
          </w:p>
        </w:tc>
        <w:tc>
          <w:tcPr>
            <w:tcW w:w="7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46</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185</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231</w:t>
            </w:r>
          </w:p>
        </w:tc>
      </w:tr>
      <w:tr>
        <w:trPr>
          <w:trHeight w:val="162"/>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w:t>
            </w:r>
          </w:p>
        </w:tc>
        <w:tc>
          <w:tcPr>
            <w:tcW w:w="740" w:type="dxa"/>
            <w:vAlign w:val="bottom"/>
          </w:tcPr>
          <w:p>
            <w:pPr>
              <w:ind w:left="600"/>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depreciation at 31 December</w:t>
            </w: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9"/>
                <w:szCs w:val="9"/>
                <w:b w:val="1"/>
                <w:bCs w:val="1"/>
                <w:color w:val="0D0D0D"/>
              </w:rPr>
              <w:t>(575)</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9"/>
                <w:szCs w:val="9"/>
                <w:b w:val="1"/>
                <w:bCs w:val="1"/>
                <w:color w:val="0D0D0D"/>
              </w:rPr>
              <w:t>(2 656)</w:t>
            </w:r>
          </w:p>
        </w:tc>
        <w:tc>
          <w:tcPr>
            <w:tcW w:w="740" w:type="dxa"/>
            <w:vAlign w:val="bottom"/>
            <w:tcBorders>
              <w:bottom w:val="single" w:sz="8" w:color="005AFF"/>
            </w:tcBorders>
          </w:tcPr>
          <w:p>
            <w:pPr>
              <w:jc w:val="center"/>
              <w:ind w:left="490"/>
              <w:spacing w:after="0"/>
              <w:rPr>
                <w:sz w:val="20"/>
                <w:szCs w:val="20"/>
                <w:color w:val="auto"/>
              </w:rPr>
            </w:pPr>
            <w:r>
              <w:rPr>
                <w:rFonts w:ascii="Times New Roman" w:cs="Times New Roman" w:eastAsia="Times New Roman" w:hAnsi="Times New Roman"/>
                <w:sz w:val="9"/>
                <w:szCs w:val="9"/>
                <w:b w:val="1"/>
                <w:bCs w:val="1"/>
                <w:color w:val="0D0D0D"/>
                <w:w w:val="88"/>
              </w:rPr>
              <w:t>—</w:t>
            </w: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9"/>
                <w:szCs w:val="9"/>
                <w:b w:val="1"/>
                <w:bCs w:val="1"/>
                <w:color w:val="0D0D0D"/>
              </w:rPr>
              <w:t>(3 231)</w:t>
            </w:r>
          </w:p>
        </w:tc>
      </w:tr>
      <w:tr>
        <w:trPr>
          <w:trHeight w:val="248"/>
        </w:trPr>
        <w:tc>
          <w:tcPr>
            <w:tcW w:w="3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7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733</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911</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280</w:t>
            </w:r>
          </w:p>
        </w:tc>
        <w:tc>
          <w:tcPr>
            <w:tcW w:w="7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1 924</w:t>
            </w:r>
          </w:p>
        </w:tc>
      </w:tr>
      <w:tr>
        <w:trPr>
          <w:trHeight w:val="167"/>
        </w:trPr>
        <w:tc>
          <w:tcPr>
            <w:tcW w:w="3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7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9"/>
                <w:szCs w:val="9"/>
                <w:b w:val="1"/>
                <w:bCs w:val="1"/>
                <w:color w:val="0D0D0D"/>
              </w:rPr>
              <w:t>834</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9"/>
                <w:szCs w:val="9"/>
                <w:b w:val="1"/>
                <w:bCs w:val="1"/>
                <w:color w:val="0D0D0D"/>
              </w:rPr>
              <w:t>933</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9"/>
                <w:szCs w:val="9"/>
                <w:b w:val="1"/>
                <w:bCs w:val="1"/>
                <w:color w:val="0D0D0D"/>
              </w:rPr>
              <w:t>248</w:t>
            </w:r>
          </w:p>
        </w:tc>
        <w:tc>
          <w:tcPr>
            <w:tcW w:w="7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9"/>
                <w:szCs w:val="9"/>
                <w:b w:val="1"/>
                <w:bCs w:val="1"/>
                <w:color w:val="0D0D0D"/>
              </w:rPr>
              <w:t>2 015</w:t>
            </w:r>
          </w:p>
        </w:tc>
      </w:tr>
    </w:tbl>
    <w:p>
      <w:pPr>
        <w:sectPr>
          <w:pgSz w:w="11900" w:h="16838" w:orient="portrait"/>
          <w:cols w:equalWidth="0" w:num="2">
            <w:col w:w="3120" w:space="280"/>
            <w:col w:w="6580"/>
          </w:cols>
          <w:pgMar w:left="960" w:top="410" w:right="959" w:bottom="1440" w:gutter="0" w:footer="0" w:header="0"/>
          <w:type w:val="continuous"/>
        </w:sectPr>
      </w:pPr>
    </w:p>
    <w:bookmarkStart w:id="183" w:name="page184"/>
    <w:bookmarkEnd w:id="183"/>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176</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10060"/>
          </w:cols>
          <w:pgMar w:left="960" w:top="410" w:right="879" w:bottom="1440" w:gutter="0" w:footer="0" w:header="0"/>
        </w:sectPr>
      </w:pPr>
    </w:p>
    <w:p>
      <w:pPr>
        <w:spacing w:after="0" w:line="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4.3. Leases</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240"/>
        <w:spacing w:after="0" w:line="266" w:lineRule="auto"/>
        <w:rPr>
          <w:sz w:val="20"/>
          <w:szCs w:val="20"/>
          <w:color w:val="auto"/>
        </w:rPr>
      </w:pPr>
      <w:r>
        <w:rPr>
          <w:rFonts w:ascii="Times New Roman" w:cs="Times New Roman" w:eastAsia="Times New Roman" w:hAnsi="Times New Roman"/>
          <w:sz w:val="11"/>
          <w:szCs w:val="11"/>
          <w:color w:val="auto"/>
        </w:rPr>
        <w:t>In the majority of its lease agreements, Nokia is acting as a lessee. Nokia’s leased assets relate mostly to commercial and industrial properties such as R&amp;D, production and office facilities. Nokia also leases vehicles provided as employee benefits and service vehicles. There are only minor lease contracts, mainly concerning subleases of vacant leasehold or freehold facilities, where Nokia is acting as a lessor.</w:t>
      </w:r>
    </w:p>
    <w:p>
      <w:pPr>
        <w:spacing w:after="0" w:line="52" w:lineRule="exact"/>
        <w:rPr>
          <w:sz w:val="20"/>
          <w:szCs w:val="20"/>
          <w:color w:val="auto"/>
        </w:rPr>
      </w:pPr>
    </w:p>
    <w:p>
      <w:pPr>
        <w:ind w:left="160" w:right="360"/>
        <w:spacing w:after="0" w:line="269" w:lineRule="auto"/>
        <w:rPr>
          <w:sz w:val="20"/>
          <w:szCs w:val="20"/>
          <w:color w:val="auto"/>
        </w:rPr>
      </w:pPr>
      <w:r>
        <w:rPr>
          <w:rFonts w:ascii="Times New Roman" w:cs="Times New Roman" w:eastAsia="Times New Roman" w:hAnsi="Times New Roman"/>
          <w:sz w:val="11"/>
          <w:szCs w:val="11"/>
          <w:color w:val="auto"/>
        </w:rPr>
        <w:t>As a lessee, Nokia recognizes a right-of-use asset and a lease liability at the commencement date of the lease. Right-of-use assets are measured at cost less accumulated depreciation and impairment losses, and adjusted for any remeasurements of the lease liabilities. Right-of-use assets are depreciated on a straight-line basis over the lease term as follows:</w:t>
      </w:r>
    </w:p>
    <w:p>
      <w:pPr>
        <w:spacing w:after="0" w:line="134" w:lineRule="exact"/>
        <w:rPr>
          <w:sz w:val="20"/>
          <w:szCs w:val="20"/>
          <w:color w:val="auto"/>
        </w:rPr>
      </w:pPr>
    </w:p>
    <w:tbl>
      <w:tblPr>
        <w:tblLayout w:type="fixed"/>
        <w:tblInd w:w="140" w:type="dxa"/>
        <w:tblCellMar>
          <w:top w:w="0" w:type="dxa"/>
          <w:left w:w="0" w:type="dxa"/>
          <w:bottom w:w="0" w:type="dxa"/>
          <w:right w:w="0" w:type="dxa"/>
        </w:tblCellMar>
      </w:tblPr>
      <w:tr>
        <w:trPr>
          <w:trHeight w:val="130"/>
        </w:trPr>
        <w:tc>
          <w:tcPr>
            <w:tcW w:w="1420" w:type="dxa"/>
            <w:vAlign w:val="bottom"/>
          </w:tcPr>
          <w:p>
            <w:pPr>
              <w:ind w:left="40"/>
              <w:spacing w:after="0"/>
              <w:rPr>
                <w:sz w:val="20"/>
                <w:szCs w:val="20"/>
                <w:color w:val="auto"/>
              </w:rPr>
            </w:pPr>
            <w:r>
              <w:rPr>
                <w:rFonts w:ascii="Times New Roman" w:cs="Times New Roman" w:eastAsia="Times New Roman" w:hAnsi="Times New Roman"/>
                <w:sz w:val="10"/>
                <w:szCs w:val="10"/>
                <w:color w:val="auto"/>
              </w:rPr>
              <w:t>Buildings</w:t>
            </w:r>
          </w:p>
        </w:tc>
        <w:tc>
          <w:tcPr>
            <w:tcW w:w="1500" w:type="dxa"/>
            <w:vAlign w:val="bottom"/>
          </w:tcPr>
          <w:p>
            <w:pPr>
              <w:ind w:left="980"/>
              <w:spacing w:after="0"/>
              <w:rPr>
                <w:sz w:val="20"/>
                <w:szCs w:val="20"/>
                <w:color w:val="auto"/>
              </w:rPr>
            </w:pPr>
            <w:r>
              <w:rPr>
                <w:rFonts w:ascii="Times New Roman" w:cs="Times New Roman" w:eastAsia="Times New Roman" w:hAnsi="Times New Roman"/>
                <w:sz w:val="10"/>
                <w:szCs w:val="10"/>
                <w:color w:val="auto"/>
              </w:rPr>
              <w:t>3–15 years</w:t>
            </w:r>
          </w:p>
        </w:tc>
      </w:tr>
      <w:tr>
        <w:trPr>
          <w:trHeight w:val="167"/>
        </w:trPr>
        <w:tc>
          <w:tcPr>
            <w:tcW w:w="14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auto"/>
              </w:rPr>
              <w:t>Other</w:t>
            </w:r>
          </w:p>
        </w:tc>
        <w:tc>
          <w:tcPr>
            <w:tcW w:w="1500" w:type="dxa"/>
            <w:vAlign w:val="bottom"/>
            <w:tcBorders>
              <w:bottom w:val="single" w:sz="8" w:color="005AFF"/>
            </w:tcBorders>
          </w:tcPr>
          <w:p>
            <w:pPr>
              <w:ind w:left="1040"/>
              <w:spacing w:after="0"/>
              <w:rPr>
                <w:sz w:val="20"/>
                <w:szCs w:val="20"/>
                <w:color w:val="auto"/>
              </w:rPr>
            </w:pPr>
            <w:r>
              <w:rPr>
                <w:rFonts w:ascii="Times New Roman" w:cs="Times New Roman" w:eastAsia="Times New Roman" w:hAnsi="Times New Roman"/>
                <w:sz w:val="10"/>
                <w:szCs w:val="10"/>
                <w:color w:val="auto"/>
              </w:rPr>
              <w:t>3–5 years</w:t>
            </w:r>
          </w:p>
        </w:tc>
      </w:tr>
    </w:tbl>
    <w:p>
      <w:pPr>
        <w:spacing w:after="0" w:line="108" w:lineRule="exact"/>
        <w:rPr>
          <w:sz w:val="20"/>
          <w:szCs w:val="20"/>
          <w:color w:val="auto"/>
        </w:rPr>
      </w:pPr>
    </w:p>
    <w:p>
      <w:pPr>
        <w:ind w:left="160" w:right="240"/>
        <w:spacing w:after="0" w:line="265" w:lineRule="auto"/>
        <w:rPr>
          <w:sz w:val="20"/>
          <w:szCs w:val="20"/>
          <w:color w:val="auto"/>
        </w:rPr>
      </w:pPr>
      <w:r>
        <w:rPr>
          <w:rFonts w:ascii="Times New Roman" w:cs="Times New Roman" w:eastAsia="Times New Roman" w:hAnsi="Times New Roman"/>
          <w:sz w:val="11"/>
          <w:szCs w:val="11"/>
          <w:color w:val="auto"/>
        </w:rPr>
        <w:t>Lease liabilities are initially measured at the present value of the lease payments made over the lease term. Nokia uses its incremental borrowing rate to calculate the present value as the interest rate implicit in the lease is not readily determinable. Subsequently, lease liabilities are measured on an amortized cost basis using the effective interest method. In addition, lease liabilities are remeasured if there is a lease modification, a change in the lease term or a change in the future lease payments. The interest component of the lease payments is recognized as interest expense in financial expenses.</w:t>
      </w:r>
    </w:p>
    <w:p>
      <w:pPr>
        <w:spacing w:after="0" w:line="62" w:lineRule="exact"/>
        <w:rPr>
          <w:sz w:val="20"/>
          <w:szCs w:val="20"/>
          <w:color w:val="auto"/>
        </w:rPr>
      </w:pPr>
    </w:p>
    <w:p>
      <w:pPr>
        <w:ind w:left="160" w:right="280"/>
        <w:spacing w:after="0" w:line="262" w:lineRule="auto"/>
        <w:rPr>
          <w:sz w:val="20"/>
          <w:szCs w:val="20"/>
          <w:color w:val="auto"/>
        </w:rPr>
      </w:pPr>
      <w:r>
        <w:rPr>
          <w:rFonts w:ascii="Times New Roman" w:cs="Times New Roman" w:eastAsia="Times New Roman" w:hAnsi="Times New Roman"/>
          <w:sz w:val="11"/>
          <w:szCs w:val="11"/>
          <w:color w:val="auto"/>
        </w:rPr>
        <w:t>Nokia applies practical expedients whereby the payments for short-term leases and leases of low-value assets are recognized as an operating expense on a straight-line basis over the lease term. In addition, Nokia does not separate certain non-lease components from lease components but instead accounts for each lease component and associated non-lease component</w:t>
      </w:r>
    </w:p>
    <w:p>
      <w:pPr>
        <w:spacing w:after="0" w:line="1"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as a single lease component.</w:t>
      </w:r>
    </w:p>
    <w:p>
      <w:pPr>
        <w:spacing w:after="0" w:line="200" w:lineRule="exact"/>
        <w:rPr>
          <w:sz w:val="20"/>
          <w:szCs w:val="20"/>
          <w:color w:val="auto"/>
        </w:rPr>
      </w:pPr>
    </w:p>
    <w:p>
      <w:pPr>
        <w:spacing w:after="0" w:line="3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Right-of-use assets</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Buildings</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Other</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35"/>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520" w:type="dxa"/>
            <w:vAlign w:val="bottom"/>
            <w:shd w:val="clear" w:color="auto" w:fill="F0F5FF"/>
          </w:tcPr>
          <w:p>
            <w:pPr>
              <w:spacing w:after="0"/>
              <w:rPr>
                <w:sz w:val="11"/>
                <w:szCs w:val="11"/>
                <w:color w:val="auto"/>
              </w:rPr>
            </w:pPr>
          </w:p>
        </w:tc>
        <w:tc>
          <w:tcPr>
            <w:tcW w:w="52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52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1 423</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241</w:t>
            </w:r>
          </w:p>
        </w:tc>
        <w:tc>
          <w:tcPr>
            <w:tcW w:w="54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1 664</w:t>
            </w:r>
          </w:p>
        </w:tc>
      </w:tr>
      <w:tr>
        <w:trPr>
          <w:trHeight w:val="194"/>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Additions </w:t>
            </w:r>
            <w:r>
              <w:rPr>
                <w:rFonts w:ascii="Times New Roman" w:cs="Times New Roman" w:eastAsia="Times New Roman" w:hAnsi="Times New Roman"/>
                <w:sz w:val="13"/>
                <w:szCs w:val="13"/>
                <w:color w:val="0D0D0D"/>
                <w:vertAlign w:val="superscript"/>
              </w:rPr>
              <w:t>(1)</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74</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129</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203</w:t>
            </w: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Retirements</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(39)</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(96)</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(135)</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w:t>
            </w: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52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1 434</w:t>
            </w:r>
          </w:p>
        </w:tc>
        <w:tc>
          <w:tcPr>
            <w:tcW w:w="52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275</w:t>
            </w: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1 709</w:t>
            </w:r>
          </w:p>
        </w:tc>
      </w:tr>
      <w:tr>
        <w:trPr>
          <w:trHeight w:val="128"/>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depreciation at</w:t>
            </w:r>
          </w:p>
        </w:tc>
        <w:tc>
          <w:tcPr>
            <w:tcW w:w="520" w:type="dxa"/>
            <w:vAlign w:val="bottom"/>
            <w:shd w:val="clear" w:color="auto" w:fill="F0F5FF"/>
          </w:tcPr>
          <w:p>
            <w:pPr>
              <w:spacing w:after="0"/>
              <w:rPr>
                <w:sz w:val="11"/>
                <w:szCs w:val="11"/>
                <w:color w:val="auto"/>
              </w:rPr>
            </w:pPr>
          </w:p>
        </w:tc>
        <w:tc>
          <w:tcPr>
            <w:tcW w:w="52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 January</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(589)</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(146)</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(735)</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(140)</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(76)</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(216)</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Retirements</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39</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96</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135</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11</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11</w:t>
            </w:r>
          </w:p>
        </w:tc>
      </w:tr>
      <w:tr>
        <w:trPr>
          <w:trHeight w:val="151"/>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depreciation at</w:t>
            </w:r>
          </w:p>
        </w:tc>
        <w:tc>
          <w:tcPr>
            <w:tcW w:w="520" w:type="dxa"/>
            <w:vAlign w:val="bottom"/>
            <w:shd w:val="clear" w:color="auto" w:fill="F0F5FF"/>
          </w:tcPr>
          <w:p>
            <w:pPr>
              <w:spacing w:after="0"/>
              <w:rPr>
                <w:sz w:val="13"/>
                <w:szCs w:val="13"/>
                <w:color w:val="auto"/>
              </w:rPr>
            </w:pPr>
          </w:p>
        </w:tc>
        <w:tc>
          <w:tcPr>
            <w:tcW w:w="52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r>
      <w:tr>
        <w:trPr>
          <w:trHeight w:val="13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(677)</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(126)</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(803)</w:t>
            </w:r>
          </w:p>
        </w:tc>
      </w:tr>
      <w:tr>
        <w:trPr>
          <w:trHeight w:val="207"/>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52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834</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95</w:t>
            </w: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929</w:t>
            </w: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52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757</w:t>
            </w:r>
          </w:p>
        </w:tc>
        <w:tc>
          <w:tcPr>
            <w:tcW w:w="52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149</w:t>
            </w: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906</w:t>
            </w:r>
          </w:p>
        </w:tc>
      </w:tr>
      <w:tr>
        <w:trPr>
          <w:trHeight w:val="268"/>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520" w:type="dxa"/>
            <w:vAlign w:val="bottom"/>
          </w:tcPr>
          <w:p>
            <w:pPr>
              <w:spacing w:after="0"/>
              <w:rPr>
                <w:sz w:val="23"/>
                <w:szCs w:val="23"/>
                <w:color w:val="auto"/>
              </w:rPr>
            </w:pPr>
          </w:p>
        </w:tc>
        <w:tc>
          <w:tcPr>
            <w:tcW w:w="520" w:type="dxa"/>
            <w:vAlign w:val="bottom"/>
          </w:tcPr>
          <w:p>
            <w:pPr>
              <w:spacing w:after="0"/>
              <w:rPr>
                <w:sz w:val="23"/>
                <w:szCs w:val="23"/>
                <w:color w:val="auto"/>
              </w:rPr>
            </w:pPr>
          </w:p>
        </w:tc>
        <w:tc>
          <w:tcPr>
            <w:tcW w:w="540" w:type="dxa"/>
            <w:vAlign w:val="bottom"/>
          </w:tcPr>
          <w:p>
            <w:pPr>
              <w:spacing w:after="0"/>
              <w:rPr>
                <w:sz w:val="23"/>
                <w:szCs w:val="23"/>
                <w:color w:val="auto"/>
              </w:rPr>
            </w:pP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Acquisition cost at 1 January</w:t>
            </w: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1 318</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223</w:t>
            </w:r>
          </w:p>
        </w:tc>
        <w:tc>
          <w:tcPr>
            <w:tcW w:w="54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1 541</w:t>
            </w:r>
          </w:p>
        </w:tc>
      </w:tr>
      <w:tr>
        <w:trPr>
          <w:trHeight w:val="194"/>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Additions </w:t>
            </w:r>
            <w:r>
              <w:rPr>
                <w:rFonts w:ascii="Times New Roman" w:cs="Times New Roman" w:eastAsia="Times New Roman" w:hAnsi="Times New Roman"/>
                <w:sz w:val="13"/>
                <w:szCs w:val="13"/>
                <w:color w:val="0D0D0D"/>
                <w:vertAlign w:val="superscript"/>
              </w:rPr>
              <w:t>(1)</w:t>
            </w: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184</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73</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257</w:t>
            </w: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Retirements</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(85)</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(52)</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(137)</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6</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w:t>
            </w: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Acquisition cost at 31 December</w:t>
            </w:r>
          </w:p>
        </w:tc>
        <w:tc>
          <w:tcPr>
            <w:tcW w:w="52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1 423</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241</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1 664</w:t>
            </w:r>
          </w:p>
        </w:tc>
      </w:tr>
      <w:tr>
        <w:trPr>
          <w:trHeight w:val="128"/>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Accumulated depreciation at</w:t>
            </w:r>
          </w:p>
        </w:tc>
        <w:tc>
          <w:tcPr>
            <w:tcW w:w="520" w:type="dxa"/>
            <w:vAlign w:val="bottom"/>
          </w:tcPr>
          <w:p>
            <w:pPr>
              <w:spacing w:after="0"/>
              <w:rPr>
                <w:sz w:val="11"/>
                <w:szCs w:val="11"/>
                <w:color w:val="auto"/>
              </w:rPr>
            </w:pPr>
          </w:p>
        </w:tc>
        <w:tc>
          <w:tcPr>
            <w:tcW w:w="520" w:type="dxa"/>
            <w:vAlign w:val="bottom"/>
          </w:tcPr>
          <w:p>
            <w:pPr>
              <w:spacing w:after="0"/>
              <w:rPr>
                <w:sz w:val="11"/>
                <w:szCs w:val="11"/>
                <w:color w:val="auto"/>
              </w:rPr>
            </w:pPr>
          </w:p>
        </w:tc>
        <w:tc>
          <w:tcPr>
            <w:tcW w:w="540" w:type="dxa"/>
            <w:vAlign w:val="bottom"/>
          </w:tcPr>
          <w:p>
            <w:pPr>
              <w:spacing w:after="0"/>
              <w:rPr>
                <w:sz w:val="11"/>
                <w:szCs w:val="11"/>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 January</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(533)</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(124)</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(657)</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(150)</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(75)</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(225)</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6</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6</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Retirements</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85</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52</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137</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w:t>
            </w:r>
          </w:p>
        </w:tc>
      </w:tr>
      <w:tr>
        <w:trPr>
          <w:trHeight w:val="151"/>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Accumulated depreciation at</w:t>
            </w:r>
          </w:p>
        </w:tc>
        <w:tc>
          <w:tcPr>
            <w:tcW w:w="520" w:type="dxa"/>
            <w:vAlign w:val="bottom"/>
          </w:tcPr>
          <w:p>
            <w:pPr>
              <w:spacing w:after="0"/>
              <w:rPr>
                <w:sz w:val="13"/>
                <w:szCs w:val="13"/>
                <w:color w:val="auto"/>
              </w:rPr>
            </w:pPr>
          </w:p>
        </w:tc>
        <w:tc>
          <w:tcPr>
            <w:tcW w:w="520" w:type="dxa"/>
            <w:vAlign w:val="bottom"/>
          </w:tcPr>
          <w:p>
            <w:pPr>
              <w:spacing w:after="0"/>
              <w:rPr>
                <w:sz w:val="13"/>
                <w:szCs w:val="13"/>
                <w:color w:val="auto"/>
              </w:rPr>
            </w:pPr>
          </w:p>
        </w:tc>
        <w:tc>
          <w:tcPr>
            <w:tcW w:w="540" w:type="dxa"/>
            <w:vAlign w:val="bottom"/>
          </w:tcPr>
          <w:p>
            <w:pPr>
              <w:spacing w:after="0"/>
              <w:rPr>
                <w:sz w:val="13"/>
                <w:szCs w:val="13"/>
                <w:color w:val="auto"/>
              </w:rPr>
            </w:pPr>
          </w:p>
        </w:tc>
      </w:tr>
      <w:tr>
        <w:trPr>
          <w:trHeight w:val="13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(589)</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(146)</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(735)</w:t>
            </w:r>
          </w:p>
        </w:tc>
      </w:tr>
      <w:tr>
        <w:trPr>
          <w:trHeight w:val="207"/>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book value at 1 January</w:t>
            </w: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785</w:t>
            </w: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99</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884</w:t>
            </w: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Net book value at 31 December</w:t>
            </w:r>
          </w:p>
        </w:tc>
        <w:tc>
          <w:tcPr>
            <w:tcW w:w="52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834</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95</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929</w:t>
            </w:r>
          </w:p>
        </w:tc>
      </w:tr>
    </w:tbl>
    <w:p>
      <w:pPr>
        <w:spacing w:after="0" w:line="61" w:lineRule="exact"/>
        <w:rPr>
          <w:sz w:val="20"/>
          <w:szCs w:val="20"/>
          <w:color w:val="auto"/>
        </w:rPr>
      </w:pPr>
    </w:p>
    <w:p>
      <w:pPr>
        <w:ind w:left="220" w:right="800" w:hanging="183"/>
        <w:spacing w:after="0" w:line="295" w:lineRule="auto"/>
        <w:tabs>
          <w:tab w:leader="none" w:pos="224" w:val="left"/>
        </w:tabs>
        <w:numPr>
          <w:ilvl w:val="0"/>
          <w:numId w:val="12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Additions comprise new lease contracts as well as modifications and remeasurements of existing lease contracts.</w:t>
      </w:r>
    </w:p>
    <w:p>
      <w:pPr>
        <w:spacing w:after="0" w:line="20" w:lineRule="exact"/>
        <w:rPr>
          <w:sz w:val="20"/>
          <w:szCs w:val="20"/>
          <w:color w:val="auto"/>
        </w:rPr>
      </w:pPr>
      <w:r>
        <w:rPr>
          <w:sz w:val="20"/>
          <w:szCs w:val="20"/>
          <w:color w:val="auto"/>
        </w:rPr>
        <w:br w:type="column"/>
      </w:r>
    </w:p>
    <w:p>
      <w:pPr>
        <w:spacing w:after="0" w:line="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Amounts recognized in the income statement</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4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5"/>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Depreciation of right-of-use assets</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(216)</w:t>
            </w:r>
          </w:p>
        </w:tc>
        <w:tc>
          <w:tcPr>
            <w:tcW w:w="6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(225)</w:t>
            </w: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(214)</w:t>
            </w:r>
          </w:p>
        </w:tc>
      </w:tr>
      <w:tr>
        <w:trPr>
          <w:trHeight w:val="162"/>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 expense on lease liabilities</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64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(26)</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(24)</w:t>
            </w:r>
          </w:p>
        </w:tc>
      </w:tr>
      <w:tr>
        <w:trPr>
          <w:trHeight w:val="153"/>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Impairment charges, net of</w:t>
            </w:r>
          </w:p>
        </w:tc>
        <w:tc>
          <w:tcPr>
            <w:tcW w:w="520" w:type="dxa"/>
            <w:vAlign w:val="bottom"/>
            <w:shd w:val="clear" w:color="auto" w:fill="F0F5FF"/>
          </w:tcPr>
          <w:p>
            <w:pPr>
              <w:spacing w:after="0"/>
              <w:rPr>
                <w:sz w:val="13"/>
                <w:szCs w:val="13"/>
                <w:color w:val="auto"/>
              </w:rPr>
            </w:pPr>
          </w:p>
        </w:tc>
        <w:tc>
          <w:tcPr>
            <w:tcW w:w="640" w:type="dxa"/>
            <w:vAlign w:val="bottom"/>
          </w:tcPr>
          <w:p>
            <w:pPr>
              <w:spacing w:after="0"/>
              <w:rPr>
                <w:sz w:val="13"/>
                <w:szCs w:val="13"/>
                <w:color w:val="auto"/>
              </w:rPr>
            </w:pPr>
          </w:p>
        </w:tc>
        <w:tc>
          <w:tcPr>
            <w:tcW w:w="420" w:type="dxa"/>
            <w:vAlign w:val="bottom"/>
          </w:tcPr>
          <w:p>
            <w:pPr>
              <w:spacing w:after="0"/>
              <w:rPr>
                <w:sz w:val="13"/>
                <w:szCs w:val="13"/>
                <w:color w:val="auto"/>
              </w:rPr>
            </w:pPr>
          </w:p>
        </w:tc>
      </w:tr>
      <w:tr>
        <w:trPr>
          <w:trHeight w:val="135"/>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reversals</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w:t>
            </w:r>
          </w:p>
        </w:tc>
        <w:tc>
          <w:tcPr>
            <w:tcW w:w="64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10"/>
                <w:szCs w:val="10"/>
                <w:color w:val="0D0D0D"/>
              </w:rPr>
              <w:t>6</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(25)</w:t>
            </w:r>
          </w:p>
        </w:tc>
      </w:tr>
      <w:tr>
        <w:trPr>
          <w:trHeight w:val="142"/>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(242)</w:t>
            </w:r>
          </w:p>
        </w:tc>
        <w:tc>
          <w:tcPr>
            <w:tcW w:w="64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(245)</w:t>
            </w: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(263)</w:t>
            </w:r>
          </w:p>
        </w:tc>
      </w:tr>
    </w:tbl>
    <w:p>
      <w:pPr>
        <w:spacing w:after="0" w:line="119" w:lineRule="exact"/>
        <w:rPr>
          <w:sz w:val="20"/>
          <w:szCs w:val="20"/>
          <w:color w:val="auto"/>
        </w:rPr>
      </w:pPr>
    </w:p>
    <w:p>
      <w:pPr>
        <w:ind w:right="360"/>
        <w:spacing w:after="0" w:line="269" w:lineRule="auto"/>
        <w:rPr>
          <w:sz w:val="20"/>
          <w:szCs w:val="20"/>
          <w:color w:val="auto"/>
        </w:rPr>
      </w:pPr>
      <w:r>
        <w:rPr>
          <w:rFonts w:ascii="Times New Roman" w:cs="Times New Roman" w:eastAsia="Times New Roman" w:hAnsi="Times New Roman"/>
          <w:sz w:val="11"/>
          <w:szCs w:val="11"/>
          <w:color w:val="auto"/>
        </w:rPr>
        <w:t>Amounts recognized in the income statement presented above exclude expenses relating to short-term leases and leases of low-value assets, income from subleasing right-of-use assets and gains or losses arising from sale and leaseback transactions as these are immaterial.</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Amounts reported in the statement of cash flows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64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2022</w:t>
            </w:r>
          </w:p>
        </w:tc>
        <w:tc>
          <w:tcPr>
            <w:tcW w:w="42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31"/>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Payment of principal portion of</w:t>
            </w:r>
          </w:p>
        </w:tc>
        <w:tc>
          <w:tcPr>
            <w:tcW w:w="520" w:type="dxa"/>
            <w:vAlign w:val="bottom"/>
            <w:shd w:val="clear" w:color="auto" w:fill="F0F5FF"/>
          </w:tcPr>
          <w:p>
            <w:pPr>
              <w:spacing w:after="0"/>
              <w:rPr>
                <w:sz w:val="11"/>
                <w:szCs w:val="11"/>
                <w:color w:val="auto"/>
              </w:rPr>
            </w:pPr>
          </w:p>
        </w:tc>
        <w:tc>
          <w:tcPr>
            <w:tcW w:w="640" w:type="dxa"/>
            <w:vAlign w:val="bottom"/>
          </w:tcPr>
          <w:p>
            <w:pPr>
              <w:spacing w:after="0"/>
              <w:rPr>
                <w:sz w:val="11"/>
                <w:szCs w:val="11"/>
                <w:color w:val="auto"/>
              </w:rPr>
            </w:pPr>
          </w:p>
        </w:tc>
        <w:tc>
          <w:tcPr>
            <w:tcW w:w="420" w:type="dxa"/>
            <w:vAlign w:val="bottom"/>
          </w:tcPr>
          <w:p>
            <w:pPr>
              <w:spacing w:after="0"/>
              <w:rPr>
                <w:sz w:val="11"/>
                <w:szCs w:val="11"/>
                <w:color w:val="auto"/>
              </w:rPr>
            </w:pPr>
          </w:p>
        </w:tc>
      </w:tr>
      <w:tr>
        <w:trPr>
          <w:trHeight w:val="130"/>
        </w:trPr>
        <w:tc>
          <w:tcPr>
            <w:tcW w:w="16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lease liabilities</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(239)</w:t>
            </w:r>
          </w:p>
        </w:tc>
        <w:tc>
          <w:tcPr>
            <w:tcW w:w="640" w:type="dxa"/>
            <w:vAlign w:val="bottom"/>
          </w:tcPr>
          <w:p>
            <w:pPr>
              <w:jc w:val="right"/>
              <w:ind w:right="92"/>
              <w:spacing w:after="0"/>
              <w:rPr>
                <w:sz w:val="20"/>
                <w:szCs w:val="20"/>
                <w:color w:val="auto"/>
              </w:rPr>
            </w:pPr>
            <w:r>
              <w:rPr>
                <w:rFonts w:ascii="Times New Roman" w:cs="Times New Roman" w:eastAsia="Times New Roman" w:hAnsi="Times New Roman"/>
                <w:sz w:val="10"/>
                <w:szCs w:val="10"/>
                <w:color w:val="0D0D0D"/>
              </w:rPr>
              <w:t>(217)</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(226)</w:t>
            </w:r>
          </w:p>
        </w:tc>
      </w:tr>
      <w:tr>
        <w:trPr>
          <w:trHeight w:val="167"/>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Interest paid on lease liabilities</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64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10"/>
                <w:szCs w:val="10"/>
                <w:color w:val="0D0D0D"/>
              </w:rPr>
              <w:t>(26)</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(24)</w:t>
            </w:r>
          </w:p>
        </w:tc>
      </w:tr>
      <w:tr>
        <w:trPr>
          <w:trHeight w:val="142"/>
        </w:trPr>
        <w:tc>
          <w:tcPr>
            <w:tcW w:w="16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(267)</w:t>
            </w:r>
          </w:p>
        </w:tc>
        <w:tc>
          <w:tcPr>
            <w:tcW w:w="640" w:type="dxa"/>
            <w:vAlign w:val="bottom"/>
            <w:tcBorders>
              <w:bottom w:val="single" w:sz="8" w:color="005AFF"/>
            </w:tcBorders>
          </w:tcPr>
          <w:p>
            <w:pPr>
              <w:jc w:val="right"/>
              <w:ind w:right="92"/>
              <w:spacing w:after="0"/>
              <w:rPr>
                <w:sz w:val="20"/>
                <w:szCs w:val="20"/>
                <w:color w:val="auto"/>
              </w:rPr>
            </w:pPr>
            <w:r>
              <w:rPr>
                <w:rFonts w:ascii="Times New Roman" w:cs="Times New Roman" w:eastAsia="Times New Roman" w:hAnsi="Times New Roman"/>
                <w:sz w:val="10"/>
                <w:szCs w:val="10"/>
                <w:b w:val="1"/>
                <w:bCs w:val="1"/>
                <w:color w:val="auto"/>
              </w:rPr>
              <w:t>(243)</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(250)</w:t>
            </w:r>
          </w:p>
        </w:tc>
      </w:tr>
    </w:tbl>
    <w:p>
      <w:pPr>
        <w:spacing w:after="0" w:line="119" w:lineRule="exact"/>
        <w:rPr>
          <w:sz w:val="20"/>
          <w:szCs w:val="20"/>
          <w:color w:val="auto"/>
        </w:rPr>
      </w:pPr>
    </w:p>
    <w:p>
      <w:pPr>
        <w:ind w:right="420"/>
        <w:spacing w:after="0" w:line="290" w:lineRule="auto"/>
        <w:rPr>
          <w:sz w:val="20"/>
          <w:szCs w:val="20"/>
          <w:color w:val="auto"/>
        </w:rPr>
      </w:pPr>
      <w:r>
        <w:rPr>
          <w:rFonts w:ascii="Times New Roman" w:cs="Times New Roman" w:eastAsia="Times New Roman" w:hAnsi="Times New Roman"/>
          <w:sz w:val="11"/>
          <w:szCs w:val="11"/>
          <w:color w:val="auto"/>
        </w:rPr>
        <w:t>Amounts reported in the statement of cash flows exclude payments for short-term leases and leases of low-value assets.</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maturity analysis of lease liabilities is presented in</w:t>
      </w:r>
    </w:p>
    <w:p>
      <w:pPr>
        <w:spacing w:after="0" w:line="22" w:lineRule="exact"/>
        <w:rPr>
          <w:sz w:val="20"/>
          <w:szCs w:val="20"/>
          <w:color w:val="auto"/>
        </w:rPr>
      </w:pPr>
    </w:p>
    <w:p>
      <w:pPr>
        <w:spacing w:after="0"/>
        <w:tabs>
          <w:tab w:leader="none" w:pos="1840" w:val="left"/>
        </w:tabs>
        <w:rPr>
          <w:sz w:val="20"/>
          <w:szCs w:val="20"/>
          <w:color w:val="auto"/>
        </w:rPr>
      </w:pPr>
      <w:r>
        <w:rPr>
          <w:rFonts w:ascii="Times New Roman" w:cs="Times New Roman" w:eastAsia="Times New Roman" w:hAnsi="Times New Roman"/>
          <w:sz w:val="11"/>
          <w:szCs w:val="11"/>
          <w:color w:val="auto"/>
        </w:rPr>
        <w:t>Note 5.4. Financial risk management</w:t>
        <w:tab/>
        <w:t>. Commitments related</w:t>
      </w:r>
    </w:p>
    <w:p>
      <w:pPr>
        <w:spacing w:after="0" w:line="10" w:lineRule="exact"/>
        <w:rPr>
          <w:sz w:val="20"/>
          <w:szCs w:val="20"/>
          <w:color w:val="auto"/>
        </w:rPr>
      </w:pPr>
    </w:p>
    <w:p>
      <w:pPr>
        <w:spacing w:after="0"/>
        <w:tabs>
          <w:tab w:leader="none" w:pos="2420" w:val="left"/>
        </w:tabs>
        <w:rPr>
          <w:sz w:val="20"/>
          <w:szCs w:val="20"/>
          <w:color w:val="auto"/>
        </w:rPr>
      </w:pPr>
      <w:r>
        <w:rPr>
          <w:rFonts w:ascii="Times New Roman" w:cs="Times New Roman" w:eastAsia="Times New Roman" w:hAnsi="Times New Roman"/>
          <w:sz w:val="11"/>
          <w:szCs w:val="11"/>
          <w:color w:val="auto"/>
        </w:rPr>
        <w:t>to future lease contracts are presented in Note</w:t>
      </w:r>
      <w:r>
        <w:rPr>
          <w:sz w:val="20"/>
          <w:szCs w:val="20"/>
          <w:color w:val="auto"/>
        </w:rPr>
        <w:tab/>
      </w:r>
      <w:r>
        <w:rPr>
          <w:rFonts w:ascii="Times New Roman" w:cs="Times New Roman" w:eastAsia="Times New Roman" w:hAnsi="Times New Roman"/>
          <w:sz w:val="11"/>
          <w:szCs w:val="11"/>
          <w:color w:val="auto"/>
        </w:rPr>
        <w:t>6.1.</w:t>
      </w:r>
    </w:p>
    <w:p>
      <w:pPr>
        <w:spacing w:after="0" w:line="10" w:lineRule="exact"/>
        <w:rPr>
          <w:sz w:val="20"/>
          <w:szCs w:val="20"/>
          <w:color w:val="auto"/>
        </w:rPr>
      </w:pPr>
    </w:p>
    <w:p>
      <w:pPr>
        <w:spacing w:after="0"/>
        <w:tabs>
          <w:tab w:leader="none" w:pos="2620" w:val="left"/>
        </w:tabs>
        <w:rPr>
          <w:sz w:val="20"/>
          <w:szCs w:val="20"/>
          <w:color w:val="auto"/>
        </w:rPr>
      </w:pPr>
      <w:r>
        <w:rPr>
          <w:rFonts w:ascii="Times New Roman" w:cs="Times New Roman" w:eastAsia="Times New Roman" w:hAnsi="Times New Roman"/>
          <w:sz w:val="11"/>
          <w:szCs w:val="11"/>
          <w:color w:val="auto"/>
        </w:rPr>
        <w:t>Commitments, contingencies and legal proceedings</w:t>
      </w:r>
      <w:r>
        <w:rPr>
          <w:sz w:val="20"/>
          <w:szCs w:val="20"/>
          <w:color w:val="auto"/>
        </w:rPr>
        <w:tab/>
      </w:r>
      <w:r>
        <w:rPr>
          <w:rFonts w:ascii="Times New Roman" w:cs="Times New Roman" w:eastAsia="Times New Roman" w:hAnsi="Times New Roman"/>
          <w:sz w:val="8"/>
          <w:szCs w:val="8"/>
          <w:color w:val="auto"/>
        </w:rPr>
        <w:t>.</w:t>
      </w:r>
    </w:p>
    <w:p>
      <w:pPr>
        <w:sectPr>
          <w:pgSz w:w="11900" w:h="16838" w:orient="portrait"/>
          <w:cols w:equalWidth="0" w:num="3">
            <w:col w:w="3060" w:space="340"/>
            <w:col w:w="3260" w:space="140"/>
            <w:col w:w="3260"/>
          </w:cols>
          <w:pgMar w:left="960" w:top="410" w:right="879" w:bottom="1440" w:gutter="0" w:footer="0" w:header="0"/>
          <w:type w:val="continuous"/>
        </w:sectPr>
      </w:pPr>
    </w:p>
    <w:bookmarkStart w:id="184" w:name="page185"/>
    <w:bookmarkEnd w:id="184"/>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350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148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177</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350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148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326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   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3500" w:type="dxa"/>
            <w:vAlign w:val="bottom"/>
          </w:tcPr>
          <w:p>
            <w:pPr>
              <w:spacing w:after="0"/>
              <w:rPr>
                <w:sz w:val="3"/>
                <w:szCs w:val="3"/>
                <w:color w:val="auto"/>
              </w:rPr>
            </w:pPr>
          </w:p>
        </w:tc>
        <w:tc>
          <w:tcPr>
            <w:tcW w:w="148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3260" w:type="dxa"/>
            <w:vAlign w:val="bottom"/>
            <w:gridSpan w:val="3"/>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3500" w:type="dxa"/>
            <w:vAlign w:val="bottom"/>
          </w:tcPr>
          <w:p>
            <w:pPr>
              <w:spacing w:after="0"/>
              <w:rPr>
                <w:sz w:val="24"/>
                <w:szCs w:val="24"/>
                <w:color w:val="auto"/>
              </w:rPr>
            </w:pPr>
          </w:p>
        </w:tc>
        <w:tc>
          <w:tcPr>
            <w:tcW w:w="14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504"/>
        </w:trPr>
        <w:tc>
          <w:tcPr>
            <w:tcW w:w="1660" w:type="dxa"/>
            <w:vAlign w:val="bottom"/>
            <w:gridSpan w:val="2"/>
          </w:tcPr>
          <w:p>
            <w:pPr>
              <w:spacing w:after="0"/>
              <w:rPr>
                <w:sz w:val="20"/>
                <w:szCs w:val="20"/>
                <w:color w:val="auto"/>
              </w:rPr>
            </w:pPr>
            <w:r>
              <w:rPr>
                <w:rFonts w:ascii="Times New Roman" w:cs="Times New Roman" w:eastAsia="Times New Roman" w:hAnsi="Times New Roman"/>
                <w:sz w:val="16"/>
                <w:szCs w:val="16"/>
                <w:color w:val="005AFF"/>
              </w:rPr>
              <w:t>4.4. Inventories</w:t>
            </w:r>
          </w:p>
        </w:tc>
        <w:tc>
          <w:tcPr>
            <w:tcW w:w="1600" w:type="dxa"/>
            <w:vAlign w:val="bottom"/>
          </w:tcPr>
          <w:p>
            <w:pPr>
              <w:spacing w:after="0"/>
              <w:rPr>
                <w:sz w:val="24"/>
                <w:szCs w:val="24"/>
                <w:color w:val="auto"/>
              </w:rPr>
            </w:pPr>
          </w:p>
        </w:tc>
        <w:tc>
          <w:tcPr>
            <w:tcW w:w="5240" w:type="dxa"/>
            <w:vAlign w:val="bottom"/>
            <w:gridSpan w:val="3"/>
          </w:tcPr>
          <w:p>
            <w:pPr>
              <w:ind w:left="160"/>
              <w:spacing w:after="0"/>
              <w:rPr>
                <w:sz w:val="20"/>
                <w:szCs w:val="20"/>
                <w:color w:val="auto"/>
              </w:rPr>
            </w:pPr>
            <w:r>
              <w:rPr>
                <w:rFonts w:ascii="Times New Roman" w:cs="Times New Roman" w:eastAsia="Times New Roman" w:hAnsi="Times New Roman"/>
                <w:sz w:val="16"/>
                <w:szCs w:val="16"/>
                <w:color w:val="005AFF"/>
              </w:rPr>
              <w:t>4.5. Trade receivables and other customer-related balances</w:t>
            </w:r>
          </w:p>
        </w:tc>
        <w:tc>
          <w:tcPr>
            <w:tcW w:w="148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09"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2"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500"/>
        <w:spacing w:after="0" w:line="264" w:lineRule="auto"/>
        <w:rPr>
          <w:sz w:val="20"/>
          <w:szCs w:val="20"/>
          <w:color w:val="auto"/>
        </w:rPr>
      </w:pPr>
      <w:r>
        <w:rPr>
          <w:rFonts w:ascii="Times New Roman" w:cs="Times New Roman" w:eastAsia="Times New Roman" w:hAnsi="Times New Roman"/>
          <w:sz w:val="11"/>
          <w:szCs w:val="11"/>
          <w:color w:val="auto"/>
        </w:rPr>
        <w:t>Inventories are measured at the lower of cost and net realizable value. Cost is determined using standard cost, which approximates actual cost on a first-in first-out (FIFO) basis. In addition to the cost of materials and direct labor, an appropriate proportion of production overheads is allocated to the cost of inventory. Net realizable value is the estimated selling price in the ordinary course of business less the estimated costs necessary to make the sale.</w:t>
      </w:r>
    </w:p>
    <w:p>
      <w:pPr>
        <w:spacing w:after="0" w:line="62" w:lineRule="exact"/>
        <w:rPr>
          <w:sz w:val="20"/>
          <w:szCs w:val="20"/>
          <w:color w:val="auto"/>
        </w:rPr>
      </w:pPr>
    </w:p>
    <w:p>
      <w:pPr>
        <w:ind w:left="160" w:right="480"/>
        <w:spacing w:after="0" w:line="269" w:lineRule="auto"/>
        <w:rPr>
          <w:sz w:val="20"/>
          <w:szCs w:val="20"/>
          <w:color w:val="auto"/>
        </w:rPr>
      </w:pPr>
      <w:r>
        <w:rPr>
          <w:rFonts w:ascii="Times New Roman" w:cs="Times New Roman" w:eastAsia="Times New Roman" w:hAnsi="Times New Roman"/>
          <w:sz w:val="11"/>
          <w:szCs w:val="11"/>
          <w:color w:val="auto"/>
        </w:rPr>
        <w:t>Nokia classifies its inventories to raw materials and semi-f inished goods, finished goods, and contract work in progress. Contract work in progress comprises costs incurred to date for customer contracts where the contractual performance obligations are not yet satisfied. Contract work in progress will be recognized as cost of sales when the corresponding revenue is recognized.</w:t>
      </w:r>
    </w:p>
    <w:p>
      <w:pPr>
        <w:spacing w:after="0" w:line="294"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2023</w:t>
            </w:r>
          </w:p>
        </w:tc>
        <w:tc>
          <w:tcPr>
            <w:tcW w:w="240" w:type="dxa"/>
            <w:vAlign w:val="bottom"/>
            <w:tcBorders>
              <w:bottom w:val="single" w:sz="8" w:color="005AFF"/>
            </w:tcBorders>
          </w:tcPr>
          <w:p>
            <w:pPr>
              <w:spacing w:after="0"/>
              <w:rPr>
                <w:sz w:val="9"/>
                <w:szCs w:val="9"/>
                <w:color w:val="auto"/>
              </w:rPr>
            </w:pPr>
          </w:p>
        </w:tc>
        <w:tc>
          <w:tcPr>
            <w:tcW w:w="3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Raw materials and semi-finished goods</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1 156</w:t>
            </w:r>
          </w:p>
        </w:tc>
        <w:tc>
          <w:tcPr>
            <w:tcW w:w="240" w:type="dxa"/>
            <w:vAlign w:val="bottom"/>
          </w:tcPr>
          <w:p>
            <w:pPr>
              <w:spacing w:after="0"/>
              <w:rPr>
                <w:sz w:val="12"/>
                <w:szCs w:val="12"/>
                <w:color w:val="auto"/>
              </w:rPr>
            </w:pPr>
          </w:p>
        </w:tc>
        <w:tc>
          <w:tcPr>
            <w:tcW w:w="3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w w:val="88"/>
              </w:rPr>
              <w:t>1 075</w:t>
            </w:r>
          </w:p>
        </w:tc>
      </w:tr>
      <w:tr>
        <w:trPr>
          <w:trHeight w:val="162"/>
        </w:trPr>
        <w:tc>
          <w:tcPr>
            <w:tcW w:w="2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Finished goods</w:t>
            </w:r>
          </w:p>
        </w:tc>
        <w:tc>
          <w:tcPr>
            <w:tcW w:w="52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980</w:t>
            </w:r>
          </w:p>
        </w:tc>
        <w:tc>
          <w:tcPr>
            <w:tcW w:w="240" w:type="dxa"/>
            <w:vAlign w:val="bottom"/>
          </w:tcPr>
          <w:p>
            <w:pPr>
              <w:spacing w:after="0"/>
              <w:rPr>
                <w:sz w:val="14"/>
                <w:szCs w:val="14"/>
                <w:color w:val="auto"/>
              </w:rPr>
            </w:pPr>
          </w:p>
        </w:tc>
        <w:tc>
          <w:tcPr>
            <w:tcW w:w="3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w w:val="88"/>
              </w:rPr>
              <w:t>1 375</w:t>
            </w:r>
          </w:p>
        </w:tc>
      </w:tr>
      <w:tr>
        <w:trPr>
          <w:trHeight w:val="167"/>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Contract work in progress</w:t>
            </w:r>
          </w:p>
        </w:tc>
        <w:tc>
          <w:tcPr>
            <w:tcW w:w="52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583</w:t>
            </w:r>
          </w:p>
        </w:tc>
        <w:tc>
          <w:tcPr>
            <w:tcW w:w="240" w:type="dxa"/>
            <w:vAlign w:val="bottom"/>
            <w:tcBorders>
              <w:bottom w:val="single" w:sz="8" w:color="005AFF"/>
            </w:tcBorders>
          </w:tcPr>
          <w:p>
            <w:pPr>
              <w:spacing w:after="0"/>
              <w:rPr>
                <w:sz w:val="14"/>
                <w:szCs w:val="14"/>
                <w:color w:val="auto"/>
              </w:rPr>
            </w:pPr>
          </w:p>
        </w:tc>
        <w:tc>
          <w:tcPr>
            <w:tcW w:w="3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815</w:t>
            </w:r>
          </w:p>
        </w:tc>
      </w:tr>
      <w:tr>
        <w:trPr>
          <w:trHeight w:val="142"/>
        </w:trPr>
        <w:tc>
          <w:tcPr>
            <w:tcW w:w="2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2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2 719</w:t>
            </w:r>
          </w:p>
        </w:tc>
        <w:tc>
          <w:tcPr>
            <w:tcW w:w="240" w:type="dxa"/>
            <w:vAlign w:val="bottom"/>
            <w:tcBorders>
              <w:bottom w:val="single" w:sz="8" w:color="005AFF"/>
            </w:tcBorders>
          </w:tcPr>
          <w:p>
            <w:pPr>
              <w:spacing w:after="0"/>
              <w:rPr>
                <w:sz w:val="12"/>
                <w:szCs w:val="12"/>
                <w:color w:val="auto"/>
              </w:rPr>
            </w:pPr>
          </w:p>
        </w:tc>
        <w:tc>
          <w:tcPr>
            <w:tcW w:w="3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w w:val="88"/>
              </w:rPr>
              <w:t>3 265</w:t>
            </w:r>
          </w:p>
        </w:tc>
      </w:tr>
      <w:tr>
        <w:trPr>
          <w:trHeight w:val="245"/>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cost of inventories recognized as an expense during</w:t>
            </w:r>
          </w:p>
        </w:tc>
        <w:tc>
          <w:tcPr>
            <w:tcW w:w="300" w:type="dxa"/>
            <w:vAlign w:val="bottom"/>
          </w:tcPr>
          <w:p>
            <w:pPr>
              <w:spacing w:after="0"/>
              <w:rPr>
                <w:sz w:val="21"/>
                <w:szCs w:val="21"/>
                <w:color w:val="auto"/>
              </w:rPr>
            </w:pPr>
          </w:p>
        </w:tc>
      </w:tr>
      <w:tr>
        <w:trPr>
          <w:trHeight w:val="148"/>
        </w:trPr>
        <w:tc>
          <w:tcPr>
            <w:tcW w:w="2160" w:type="dxa"/>
            <w:vAlign w:val="bottom"/>
          </w:tcPr>
          <w:p>
            <w:pPr>
              <w:spacing w:after="0"/>
              <w:rPr>
                <w:sz w:val="20"/>
                <w:szCs w:val="20"/>
                <w:color w:val="auto"/>
              </w:rPr>
            </w:pPr>
            <w:r>
              <w:rPr>
                <w:rFonts w:ascii="Times New Roman" w:cs="Times New Roman" w:eastAsia="Times New Roman" w:hAnsi="Times New Roman"/>
                <w:sz w:val="11"/>
                <w:szCs w:val="11"/>
                <w:color w:val="auto"/>
              </w:rPr>
              <w:t>the year and included in cost of sales is EUR</w:t>
            </w:r>
          </w:p>
        </w:tc>
        <w:tc>
          <w:tcPr>
            <w:tcW w:w="76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7 978 million</w:t>
            </w:r>
          </w:p>
        </w:tc>
        <w:tc>
          <w:tcPr>
            <w:tcW w:w="300" w:type="dxa"/>
            <w:vAlign w:val="bottom"/>
          </w:tcPr>
          <w:p>
            <w:pPr>
              <w:spacing w:after="0"/>
              <w:rPr>
                <w:sz w:val="12"/>
                <w:szCs w:val="12"/>
                <w:color w:val="auto"/>
              </w:rPr>
            </w:pPr>
          </w:p>
        </w:tc>
      </w:tr>
    </w:tbl>
    <w:p>
      <w:pPr>
        <w:ind w:right="260"/>
        <w:spacing w:after="0" w:line="335" w:lineRule="auto"/>
        <w:rPr>
          <w:sz w:val="20"/>
          <w:szCs w:val="20"/>
          <w:color w:val="auto"/>
        </w:rPr>
      </w:pPr>
      <w:r>
        <w:rPr>
          <w:rFonts w:ascii="Times New Roman" w:cs="Times New Roman" w:eastAsia="Times New Roman" w:hAnsi="Times New Roman"/>
          <w:sz w:val="11"/>
          <w:szCs w:val="11"/>
          <w:color w:val="auto"/>
        </w:rPr>
        <w:t>(EUR8 623 million in 2022 and EUR 6 427 million in 2021 ). The cost of inventories recognized as an expense includes</w:t>
      </w:r>
    </w:p>
    <w:p>
      <w:pPr>
        <w:spacing w:after="0" w:line="1" w:lineRule="exact"/>
        <w:rPr>
          <w:sz w:val="20"/>
          <w:szCs w:val="20"/>
          <w:color w:val="auto"/>
        </w:rPr>
      </w:pPr>
    </w:p>
    <w:p>
      <w:pPr>
        <w:ind w:right="100"/>
        <w:spacing w:after="0" w:line="284" w:lineRule="auto"/>
        <w:rPr>
          <w:sz w:val="20"/>
          <w:szCs w:val="20"/>
          <w:color w:val="auto"/>
        </w:rPr>
      </w:pPr>
      <w:r>
        <w:rPr>
          <w:rFonts w:ascii="Times New Roman" w:cs="Times New Roman" w:eastAsia="Times New Roman" w:hAnsi="Times New Roman"/>
          <w:sz w:val="11"/>
          <w:szCs w:val="11"/>
          <w:color w:val="auto"/>
        </w:rPr>
        <w:t>EUR296 million (EUR267 million in 2022 and EUR 203 million in 2021 ) in respect of write-downs of inventory to net realizable value.</w:t>
      </w:r>
    </w:p>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cost of inventories recognized as an expense has</w:t>
      </w:r>
    </w:p>
    <w:p>
      <w:pPr>
        <w:spacing w:after="0" w:line="17" w:lineRule="exact"/>
        <w:rPr>
          <w:sz w:val="20"/>
          <w:szCs w:val="20"/>
          <w:color w:val="auto"/>
        </w:rPr>
      </w:pPr>
    </w:p>
    <w:p>
      <w:pPr>
        <w:ind w:right="440"/>
        <w:spacing w:after="0" w:line="263" w:lineRule="auto"/>
        <w:rPr>
          <w:sz w:val="20"/>
          <w:szCs w:val="20"/>
          <w:color w:val="auto"/>
        </w:rPr>
      </w:pPr>
      <w:r>
        <w:rPr>
          <w:rFonts w:ascii="Times New Roman" w:cs="Times New Roman" w:eastAsia="Times New Roman" w:hAnsi="Times New Roman"/>
          <w:sz w:val="11"/>
          <w:szCs w:val="11"/>
          <w:color w:val="auto"/>
        </w:rPr>
        <w:t>been reduced by EUR 88 million (EUR98 million in 2022 and EUR 112 million in 2021 ) in respect of the reversal of</w:t>
      </w:r>
    </w:p>
    <w:p>
      <w:pPr>
        <w:ind w:right="320"/>
        <w:spacing w:after="0" w:line="273" w:lineRule="auto"/>
        <w:rPr>
          <w:sz w:val="20"/>
          <w:szCs w:val="20"/>
          <w:color w:val="auto"/>
        </w:rPr>
      </w:pPr>
      <w:r>
        <w:rPr>
          <w:rFonts w:ascii="Times New Roman" w:cs="Times New Roman" w:eastAsia="Times New Roman" w:hAnsi="Times New Roman"/>
          <w:sz w:val="11"/>
          <w:szCs w:val="11"/>
          <w:color w:val="auto"/>
        </w:rPr>
        <w:t>write-downs of inventory to net realizable value. Previous write-downs have been reversed primarily as a result of changes in estimated customer demand.</w:t>
      </w:r>
    </w:p>
    <w:p>
      <w:pPr>
        <w:spacing w:after="0" w:line="200" w:lineRule="exact"/>
        <w:rPr>
          <w:sz w:val="20"/>
          <w:szCs w:val="20"/>
          <w:color w:val="auto"/>
        </w:rPr>
      </w:pPr>
    </w:p>
    <w:p>
      <w:pPr>
        <w:spacing w:after="0" w:line="28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8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Customer contracts</w:t>
      </w:r>
    </w:p>
    <w:p>
      <w:pPr>
        <w:spacing w:after="0" w:line="19"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Nokia presents its customer contracts in the statement of financial position as either a contract asset or a contract liability, depending on the relationship between Nokia’s performance and the customer’s payment for each individual contract. On a net basis, a contract asset position represents where Nokia has performed by transferring goods or services to a customer before the customer has provided the associated consideration or before payment is due. Conversely, a contract liability position represents where a customer has paid consideration or payment is due, but Nokia has not yet transferred goods or services to the customer. Contract assets presented in the statement of financial position are current in nature while contract liabilities can be either current or non-current.</w:t>
      </w:r>
    </w:p>
    <w:p>
      <w:pPr>
        <w:spacing w:after="0" w:line="67"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Invoices are generally issued as control transfers and/or as services are rendered. Invoiced receivables represent an unconditional right to receive the consideration and only the passage of time is required before the consideration is received. Invoiced receivables are presented separately from contract assets as trade receivables in the statement of financial position. Trade receivables may be converted to customer loan receivables in certain cases where extended payment terms are requested. From time to time Nokia may also extend loans to other third parties and these loans are accounted for similarly as customer loan receivables. Nokia sells trade receivables and customer loan receivables to various financial institutions primarily without recourse in the normal course of business, in order to manage credit risk and working capital cycle.</w:t>
      </w:r>
    </w:p>
    <w:p>
      <w:pPr>
        <w:spacing w:after="0" w:line="65" w:lineRule="exact"/>
        <w:rPr>
          <w:sz w:val="20"/>
          <w:szCs w:val="20"/>
          <w:color w:val="auto"/>
        </w:rPr>
      </w:pPr>
    </w:p>
    <w:p>
      <w:pPr>
        <w:ind w:right="80"/>
        <w:spacing w:after="0" w:line="269" w:lineRule="auto"/>
        <w:rPr>
          <w:sz w:val="20"/>
          <w:szCs w:val="20"/>
          <w:color w:val="auto"/>
        </w:rPr>
      </w:pPr>
      <w:r>
        <w:rPr>
          <w:rFonts w:ascii="Times New Roman" w:cs="Times New Roman" w:eastAsia="Times New Roman" w:hAnsi="Times New Roman"/>
          <w:sz w:val="11"/>
          <w:szCs w:val="11"/>
          <w:color w:val="auto"/>
        </w:rPr>
        <w:t>The business model for managing trade receivables and customer loan receivables is holding receivables to collect contractual cash flows and selling receivables. Trade receivables and customer loan receivables are initially recognized and subsequently remeasured at fair value using the discounted cash flow method.</w:t>
      </w:r>
    </w:p>
    <w:p>
      <w:pPr>
        <w:spacing w:after="0" w:line="20" w:lineRule="exact"/>
        <w:rPr>
          <w:sz w:val="20"/>
          <w:szCs w:val="20"/>
          <w:color w:val="auto"/>
        </w:rPr>
      </w:pPr>
      <w:r>
        <w:rPr>
          <w:sz w:val="20"/>
          <w:szCs w:val="20"/>
          <w:color w:val="auto"/>
        </w:rPr>
        <w:br w:type="column"/>
      </w:r>
    </w:p>
    <w:p>
      <w:pPr>
        <w:spacing w:after="0" w:line="36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changes in fair value are recognized in the fair value</w:t>
      </w:r>
    </w:p>
    <w:p>
      <w:pPr>
        <w:spacing w:after="0" w:line="17" w:lineRule="exact"/>
        <w:rPr>
          <w:sz w:val="20"/>
          <w:szCs w:val="20"/>
          <w:color w:val="auto"/>
        </w:rPr>
      </w:pPr>
    </w:p>
    <w:p>
      <w:pPr>
        <w:ind w:right="380"/>
        <w:spacing w:after="0" w:line="268" w:lineRule="auto"/>
        <w:rPr>
          <w:sz w:val="20"/>
          <w:szCs w:val="20"/>
          <w:color w:val="auto"/>
        </w:rPr>
      </w:pPr>
      <w:r>
        <w:rPr>
          <w:rFonts w:ascii="Times New Roman" w:cs="Times New Roman" w:eastAsia="Times New Roman" w:hAnsi="Times New Roman"/>
          <w:sz w:val="11"/>
          <w:szCs w:val="11"/>
          <w:color w:val="auto"/>
        </w:rPr>
        <w:t>reserve through other comprehensive income . Interest calculated using the effective interest method as well as foreign exchange gains and losses are recognized in financial income and expenses.</w:t>
      </w:r>
    </w:p>
    <w:p>
      <w:pPr>
        <w:spacing w:after="0" w:line="60"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Discounts without performance obligations presented on the statement of financial position in other current liabilities relate to discounts given to customers which will be executable upon satisfying specific criteria. As these discounts become executable, they are netted against related trade receivables or customer loan receivables.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Expected Credit Losses</w:t>
      </w:r>
    </w:p>
    <w:p>
      <w:pPr>
        <w:spacing w:after="0" w:line="24" w:lineRule="exact"/>
        <w:rPr>
          <w:sz w:val="20"/>
          <w:szCs w:val="20"/>
          <w:color w:val="auto"/>
        </w:rPr>
      </w:pPr>
    </w:p>
    <w:p>
      <w:pPr>
        <w:ind w:right="320"/>
        <w:spacing w:after="0" w:line="262" w:lineRule="auto"/>
        <w:rPr>
          <w:sz w:val="20"/>
          <w:szCs w:val="20"/>
          <w:color w:val="auto"/>
        </w:rPr>
      </w:pPr>
      <w:r>
        <w:rPr>
          <w:rFonts w:ascii="Times New Roman" w:cs="Times New Roman" w:eastAsia="Times New Roman" w:hAnsi="Times New Roman"/>
          <w:sz w:val="11"/>
          <w:szCs w:val="11"/>
          <w:color w:val="auto"/>
        </w:rPr>
        <w:t>Loss allowance for expected credit losses (ECL) is recognized on financial assets measured at amortized cost and financial assets measured at fair value through other comprehensive income, as well as on financial guarantee contracts and loan commitments. Nokia continuously assesses its financial instruments on a forward-looking basis and accounts</w:t>
      </w:r>
    </w:p>
    <w:p>
      <w:pPr>
        <w:spacing w:after="0" w:line="1" w:lineRule="exact"/>
        <w:rPr>
          <w:sz w:val="20"/>
          <w:szCs w:val="20"/>
          <w:color w:val="auto"/>
        </w:rPr>
      </w:pPr>
    </w:p>
    <w:p>
      <w:pPr>
        <w:ind w:right="740"/>
        <w:spacing w:after="0" w:line="278" w:lineRule="auto"/>
        <w:rPr>
          <w:sz w:val="20"/>
          <w:szCs w:val="20"/>
          <w:color w:val="auto"/>
        </w:rPr>
      </w:pPr>
      <w:r>
        <w:rPr>
          <w:rFonts w:ascii="Times New Roman" w:cs="Times New Roman" w:eastAsia="Times New Roman" w:hAnsi="Times New Roman"/>
          <w:sz w:val="11"/>
          <w:szCs w:val="11"/>
          <w:color w:val="auto"/>
        </w:rPr>
        <w:t>for the changes in ECL on a quarterly basis using the following method:</w:t>
      </w:r>
    </w:p>
    <w:p>
      <w:pPr>
        <w:spacing w:after="0" w:line="54" w:lineRule="exact"/>
        <w:rPr>
          <w:sz w:val="20"/>
          <w:szCs w:val="20"/>
          <w:color w:val="auto"/>
        </w:rPr>
      </w:pPr>
    </w:p>
    <w:p>
      <w:pPr>
        <w:ind w:left="180" w:hanging="169"/>
        <w:spacing w:after="0"/>
        <w:tabs>
          <w:tab w:leader="none" w:pos="180" w:val="left"/>
        </w:tabs>
        <w:numPr>
          <w:ilvl w:val="0"/>
          <w:numId w:val="12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ECL = PD x LGD x EAD</w:t>
      </w:r>
    </w:p>
    <w:p>
      <w:pPr>
        <w:spacing w:after="0" w:line="85" w:lineRule="exact"/>
        <w:rPr>
          <w:rFonts w:ascii="Times New Roman" w:cs="Times New Roman" w:eastAsia="Times New Roman" w:hAnsi="Times New Roman"/>
          <w:sz w:val="11"/>
          <w:szCs w:val="11"/>
          <w:color w:val="005AFF"/>
        </w:rPr>
      </w:pPr>
    </w:p>
    <w:p>
      <w:pPr>
        <w:ind w:left="180" w:right="460" w:hanging="169"/>
        <w:spacing w:after="0" w:line="269" w:lineRule="auto"/>
        <w:tabs>
          <w:tab w:leader="none" w:pos="180" w:val="left"/>
        </w:tabs>
        <w:numPr>
          <w:ilvl w:val="0"/>
          <w:numId w:val="12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Probability of Default (PD) is based on the credit rating profile of the counterparties as well as specific local circumstances as applicable, unless there are specific events that would indicate that the credit rating would not be an appropriate basis for estimating credit risk at the reporting date.</w:t>
      </w:r>
    </w:p>
    <w:p>
      <w:pPr>
        <w:spacing w:after="0" w:line="59" w:lineRule="exact"/>
        <w:rPr>
          <w:rFonts w:ascii="Times New Roman" w:cs="Times New Roman" w:eastAsia="Times New Roman" w:hAnsi="Times New Roman"/>
          <w:sz w:val="11"/>
          <w:szCs w:val="11"/>
          <w:color w:val="005AFF"/>
        </w:rPr>
      </w:pPr>
    </w:p>
    <w:p>
      <w:pPr>
        <w:ind w:left="180" w:right="360" w:hanging="169"/>
        <w:spacing w:after="0" w:line="266" w:lineRule="auto"/>
        <w:tabs>
          <w:tab w:leader="none" w:pos="180" w:val="left"/>
        </w:tabs>
        <w:numPr>
          <w:ilvl w:val="0"/>
          <w:numId w:val="12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For Loss Given Default (LGD), the recovery rate is based on the type of receivable, specific local circumstances as applicable and related collateral arrangements,</w:t>
      </w:r>
    </w:p>
    <w:p>
      <w:pPr>
        <w:ind w:left="180"/>
        <w:spacing w:after="0"/>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if any.</w:t>
      </w:r>
    </w:p>
    <w:p>
      <w:pPr>
        <w:spacing w:after="0" w:line="79" w:lineRule="exact"/>
        <w:rPr>
          <w:rFonts w:ascii="Times New Roman" w:cs="Times New Roman" w:eastAsia="Times New Roman" w:hAnsi="Times New Roman"/>
          <w:sz w:val="11"/>
          <w:szCs w:val="11"/>
          <w:color w:val="005AFF"/>
        </w:rPr>
      </w:pPr>
    </w:p>
    <w:p>
      <w:pPr>
        <w:ind w:left="180" w:right="360" w:hanging="169"/>
        <w:spacing w:after="0" w:line="309" w:lineRule="auto"/>
        <w:tabs>
          <w:tab w:leader="none" w:pos="180" w:val="left"/>
        </w:tabs>
        <w:numPr>
          <w:ilvl w:val="0"/>
          <w:numId w:val="126"/>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Exposure at Default (EAD) is normally the nominal value of the receivable.</w:t>
      </w:r>
    </w:p>
    <w:p>
      <w:pPr>
        <w:sectPr>
          <w:pgSz w:w="11900" w:h="16838" w:orient="portrait"/>
          <w:cols w:equalWidth="0" w:num="3">
            <w:col w:w="3220" w:space="340"/>
            <w:col w:w="2740" w:space="500"/>
            <w:col w:w="3180"/>
          </w:cols>
          <w:pgMar w:left="960" w:top="409" w:right="959" w:bottom="1440" w:gutter="0" w:footer="0" w:header="0"/>
          <w:type w:val="continuous"/>
        </w:sectPr>
      </w:pPr>
    </w:p>
    <w:bookmarkStart w:id="185" w:name="page186"/>
    <w:bookmarkEnd w:id="185"/>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178</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00"/>
          </w:cols>
          <w:pgMar w:left="960" w:top="410" w:right="93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2" w:lineRule="exact"/>
        <w:rPr>
          <w:sz w:val="20"/>
          <w:szCs w:val="20"/>
          <w:color w:val="auto"/>
        </w:rPr>
      </w:pPr>
    </w:p>
    <w:p>
      <w:pPr>
        <w:ind w:left="160" w:right="160"/>
        <w:spacing w:after="0" w:line="264" w:lineRule="auto"/>
        <w:rPr>
          <w:sz w:val="20"/>
          <w:szCs w:val="20"/>
          <w:color w:val="auto"/>
        </w:rPr>
      </w:pPr>
      <w:r>
        <w:rPr>
          <w:rFonts w:ascii="Times New Roman" w:cs="Times New Roman" w:eastAsia="Times New Roman" w:hAnsi="Times New Roman"/>
          <w:sz w:val="11"/>
          <w:szCs w:val="11"/>
          <w:color w:val="auto"/>
        </w:rPr>
        <w:t>Nokia applies a simplified approach to recognize a loss allowance based on lifetime ECL on trade receivables and contract assets without significant financing components. Based on quantitative and qualitative analysis, Nokia has determined that the credit risk exposure arising from its trade receivables is low risk. Quantitative analysis focuses on historical loss rates, historic and projected sales and the corresponding trade receivables, and overdue trade receivables including indicators of any deterioration in the recovery expectation. Qualitative analysis focuses on all relevant conditions, including customer and country credit rating, to improve the accuracy of estimating lifetime ECL.</w:t>
      </w:r>
    </w:p>
    <w:p>
      <w:pPr>
        <w:spacing w:after="0" w:line="62" w:lineRule="exact"/>
        <w:rPr>
          <w:sz w:val="20"/>
          <w:szCs w:val="20"/>
          <w:color w:val="auto"/>
        </w:rPr>
      </w:pPr>
    </w:p>
    <w:p>
      <w:pPr>
        <w:ind w:left="160" w:right="140"/>
        <w:spacing w:after="0" w:line="262" w:lineRule="auto"/>
        <w:rPr>
          <w:sz w:val="20"/>
          <w:szCs w:val="20"/>
          <w:color w:val="auto"/>
        </w:rPr>
      </w:pPr>
      <w:r>
        <w:rPr>
          <w:rFonts w:ascii="Times New Roman" w:cs="Times New Roman" w:eastAsia="Times New Roman" w:hAnsi="Times New Roman"/>
          <w:sz w:val="11"/>
          <w:szCs w:val="11"/>
          <w:color w:val="auto"/>
        </w:rPr>
        <w:t>For customer loan receivables, the ECL is calculated separately for each significant counterparty using the method described above, including the impact of any collateral arrangements or other credit enhancements to LGD. The estimate is based on 12-month ECL unless there has been a significant increase in credit risk for the specific counterparty since the initial recognition, in which case lifetime ECL is estimated. Breaches of contract, credit rating downgrades and other credit measures are typical indicators that Nokia takes into consideration when assessing whether the credit risk on a financial instrument has increased significantly since initial recognition. Nokia considers additional indicators to determine if a financial asset is credit-impaired including whether the counterparty is in significant financial difficulties and whether it is becoming probable that the customer will enter bankruptcy or financial reorganization. Typically customer loan credit risk is higher than credit risk of trade receivables and contract assets on average.</w:t>
      </w:r>
    </w:p>
    <w:p>
      <w:pPr>
        <w:spacing w:after="0" w:line="208" w:lineRule="exact"/>
        <w:rPr>
          <w:sz w:val="20"/>
          <w:szCs w:val="20"/>
          <w:color w:val="auto"/>
        </w:rPr>
      </w:pPr>
    </w:p>
    <w:p>
      <w:pPr>
        <w:ind w:left="160" w:right="120"/>
        <w:spacing w:after="0" w:line="262" w:lineRule="auto"/>
        <w:rPr>
          <w:sz w:val="20"/>
          <w:szCs w:val="20"/>
          <w:color w:val="auto"/>
        </w:rPr>
      </w:pPr>
      <w:r>
        <w:rPr>
          <w:rFonts w:ascii="Times New Roman" w:cs="Times New Roman" w:eastAsia="Times New Roman" w:hAnsi="Times New Roman"/>
          <w:sz w:val="11"/>
          <w:szCs w:val="11"/>
          <w:color w:val="auto"/>
        </w:rPr>
        <w:t>The change in the amount of ECL for trade receivables and contract assets is recognized in other operating expenses and for customer loan receivables in financial expenses. For customer loan receivables, the loss allowance is recorded as an adjustment in other comprehensive income instead of adjusting the carrying amount that has already been recorded at fair value. If trade receivables and customer loan receivables are sold, the impact of ECL is reversed and the difference between</w:t>
      </w:r>
    </w:p>
    <w:p>
      <w:pPr>
        <w:spacing w:after="0" w:line="3" w:lineRule="exact"/>
        <w:rPr>
          <w:sz w:val="20"/>
          <w:szCs w:val="20"/>
          <w:color w:val="auto"/>
        </w:rPr>
      </w:pPr>
    </w:p>
    <w:p>
      <w:pPr>
        <w:ind w:left="160"/>
        <w:spacing w:after="0" w:line="286" w:lineRule="auto"/>
        <w:rPr>
          <w:sz w:val="20"/>
          <w:szCs w:val="20"/>
          <w:color w:val="auto"/>
        </w:rPr>
      </w:pPr>
      <w:r>
        <w:rPr>
          <w:rFonts w:ascii="Times New Roman" w:cs="Times New Roman" w:eastAsia="Times New Roman" w:hAnsi="Times New Roman"/>
          <w:sz w:val="11"/>
          <w:szCs w:val="11"/>
          <w:color w:val="auto"/>
        </w:rPr>
        <w:t>the carrying amount derecognized and the consideration received is recognized in financial expenses.</w:t>
      </w:r>
    </w:p>
    <w:p>
      <w:pPr>
        <w:spacing w:after="0" w:line="19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2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color w:val="auto"/>
        </w:rPr>
        <w:t>Customer-related balances</w:t>
      </w:r>
    </w:p>
    <w:p>
      <w:pPr>
        <w:spacing w:after="0" w:line="32" w:lineRule="exact"/>
        <w:rPr>
          <w:sz w:val="20"/>
          <w:szCs w:val="20"/>
          <w:color w:val="auto"/>
        </w:rPr>
      </w:pPr>
    </w:p>
    <w:p>
      <w:pPr>
        <w:ind w:left="40" w:right="720"/>
        <w:spacing w:after="0" w:line="265" w:lineRule="auto"/>
        <w:rPr>
          <w:sz w:val="20"/>
          <w:szCs w:val="20"/>
          <w:color w:val="auto"/>
        </w:rPr>
      </w:pPr>
      <w:r>
        <w:rPr>
          <w:rFonts w:ascii="Times New Roman" w:cs="Times New Roman" w:eastAsia="Times New Roman" w:hAnsi="Times New Roman"/>
          <w:sz w:val="11"/>
          <w:szCs w:val="11"/>
          <w:color w:val="auto"/>
        </w:rPr>
        <w:t>Nokia aims to ensure the highest possible quality in trade receivables and contract assets as well as customer or third-party loan receivables. The Credit Risk Management Standard Operating Procedure, approved by the CFO, lays out the framework for the management of business-related credit risks. The Credit Risk Management Standard Operating Procedure sets out that credit decisions are based on credit evaluation in each business, including credit rating and limits for larger exposures, according to defined principles. Group level limit approvals are required for material credit exposures. Credit risks are monitored in each business and, where appropriate, mitigated on a case-by-case basis with the use of letters of credit, collaterals, sponsor guarantees, credit insurance and sale of selected receivables.</w:t>
      </w:r>
    </w:p>
    <w:p>
      <w:pPr>
        <w:spacing w:after="0" w:line="9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b w:val="1"/>
          <w:bCs w:val="1"/>
          <w:color w:val="auto"/>
        </w:rPr>
        <w:t>Aging of trade receivables and other customer-related balances at 31 December</w:t>
      </w:r>
    </w:p>
    <w:p>
      <w:pPr>
        <w:spacing w:after="0" w:line="59"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780" w:type="dxa"/>
            <w:vAlign w:val="bottom"/>
          </w:tcPr>
          <w:p>
            <w:pPr>
              <w:spacing w:after="0"/>
              <w:rPr>
                <w:sz w:val="9"/>
                <w:szCs w:val="9"/>
                <w:color w:val="auto"/>
              </w:rPr>
            </w:pPr>
          </w:p>
        </w:tc>
        <w:tc>
          <w:tcPr>
            <w:tcW w:w="560" w:type="dxa"/>
            <w:vAlign w:val="bottom"/>
          </w:tcPr>
          <w:p>
            <w:pPr>
              <w:spacing w:after="0"/>
              <w:rPr>
                <w:sz w:val="9"/>
                <w:szCs w:val="9"/>
                <w:color w:val="auto"/>
              </w:rPr>
            </w:pPr>
          </w:p>
        </w:tc>
        <w:tc>
          <w:tcPr>
            <w:tcW w:w="760" w:type="dxa"/>
            <w:vAlign w:val="bottom"/>
          </w:tcPr>
          <w:p>
            <w:pPr>
              <w:spacing w:after="0"/>
              <w:rPr>
                <w:sz w:val="9"/>
                <w:szCs w:val="9"/>
                <w:color w:val="auto"/>
              </w:rPr>
            </w:pPr>
          </w:p>
        </w:tc>
        <w:tc>
          <w:tcPr>
            <w:tcW w:w="660" w:type="dxa"/>
            <w:vAlign w:val="bottom"/>
          </w:tcPr>
          <w:p>
            <w:pPr>
              <w:spacing w:after="0"/>
              <w:rPr>
                <w:sz w:val="9"/>
                <w:szCs w:val="9"/>
                <w:color w:val="auto"/>
              </w:rPr>
            </w:pPr>
          </w:p>
        </w:tc>
        <w:tc>
          <w:tcPr>
            <w:tcW w:w="760" w:type="dxa"/>
            <w:vAlign w:val="bottom"/>
          </w:tcPr>
          <w:p>
            <w:pPr>
              <w:spacing w:after="0"/>
              <w:rPr>
                <w:sz w:val="9"/>
                <w:szCs w:val="9"/>
                <w:color w:val="auto"/>
              </w:rPr>
            </w:pPr>
          </w:p>
        </w:tc>
        <w:tc>
          <w:tcPr>
            <w:tcW w:w="400" w:type="dxa"/>
            <w:vAlign w:val="bottom"/>
          </w:tcPr>
          <w:p>
            <w:pPr>
              <w:spacing w:after="0"/>
              <w:rPr>
                <w:sz w:val="9"/>
                <w:szCs w:val="9"/>
                <w:color w:val="auto"/>
              </w:rPr>
            </w:pPr>
          </w:p>
        </w:tc>
        <w:tc>
          <w:tcPr>
            <w:tcW w:w="540" w:type="dxa"/>
            <w:vAlign w:val="bottom"/>
          </w:tcPr>
          <w:p>
            <w:pPr>
              <w:spacing w:after="0"/>
              <w:rPr>
                <w:sz w:val="9"/>
                <w:szCs w:val="9"/>
                <w:color w:val="auto"/>
              </w:rPr>
            </w:pPr>
          </w:p>
        </w:tc>
        <w:tc>
          <w:tcPr>
            <w:tcW w:w="540" w:type="dxa"/>
            <w:vAlign w:val="bottom"/>
            <w:tcBorders>
              <w:bottom w:val="single" w:sz="8" w:color="005AFF"/>
            </w:tcBorders>
          </w:tcPr>
          <w:p>
            <w:pPr>
              <w:spacing w:after="0"/>
              <w:rPr>
                <w:sz w:val="9"/>
                <w:szCs w:val="9"/>
                <w:color w:val="auto"/>
              </w:rPr>
            </w:pPr>
          </w:p>
        </w:tc>
        <w:tc>
          <w:tcPr>
            <w:tcW w:w="5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Past due</w:t>
            </w:r>
          </w:p>
        </w:tc>
        <w:tc>
          <w:tcPr>
            <w:tcW w:w="540" w:type="dxa"/>
            <w:vAlign w:val="bottom"/>
            <w:tcBorders>
              <w:bottom w:val="single" w:sz="8" w:color="005AFF"/>
            </w:tcBorders>
          </w:tcPr>
          <w:p>
            <w:pPr>
              <w:spacing w:after="0"/>
              <w:rPr>
                <w:sz w:val="9"/>
                <w:szCs w:val="9"/>
                <w:color w:val="auto"/>
              </w:rPr>
            </w:pPr>
          </w:p>
        </w:tc>
        <w:tc>
          <w:tcPr>
            <w:tcW w:w="16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08"/>
        </w:trPr>
        <w:tc>
          <w:tcPr>
            <w:tcW w:w="780" w:type="dxa"/>
            <w:vAlign w:val="bottom"/>
          </w:tcPr>
          <w:p>
            <w:pPr>
              <w:spacing w:after="0"/>
              <w:rPr>
                <w:sz w:val="9"/>
                <w:szCs w:val="9"/>
                <w:color w:val="auto"/>
              </w:rPr>
            </w:pPr>
          </w:p>
        </w:tc>
        <w:tc>
          <w:tcPr>
            <w:tcW w:w="560" w:type="dxa"/>
            <w:vAlign w:val="bottom"/>
          </w:tcPr>
          <w:p>
            <w:pPr>
              <w:spacing w:after="0"/>
              <w:rPr>
                <w:sz w:val="9"/>
                <w:szCs w:val="9"/>
                <w:color w:val="auto"/>
              </w:rPr>
            </w:pPr>
          </w:p>
        </w:tc>
        <w:tc>
          <w:tcPr>
            <w:tcW w:w="760" w:type="dxa"/>
            <w:vAlign w:val="bottom"/>
          </w:tcPr>
          <w:p>
            <w:pPr>
              <w:spacing w:after="0"/>
              <w:rPr>
                <w:sz w:val="9"/>
                <w:szCs w:val="9"/>
                <w:color w:val="auto"/>
              </w:rPr>
            </w:pPr>
          </w:p>
        </w:tc>
        <w:tc>
          <w:tcPr>
            <w:tcW w:w="660" w:type="dxa"/>
            <w:vAlign w:val="bottom"/>
          </w:tcPr>
          <w:p>
            <w:pPr>
              <w:spacing w:after="0"/>
              <w:rPr>
                <w:sz w:val="9"/>
                <w:szCs w:val="9"/>
                <w:color w:val="auto"/>
              </w:rPr>
            </w:pPr>
          </w:p>
        </w:tc>
        <w:tc>
          <w:tcPr>
            <w:tcW w:w="760" w:type="dxa"/>
            <w:vAlign w:val="bottom"/>
          </w:tcPr>
          <w:p>
            <w:pPr>
              <w:spacing w:after="0"/>
              <w:rPr>
                <w:sz w:val="9"/>
                <w:szCs w:val="9"/>
                <w:color w:val="auto"/>
              </w:rPr>
            </w:pPr>
          </w:p>
        </w:tc>
        <w:tc>
          <w:tcPr>
            <w:tcW w:w="400" w:type="dxa"/>
            <w:vAlign w:val="bottom"/>
          </w:tcPr>
          <w:p>
            <w:pPr>
              <w:spacing w:after="0"/>
              <w:rPr>
                <w:sz w:val="9"/>
                <w:szCs w:val="9"/>
                <w:color w:val="auto"/>
              </w:rPr>
            </w:pPr>
          </w:p>
        </w:tc>
        <w:tc>
          <w:tcPr>
            <w:tcW w:w="540" w:type="dxa"/>
            <w:vAlign w:val="bottom"/>
          </w:tcPr>
          <w:p>
            <w:pPr>
              <w:spacing w:after="0"/>
              <w:rPr>
                <w:sz w:val="9"/>
                <w:szCs w:val="9"/>
                <w:color w:val="auto"/>
              </w:rPr>
            </w:pPr>
          </w:p>
        </w:tc>
        <w:tc>
          <w:tcPr>
            <w:tcW w:w="540" w:type="dxa"/>
            <w:vAlign w:val="bottom"/>
          </w:tcPr>
          <w:p>
            <w:pPr>
              <w:spacing w:after="0"/>
              <w:rPr>
                <w:sz w:val="9"/>
                <w:szCs w:val="9"/>
                <w:color w:val="auto"/>
              </w:rPr>
            </w:pPr>
          </w:p>
        </w:tc>
        <w:tc>
          <w:tcPr>
            <w:tcW w:w="52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31-180</w:t>
            </w:r>
          </w:p>
        </w:tc>
        <w:tc>
          <w:tcPr>
            <w:tcW w:w="540" w:type="dxa"/>
            <w:vAlign w:val="bottom"/>
          </w:tcPr>
          <w:p>
            <w:pPr>
              <w:spacing w:after="0"/>
              <w:rPr>
                <w:sz w:val="9"/>
                <w:szCs w:val="9"/>
                <w:color w:val="auto"/>
              </w:rPr>
            </w:pPr>
          </w:p>
        </w:tc>
        <w:tc>
          <w:tcPr>
            <w:tcW w:w="16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14"/>
        </w:trPr>
        <w:tc>
          <w:tcPr>
            <w:tcW w:w="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60" w:type="dxa"/>
            <w:vAlign w:val="bottom"/>
            <w:tcBorders>
              <w:bottom w:val="single" w:sz="8" w:color="005AFF"/>
            </w:tcBorders>
          </w:tcPr>
          <w:p>
            <w:pPr>
              <w:spacing w:after="0"/>
              <w:rPr>
                <w:sz w:val="9"/>
                <w:szCs w:val="9"/>
                <w:color w:val="auto"/>
              </w:rPr>
            </w:pPr>
          </w:p>
        </w:tc>
        <w:tc>
          <w:tcPr>
            <w:tcW w:w="76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spacing w:after="0"/>
              <w:rPr>
                <w:sz w:val="9"/>
                <w:szCs w:val="9"/>
                <w:color w:val="auto"/>
              </w:rPr>
            </w:pPr>
          </w:p>
        </w:tc>
        <w:tc>
          <w:tcPr>
            <w:tcW w:w="76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Current</w:t>
            </w:r>
          </w:p>
        </w:tc>
        <w:tc>
          <w:tcPr>
            <w:tcW w:w="54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1-30 days</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days</w:t>
            </w:r>
          </w:p>
        </w:tc>
        <w:tc>
          <w:tcPr>
            <w:tcW w:w="700" w:type="dxa"/>
            <w:vAlign w:val="bottom"/>
            <w:tcBorders>
              <w:bottom w:val="single" w:sz="8" w:color="005AFF"/>
            </w:tcBorders>
            <w:gridSpan w:val="2"/>
          </w:tcPr>
          <w:p>
            <w:pPr>
              <w:ind w:left="100"/>
              <w:spacing w:after="0"/>
              <w:rPr>
                <w:sz w:val="20"/>
                <w:szCs w:val="20"/>
                <w:color w:val="auto"/>
              </w:rPr>
            </w:pPr>
            <w:r>
              <w:rPr>
                <w:rFonts w:ascii="Times New Roman" w:cs="Times New Roman" w:eastAsia="Times New Roman" w:hAnsi="Times New Roman"/>
                <w:sz w:val="8"/>
                <w:szCs w:val="8"/>
                <w:b w:val="1"/>
                <w:bCs w:val="1"/>
                <w:color w:val="005AFF"/>
              </w:rPr>
              <w:t>&gt; 180 days</w:t>
            </w:r>
          </w:p>
        </w:tc>
        <w:tc>
          <w:tcPr>
            <w:tcW w:w="3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0" w:type="dxa"/>
            <w:vAlign w:val="bottom"/>
          </w:tcPr>
          <w:p>
            <w:pPr>
              <w:spacing w:after="0"/>
              <w:rPr>
                <w:sz w:val="1"/>
                <w:szCs w:val="1"/>
                <w:color w:val="auto"/>
              </w:rPr>
            </w:pPr>
          </w:p>
        </w:tc>
      </w:tr>
      <w:tr>
        <w:trPr>
          <w:trHeight w:val="140"/>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560" w:type="dxa"/>
            <w:vAlign w:val="bottom"/>
          </w:tcPr>
          <w:p>
            <w:pPr>
              <w:spacing w:after="0"/>
              <w:rPr>
                <w:sz w:val="12"/>
                <w:szCs w:val="12"/>
                <w:color w:val="auto"/>
              </w:rPr>
            </w:pPr>
          </w:p>
        </w:tc>
        <w:tc>
          <w:tcPr>
            <w:tcW w:w="760" w:type="dxa"/>
            <w:vAlign w:val="bottom"/>
          </w:tcPr>
          <w:p>
            <w:pPr>
              <w:spacing w:after="0"/>
              <w:rPr>
                <w:sz w:val="12"/>
                <w:szCs w:val="12"/>
                <w:color w:val="auto"/>
              </w:rPr>
            </w:pPr>
          </w:p>
        </w:tc>
        <w:tc>
          <w:tcPr>
            <w:tcW w:w="660" w:type="dxa"/>
            <w:vAlign w:val="bottom"/>
          </w:tcPr>
          <w:p>
            <w:pPr>
              <w:spacing w:after="0"/>
              <w:rPr>
                <w:sz w:val="12"/>
                <w:szCs w:val="12"/>
                <w:color w:val="auto"/>
              </w:rPr>
            </w:pPr>
          </w:p>
        </w:tc>
        <w:tc>
          <w:tcPr>
            <w:tcW w:w="76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540" w:type="dxa"/>
            <w:vAlign w:val="bottom"/>
            <w:shd w:val="clear" w:color="auto" w:fill="F0F5FF"/>
          </w:tcPr>
          <w:p>
            <w:pPr>
              <w:spacing w:after="0"/>
              <w:rPr>
                <w:sz w:val="12"/>
                <w:szCs w:val="12"/>
                <w:color w:val="auto"/>
              </w:rPr>
            </w:pPr>
          </w:p>
        </w:tc>
        <w:tc>
          <w:tcPr>
            <w:tcW w:w="540" w:type="dxa"/>
            <w:vAlign w:val="bottom"/>
            <w:shd w:val="clear" w:color="auto" w:fill="F0F5FF"/>
          </w:tcPr>
          <w:p>
            <w:pPr>
              <w:spacing w:after="0"/>
              <w:rPr>
                <w:sz w:val="12"/>
                <w:szCs w:val="12"/>
                <w:color w:val="auto"/>
              </w:rPr>
            </w:pPr>
          </w:p>
        </w:tc>
        <w:tc>
          <w:tcPr>
            <w:tcW w:w="520" w:type="dxa"/>
            <w:vAlign w:val="bottom"/>
            <w:shd w:val="clear" w:color="auto" w:fill="F0F5FF"/>
          </w:tcPr>
          <w:p>
            <w:pPr>
              <w:spacing w:after="0"/>
              <w:rPr>
                <w:sz w:val="12"/>
                <w:szCs w:val="12"/>
                <w:color w:val="auto"/>
              </w:rPr>
            </w:pPr>
          </w:p>
        </w:tc>
        <w:tc>
          <w:tcPr>
            <w:tcW w:w="540" w:type="dxa"/>
            <w:vAlign w:val="bottom"/>
            <w:shd w:val="clear" w:color="auto" w:fill="F0F5FF"/>
          </w:tcPr>
          <w:p>
            <w:pPr>
              <w:spacing w:after="0"/>
              <w:rPr>
                <w:sz w:val="12"/>
                <w:szCs w:val="12"/>
                <w:color w:val="auto"/>
              </w:rPr>
            </w:pPr>
          </w:p>
        </w:tc>
        <w:tc>
          <w:tcPr>
            <w:tcW w:w="160" w:type="dxa"/>
            <w:vAlign w:val="bottom"/>
            <w:shd w:val="clear" w:color="auto" w:fill="F0F5FF"/>
          </w:tcPr>
          <w:p>
            <w:pPr>
              <w:spacing w:after="0"/>
              <w:rPr>
                <w:sz w:val="12"/>
                <w:szCs w:val="12"/>
                <w:color w:val="auto"/>
              </w:rPr>
            </w:pPr>
          </w:p>
        </w:tc>
        <w:tc>
          <w:tcPr>
            <w:tcW w:w="38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62"/>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Trade receivables</w:t>
            </w:r>
          </w:p>
        </w:tc>
        <w:tc>
          <w:tcPr>
            <w:tcW w:w="560" w:type="dxa"/>
            <w:vAlign w:val="bottom"/>
          </w:tcPr>
          <w:p>
            <w:pPr>
              <w:jc w:val="right"/>
              <w:ind w:right="407"/>
              <w:spacing w:after="0"/>
              <w:rPr>
                <w:sz w:val="20"/>
                <w:szCs w:val="20"/>
                <w:color w:val="auto"/>
              </w:rPr>
            </w:pPr>
            <w:r>
              <w:rPr>
                <w:rFonts w:ascii="Times New Roman" w:cs="Times New Roman" w:eastAsia="Times New Roman" w:hAnsi="Times New Roman"/>
                <w:sz w:val="7"/>
                <w:szCs w:val="7"/>
                <w:color w:val="0D0D0D"/>
              </w:rPr>
              <w:t>(1)</w:t>
            </w:r>
          </w:p>
        </w:tc>
        <w:tc>
          <w:tcPr>
            <w:tcW w:w="76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4 404</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157</w:t>
            </w:r>
          </w:p>
        </w:tc>
        <w:tc>
          <w:tcPr>
            <w:tcW w:w="52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279</w:t>
            </w: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430</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5 270</w:t>
            </w:r>
          </w:p>
        </w:tc>
        <w:tc>
          <w:tcPr>
            <w:tcW w:w="0" w:type="dxa"/>
            <w:vAlign w:val="bottom"/>
          </w:tcPr>
          <w:p>
            <w:pPr>
              <w:spacing w:after="0"/>
              <w:rPr>
                <w:sz w:val="1"/>
                <w:szCs w:val="1"/>
                <w:color w:val="auto"/>
              </w:rPr>
            </w:pPr>
          </w:p>
        </w:tc>
      </w:tr>
      <w:tr>
        <w:trPr>
          <w:trHeight w:val="162"/>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Contract assets</w:t>
            </w:r>
          </w:p>
        </w:tc>
        <w:tc>
          <w:tcPr>
            <w:tcW w:w="5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00" w:type="dxa"/>
            <w:vAlign w:val="bottom"/>
          </w:tcPr>
          <w:p>
            <w:pPr>
              <w:spacing w:after="0"/>
              <w:rPr>
                <w:sz w:val="14"/>
                <w:szCs w:val="14"/>
                <w:color w:val="auto"/>
              </w:rPr>
            </w:pP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1 136</w:t>
            </w:r>
          </w:p>
        </w:tc>
        <w:tc>
          <w:tcPr>
            <w:tcW w:w="540" w:type="dxa"/>
            <w:vAlign w:val="bottom"/>
            <w:shd w:val="clear" w:color="auto" w:fill="F0F5FF"/>
          </w:tcPr>
          <w:p>
            <w:pPr>
              <w:jc w:val="center"/>
              <w:ind w:left="311"/>
              <w:spacing w:after="0"/>
              <w:rPr>
                <w:sz w:val="20"/>
                <w:szCs w:val="20"/>
                <w:color w:val="auto"/>
              </w:rPr>
            </w:pPr>
            <w:r>
              <w:rPr>
                <w:rFonts w:ascii="Times New Roman" w:cs="Times New Roman" w:eastAsia="Times New Roman" w:hAnsi="Times New Roman"/>
                <w:sz w:val="10"/>
                <w:szCs w:val="10"/>
                <w:color w:val="005AFF"/>
                <w:w w:val="99"/>
              </w:rPr>
              <w:t>—</w:t>
            </w:r>
          </w:p>
        </w:tc>
        <w:tc>
          <w:tcPr>
            <w:tcW w:w="5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gridSpan w:val="2"/>
            <w:shd w:val="clear" w:color="auto" w:fill="F0F5FF"/>
          </w:tcPr>
          <w:p>
            <w:pPr>
              <w:ind w:left="420"/>
              <w:spacing w:after="0"/>
              <w:rPr>
                <w:sz w:val="20"/>
                <w:szCs w:val="20"/>
                <w:color w:val="auto"/>
              </w:rPr>
            </w:pPr>
            <w:r>
              <w:rPr>
                <w:rFonts w:ascii="Times New Roman" w:cs="Times New Roman" w:eastAsia="Times New Roman" w:hAnsi="Times New Roman"/>
                <w:sz w:val="10"/>
                <w:szCs w:val="10"/>
                <w:color w:val="005AFF"/>
              </w:rPr>
              <w:t>—</w:t>
            </w:r>
          </w:p>
        </w:tc>
        <w:tc>
          <w:tcPr>
            <w:tcW w:w="3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1 136</w:t>
            </w:r>
          </w:p>
        </w:tc>
        <w:tc>
          <w:tcPr>
            <w:tcW w:w="0" w:type="dxa"/>
            <w:vAlign w:val="bottom"/>
          </w:tcPr>
          <w:p>
            <w:pPr>
              <w:spacing w:after="0"/>
              <w:rPr>
                <w:sz w:val="1"/>
                <w:szCs w:val="1"/>
                <w:color w:val="auto"/>
              </w:rPr>
            </w:pPr>
          </w:p>
        </w:tc>
      </w:tr>
      <w:tr>
        <w:trPr>
          <w:trHeight w:val="167"/>
        </w:trPr>
        <w:tc>
          <w:tcPr>
            <w:tcW w:w="210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color w:val="0D0D0D"/>
              </w:rPr>
              <w:t>Customer financing-related loan receivables</w:t>
            </w:r>
          </w:p>
        </w:tc>
        <w:tc>
          <w:tcPr>
            <w:tcW w:w="660" w:type="dxa"/>
            <w:vAlign w:val="bottom"/>
            <w:tcBorders>
              <w:bottom w:val="single" w:sz="8" w:color="005AFF"/>
            </w:tcBorders>
          </w:tcPr>
          <w:p>
            <w:pPr>
              <w:spacing w:after="0"/>
              <w:rPr>
                <w:sz w:val="14"/>
                <w:szCs w:val="14"/>
                <w:color w:val="auto"/>
              </w:rPr>
            </w:pPr>
          </w:p>
        </w:tc>
        <w:tc>
          <w:tcPr>
            <w:tcW w:w="760" w:type="dxa"/>
            <w:vAlign w:val="bottom"/>
            <w:tcBorders>
              <w:bottom w:val="single" w:sz="8" w:color="005AFF"/>
            </w:tcBorders>
          </w:tcPr>
          <w:p>
            <w:pPr>
              <w:spacing w:after="0"/>
              <w:rPr>
                <w:sz w:val="14"/>
                <w:szCs w:val="14"/>
                <w:color w:val="auto"/>
              </w:rPr>
            </w:pPr>
          </w:p>
        </w:tc>
        <w:tc>
          <w:tcPr>
            <w:tcW w:w="40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207</w:t>
            </w:r>
          </w:p>
        </w:tc>
        <w:tc>
          <w:tcPr>
            <w:tcW w:w="540" w:type="dxa"/>
            <w:vAlign w:val="bottom"/>
            <w:tcBorders>
              <w:bottom w:val="single" w:sz="8" w:color="005AFF"/>
            </w:tcBorders>
            <w:shd w:val="clear" w:color="auto" w:fill="F0F5FF"/>
          </w:tcPr>
          <w:p>
            <w:pPr>
              <w:jc w:val="center"/>
              <w:ind w:left="311"/>
              <w:spacing w:after="0"/>
              <w:rPr>
                <w:sz w:val="20"/>
                <w:szCs w:val="20"/>
                <w:color w:val="auto"/>
              </w:rPr>
            </w:pPr>
            <w:r>
              <w:rPr>
                <w:rFonts w:ascii="Times New Roman" w:cs="Times New Roman" w:eastAsia="Times New Roman" w:hAnsi="Times New Roman"/>
                <w:sz w:val="10"/>
                <w:szCs w:val="10"/>
                <w:color w:val="005AFF"/>
              </w:rPr>
              <w:t>1</w:t>
            </w:r>
          </w:p>
        </w:tc>
        <w:tc>
          <w:tcPr>
            <w:tcW w:w="52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20</w:t>
            </w:r>
          </w:p>
        </w:tc>
        <w:tc>
          <w:tcPr>
            <w:tcW w:w="5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88</w:t>
            </w:r>
          </w:p>
        </w:tc>
        <w:tc>
          <w:tcPr>
            <w:tcW w:w="160" w:type="dxa"/>
            <w:vAlign w:val="bottom"/>
            <w:tcBorders>
              <w:bottom w:val="single" w:sz="8" w:color="005AFF"/>
            </w:tcBorders>
            <w:shd w:val="clear" w:color="auto" w:fill="F0F5FF"/>
          </w:tcPr>
          <w:p>
            <w:pPr>
              <w:spacing w:after="0"/>
              <w:rPr>
                <w:sz w:val="14"/>
                <w:szCs w:val="14"/>
                <w:color w:val="auto"/>
              </w:rPr>
            </w:pPr>
          </w:p>
        </w:tc>
        <w:tc>
          <w:tcPr>
            <w:tcW w:w="3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316</w:t>
            </w:r>
          </w:p>
        </w:tc>
        <w:tc>
          <w:tcPr>
            <w:tcW w:w="0" w:type="dxa"/>
            <w:vAlign w:val="bottom"/>
          </w:tcPr>
          <w:p>
            <w:pPr>
              <w:spacing w:after="0"/>
              <w:rPr>
                <w:sz w:val="1"/>
                <w:szCs w:val="1"/>
                <w:color w:val="auto"/>
              </w:rPr>
            </w:pPr>
          </w:p>
        </w:tc>
      </w:tr>
      <w:tr>
        <w:trPr>
          <w:trHeight w:val="142"/>
        </w:trPr>
        <w:tc>
          <w:tcPr>
            <w:tcW w:w="13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gross receivables</w:t>
            </w:r>
          </w:p>
        </w:tc>
        <w:tc>
          <w:tcPr>
            <w:tcW w:w="76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tcPr>
          <w:p>
            <w:pPr>
              <w:spacing w:after="0"/>
              <w:rPr>
                <w:sz w:val="12"/>
                <w:szCs w:val="12"/>
                <w:color w:val="auto"/>
              </w:rPr>
            </w:pPr>
          </w:p>
        </w:tc>
        <w:tc>
          <w:tcPr>
            <w:tcW w:w="760" w:type="dxa"/>
            <w:vAlign w:val="bottom"/>
            <w:tcBorders>
              <w:bottom w:val="single" w:sz="8" w:color="005AFF"/>
            </w:tcBorders>
          </w:tcPr>
          <w:p>
            <w:pPr>
              <w:spacing w:after="0"/>
              <w:rPr>
                <w:sz w:val="12"/>
                <w:szCs w:val="12"/>
                <w:color w:val="auto"/>
              </w:rPr>
            </w:pPr>
          </w:p>
        </w:tc>
        <w:tc>
          <w:tcPr>
            <w:tcW w:w="40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5 747</w:t>
            </w:r>
          </w:p>
        </w:tc>
        <w:tc>
          <w:tcPr>
            <w:tcW w:w="540" w:type="dxa"/>
            <w:vAlign w:val="bottom"/>
            <w:tcBorders>
              <w:bottom w:val="single" w:sz="8" w:color="005AFF"/>
            </w:tcBorders>
            <w:shd w:val="clear" w:color="auto" w:fill="F0F5FF"/>
          </w:tcPr>
          <w:p>
            <w:pPr>
              <w:ind w:left="340"/>
              <w:spacing w:after="0"/>
              <w:rPr>
                <w:sz w:val="20"/>
                <w:szCs w:val="20"/>
                <w:color w:val="auto"/>
              </w:rPr>
            </w:pPr>
            <w:r>
              <w:rPr>
                <w:rFonts w:ascii="Times New Roman" w:cs="Times New Roman" w:eastAsia="Times New Roman" w:hAnsi="Times New Roman"/>
                <w:sz w:val="10"/>
                <w:szCs w:val="10"/>
                <w:b w:val="1"/>
                <w:bCs w:val="1"/>
                <w:color w:val="005AFF"/>
              </w:rPr>
              <w:t>158</w:t>
            </w:r>
          </w:p>
        </w:tc>
        <w:tc>
          <w:tcPr>
            <w:tcW w:w="5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299</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518</w:t>
            </w:r>
          </w:p>
        </w:tc>
        <w:tc>
          <w:tcPr>
            <w:tcW w:w="160" w:type="dxa"/>
            <w:vAlign w:val="bottom"/>
            <w:tcBorders>
              <w:bottom w:val="single" w:sz="8" w:color="005AFF"/>
            </w:tcBorders>
            <w:shd w:val="clear" w:color="auto" w:fill="F0F5FF"/>
          </w:tcPr>
          <w:p>
            <w:pPr>
              <w:spacing w:after="0"/>
              <w:rPr>
                <w:sz w:val="12"/>
                <w:szCs w:val="12"/>
                <w:color w:val="auto"/>
              </w:rPr>
            </w:pPr>
          </w:p>
        </w:tc>
        <w:tc>
          <w:tcPr>
            <w:tcW w:w="3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6 722</w:t>
            </w:r>
          </w:p>
        </w:tc>
        <w:tc>
          <w:tcPr>
            <w:tcW w:w="0" w:type="dxa"/>
            <w:vAlign w:val="bottom"/>
          </w:tcPr>
          <w:p>
            <w:pPr>
              <w:spacing w:after="0"/>
              <w:rPr>
                <w:sz w:val="1"/>
                <w:szCs w:val="1"/>
                <w:color w:val="auto"/>
              </w:rPr>
            </w:pPr>
          </w:p>
        </w:tc>
      </w:tr>
      <w:tr>
        <w:trPr>
          <w:trHeight w:val="142"/>
        </w:trPr>
        <w:tc>
          <w:tcPr>
            <w:tcW w:w="134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Expected credit loss allowance</w:t>
            </w:r>
          </w:p>
        </w:tc>
        <w:tc>
          <w:tcPr>
            <w:tcW w:w="760" w:type="dxa"/>
            <w:vAlign w:val="bottom"/>
          </w:tcPr>
          <w:p>
            <w:pPr>
              <w:jc w:val="right"/>
              <w:ind w:right="507"/>
              <w:spacing w:after="0"/>
              <w:rPr>
                <w:sz w:val="20"/>
                <w:szCs w:val="20"/>
                <w:color w:val="auto"/>
              </w:rPr>
            </w:pPr>
            <w:r>
              <w:rPr>
                <w:rFonts w:ascii="Times New Roman" w:cs="Times New Roman" w:eastAsia="Times New Roman" w:hAnsi="Times New Roman"/>
                <w:sz w:val="7"/>
                <w:szCs w:val="7"/>
                <w:color w:val="0D0D0D"/>
              </w:rPr>
              <w:t>(2)(3)</w:t>
            </w:r>
          </w:p>
        </w:tc>
        <w:tc>
          <w:tcPr>
            <w:tcW w:w="660" w:type="dxa"/>
            <w:vAlign w:val="bottom"/>
          </w:tcPr>
          <w:p>
            <w:pPr>
              <w:spacing w:after="0"/>
              <w:rPr>
                <w:sz w:val="12"/>
                <w:szCs w:val="12"/>
                <w:color w:val="auto"/>
              </w:rPr>
            </w:pPr>
          </w:p>
        </w:tc>
        <w:tc>
          <w:tcPr>
            <w:tcW w:w="76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54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(207)</w:t>
            </w:r>
          </w:p>
        </w:tc>
        <w:tc>
          <w:tcPr>
            <w:tcW w:w="540" w:type="dxa"/>
            <w:vAlign w:val="bottom"/>
            <w:tcBorders>
              <w:bottom w:val="single" w:sz="8" w:color="F0F5FF"/>
            </w:tcBorders>
            <w:shd w:val="clear" w:color="auto" w:fill="F0F5FF"/>
          </w:tcPr>
          <w:p>
            <w:pPr>
              <w:jc w:val="center"/>
              <w:ind w:left="331"/>
              <w:spacing w:after="0"/>
              <w:rPr>
                <w:sz w:val="20"/>
                <w:szCs w:val="20"/>
                <w:color w:val="auto"/>
              </w:rPr>
            </w:pPr>
            <w:r>
              <w:rPr>
                <w:rFonts w:ascii="Times New Roman" w:cs="Times New Roman" w:eastAsia="Times New Roman" w:hAnsi="Times New Roman"/>
                <w:sz w:val="10"/>
                <w:szCs w:val="10"/>
                <w:color w:val="005AFF"/>
              </w:rPr>
              <w:t>(8)</w:t>
            </w:r>
          </w:p>
        </w:tc>
        <w:tc>
          <w:tcPr>
            <w:tcW w:w="52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(80)</w:t>
            </w:r>
          </w:p>
        </w:tc>
        <w:tc>
          <w:tcPr>
            <w:tcW w:w="54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(302)</w:t>
            </w:r>
          </w:p>
        </w:tc>
        <w:tc>
          <w:tcPr>
            <w:tcW w:w="160" w:type="dxa"/>
            <w:vAlign w:val="bottom"/>
            <w:tcBorders>
              <w:bottom w:val="single" w:sz="8" w:color="F0F5FF"/>
            </w:tcBorders>
            <w:shd w:val="clear" w:color="auto" w:fill="F0F5FF"/>
          </w:tcPr>
          <w:p>
            <w:pPr>
              <w:spacing w:after="0"/>
              <w:rPr>
                <w:sz w:val="12"/>
                <w:szCs w:val="12"/>
                <w:color w:val="auto"/>
              </w:rPr>
            </w:pPr>
          </w:p>
        </w:tc>
        <w:tc>
          <w:tcPr>
            <w:tcW w:w="38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(597)</w:t>
            </w:r>
          </w:p>
        </w:tc>
        <w:tc>
          <w:tcPr>
            <w:tcW w:w="0" w:type="dxa"/>
            <w:vAlign w:val="bottom"/>
          </w:tcPr>
          <w:p>
            <w:pPr>
              <w:spacing w:after="0"/>
              <w:rPr>
                <w:sz w:val="1"/>
                <w:szCs w:val="1"/>
                <w:color w:val="auto"/>
              </w:rPr>
            </w:pPr>
          </w:p>
        </w:tc>
      </w:tr>
      <w:tr>
        <w:trPr>
          <w:trHeight w:val="142"/>
        </w:trPr>
        <w:tc>
          <w:tcPr>
            <w:tcW w:w="1340" w:type="dxa"/>
            <w:vAlign w:val="bottom"/>
            <w:tcBorders>
              <w:top w:val="single" w:sz="8" w:color="005AFF"/>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net receivables</w:t>
            </w:r>
          </w:p>
        </w:tc>
        <w:tc>
          <w:tcPr>
            <w:tcW w:w="760" w:type="dxa"/>
            <w:vAlign w:val="bottom"/>
            <w:tcBorders>
              <w:top w:val="single" w:sz="8" w:color="005AFF"/>
              <w:bottom w:val="single" w:sz="8" w:color="005AFF"/>
            </w:tcBorders>
          </w:tcPr>
          <w:p>
            <w:pPr>
              <w:spacing w:after="0"/>
              <w:rPr>
                <w:sz w:val="12"/>
                <w:szCs w:val="12"/>
                <w:color w:val="auto"/>
              </w:rPr>
            </w:pPr>
          </w:p>
        </w:tc>
        <w:tc>
          <w:tcPr>
            <w:tcW w:w="660" w:type="dxa"/>
            <w:vAlign w:val="bottom"/>
            <w:tcBorders>
              <w:top w:val="single" w:sz="8" w:color="005AFF"/>
              <w:bottom w:val="single" w:sz="8" w:color="005AFF"/>
            </w:tcBorders>
          </w:tcPr>
          <w:p>
            <w:pPr>
              <w:spacing w:after="0"/>
              <w:rPr>
                <w:sz w:val="12"/>
                <w:szCs w:val="12"/>
                <w:color w:val="auto"/>
              </w:rPr>
            </w:pPr>
          </w:p>
        </w:tc>
        <w:tc>
          <w:tcPr>
            <w:tcW w:w="760" w:type="dxa"/>
            <w:vAlign w:val="bottom"/>
            <w:tcBorders>
              <w:top w:val="single" w:sz="8" w:color="005AFF"/>
              <w:bottom w:val="single" w:sz="8" w:color="005AFF"/>
            </w:tcBorders>
          </w:tcPr>
          <w:p>
            <w:pPr>
              <w:spacing w:after="0"/>
              <w:rPr>
                <w:sz w:val="12"/>
                <w:szCs w:val="12"/>
                <w:color w:val="auto"/>
              </w:rPr>
            </w:pPr>
          </w:p>
        </w:tc>
        <w:tc>
          <w:tcPr>
            <w:tcW w:w="400" w:type="dxa"/>
            <w:vAlign w:val="bottom"/>
            <w:tcBorders>
              <w:top w:val="single" w:sz="8" w:color="005AFF"/>
              <w:bottom w:val="single" w:sz="8" w:color="005AFF"/>
            </w:tcBorders>
          </w:tcPr>
          <w:p>
            <w:pPr>
              <w:spacing w:after="0"/>
              <w:rPr>
                <w:sz w:val="12"/>
                <w:szCs w:val="12"/>
                <w:color w:val="auto"/>
              </w:rPr>
            </w:pPr>
          </w:p>
        </w:tc>
        <w:tc>
          <w:tcPr>
            <w:tcW w:w="540" w:type="dxa"/>
            <w:vAlign w:val="bottom"/>
            <w:tcBorders>
              <w:top w:val="single" w:sz="8" w:color="005AFF"/>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5 540</w:t>
            </w:r>
          </w:p>
        </w:tc>
        <w:tc>
          <w:tcPr>
            <w:tcW w:w="540" w:type="dxa"/>
            <w:vAlign w:val="bottom"/>
            <w:tcBorders>
              <w:top w:val="single" w:sz="8" w:color="005AFF"/>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150</w:t>
            </w:r>
          </w:p>
        </w:tc>
        <w:tc>
          <w:tcPr>
            <w:tcW w:w="520" w:type="dxa"/>
            <w:vAlign w:val="bottom"/>
            <w:tcBorders>
              <w:top w:val="single" w:sz="8" w:color="005AFF"/>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219</w:t>
            </w:r>
          </w:p>
        </w:tc>
        <w:tc>
          <w:tcPr>
            <w:tcW w:w="540" w:type="dxa"/>
            <w:vAlign w:val="bottom"/>
            <w:tcBorders>
              <w:top w:val="single" w:sz="8" w:color="005AFF"/>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216</w:t>
            </w:r>
          </w:p>
        </w:tc>
        <w:tc>
          <w:tcPr>
            <w:tcW w:w="160" w:type="dxa"/>
            <w:vAlign w:val="bottom"/>
            <w:tcBorders>
              <w:top w:val="single" w:sz="8" w:color="005AFF"/>
              <w:bottom w:val="single" w:sz="8" w:color="005AFF"/>
            </w:tcBorders>
            <w:shd w:val="clear" w:color="auto" w:fill="F0F5FF"/>
          </w:tcPr>
          <w:p>
            <w:pPr>
              <w:spacing w:after="0"/>
              <w:rPr>
                <w:sz w:val="12"/>
                <w:szCs w:val="12"/>
                <w:color w:val="auto"/>
              </w:rPr>
            </w:pPr>
          </w:p>
        </w:tc>
        <w:tc>
          <w:tcPr>
            <w:tcW w:w="380" w:type="dxa"/>
            <w:vAlign w:val="bottom"/>
            <w:tcBorders>
              <w:top w:val="single" w:sz="8" w:color="005AFF"/>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6 125</w:t>
            </w:r>
          </w:p>
        </w:tc>
        <w:tc>
          <w:tcPr>
            <w:tcW w:w="0" w:type="dxa"/>
            <w:vAlign w:val="bottom"/>
          </w:tcPr>
          <w:p>
            <w:pPr>
              <w:spacing w:after="0"/>
              <w:rPr>
                <w:sz w:val="1"/>
                <w:szCs w:val="1"/>
                <w:color w:val="auto"/>
              </w:rPr>
            </w:pPr>
          </w:p>
        </w:tc>
      </w:tr>
      <w:tr>
        <w:trPr>
          <w:trHeight w:val="207"/>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560" w:type="dxa"/>
            <w:vAlign w:val="bottom"/>
          </w:tcPr>
          <w:p>
            <w:pPr>
              <w:spacing w:after="0"/>
              <w:rPr>
                <w:sz w:val="18"/>
                <w:szCs w:val="18"/>
                <w:color w:val="auto"/>
              </w:rPr>
            </w:pPr>
          </w:p>
        </w:tc>
        <w:tc>
          <w:tcPr>
            <w:tcW w:w="760" w:type="dxa"/>
            <w:vAlign w:val="bottom"/>
          </w:tcPr>
          <w:p>
            <w:pPr>
              <w:spacing w:after="0"/>
              <w:rPr>
                <w:sz w:val="18"/>
                <w:szCs w:val="18"/>
                <w:color w:val="auto"/>
              </w:rPr>
            </w:pPr>
          </w:p>
        </w:tc>
        <w:tc>
          <w:tcPr>
            <w:tcW w:w="660" w:type="dxa"/>
            <w:vAlign w:val="bottom"/>
          </w:tcPr>
          <w:p>
            <w:pPr>
              <w:spacing w:after="0"/>
              <w:rPr>
                <w:sz w:val="18"/>
                <w:szCs w:val="18"/>
                <w:color w:val="auto"/>
              </w:rPr>
            </w:pPr>
          </w:p>
        </w:tc>
        <w:tc>
          <w:tcPr>
            <w:tcW w:w="760" w:type="dxa"/>
            <w:vAlign w:val="bottom"/>
          </w:tcPr>
          <w:p>
            <w:pPr>
              <w:spacing w:after="0"/>
              <w:rPr>
                <w:sz w:val="18"/>
                <w:szCs w:val="18"/>
                <w:color w:val="auto"/>
              </w:rPr>
            </w:pPr>
          </w:p>
        </w:tc>
        <w:tc>
          <w:tcPr>
            <w:tcW w:w="400" w:type="dxa"/>
            <w:vAlign w:val="bottom"/>
          </w:tcPr>
          <w:p>
            <w:pPr>
              <w:spacing w:after="0"/>
              <w:rPr>
                <w:sz w:val="18"/>
                <w:szCs w:val="18"/>
                <w:color w:val="auto"/>
              </w:rPr>
            </w:pPr>
          </w:p>
        </w:tc>
        <w:tc>
          <w:tcPr>
            <w:tcW w:w="540" w:type="dxa"/>
            <w:vAlign w:val="bottom"/>
          </w:tcPr>
          <w:p>
            <w:pPr>
              <w:spacing w:after="0"/>
              <w:rPr>
                <w:sz w:val="18"/>
                <w:szCs w:val="18"/>
                <w:color w:val="auto"/>
              </w:rPr>
            </w:pPr>
          </w:p>
        </w:tc>
        <w:tc>
          <w:tcPr>
            <w:tcW w:w="540" w:type="dxa"/>
            <w:vAlign w:val="bottom"/>
          </w:tcPr>
          <w:p>
            <w:pPr>
              <w:spacing w:after="0"/>
              <w:rPr>
                <w:sz w:val="18"/>
                <w:szCs w:val="18"/>
                <w:color w:val="auto"/>
              </w:rPr>
            </w:pPr>
          </w:p>
        </w:tc>
        <w:tc>
          <w:tcPr>
            <w:tcW w:w="520" w:type="dxa"/>
            <w:vAlign w:val="bottom"/>
          </w:tcPr>
          <w:p>
            <w:pPr>
              <w:spacing w:after="0"/>
              <w:rPr>
                <w:sz w:val="18"/>
                <w:szCs w:val="18"/>
                <w:color w:val="auto"/>
              </w:rPr>
            </w:pPr>
          </w:p>
        </w:tc>
        <w:tc>
          <w:tcPr>
            <w:tcW w:w="540" w:type="dxa"/>
            <w:vAlign w:val="bottom"/>
          </w:tcPr>
          <w:p>
            <w:pPr>
              <w:spacing w:after="0"/>
              <w:rPr>
                <w:sz w:val="18"/>
                <w:szCs w:val="18"/>
                <w:color w:val="auto"/>
              </w:rPr>
            </w:pPr>
          </w:p>
        </w:tc>
        <w:tc>
          <w:tcPr>
            <w:tcW w:w="160" w:type="dxa"/>
            <w:vAlign w:val="bottom"/>
          </w:tcPr>
          <w:p>
            <w:pPr>
              <w:spacing w:after="0"/>
              <w:rPr>
                <w:sz w:val="18"/>
                <w:szCs w:val="18"/>
                <w:color w:val="auto"/>
              </w:rPr>
            </w:pPr>
          </w:p>
        </w:tc>
        <w:tc>
          <w:tcPr>
            <w:tcW w:w="380" w:type="dxa"/>
            <w:vAlign w:val="bottom"/>
          </w:tcPr>
          <w:p>
            <w:pPr>
              <w:spacing w:after="0"/>
              <w:rPr>
                <w:sz w:val="18"/>
                <w:szCs w:val="18"/>
                <w:color w:val="auto"/>
              </w:rPr>
            </w:pPr>
          </w:p>
        </w:tc>
        <w:tc>
          <w:tcPr>
            <w:tcW w:w="0" w:type="dxa"/>
            <w:vAlign w:val="bottom"/>
          </w:tcPr>
          <w:p>
            <w:pPr>
              <w:spacing w:after="0"/>
              <w:rPr>
                <w:sz w:val="1"/>
                <w:szCs w:val="1"/>
                <w:color w:val="auto"/>
              </w:rPr>
            </w:pPr>
          </w:p>
        </w:tc>
      </w:tr>
      <w:tr>
        <w:trPr>
          <w:trHeight w:val="162"/>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Trade receivables</w:t>
            </w:r>
          </w:p>
        </w:tc>
        <w:tc>
          <w:tcPr>
            <w:tcW w:w="560" w:type="dxa"/>
            <w:vAlign w:val="bottom"/>
          </w:tcPr>
          <w:p>
            <w:pPr>
              <w:jc w:val="right"/>
              <w:ind w:right="407"/>
              <w:spacing w:after="0"/>
              <w:rPr>
                <w:sz w:val="20"/>
                <w:szCs w:val="20"/>
                <w:color w:val="auto"/>
              </w:rPr>
            </w:pPr>
            <w:r>
              <w:rPr>
                <w:rFonts w:ascii="Times New Roman" w:cs="Times New Roman" w:eastAsia="Times New Roman" w:hAnsi="Times New Roman"/>
                <w:sz w:val="7"/>
                <w:szCs w:val="7"/>
                <w:color w:val="0D0D0D"/>
              </w:rPr>
              <w:t>(1)</w:t>
            </w:r>
          </w:p>
        </w:tc>
        <w:tc>
          <w:tcPr>
            <w:tcW w:w="76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940" w:type="dxa"/>
            <w:vAlign w:val="bottom"/>
            <w:gridSpan w:val="2"/>
          </w:tcPr>
          <w:p>
            <w:pPr>
              <w:jc w:val="right"/>
              <w:ind w:right="51"/>
              <w:spacing w:after="0"/>
              <w:rPr>
                <w:sz w:val="20"/>
                <w:szCs w:val="20"/>
                <w:color w:val="auto"/>
              </w:rPr>
            </w:pPr>
            <w:r>
              <w:rPr>
                <w:rFonts w:ascii="Times New Roman" w:cs="Times New Roman" w:eastAsia="Times New Roman" w:hAnsi="Times New Roman"/>
                <w:sz w:val="10"/>
                <w:szCs w:val="10"/>
                <w:color w:val="0D0D0D"/>
              </w:rPr>
              <w:t>5 117</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210</w:t>
            </w:r>
          </w:p>
        </w:tc>
        <w:tc>
          <w:tcPr>
            <w:tcW w:w="5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267</w:t>
            </w:r>
          </w:p>
        </w:tc>
        <w:tc>
          <w:tcPr>
            <w:tcW w:w="5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355</w:t>
            </w:r>
          </w:p>
        </w:tc>
        <w:tc>
          <w:tcPr>
            <w:tcW w:w="160" w:type="dxa"/>
            <w:vAlign w:val="bottom"/>
          </w:tcPr>
          <w:p>
            <w:pPr>
              <w:spacing w:after="0"/>
              <w:rPr>
                <w:sz w:val="14"/>
                <w:szCs w:val="14"/>
                <w:color w:val="auto"/>
              </w:rPr>
            </w:pPr>
          </w:p>
        </w:tc>
        <w:tc>
          <w:tcPr>
            <w:tcW w:w="3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5 949</w:t>
            </w:r>
          </w:p>
        </w:tc>
        <w:tc>
          <w:tcPr>
            <w:tcW w:w="0" w:type="dxa"/>
            <w:vAlign w:val="bottom"/>
          </w:tcPr>
          <w:p>
            <w:pPr>
              <w:spacing w:after="0"/>
              <w:rPr>
                <w:sz w:val="1"/>
                <w:szCs w:val="1"/>
                <w:color w:val="auto"/>
              </w:rPr>
            </w:pPr>
          </w:p>
        </w:tc>
      </w:tr>
      <w:tr>
        <w:trPr>
          <w:trHeight w:val="162"/>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Contract assets</w:t>
            </w:r>
          </w:p>
        </w:tc>
        <w:tc>
          <w:tcPr>
            <w:tcW w:w="5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66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940" w:type="dxa"/>
            <w:vAlign w:val="bottom"/>
            <w:gridSpan w:val="2"/>
          </w:tcPr>
          <w:p>
            <w:pPr>
              <w:jc w:val="right"/>
              <w:ind w:right="31"/>
              <w:spacing w:after="0"/>
              <w:rPr>
                <w:sz w:val="20"/>
                <w:szCs w:val="20"/>
                <w:color w:val="auto"/>
              </w:rPr>
            </w:pPr>
            <w:r>
              <w:rPr>
                <w:rFonts w:ascii="Times New Roman" w:cs="Times New Roman" w:eastAsia="Times New Roman" w:hAnsi="Times New Roman"/>
                <w:sz w:val="10"/>
                <w:szCs w:val="10"/>
                <w:color w:val="0D0D0D"/>
              </w:rPr>
              <w:t>1 203</w:t>
            </w:r>
          </w:p>
        </w:tc>
        <w:tc>
          <w:tcPr>
            <w:tcW w:w="540" w:type="dxa"/>
            <w:vAlign w:val="bottom"/>
          </w:tcPr>
          <w:p>
            <w:pPr>
              <w:jc w:val="center"/>
              <w:ind w:left="311"/>
              <w:spacing w:after="0"/>
              <w:rPr>
                <w:sz w:val="20"/>
                <w:szCs w:val="20"/>
                <w:color w:val="auto"/>
              </w:rPr>
            </w:pPr>
            <w:r>
              <w:rPr>
                <w:rFonts w:ascii="Times New Roman" w:cs="Times New Roman" w:eastAsia="Times New Roman" w:hAnsi="Times New Roman"/>
                <w:sz w:val="10"/>
                <w:szCs w:val="10"/>
                <w:color w:val="0D0D0D"/>
                <w:w w:val="99"/>
              </w:rPr>
              <w:t>—</w:t>
            </w:r>
          </w:p>
        </w:tc>
        <w:tc>
          <w:tcPr>
            <w:tcW w:w="5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00" w:type="dxa"/>
            <w:vAlign w:val="bottom"/>
            <w:gridSpan w:val="2"/>
          </w:tcPr>
          <w:p>
            <w:pPr>
              <w:ind w:left="420"/>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1 203</w:t>
            </w:r>
          </w:p>
        </w:tc>
        <w:tc>
          <w:tcPr>
            <w:tcW w:w="0" w:type="dxa"/>
            <w:vAlign w:val="bottom"/>
          </w:tcPr>
          <w:p>
            <w:pPr>
              <w:spacing w:after="0"/>
              <w:rPr>
                <w:sz w:val="1"/>
                <w:szCs w:val="1"/>
                <w:color w:val="auto"/>
              </w:rPr>
            </w:pPr>
          </w:p>
        </w:tc>
      </w:tr>
      <w:tr>
        <w:trPr>
          <w:trHeight w:val="167"/>
        </w:trPr>
        <w:tc>
          <w:tcPr>
            <w:tcW w:w="210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color w:val="0D0D0D"/>
              </w:rPr>
              <w:t>Customer financing-related loan receivables</w:t>
            </w:r>
          </w:p>
        </w:tc>
        <w:tc>
          <w:tcPr>
            <w:tcW w:w="660" w:type="dxa"/>
            <w:vAlign w:val="bottom"/>
            <w:tcBorders>
              <w:bottom w:val="single" w:sz="8" w:color="005AFF"/>
            </w:tcBorders>
          </w:tcPr>
          <w:p>
            <w:pPr>
              <w:spacing w:after="0"/>
              <w:rPr>
                <w:sz w:val="14"/>
                <w:szCs w:val="14"/>
                <w:color w:val="auto"/>
              </w:rPr>
            </w:pPr>
          </w:p>
        </w:tc>
        <w:tc>
          <w:tcPr>
            <w:tcW w:w="760" w:type="dxa"/>
            <w:vAlign w:val="bottom"/>
            <w:tcBorders>
              <w:bottom w:val="single" w:sz="8" w:color="005AFF"/>
            </w:tcBorders>
          </w:tcPr>
          <w:p>
            <w:pPr>
              <w:spacing w:after="0"/>
              <w:rPr>
                <w:sz w:val="14"/>
                <w:szCs w:val="14"/>
                <w:color w:val="auto"/>
              </w:rPr>
            </w:pPr>
          </w:p>
        </w:tc>
        <w:tc>
          <w:tcPr>
            <w:tcW w:w="940" w:type="dxa"/>
            <w:vAlign w:val="bottom"/>
            <w:tcBorders>
              <w:bottom w:val="single" w:sz="8" w:color="005AFF"/>
            </w:tcBorders>
            <w:gridSpan w:val="2"/>
          </w:tcPr>
          <w:p>
            <w:pPr>
              <w:jc w:val="right"/>
              <w:ind w:right="31"/>
              <w:spacing w:after="0"/>
              <w:rPr>
                <w:sz w:val="20"/>
                <w:szCs w:val="20"/>
                <w:color w:val="auto"/>
              </w:rPr>
            </w:pPr>
            <w:r>
              <w:rPr>
                <w:rFonts w:ascii="Times New Roman" w:cs="Times New Roman" w:eastAsia="Times New Roman" w:hAnsi="Times New Roman"/>
                <w:sz w:val="10"/>
                <w:szCs w:val="10"/>
                <w:color w:val="0D0D0D"/>
              </w:rPr>
              <w:t>212</w:t>
            </w:r>
          </w:p>
        </w:tc>
        <w:tc>
          <w:tcPr>
            <w:tcW w:w="540" w:type="dxa"/>
            <w:vAlign w:val="bottom"/>
            <w:tcBorders>
              <w:bottom w:val="single" w:sz="8" w:color="005AFF"/>
            </w:tcBorders>
          </w:tcPr>
          <w:p>
            <w:pPr>
              <w:jc w:val="center"/>
              <w:ind w:left="311"/>
              <w:spacing w:after="0"/>
              <w:rPr>
                <w:sz w:val="20"/>
                <w:szCs w:val="20"/>
                <w:color w:val="auto"/>
              </w:rPr>
            </w:pPr>
            <w:r>
              <w:rPr>
                <w:rFonts w:ascii="Times New Roman" w:cs="Times New Roman" w:eastAsia="Times New Roman" w:hAnsi="Times New Roman"/>
                <w:sz w:val="10"/>
                <w:szCs w:val="10"/>
                <w:color w:val="0D0D0D"/>
              </w:rPr>
              <w:t>8</w:t>
            </w:r>
          </w:p>
        </w:tc>
        <w:tc>
          <w:tcPr>
            <w:tcW w:w="5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5</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79</w:t>
            </w:r>
          </w:p>
        </w:tc>
        <w:tc>
          <w:tcPr>
            <w:tcW w:w="16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304</w:t>
            </w:r>
          </w:p>
        </w:tc>
        <w:tc>
          <w:tcPr>
            <w:tcW w:w="0" w:type="dxa"/>
            <w:vAlign w:val="bottom"/>
          </w:tcPr>
          <w:p>
            <w:pPr>
              <w:spacing w:after="0"/>
              <w:rPr>
                <w:sz w:val="1"/>
                <w:szCs w:val="1"/>
                <w:color w:val="auto"/>
              </w:rPr>
            </w:pPr>
          </w:p>
        </w:tc>
      </w:tr>
      <w:tr>
        <w:trPr>
          <w:trHeight w:val="142"/>
        </w:trPr>
        <w:tc>
          <w:tcPr>
            <w:tcW w:w="13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gross receivables</w:t>
            </w:r>
          </w:p>
        </w:tc>
        <w:tc>
          <w:tcPr>
            <w:tcW w:w="76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tcPr>
          <w:p>
            <w:pPr>
              <w:spacing w:after="0"/>
              <w:rPr>
                <w:sz w:val="12"/>
                <w:szCs w:val="12"/>
                <w:color w:val="auto"/>
              </w:rPr>
            </w:pPr>
          </w:p>
        </w:tc>
        <w:tc>
          <w:tcPr>
            <w:tcW w:w="760" w:type="dxa"/>
            <w:vAlign w:val="bottom"/>
            <w:tcBorders>
              <w:bottom w:val="single" w:sz="8" w:color="005AFF"/>
            </w:tcBorders>
          </w:tcPr>
          <w:p>
            <w:pPr>
              <w:spacing w:after="0"/>
              <w:rPr>
                <w:sz w:val="12"/>
                <w:szCs w:val="12"/>
                <w:color w:val="auto"/>
              </w:rPr>
            </w:pPr>
          </w:p>
        </w:tc>
        <w:tc>
          <w:tcPr>
            <w:tcW w:w="940" w:type="dxa"/>
            <w:vAlign w:val="bottom"/>
            <w:tcBorders>
              <w:bottom w:val="single" w:sz="8" w:color="005AFF"/>
            </w:tcBorders>
            <w:gridSpan w:val="2"/>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6 532</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218</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272</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434</w:t>
            </w:r>
          </w:p>
        </w:tc>
        <w:tc>
          <w:tcPr>
            <w:tcW w:w="16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7 456</w:t>
            </w:r>
          </w:p>
        </w:tc>
        <w:tc>
          <w:tcPr>
            <w:tcW w:w="0" w:type="dxa"/>
            <w:vAlign w:val="bottom"/>
          </w:tcPr>
          <w:p>
            <w:pPr>
              <w:spacing w:after="0"/>
              <w:rPr>
                <w:sz w:val="1"/>
                <w:szCs w:val="1"/>
                <w:color w:val="auto"/>
              </w:rPr>
            </w:pPr>
          </w:p>
        </w:tc>
      </w:tr>
      <w:tr>
        <w:trPr>
          <w:trHeight w:val="86"/>
        </w:trPr>
        <w:tc>
          <w:tcPr>
            <w:tcW w:w="134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Expected credit loss allowance</w:t>
            </w:r>
          </w:p>
        </w:tc>
        <w:tc>
          <w:tcPr>
            <w:tcW w:w="760" w:type="dxa"/>
            <w:vAlign w:val="bottom"/>
          </w:tcPr>
          <w:p>
            <w:pPr>
              <w:jc w:val="right"/>
              <w:ind w:right="507"/>
              <w:spacing w:after="0"/>
              <w:rPr>
                <w:sz w:val="20"/>
                <w:szCs w:val="20"/>
                <w:color w:val="auto"/>
              </w:rPr>
            </w:pPr>
            <w:r>
              <w:rPr>
                <w:rFonts w:ascii="Times New Roman" w:cs="Times New Roman" w:eastAsia="Times New Roman" w:hAnsi="Times New Roman"/>
                <w:sz w:val="7"/>
                <w:szCs w:val="7"/>
                <w:color w:val="0D0D0D"/>
              </w:rPr>
              <w:t>(2)(3)</w:t>
            </w:r>
          </w:p>
        </w:tc>
        <w:tc>
          <w:tcPr>
            <w:tcW w:w="660" w:type="dxa"/>
            <w:vAlign w:val="bottom"/>
          </w:tcPr>
          <w:p>
            <w:pPr>
              <w:spacing w:after="0"/>
              <w:rPr>
                <w:sz w:val="7"/>
                <w:szCs w:val="7"/>
                <w:color w:val="auto"/>
              </w:rPr>
            </w:pPr>
          </w:p>
        </w:tc>
        <w:tc>
          <w:tcPr>
            <w:tcW w:w="760" w:type="dxa"/>
            <w:vAlign w:val="bottom"/>
          </w:tcPr>
          <w:p>
            <w:pPr>
              <w:spacing w:after="0"/>
              <w:rPr>
                <w:sz w:val="7"/>
                <w:szCs w:val="7"/>
                <w:color w:val="auto"/>
              </w:rPr>
            </w:pPr>
          </w:p>
        </w:tc>
        <w:tc>
          <w:tcPr>
            <w:tcW w:w="940" w:type="dxa"/>
            <w:vAlign w:val="bottom"/>
            <w:gridSpan w:val="2"/>
            <w:vMerge w:val="restart"/>
          </w:tcPr>
          <w:p>
            <w:pPr>
              <w:jc w:val="right"/>
              <w:spacing w:after="0"/>
              <w:rPr>
                <w:sz w:val="20"/>
                <w:szCs w:val="20"/>
                <w:color w:val="auto"/>
              </w:rPr>
            </w:pPr>
            <w:r>
              <w:rPr>
                <w:rFonts w:ascii="Times New Roman" w:cs="Times New Roman" w:eastAsia="Times New Roman" w:hAnsi="Times New Roman"/>
                <w:sz w:val="10"/>
                <w:szCs w:val="10"/>
                <w:color w:val="0D0D0D"/>
              </w:rPr>
              <w:t>(361)</w:t>
            </w:r>
          </w:p>
        </w:tc>
        <w:tc>
          <w:tcPr>
            <w:tcW w:w="54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rPr>
              <w:t>(15)</w:t>
            </w:r>
          </w:p>
        </w:tc>
        <w:tc>
          <w:tcPr>
            <w:tcW w:w="52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(65)</w:t>
            </w:r>
          </w:p>
        </w:tc>
        <w:tc>
          <w:tcPr>
            <w:tcW w:w="54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(203)</w:t>
            </w:r>
          </w:p>
        </w:tc>
        <w:tc>
          <w:tcPr>
            <w:tcW w:w="160" w:type="dxa"/>
            <w:vAlign w:val="bottom"/>
          </w:tcPr>
          <w:p>
            <w:pPr>
              <w:spacing w:after="0"/>
              <w:rPr>
                <w:sz w:val="7"/>
                <w:szCs w:val="7"/>
                <w:color w:val="auto"/>
              </w:rPr>
            </w:pPr>
          </w:p>
        </w:tc>
        <w:tc>
          <w:tcPr>
            <w:tcW w:w="380" w:type="dxa"/>
            <w:vAlign w:val="bottom"/>
            <w:vMerge w:val="restart"/>
          </w:tcPr>
          <w:p>
            <w:pPr>
              <w:jc w:val="right"/>
              <w:spacing w:after="0"/>
              <w:rPr>
                <w:sz w:val="20"/>
                <w:szCs w:val="20"/>
                <w:color w:val="auto"/>
              </w:rPr>
            </w:pPr>
            <w:r>
              <w:rPr>
                <w:rFonts w:ascii="Times New Roman" w:cs="Times New Roman" w:eastAsia="Times New Roman" w:hAnsi="Times New Roman"/>
                <w:sz w:val="10"/>
                <w:szCs w:val="10"/>
                <w:color w:val="0D0D0D"/>
              </w:rPr>
              <w:t>(644)</w:t>
            </w:r>
          </w:p>
        </w:tc>
        <w:tc>
          <w:tcPr>
            <w:tcW w:w="0" w:type="dxa"/>
            <w:vAlign w:val="bottom"/>
          </w:tcPr>
          <w:p>
            <w:pPr>
              <w:spacing w:after="0"/>
              <w:rPr>
                <w:sz w:val="1"/>
                <w:szCs w:val="1"/>
                <w:color w:val="auto"/>
              </w:rPr>
            </w:pPr>
          </w:p>
        </w:tc>
      </w:tr>
      <w:tr>
        <w:trPr>
          <w:trHeight w:val="56"/>
        </w:trPr>
        <w:tc>
          <w:tcPr>
            <w:tcW w:w="1340" w:type="dxa"/>
            <w:vAlign w:val="bottom"/>
            <w:tcBorders>
              <w:bottom w:val="single" w:sz="8" w:color="005AFF"/>
            </w:tcBorders>
            <w:gridSpan w:val="2"/>
            <w:vMerge w:val="continue"/>
          </w:tcPr>
          <w:p>
            <w:pPr>
              <w:spacing w:after="0"/>
              <w:rPr>
                <w:sz w:val="4"/>
                <w:szCs w:val="4"/>
                <w:color w:val="auto"/>
              </w:rPr>
            </w:pPr>
          </w:p>
        </w:tc>
        <w:tc>
          <w:tcPr>
            <w:tcW w:w="760" w:type="dxa"/>
            <w:vAlign w:val="bottom"/>
            <w:tcBorders>
              <w:bottom w:val="single" w:sz="8" w:color="005AFF"/>
            </w:tcBorders>
          </w:tcPr>
          <w:p>
            <w:pPr>
              <w:spacing w:after="0"/>
              <w:rPr>
                <w:sz w:val="4"/>
                <w:szCs w:val="4"/>
                <w:color w:val="auto"/>
              </w:rPr>
            </w:pPr>
          </w:p>
        </w:tc>
        <w:tc>
          <w:tcPr>
            <w:tcW w:w="660" w:type="dxa"/>
            <w:vAlign w:val="bottom"/>
            <w:tcBorders>
              <w:bottom w:val="single" w:sz="8" w:color="005AFF"/>
            </w:tcBorders>
          </w:tcPr>
          <w:p>
            <w:pPr>
              <w:spacing w:after="0"/>
              <w:rPr>
                <w:sz w:val="4"/>
                <w:szCs w:val="4"/>
                <w:color w:val="auto"/>
              </w:rPr>
            </w:pPr>
          </w:p>
        </w:tc>
        <w:tc>
          <w:tcPr>
            <w:tcW w:w="760" w:type="dxa"/>
            <w:vAlign w:val="bottom"/>
            <w:tcBorders>
              <w:bottom w:val="single" w:sz="8" w:color="005AFF"/>
            </w:tcBorders>
          </w:tcPr>
          <w:p>
            <w:pPr>
              <w:spacing w:after="0"/>
              <w:rPr>
                <w:sz w:val="4"/>
                <w:szCs w:val="4"/>
                <w:color w:val="auto"/>
              </w:rPr>
            </w:pPr>
          </w:p>
        </w:tc>
        <w:tc>
          <w:tcPr>
            <w:tcW w:w="940" w:type="dxa"/>
            <w:vAlign w:val="bottom"/>
            <w:tcBorders>
              <w:bottom w:val="single" w:sz="8" w:color="005AFF"/>
            </w:tcBorders>
            <w:gridSpan w:val="2"/>
            <w:vMerge w:val="continue"/>
          </w:tcPr>
          <w:p>
            <w:pPr>
              <w:spacing w:after="0"/>
              <w:rPr>
                <w:sz w:val="4"/>
                <w:szCs w:val="4"/>
                <w:color w:val="auto"/>
              </w:rPr>
            </w:pPr>
          </w:p>
        </w:tc>
        <w:tc>
          <w:tcPr>
            <w:tcW w:w="540" w:type="dxa"/>
            <w:vAlign w:val="bottom"/>
            <w:tcBorders>
              <w:bottom w:val="single" w:sz="8" w:color="005AFF"/>
            </w:tcBorders>
            <w:vMerge w:val="continue"/>
          </w:tcPr>
          <w:p>
            <w:pPr>
              <w:spacing w:after="0"/>
              <w:rPr>
                <w:sz w:val="4"/>
                <w:szCs w:val="4"/>
                <w:color w:val="auto"/>
              </w:rPr>
            </w:pPr>
          </w:p>
        </w:tc>
        <w:tc>
          <w:tcPr>
            <w:tcW w:w="520" w:type="dxa"/>
            <w:vAlign w:val="bottom"/>
            <w:tcBorders>
              <w:bottom w:val="single" w:sz="8" w:color="005AFF"/>
            </w:tcBorders>
            <w:vMerge w:val="continue"/>
          </w:tcPr>
          <w:p>
            <w:pPr>
              <w:spacing w:after="0"/>
              <w:rPr>
                <w:sz w:val="4"/>
                <w:szCs w:val="4"/>
                <w:color w:val="auto"/>
              </w:rPr>
            </w:pPr>
          </w:p>
        </w:tc>
        <w:tc>
          <w:tcPr>
            <w:tcW w:w="540" w:type="dxa"/>
            <w:vAlign w:val="bottom"/>
            <w:tcBorders>
              <w:bottom w:val="single" w:sz="8" w:color="005AFF"/>
            </w:tcBorders>
            <w:vMerge w:val="continue"/>
          </w:tcPr>
          <w:p>
            <w:pPr>
              <w:spacing w:after="0"/>
              <w:rPr>
                <w:sz w:val="4"/>
                <w:szCs w:val="4"/>
                <w:color w:val="auto"/>
              </w:rPr>
            </w:pPr>
          </w:p>
        </w:tc>
        <w:tc>
          <w:tcPr>
            <w:tcW w:w="160" w:type="dxa"/>
            <w:vAlign w:val="bottom"/>
            <w:tcBorders>
              <w:bottom w:val="single" w:sz="8" w:color="005AFF"/>
            </w:tcBorders>
          </w:tcPr>
          <w:p>
            <w:pPr>
              <w:spacing w:after="0"/>
              <w:rPr>
                <w:sz w:val="4"/>
                <w:szCs w:val="4"/>
                <w:color w:val="auto"/>
              </w:rPr>
            </w:pPr>
          </w:p>
        </w:tc>
        <w:tc>
          <w:tcPr>
            <w:tcW w:w="38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42"/>
        </w:trPr>
        <w:tc>
          <w:tcPr>
            <w:tcW w:w="13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net receivables</w:t>
            </w:r>
          </w:p>
        </w:tc>
        <w:tc>
          <w:tcPr>
            <w:tcW w:w="76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tcPr>
          <w:p>
            <w:pPr>
              <w:spacing w:after="0"/>
              <w:rPr>
                <w:sz w:val="12"/>
                <w:szCs w:val="12"/>
                <w:color w:val="auto"/>
              </w:rPr>
            </w:pPr>
          </w:p>
        </w:tc>
        <w:tc>
          <w:tcPr>
            <w:tcW w:w="760" w:type="dxa"/>
            <w:vAlign w:val="bottom"/>
            <w:tcBorders>
              <w:bottom w:val="single" w:sz="8" w:color="005AFF"/>
            </w:tcBorders>
          </w:tcPr>
          <w:p>
            <w:pPr>
              <w:spacing w:after="0"/>
              <w:rPr>
                <w:sz w:val="12"/>
                <w:szCs w:val="12"/>
                <w:color w:val="auto"/>
              </w:rPr>
            </w:pPr>
          </w:p>
        </w:tc>
        <w:tc>
          <w:tcPr>
            <w:tcW w:w="940" w:type="dxa"/>
            <w:vAlign w:val="bottom"/>
            <w:tcBorders>
              <w:bottom w:val="single" w:sz="8" w:color="005AFF"/>
            </w:tcBorders>
            <w:gridSpan w:val="2"/>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6 171</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203</w:t>
            </w:r>
          </w:p>
        </w:tc>
        <w:tc>
          <w:tcPr>
            <w:tcW w:w="5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207</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231</w:t>
            </w:r>
          </w:p>
        </w:tc>
        <w:tc>
          <w:tcPr>
            <w:tcW w:w="160" w:type="dxa"/>
            <w:vAlign w:val="bottom"/>
            <w:tcBorders>
              <w:bottom w:val="single" w:sz="8" w:color="005AFF"/>
            </w:tcBorders>
          </w:tcPr>
          <w:p>
            <w:pPr>
              <w:spacing w:after="0"/>
              <w:rPr>
                <w:sz w:val="12"/>
                <w:szCs w:val="12"/>
                <w:color w:val="auto"/>
              </w:rPr>
            </w:pPr>
          </w:p>
        </w:tc>
        <w:tc>
          <w:tcPr>
            <w:tcW w:w="3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6 812</w:t>
            </w:r>
          </w:p>
        </w:tc>
        <w:tc>
          <w:tcPr>
            <w:tcW w:w="0" w:type="dxa"/>
            <w:vAlign w:val="bottom"/>
          </w:tcPr>
          <w:p>
            <w:pPr>
              <w:spacing w:after="0"/>
              <w:rPr>
                <w:sz w:val="1"/>
                <w:szCs w:val="1"/>
                <w:color w:val="auto"/>
              </w:rPr>
            </w:pPr>
          </w:p>
        </w:tc>
      </w:tr>
      <w:tr>
        <w:trPr>
          <w:trHeight w:val="107"/>
        </w:trPr>
        <w:tc>
          <w:tcPr>
            <w:tcW w:w="2100" w:type="dxa"/>
            <w:vAlign w:val="bottom"/>
            <w:gridSpan w:val="3"/>
          </w:tcPr>
          <w:p>
            <w:pPr>
              <w:ind w:left="40"/>
              <w:spacing w:after="0"/>
              <w:rPr>
                <w:sz w:val="20"/>
                <w:szCs w:val="20"/>
                <w:color w:val="auto"/>
              </w:rPr>
            </w:pPr>
            <w:r>
              <w:rPr>
                <w:rFonts w:ascii="Times New Roman" w:cs="Times New Roman" w:eastAsia="Times New Roman" w:hAnsi="Times New Roman"/>
                <w:sz w:val="8"/>
                <w:szCs w:val="8"/>
                <w:color w:val="auto"/>
              </w:rPr>
              <w:t>(1)   Nokia’s payment terms are   104 days on average.</w:t>
            </w:r>
          </w:p>
        </w:tc>
        <w:tc>
          <w:tcPr>
            <w:tcW w:w="660" w:type="dxa"/>
            <w:vAlign w:val="bottom"/>
          </w:tcPr>
          <w:p>
            <w:pPr>
              <w:spacing w:after="0"/>
              <w:rPr>
                <w:sz w:val="9"/>
                <w:szCs w:val="9"/>
                <w:color w:val="auto"/>
              </w:rPr>
            </w:pPr>
          </w:p>
        </w:tc>
        <w:tc>
          <w:tcPr>
            <w:tcW w:w="760" w:type="dxa"/>
            <w:vAlign w:val="bottom"/>
          </w:tcPr>
          <w:p>
            <w:pPr>
              <w:spacing w:after="0"/>
              <w:rPr>
                <w:sz w:val="9"/>
                <w:szCs w:val="9"/>
                <w:color w:val="auto"/>
              </w:rPr>
            </w:pPr>
          </w:p>
        </w:tc>
        <w:tc>
          <w:tcPr>
            <w:tcW w:w="400" w:type="dxa"/>
            <w:vAlign w:val="bottom"/>
          </w:tcPr>
          <w:p>
            <w:pPr>
              <w:spacing w:after="0"/>
              <w:rPr>
                <w:sz w:val="9"/>
                <w:szCs w:val="9"/>
                <w:color w:val="auto"/>
              </w:rPr>
            </w:pPr>
          </w:p>
        </w:tc>
        <w:tc>
          <w:tcPr>
            <w:tcW w:w="540" w:type="dxa"/>
            <w:vAlign w:val="bottom"/>
          </w:tcPr>
          <w:p>
            <w:pPr>
              <w:spacing w:after="0"/>
              <w:rPr>
                <w:sz w:val="9"/>
                <w:szCs w:val="9"/>
                <w:color w:val="auto"/>
              </w:rPr>
            </w:pPr>
          </w:p>
        </w:tc>
        <w:tc>
          <w:tcPr>
            <w:tcW w:w="540" w:type="dxa"/>
            <w:vAlign w:val="bottom"/>
          </w:tcPr>
          <w:p>
            <w:pPr>
              <w:spacing w:after="0"/>
              <w:rPr>
                <w:sz w:val="9"/>
                <w:szCs w:val="9"/>
                <w:color w:val="auto"/>
              </w:rPr>
            </w:pPr>
          </w:p>
        </w:tc>
        <w:tc>
          <w:tcPr>
            <w:tcW w:w="520" w:type="dxa"/>
            <w:vAlign w:val="bottom"/>
          </w:tcPr>
          <w:p>
            <w:pPr>
              <w:spacing w:after="0"/>
              <w:rPr>
                <w:sz w:val="9"/>
                <w:szCs w:val="9"/>
                <w:color w:val="auto"/>
              </w:rPr>
            </w:pPr>
          </w:p>
        </w:tc>
        <w:tc>
          <w:tcPr>
            <w:tcW w:w="540" w:type="dxa"/>
            <w:vAlign w:val="bottom"/>
          </w:tcPr>
          <w:p>
            <w:pPr>
              <w:spacing w:after="0"/>
              <w:rPr>
                <w:sz w:val="9"/>
                <w:szCs w:val="9"/>
                <w:color w:val="auto"/>
              </w:rPr>
            </w:pPr>
          </w:p>
        </w:tc>
        <w:tc>
          <w:tcPr>
            <w:tcW w:w="16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01"/>
        </w:trPr>
        <w:tc>
          <w:tcPr>
            <w:tcW w:w="2100" w:type="dxa"/>
            <w:vAlign w:val="bottom"/>
            <w:gridSpan w:val="3"/>
          </w:tcPr>
          <w:p>
            <w:pPr>
              <w:ind w:left="40"/>
              <w:spacing w:after="0"/>
              <w:rPr>
                <w:sz w:val="20"/>
                <w:szCs w:val="20"/>
                <w:color w:val="auto"/>
              </w:rPr>
            </w:pPr>
            <w:r>
              <w:rPr>
                <w:rFonts w:ascii="Times New Roman" w:cs="Times New Roman" w:eastAsia="Times New Roman" w:hAnsi="Times New Roman"/>
                <w:sz w:val="8"/>
                <w:szCs w:val="8"/>
                <w:color w:val="auto"/>
              </w:rPr>
              <w:t>(2)   The total expected credit loss allowance includes EUR</w:t>
            </w:r>
          </w:p>
        </w:tc>
        <w:tc>
          <w:tcPr>
            <w:tcW w:w="4120" w:type="dxa"/>
            <w:vAlign w:val="bottom"/>
            <w:gridSpan w:val="8"/>
          </w:tcPr>
          <w:p>
            <w:pPr>
              <w:ind w:left="100"/>
              <w:spacing w:after="0"/>
              <w:rPr>
                <w:sz w:val="20"/>
                <w:szCs w:val="20"/>
                <w:color w:val="auto"/>
              </w:rPr>
            </w:pPr>
            <w:r>
              <w:rPr>
                <w:rFonts w:ascii="Times New Roman" w:cs="Times New Roman" w:eastAsia="Times New Roman" w:hAnsi="Times New Roman"/>
                <w:sz w:val="8"/>
                <w:szCs w:val="8"/>
                <w:color w:val="auto"/>
              </w:rPr>
              <w:t>318 million (EUR 311 million in 2022) of credit-impaired assets relating to certain emerging market customers.</w:t>
            </w:r>
          </w:p>
        </w:tc>
        <w:tc>
          <w:tcPr>
            <w:tcW w:w="38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91"/>
        </w:trPr>
        <w:tc>
          <w:tcPr>
            <w:tcW w:w="2760" w:type="dxa"/>
            <w:vAlign w:val="bottom"/>
            <w:gridSpan w:val="4"/>
          </w:tcPr>
          <w:p>
            <w:pPr>
              <w:ind w:left="40"/>
              <w:spacing w:after="0"/>
              <w:rPr>
                <w:sz w:val="20"/>
                <w:szCs w:val="20"/>
                <w:color w:val="auto"/>
              </w:rPr>
            </w:pPr>
            <w:r>
              <w:rPr>
                <w:rFonts w:ascii="Times New Roman" w:cs="Times New Roman" w:eastAsia="Times New Roman" w:hAnsi="Times New Roman"/>
                <w:sz w:val="8"/>
                <w:szCs w:val="8"/>
                <w:color w:val="auto"/>
              </w:rPr>
              <w:t>(3)   In 2023 , the decrease in the expected credit loss allowance includes EUR</w:t>
            </w:r>
          </w:p>
        </w:tc>
        <w:tc>
          <w:tcPr>
            <w:tcW w:w="1700" w:type="dxa"/>
            <w:vAlign w:val="bottom"/>
            <w:gridSpan w:val="3"/>
          </w:tcPr>
          <w:p>
            <w:pPr>
              <w:jc w:val="right"/>
              <w:ind w:right="71"/>
              <w:spacing w:after="0"/>
              <w:rPr>
                <w:sz w:val="20"/>
                <w:szCs w:val="20"/>
                <w:color w:val="auto"/>
              </w:rPr>
            </w:pPr>
            <w:r>
              <w:rPr>
                <w:rFonts w:ascii="Times New Roman" w:cs="Times New Roman" w:eastAsia="Times New Roman" w:hAnsi="Times New Roman"/>
                <w:sz w:val="8"/>
                <w:szCs w:val="8"/>
                <w:color w:val="auto"/>
              </w:rPr>
              <w:t>29 million transferred to other provisions. In</w:t>
            </w:r>
          </w:p>
        </w:tc>
        <w:tc>
          <w:tcPr>
            <w:tcW w:w="1760" w:type="dxa"/>
            <w:vAlign w:val="bottom"/>
            <w:gridSpan w:val="4"/>
          </w:tcPr>
          <w:p>
            <w:pPr>
              <w:ind w:left="40"/>
              <w:spacing w:after="0"/>
              <w:rPr>
                <w:sz w:val="20"/>
                <w:szCs w:val="20"/>
                <w:color w:val="auto"/>
              </w:rPr>
            </w:pPr>
            <w:r>
              <w:rPr>
                <w:rFonts w:ascii="Times New Roman" w:cs="Times New Roman" w:eastAsia="Times New Roman" w:hAnsi="Times New Roman"/>
                <w:sz w:val="8"/>
                <w:szCs w:val="8"/>
                <w:color w:val="auto"/>
              </w:rPr>
              <w:t>2022 , the expected credit loss allowance included</w:t>
            </w:r>
          </w:p>
        </w:tc>
        <w:tc>
          <w:tcPr>
            <w:tcW w:w="38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104"/>
        </w:trPr>
        <w:tc>
          <w:tcPr>
            <w:tcW w:w="2100" w:type="dxa"/>
            <w:vAlign w:val="bottom"/>
            <w:gridSpan w:val="3"/>
          </w:tcPr>
          <w:p>
            <w:pPr>
              <w:ind w:left="220"/>
              <w:spacing w:after="0"/>
              <w:rPr>
                <w:sz w:val="20"/>
                <w:szCs w:val="20"/>
                <w:color w:val="auto"/>
              </w:rPr>
            </w:pPr>
            <w:r>
              <w:rPr>
                <w:rFonts w:ascii="Times New Roman" w:cs="Times New Roman" w:eastAsia="Times New Roman" w:hAnsi="Times New Roman"/>
                <w:sz w:val="8"/>
                <w:szCs w:val="8"/>
                <w:color w:val="auto"/>
              </w:rPr>
              <w:t>EUR33 million transferred from other provisions.</w:t>
            </w:r>
          </w:p>
        </w:tc>
        <w:tc>
          <w:tcPr>
            <w:tcW w:w="660" w:type="dxa"/>
            <w:vAlign w:val="bottom"/>
          </w:tcPr>
          <w:p>
            <w:pPr>
              <w:spacing w:after="0"/>
              <w:rPr>
                <w:sz w:val="9"/>
                <w:szCs w:val="9"/>
                <w:color w:val="auto"/>
              </w:rPr>
            </w:pPr>
          </w:p>
        </w:tc>
        <w:tc>
          <w:tcPr>
            <w:tcW w:w="760" w:type="dxa"/>
            <w:vAlign w:val="bottom"/>
          </w:tcPr>
          <w:p>
            <w:pPr>
              <w:spacing w:after="0"/>
              <w:rPr>
                <w:sz w:val="9"/>
                <w:szCs w:val="9"/>
                <w:color w:val="auto"/>
              </w:rPr>
            </w:pPr>
          </w:p>
        </w:tc>
        <w:tc>
          <w:tcPr>
            <w:tcW w:w="400" w:type="dxa"/>
            <w:vAlign w:val="bottom"/>
          </w:tcPr>
          <w:p>
            <w:pPr>
              <w:spacing w:after="0"/>
              <w:rPr>
                <w:sz w:val="9"/>
                <w:szCs w:val="9"/>
                <w:color w:val="auto"/>
              </w:rPr>
            </w:pPr>
          </w:p>
        </w:tc>
        <w:tc>
          <w:tcPr>
            <w:tcW w:w="540" w:type="dxa"/>
            <w:vAlign w:val="bottom"/>
          </w:tcPr>
          <w:p>
            <w:pPr>
              <w:spacing w:after="0"/>
              <w:rPr>
                <w:sz w:val="9"/>
                <w:szCs w:val="9"/>
                <w:color w:val="auto"/>
              </w:rPr>
            </w:pPr>
          </w:p>
        </w:tc>
        <w:tc>
          <w:tcPr>
            <w:tcW w:w="540" w:type="dxa"/>
            <w:vAlign w:val="bottom"/>
          </w:tcPr>
          <w:p>
            <w:pPr>
              <w:spacing w:after="0"/>
              <w:rPr>
                <w:sz w:val="9"/>
                <w:szCs w:val="9"/>
                <w:color w:val="auto"/>
              </w:rPr>
            </w:pPr>
          </w:p>
        </w:tc>
        <w:tc>
          <w:tcPr>
            <w:tcW w:w="520" w:type="dxa"/>
            <w:vAlign w:val="bottom"/>
          </w:tcPr>
          <w:p>
            <w:pPr>
              <w:spacing w:after="0"/>
              <w:rPr>
                <w:sz w:val="9"/>
                <w:szCs w:val="9"/>
                <w:color w:val="auto"/>
              </w:rPr>
            </w:pPr>
          </w:p>
        </w:tc>
        <w:tc>
          <w:tcPr>
            <w:tcW w:w="540" w:type="dxa"/>
            <w:vAlign w:val="bottom"/>
          </w:tcPr>
          <w:p>
            <w:pPr>
              <w:spacing w:after="0"/>
              <w:rPr>
                <w:sz w:val="9"/>
                <w:szCs w:val="9"/>
                <w:color w:val="auto"/>
              </w:rPr>
            </w:pPr>
          </w:p>
        </w:tc>
        <w:tc>
          <w:tcPr>
            <w:tcW w:w="160" w:type="dxa"/>
            <w:vAlign w:val="bottom"/>
          </w:tcPr>
          <w:p>
            <w:pPr>
              <w:spacing w:after="0"/>
              <w:rPr>
                <w:sz w:val="9"/>
                <w:szCs w:val="9"/>
                <w:color w:val="auto"/>
              </w:rPr>
            </w:pPr>
          </w:p>
        </w:tc>
        <w:tc>
          <w:tcPr>
            <w:tcW w:w="3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317"/>
        </w:trPr>
        <w:tc>
          <w:tcPr>
            <w:tcW w:w="3520" w:type="dxa"/>
            <w:vAlign w:val="bottom"/>
            <w:gridSpan w:val="5"/>
          </w:tcPr>
          <w:p>
            <w:pPr>
              <w:ind w:left="40"/>
              <w:spacing w:after="0"/>
              <w:rPr>
                <w:sz w:val="20"/>
                <w:szCs w:val="20"/>
                <w:color w:val="auto"/>
              </w:rPr>
            </w:pPr>
            <w:r>
              <w:rPr>
                <w:rFonts w:ascii="Times New Roman" w:cs="Times New Roman" w:eastAsia="Times New Roman" w:hAnsi="Times New Roman"/>
                <w:sz w:val="11"/>
                <w:szCs w:val="11"/>
                <w:color w:val="auto"/>
              </w:rPr>
              <w:t>The reversal of expected credit loss charged to the income statement in</w:t>
            </w:r>
          </w:p>
        </w:tc>
        <w:tc>
          <w:tcPr>
            <w:tcW w:w="2700" w:type="dxa"/>
            <w:vAlign w:val="bottom"/>
            <w:gridSpan w:val="6"/>
          </w:tcPr>
          <w:p>
            <w:pPr>
              <w:ind w:left="220"/>
              <w:spacing w:after="0"/>
              <w:rPr>
                <w:sz w:val="20"/>
                <w:szCs w:val="20"/>
                <w:color w:val="auto"/>
              </w:rPr>
            </w:pPr>
            <w:r>
              <w:rPr>
                <w:rFonts w:ascii="Times New Roman" w:cs="Times New Roman" w:eastAsia="Times New Roman" w:hAnsi="Times New Roman"/>
                <w:sz w:val="11"/>
                <w:szCs w:val="11"/>
                <w:color w:val="auto"/>
              </w:rPr>
              <w:t>2023 was EUR 16 million. The expected credit loss</w:t>
            </w:r>
          </w:p>
        </w:tc>
        <w:tc>
          <w:tcPr>
            <w:tcW w:w="38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48"/>
        </w:trPr>
        <w:tc>
          <w:tcPr>
            <w:tcW w:w="2100" w:type="dxa"/>
            <w:vAlign w:val="bottom"/>
            <w:gridSpan w:val="3"/>
          </w:tcPr>
          <w:p>
            <w:pPr>
              <w:ind w:left="40"/>
              <w:spacing w:after="0"/>
              <w:rPr>
                <w:sz w:val="20"/>
                <w:szCs w:val="20"/>
                <w:color w:val="auto"/>
              </w:rPr>
            </w:pPr>
            <w:r>
              <w:rPr>
                <w:rFonts w:ascii="Times New Roman" w:cs="Times New Roman" w:eastAsia="Times New Roman" w:hAnsi="Times New Roman"/>
                <w:sz w:val="11"/>
                <w:szCs w:val="11"/>
                <w:color w:val="auto"/>
              </w:rPr>
              <w:t>charged to the income statement was EUR</w:t>
            </w:r>
          </w:p>
        </w:tc>
        <w:tc>
          <w:tcPr>
            <w:tcW w:w="2900" w:type="dxa"/>
            <w:vAlign w:val="bottom"/>
            <w:gridSpan w:val="5"/>
          </w:tcPr>
          <w:p>
            <w:pPr>
              <w:jc w:val="right"/>
              <w:ind w:right="311"/>
              <w:spacing w:after="0"/>
              <w:rPr>
                <w:sz w:val="20"/>
                <w:szCs w:val="20"/>
                <w:color w:val="auto"/>
              </w:rPr>
            </w:pPr>
            <w:r>
              <w:rPr>
                <w:rFonts w:ascii="Times New Roman" w:cs="Times New Roman" w:eastAsia="Times New Roman" w:hAnsi="Times New Roman"/>
                <w:sz w:val="11"/>
                <w:szCs w:val="11"/>
                <w:color w:val="auto"/>
              </w:rPr>
              <w:t>160 million in 2022 and EUR 10 million in 2021 .</w:t>
            </w:r>
          </w:p>
        </w:tc>
        <w:tc>
          <w:tcPr>
            <w:tcW w:w="520" w:type="dxa"/>
            <w:vAlign w:val="bottom"/>
          </w:tcPr>
          <w:p>
            <w:pPr>
              <w:spacing w:after="0"/>
              <w:rPr>
                <w:sz w:val="12"/>
                <w:szCs w:val="12"/>
                <w:color w:val="auto"/>
              </w:rPr>
            </w:pPr>
          </w:p>
        </w:tc>
        <w:tc>
          <w:tcPr>
            <w:tcW w:w="540" w:type="dxa"/>
            <w:vAlign w:val="bottom"/>
          </w:tcPr>
          <w:p>
            <w:pPr>
              <w:spacing w:after="0"/>
              <w:rPr>
                <w:sz w:val="12"/>
                <w:szCs w:val="12"/>
                <w:color w:val="auto"/>
              </w:rPr>
            </w:pPr>
          </w:p>
        </w:tc>
        <w:tc>
          <w:tcPr>
            <w:tcW w:w="16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0" w:type="dxa"/>
            <w:vAlign w:val="bottom"/>
          </w:tcPr>
          <w:p>
            <w:pPr>
              <w:spacing w:after="0"/>
              <w:rPr>
                <w:sz w:val="1"/>
                <w:szCs w:val="1"/>
                <w:color w:val="auto"/>
              </w:rPr>
            </w:pPr>
          </w:p>
        </w:tc>
      </w:tr>
    </w:tbl>
    <w:p>
      <w:pPr>
        <w:sectPr>
          <w:pgSz w:w="11900" w:h="16838" w:orient="portrait"/>
          <w:cols w:equalWidth="0" w:num="2">
            <w:col w:w="2920" w:space="480"/>
            <w:col w:w="6600"/>
          </w:cols>
          <w:pgMar w:left="960" w:top="410" w:right="939" w:bottom="1440" w:gutter="0" w:footer="0" w:header="0"/>
          <w:type w:val="continuous"/>
        </w:sectPr>
      </w:pPr>
    </w:p>
    <w:bookmarkStart w:id="186" w:name="page187"/>
    <w:bookmarkEnd w:id="186"/>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r>
    </w:tbl>
    <w:p>
      <w:pPr>
        <w:spacing w:after="0" w:line="190"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Credit risk exposure by customer and country</w:t>
      </w:r>
    </w:p>
    <w:p>
      <w:pPr>
        <w:spacing w:after="0" w:line="24" w:lineRule="exact"/>
        <w:rPr>
          <w:sz w:val="20"/>
          <w:szCs w:val="20"/>
          <w:color w:val="auto"/>
        </w:rPr>
      </w:pPr>
    </w:p>
    <w:p>
      <w:pPr>
        <w:ind w:right="640"/>
        <w:spacing w:after="0" w:line="273" w:lineRule="auto"/>
        <w:rPr>
          <w:sz w:val="20"/>
          <w:szCs w:val="20"/>
          <w:color w:val="auto"/>
        </w:rPr>
      </w:pPr>
      <w:r>
        <w:rPr>
          <w:rFonts w:ascii="Times New Roman" w:cs="Times New Roman" w:eastAsia="Times New Roman" w:hAnsi="Times New Roman"/>
          <w:sz w:val="11"/>
          <w:szCs w:val="11"/>
          <w:color w:val="auto"/>
        </w:rPr>
        <w:t>Credit exposure is measured as the total of trade receivables, contract assets and loans outstanding from customers and committed credits. Trade receivables do not include any major concentrations of credit risk by customer.</w:t>
      </w:r>
    </w:p>
    <w:p>
      <w:pPr>
        <w:spacing w:after="0" w:line="57" w:lineRule="exact"/>
        <w:rPr>
          <w:sz w:val="20"/>
          <w:szCs w:val="20"/>
          <w:color w:val="auto"/>
        </w:rPr>
      </w:pPr>
    </w:p>
    <w:p>
      <w:pPr>
        <w:ind w:right="620"/>
        <w:spacing w:after="0" w:line="290" w:lineRule="auto"/>
        <w:rPr>
          <w:sz w:val="20"/>
          <w:szCs w:val="20"/>
          <w:color w:val="auto"/>
        </w:rPr>
      </w:pPr>
      <w:r>
        <w:rPr>
          <w:rFonts w:ascii="Times New Roman" w:cs="Times New Roman" w:eastAsia="Times New Roman" w:hAnsi="Times New Roman"/>
          <w:sz w:val="11"/>
          <w:szCs w:val="11"/>
          <w:color w:val="auto"/>
        </w:rPr>
        <w:t>Credit risk exposure by customer and country as % of total trade receivables and contract assets as well as loans and loan commitments to customers:</w:t>
      </w:r>
    </w:p>
    <w:p>
      <w:pPr>
        <w:spacing w:after="0" w:line="10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Customer</w:t>
            </w:r>
          </w:p>
        </w:tc>
        <w:tc>
          <w:tcPr>
            <w:tcW w:w="248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Customer 1</w:t>
            </w:r>
          </w:p>
        </w:tc>
        <w:tc>
          <w:tcPr>
            <w:tcW w:w="1960" w:type="dxa"/>
            <w:vAlign w:val="bottom"/>
          </w:tcPr>
          <w:p>
            <w:pPr>
              <w:spacing w:after="0"/>
              <w:rPr>
                <w:sz w:val="12"/>
                <w:szCs w:val="12"/>
                <w:color w:val="auto"/>
              </w:rPr>
            </w:pPr>
          </w:p>
        </w:tc>
        <w:tc>
          <w:tcPr>
            <w:tcW w:w="52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12.2%</w:t>
            </w:r>
          </w:p>
        </w:tc>
        <w:tc>
          <w:tcPr>
            <w:tcW w:w="5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4.5%</w:t>
            </w:r>
          </w:p>
        </w:tc>
      </w:tr>
      <w:tr>
        <w:trPr>
          <w:trHeight w:val="162"/>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Customer 2</w:t>
            </w:r>
          </w:p>
        </w:tc>
        <w:tc>
          <w:tcPr>
            <w:tcW w:w="1960" w:type="dxa"/>
            <w:vAlign w:val="bottom"/>
          </w:tcPr>
          <w:p>
            <w:pPr>
              <w:spacing w:after="0"/>
              <w:rPr>
                <w:sz w:val="14"/>
                <w:szCs w:val="14"/>
                <w:color w:val="auto"/>
              </w:rPr>
            </w:pPr>
          </w:p>
        </w:tc>
        <w:tc>
          <w:tcPr>
            <w:tcW w:w="52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3.6%</w:t>
            </w:r>
          </w:p>
        </w:tc>
        <w:tc>
          <w:tcPr>
            <w:tcW w:w="5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3.5%</w:t>
            </w:r>
          </w:p>
        </w:tc>
      </w:tr>
      <w:tr>
        <w:trPr>
          <w:trHeight w:val="167"/>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Customer 3</w:t>
            </w:r>
          </w:p>
        </w:tc>
        <w:tc>
          <w:tcPr>
            <w:tcW w:w="196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3.4%</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3.3%</w:t>
            </w:r>
          </w:p>
        </w:tc>
      </w:tr>
      <w:tr>
        <w:trPr>
          <w:trHeight w:val="142"/>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96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b w:val="1"/>
                <w:bCs w:val="1"/>
                <w:color w:val="005AFF"/>
              </w:rPr>
              <w:t>19.2%</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11.3%</w:t>
            </w:r>
          </w:p>
        </w:tc>
      </w:tr>
      <w:tr>
        <w:trPr>
          <w:trHeight w:val="291"/>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Country</w:t>
            </w:r>
          </w:p>
        </w:tc>
        <w:tc>
          <w:tcPr>
            <w:tcW w:w="248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71"/>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Country 1 </w:t>
            </w:r>
            <w:r>
              <w:rPr>
                <w:rFonts w:ascii="Times New Roman" w:cs="Times New Roman" w:eastAsia="Times New Roman" w:hAnsi="Times New Roman"/>
                <w:sz w:val="13"/>
                <w:szCs w:val="13"/>
                <w:color w:val="0D0D0D"/>
                <w:vertAlign w:val="superscript"/>
              </w:rPr>
              <w:t>(1)</w:t>
            </w:r>
          </w:p>
        </w:tc>
        <w:tc>
          <w:tcPr>
            <w:tcW w:w="1960" w:type="dxa"/>
            <w:vAlign w:val="bottom"/>
          </w:tcPr>
          <w:p>
            <w:pPr>
              <w:spacing w:after="0"/>
              <w:rPr>
                <w:sz w:val="14"/>
                <w:szCs w:val="14"/>
                <w:color w:val="auto"/>
              </w:rPr>
            </w:pPr>
          </w:p>
        </w:tc>
        <w:tc>
          <w:tcPr>
            <w:tcW w:w="520" w:type="dxa"/>
            <w:vAlign w:val="bottom"/>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19.0%</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14.7%</w:t>
            </w:r>
          </w:p>
        </w:tc>
      </w:tr>
      <w:tr>
        <w:trPr>
          <w:trHeight w:val="130"/>
        </w:trPr>
        <w:tc>
          <w:tcPr>
            <w:tcW w:w="1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Country 2</w:t>
            </w:r>
          </w:p>
        </w:tc>
        <w:tc>
          <w:tcPr>
            <w:tcW w:w="1960" w:type="dxa"/>
            <w:vAlign w:val="bottom"/>
          </w:tcPr>
          <w:p>
            <w:pPr>
              <w:spacing w:after="0"/>
              <w:rPr>
                <w:sz w:val="11"/>
                <w:szCs w:val="11"/>
                <w:color w:val="auto"/>
              </w:rPr>
            </w:pPr>
          </w:p>
        </w:tc>
        <w:tc>
          <w:tcPr>
            <w:tcW w:w="52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11.7%</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10.8%</w:t>
            </w:r>
          </w:p>
        </w:tc>
      </w:tr>
      <w:tr>
        <w:trPr>
          <w:trHeight w:val="167"/>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Country 3</w:t>
            </w:r>
          </w:p>
        </w:tc>
        <w:tc>
          <w:tcPr>
            <w:tcW w:w="196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color w:val="005AFF"/>
              </w:rPr>
              <w:t>6.1%</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7.3%</w:t>
            </w:r>
          </w:p>
        </w:tc>
      </w:tr>
      <w:tr>
        <w:trPr>
          <w:trHeight w:val="142"/>
        </w:trPr>
        <w:tc>
          <w:tcPr>
            <w:tcW w:w="1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96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b w:val="1"/>
                <w:bCs w:val="1"/>
                <w:color w:val="005AFF"/>
              </w:rPr>
              <w:t>36.8%</w:t>
            </w:r>
          </w:p>
        </w:tc>
        <w:tc>
          <w:tcPr>
            <w:tcW w:w="5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32.8%</w:t>
            </w:r>
          </w:p>
        </w:tc>
      </w:tr>
      <w:tr>
        <w:trPr>
          <w:trHeight w:val="141"/>
        </w:trPr>
        <w:tc>
          <w:tcPr>
            <w:tcW w:w="1920" w:type="dxa"/>
            <w:vAlign w:val="bottom"/>
          </w:tcPr>
          <w:p>
            <w:pPr>
              <w:spacing w:after="0"/>
              <w:rPr>
                <w:sz w:val="20"/>
                <w:szCs w:val="20"/>
                <w:color w:val="auto"/>
              </w:rPr>
            </w:pPr>
            <w:r>
              <w:rPr>
                <w:rFonts w:ascii="Times New Roman" w:cs="Times New Roman" w:eastAsia="Times New Roman" w:hAnsi="Times New Roman"/>
                <w:sz w:val="8"/>
                <w:szCs w:val="8"/>
                <w:color w:val="auto"/>
              </w:rPr>
              <w:t>(1)   In 2023 Country 1 was India (the United States in</w:t>
            </w:r>
          </w:p>
        </w:tc>
        <w:tc>
          <w:tcPr>
            <w:tcW w:w="1960" w:type="dxa"/>
            <w:vAlign w:val="bottom"/>
          </w:tcPr>
          <w:p>
            <w:pPr>
              <w:jc w:val="right"/>
              <w:ind w:right="1600"/>
              <w:spacing w:after="0"/>
              <w:rPr>
                <w:sz w:val="20"/>
                <w:szCs w:val="20"/>
                <w:color w:val="auto"/>
              </w:rPr>
            </w:pPr>
            <w:r>
              <w:rPr>
                <w:rFonts w:ascii="Times New Roman" w:cs="Times New Roman" w:eastAsia="Times New Roman" w:hAnsi="Times New Roman"/>
                <w:sz w:val="8"/>
                <w:szCs w:val="8"/>
                <w:color w:val="auto"/>
              </w:rPr>
              <w:t>2022 ).</w:t>
            </w:r>
          </w:p>
        </w:tc>
        <w:tc>
          <w:tcPr>
            <w:tcW w:w="520" w:type="dxa"/>
            <w:vAlign w:val="bottom"/>
          </w:tcPr>
          <w:p>
            <w:pPr>
              <w:spacing w:after="0"/>
              <w:rPr>
                <w:sz w:val="12"/>
                <w:szCs w:val="12"/>
                <w:color w:val="auto"/>
              </w:rPr>
            </w:pPr>
          </w:p>
        </w:tc>
        <w:tc>
          <w:tcPr>
            <w:tcW w:w="540" w:type="dxa"/>
            <w:vAlign w:val="bottom"/>
          </w:tcPr>
          <w:p>
            <w:pPr>
              <w:spacing w:after="0"/>
              <w:rPr>
                <w:sz w:val="12"/>
                <w:szCs w:val="12"/>
                <w:color w:val="auto"/>
              </w:rPr>
            </w:pPr>
          </w:p>
        </w:tc>
      </w:tr>
    </w:tbl>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Contract assets and contract liabilities</w:t>
      </w:r>
    </w:p>
    <w:p>
      <w:pPr>
        <w:spacing w:after="0" w:line="32" w:lineRule="exact"/>
        <w:rPr>
          <w:sz w:val="20"/>
          <w:szCs w:val="20"/>
          <w:color w:val="auto"/>
        </w:rPr>
      </w:pPr>
    </w:p>
    <w:p>
      <w:pPr>
        <w:ind w:right="560"/>
        <w:spacing w:after="0" w:line="274" w:lineRule="auto"/>
        <w:rPr>
          <w:sz w:val="20"/>
          <w:szCs w:val="20"/>
          <w:color w:val="auto"/>
        </w:rPr>
      </w:pPr>
      <w:r>
        <w:rPr>
          <w:rFonts w:ascii="Times New Roman" w:cs="Times New Roman" w:eastAsia="Times New Roman" w:hAnsi="Times New Roman"/>
          <w:sz w:val="11"/>
          <w:szCs w:val="11"/>
          <w:color w:val="auto"/>
        </w:rPr>
        <w:t>Contract asset balances decrease upon reclassification to trade receivables when Nokia’s right to payment becomes unconditional. Contract liability balances decrease when Nokia satisfies the related performance obligations and revenue is recognized. There were no material cumulative adjustments to revenue recognized arising from changes in transaction prices, changes in measures of progress or changes in estimated variable consideration.</w:t>
      </w:r>
    </w:p>
    <w:p>
      <w:pPr>
        <w:spacing w:after="0" w:line="47" w:lineRule="exact"/>
        <w:rPr>
          <w:sz w:val="20"/>
          <w:szCs w:val="20"/>
          <w:color w:val="auto"/>
        </w:rPr>
      </w:pPr>
    </w:p>
    <w:p>
      <w:pPr>
        <w:ind w:right="360"/>
        <w:spacing w:after="0" w:line="309" w:lineRule="auto"/>
        <w:rPr>
          <w:sz w:val="20"/>
          <w:szCs w:val="20"/>
          <w:color w:val="auto"/>
        </w:rPr>
      </w:pPr>
      <w:r>
        <w:rPr>
          <w:rFonts w:ascii="Times New Roman" w:cs="Times New Roman" w:eastAsia="Times New Roman" w:hAnsi="Times New Roman"/>
          <w:sz w:val="11"/>
          <w:szCs w:val="11"/>
          <w:color w:val="auto"/>
        </w:rPr>
        <w:t>During the year, Nokia recognized E UR 1.4 billion (EUR1.6 billion in 2022 ) of revenue that was included in the current contract liability balance at the beginning of the period.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40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179</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312"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4.6. Other receivables and liabilities</w:t>
      </w:r>
    </w:p>
    <w:p>
      <w:pPr>
        <w:spacing w:after="0" w:line="107"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non-current receivables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R&amp;D tax credits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127</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114</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Indirect tax receivables</w:t>
            </w:r>
          </w:p>
        </w:tc>
        <w:tc>
          <w:tcPr>
            <w:tcW w:w="540" w:type="dxa"/>
            <w:vAlign w:val="bottom"/>
            <w:shd w:val="clear" w:color="auto" w:fill="F0F5FF"/>
          </w:tcPr>
          <w:p>
            <w:pPr>
              <w:jc w:val="center"/>
              <w:ind w:left="271"/>
              <w:spacing w:after="0"/>
              <w:rPr>
                <w:sz w:val="20"/>
                <w:szCs w:val="20"/>
                <w:color w:val="auto"/>
              </w:rPr>
            </w:pPr>
            <w:r>
              <w:rPr>
                <w:rFonts w:ascii="Times New Roman" w:cs="Times New Roman" w:eastAsia="Times New Roman" w:hAnsi="Times New Roman"/>
                <w:sz w:val="10"/>
                <w:szCs w:val="10"/>
                <w:color w:val="005AFF"/>
                <w:w w:val="99"/>
              </w:rPr>
              <w:t>45</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46</w:t>
            </w:r>
          </w:p>
        </w:tc>
      </w:tr>
      <w:tr>
        <w:trPr>
          <w:trHeight w:val="167"/>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40" w:type="dxa"/>
            <w:vAlign w:val="bottom"/>
            <w:tcBorders>
              <w:bottom w:val="single" w:sz="8" w:color="005AFF"/>
            </w:tcBorders>
            <w:shd w:val="clear" w:color="auto" w:fill="F0F5FF"/>
          </w:tcPr>
          <w:p>
            <w:pPr>
              <w:jc w:val="center"/>
              <w:ind w:left="271"/>
              <w:spacing w:after="0"/>
              <w:rPr>
                <w:sz w:val="20"/>
                <w:szCs w:val="20"/>
                <w:color w:val="auto"/>
              </w:rPr>
            </w:pPr>
            <w:r>
              <w:rPr>
                <w:rFonts w:ascii="Times New Roman" w:cs="Times New Roman" w:eastAsia="Times New Roman" w:hAnsi="Times New Roman"/>
                <w:sz w:val="10"/>
                <w:szCs w:val="10"/>
                <w:color w:val="005AFF"/>
                <w:w w:val="99"/>
              </w:rPr>
              <w:t>41</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79</w:t>
            </w:r>
          </w:p>
        </w:tc>
      </w:tr>
      <w:tr>
        <w:trPr>
          <w:trHeight w:val="142"/>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b w:val="1"/>
                <w:bCs w:val="1"/>
                <w:color w:val="005AFF"/>
              </w:rPr>
              <w:t>213</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239</w:t>
            </w:r>
          </w:p>
        </w:tc>
      </w:tr>
    </w:tbl>
    <w:p>
      <w:pPr>
        <w:spacing w:after="0" w:line="10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current receivables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VAT and other indirect tax receivables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302</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457</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Prepayments related to contract manufacturing</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128</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62</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IT-related prepaid expenses</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59</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41</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R&amp;D tax credits and grant receivables</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46</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28</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Divestment-related receivables</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28</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26</w:t>
            </w:r>
          </w:p>
        </w:tc>
      </w:tr>
      <w:tr>
        <w:trPr>
          <w:trHeight w:val="167"/>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201</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320</w:t>
            </w:r>
          </w:p>
        </w:tc>
      </w:tr>
      <w:tr>
        <w:trPr>
          <w:trHeight w:val="142"/>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764</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0D0D0D"/>
              </w:rPr>
              <w:t>934</w:t>
            </w:r>
          </w:p>
        </w:tc>
      </w:tr>
    </w:tbl>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non-current liabilities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Salaries, wages and social charges</w:t>
            </w:r>
          </w:p>
        </w:tc>
        <w:tc>
          <w:tcPr>
            <w:tcW w:w="54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42</w:t>
            </w:r>
          </w:p>
        </w:tc>
        <w:tc>
          <w:tcPr>
            <w:tcW w:w="54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46</w:t>
            </w:r>
          </w:p>
        </w:tc>
      </w:tr>
      <w:tr>
        <w:trPr>
          <w:trHeight w:val="167"/>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w:t>
            </w:r>
          </w:p>
        </w:tc>
        <w:tc>
          <w:tcPr>
            <w:tcW w:w="54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69</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color w:val="0D0D0D"/>
              </w:rPr>
              <w:t>57</w:t>
            </w:r>
          </w:p>
        </w:tc>
      </w:tr>
      <w:tr>
        <w:trPr>
          <w:trHeight w:val="142"/>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111</w:t>
            </w:r>
          </w:p>
        </w:tc>
        <w:tc>
          <w:tcPr>
            <w:tcW w:w="5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0D0D0D"/>
              </w:rPr>
              <w:t>103</w:t>
            </w:r>
          </w:p>
        </w:tc>
      </w:tr>
    </w:tbl>
    <w:p>
      <w:pPr>
        <w:spacing w:after="0" w:line="10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current liabilities</w:t>
      </w:r>
    </w:p>
    <w:p>
      <w:pPr>
        <w:spacing w:after="0" w:line="95"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35"/>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Salaries, wages and social charges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1 176</w:t>
            </w:r>
          </w:p>
        </w:tc>
        <w:tc>
          <w:tcPr>
            <w:tcW w:w="54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1 669</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Accrued expenses related to customer projects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442</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466</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Discounts without performance obligations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404</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539</w:t>
            </w:r>
          </w:p>
        </w:tc>
      </w:tr>
      <w:tr>
        <w:trPr>
          <w:trHeight w:val="162"/>
        </w:trPr>
        <w:tc>
          <w:tcPr>
            <w:tcW w:w="3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VAT and other indirect tax payables</w:t>
            </w:r>
          </w:p>
        </w:tc>
        <w:tc>
          <w:tcPr>
            <w:tcW w:w="54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323</w:t>
            </w:r>
          </w:p>
        </w:tc>
        <w:tc>
          <w:tcPr>
            <w:tcW w:w="54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328</w:t>
            </w:r>
          </w:p>
        </w:tc>
      </w:tr>
      <w:tr>
        <w:trPr>
          <w:trHeight w:val="172"/>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 xml:space="preserve">Other </w:t>
            </w:r>
            <w:r>
              <w:rPr>
                <w:rFonts w:ascii="Times New Roman" w:cs="Times New Roman" w:eastAsia="Times New Roman" w:hAnsi="Times New Roman"/>
                <w:sz w:val="13"/>
                <w:szCs w:val="13"/>
                <w:color w:val="0D0D0D"/>
                <w:vertAlign w:val="superscript"/>
              </w:rPr>
              <w:t>(1)</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479</w:t>
            </w: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617</w:t>
            </w:r>
          </w:p>
        </w:tc>
      </w:tr>
      <w:tr>
        <w:trPr>
          <w:trHeight w:val="137"/>
        </w:trPr>
        <w:tc>
          <w:tcPr>
            <w:tcW w:w="3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4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2 824</w:t>
            </w:r>
          </w:p>
        </w:tc>
        <w:tc>
          <w:tcPr>
            <w:tcW w:w="54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b w:val="1"/>
                <w:bCs w:val="1"/>
                <w:color w:val="0D0D0D"/>
              </w:rPr>
              <w:t>3 619</w:t>
            </w:r>
          </w:p>
        </w:tc>
      </w:tr>
    </w:tbl>
    <w:p>
      <w:pPr>
        <w:spacing w:after="0" w:line="41" w:lineRule="exact"/>
        <w:rPr>
          <w:sz w:val="20"/>
          <w:szCs w:val="20"/>
          <w:color w:val="auto"/>
        </w:rPr>
      </w:pPr>
    </w:p>
    <w:p>
      <w:pPr>
        <w:ind w:left="200" w:hanging="198"/>
        <w:spacing w:after="0"/>
        <w:tabs>
          <w:tab w:leader="none" w:pos="200" w:val="left"/>
        </w:tabs>
        <w:numPr>
          <w:ilvl w:val="0"/>
          <w:numId w:val="12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accrued logistics, R&amp;D, IT and royalty expenses.</w:t>
      </w:r>
    </w:p>
    <w:p>
      <w:pPr>
        <w:sectPr>
          <w:pgSz w:w="11900" w:h="16838" w:orient="portrait"/>
          <w:cols w:equalWidth="0" w:num="2">
            <w:col w:w="5000" w:space="100"/>
            <w:col w:w="4960"/>
          </w:cols>
          <w:pgMar w:left="960" w:top="410" w:right="879" w:bottom="1440" w:gutter="0" w:footer="0" w:header="0"/>
        </w:sectPr>
      </w:pPr>
    </w:p>
    <w:bookmarkStart w:id="187" w:name="page188"/>
    <w:bookmarkEnd w:id="187"/>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180</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40"/>
          </w:cols>
          <w:pgMar w:left="960" w:top="410" w:right="89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4.7. Provisions</w:t>
      </w: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spacing w:after="0" w:line="263" w:lineRule="auto"/>
        <w:rPr>
          <w:sz w:val="20"/>
          <w:szCs w:val="20"/>
          <w:color w:val="auto"/>
        </w:rPr>
      </w:pPr>
      <w:r>
        <w:rPr>
          <w:rFonts w:ascii="Times New Roman" w:cs="Times New Roman" w:eastAsia="Times New Roman" w:hAnsi="Times New Roman"/>
          <w:sz w:val="11"/>
          <w:szCs w:val="11"/>
          <w:color w:val="auto"/>
        </w:rPr>
        <w:t>Provision is recognized when Nokia has a present legal or constructive obligation as a result of past events, it is probable that an outflow of resources will be required</w:t>
      </w:r>
    </w:p>
    <w:p>
      <w:pPr>
        <w:spacing w:after="0" w:line="1" w:lineRule="exact"/>
        <w:rPr>
          <w:sz w:val="20"/>
          <w:szCs w:val="20"/>
          <w:color w:val="auto"/>
        </w:rPr>
      </w:pPr>
    </w:p>
    <w:p>
      <w:pPr>
        <w:ind w:left="160" w:right="180"/>
        <w:spacing w:after="0" w:line="265" w:lineRule="auto"/>
        <w:rPr>
          <w:sz w:val="20"/>
          <w:szCs w:val="20"/>
          <w:color w:val="auto"/>
        </w:rPr>
      </w:pPr>
      <w:r>
        <w:rPr>
          <w:rFonts w:ascii="Times New Roman" w:cs="Times New Roman" w:eastAsia="Times New Roman" w:hAnsi="Times New Roman"/>
          <w:sz w:val="11"/>
          <w:szCs w:val="11"/>
          <w:color w:val="auto"/>
        </w:rPr>
        <w:t>to settle the obligation and a reliable estimate of the amount can be made. Management judgment may be required in determining whether it is probable that an outflow of economic benefits will be required to settle the obligation. The amount recognized as a provision is based on the best estimate of unavoidable costs required to settle the obligation at the end of the reporting period.</w:t>
      </w:r>
    </w:p>
    <w:p>
      <w:pPr>
        <w:spacing w:after="0" w:line="54" w:lineRule="exact"/>
        <w:rPr>
          <w:sz w:val="20"/>
          <w:szCs w:val="20"/>
          <w:color w:val="auto"/>
        </w:rPr>
      </w:pPr>
    </w:p>
    <w:p>
      <w:pPr>
        <w:ind w:left="160" w:right="100"/>
        <w:spacing w:after="0" w:line="262" w:lineRule="auto"/>
        <w:rPr>
          <w:sz w:val="20"/>
          <w:szCs w:val="20"/>
          <w:color w:val="auto"/>
        </w:rPr>
      </w:pPr>
      <w:r>
        <w:rPr>
          <w:rFonts w:ascii="Times New Roman" w:cs="Times New Roman" w:eastAsia="Times New Roman" w:hAnsi="Times New Roman"/>
          <w:sz w:val="11"/>
          <w:szCs w:val="11"/>
          <w:color w:val="auto"/>
        </w:rPr>
        <w:t>When estimating the amount of unavoidable costs, management may be required to consider a range of possible outcomes and their associated probabilities, risks and uncertainties surrounding the events and circumstances, as well as making assumptions about the timing of payment. Changes in estimates of timing or</w:t>
      </w:r>
    </w:p>
    <w:p>
      <w:pPr>
        <w:spacing w:after="0" w:line="20" w:lineRule="exact"/>
        <w:rPr>
          <w:sz w:val="20"/>
          <w:szCs w:val="20"/>
          <w:color w:val="auto"/>
        </w:rPr>
      </w:pPr>
      <w:r>
        <w:rPr>
          <w:sz w:val="20"/>
          <w:szCs w:val="20"/>
          <w:color w:val="auto"/>
        </w:rPr>
        <w:br w:type="column"/>
      </w:r>
    </w:p>
    <w:p>
      <w:pPr>
        <w:spacing w:after="0" w:line="32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Warranty provision</w:t>
      </w:r>
    </w:p>
    <w:p>
      <w:pPr>
        <w:spacing w:after="0" w:line="32" w:lineRule="exact"/>
        <w:rPr>
          <w:sz w:val="20"/>
          <w:szCs w:val="20"/>
          <w:color w:val="auto"/>
        </w:rPr>
      </w:pPr>
    </w:p>
    <w:p>
      <w:pPr>
        <w:ind w:right="40"/>
        <w:spacing w:after="0" w:line="269" w:lineRule="auto"/>
        <w:rPr>
          <w:sz w:val="20"/>
          <w:szCs w:val="20"/>
          <w:color w:val="auto"/>
        </w:rPr>
      </w:pPr>
      <w:r>
        <w:rPr>
          <w:rFonts w:ascii="Times New Roman" w:cs="Times New Roman" w:eastAsia="Times New Roman" w:hAnsi="Times New Roman"/>
          <w:sz w:val="11"/>
          <w:szCs w:val="11"/>
          <w:color w:val="auto"/>
        </w:rPr>
        <w:t>Nokia provides for the estimated liability to repair or replace products under standard warranty at the time revenue is recognized. The provision estimate is based on historical experience of the level of repairs and replacements. Cash outflows related to the warranty provision are generally expected to occur in the next 18 months .</w:t>
      </w:r>
    </w:p>
    <w:p>
      <w:pPr>
        <w:spacing w:after="0" w:line="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Litigation and environmental provisions</w:t>
      </w:r>
    </w:p>
    <w:p>
      <w:pPr>
        <w:spacing w:after="0" w:line="32"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Nokia provides for the estimated future settlements related to legal proceedings based on the probable outcome of the claims. Nokia also provides for environmental remediation when Nokia becomes obliged, legally or constructively, to rectify environmental damage relating to soil, groundwater, surface water or sediment contamination. Cash outflows related to the litigation and environmental liabilities are inherently uncertain and generally occur over several periods. For a presentation of legal matters potentially affecting Nokia, refer to Note 6.1. Commitments, contingencies and legal proceedings .</w:t>
      </w:r>
    </w:p>
    <w:p>
      <w:pPr>
        <w:spacing w:after="0" w:line="20" w:lineRule="exact"/>
        <w:rPr>
          <w:sz w:val="20"/>
          <w:szCs w:val="20"/>
          <w:color w:val="auto"/>
        </w:rPr>
      </w:pPr>
      <w:r>
        <w:rPr>
          <w:sz w:val="20"/>
          <w:szCs w:val="20"/>
          <w:color w:val="auto"/>
        </w:rPr>
        <w:br w:type="column"/>
      </w:r>
    </w:p>
    <w:p>
      <w:pPr>
        <w:spacing w:after="0" w:line="32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Project loss provision</w:t>
      </w:r>
    </w:p>
    <w:p>
      <w:pPr>
        <w:spacing w:after="0" w:line="32" w:lineRule="exact"/>
        <w:rPr>
          <w:sz w:val="20"/>
          <w:szCs w:val="20"/>
          <w:color w:val="auto"/>
        </w:rPr>
      </w:pPr>
    </w:p>
    <w:p>
      <w:pPr>
        <w:ind w:right="500"/>
        <w:spacing w:after="0" w:line="264" w:lineRule="auto"/>
        <w:rPr>
          <w:sz w:val="20"/>
          <w:szCs w:val="20"/>
          <w:color w:val="auto"/>
        </w:rPr>
      </w:pPr>
      <w:r>
        <w:rPr>
          <w:rFonts w:ascii="Times New Roman" w:cs="Times New Roman" w:eastAsia="Times New Roman" w:hAnsi="Times New Roman"/>
          <w:sz w:val="11"/>
          <w:szCs w:val="11"/>
          <w:color w:val="auto"/>
        </w:rPr>
        <w:t>Nokia provides for onerous contracts based on the lower of the expected cost of fulfilling the contract and the expected cost of terminating the contract. An onerous contract is a contract in which the unavoidable costs of meeting the obligations under the contract exceed the economic benefits expected to be received under it. Project loss provisions relate to contracts with customers and are evaluated at a contract level. The majority of the project loss provision utilization is expected to occur over the next two years .</w:t>
      </w:r>
    </w:p>
    <w:p>
      <w:pPr>
        <w:spacing w:after="0" w:line="22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provisions</w:t>
      </w:r>
    </w:p>
    <w:p>
      <w:pPr>
        <w:spacing w:after="0" w:line="32" w:lineRule="exact"/>
        <w:rPr>
          <w:sz w:val="20"/>
          <w:szCs w:val="20"/>
          <w:color w:val="auto"/>
        </w:rPr>
      </w:pPr>
    </w:p>
    <w:p>
      <w:pPr>
        <w:ind w:right="420"/>
        <w:spacing w:after="0" w:line="263" w:lineRule="auto"/>
        <w:rPr>
          <w:sz w:val="20"/>
          <w:szCs w:val="20"/>
          <w:color w:val="auto"/>
        </w:rPr>
      </w:pPr>
      <w:r>
        <w:rPr>
          <w:rFonts w:ascii="Times New Roman" w:cs="Times New Roman" w:eastAsia="Times New Roman" w:hAnsi="Times New Roman"/>
          <w:sz w:val="11"/>
          <w:szCs w:val="11"/>
          <w:color w:val="auto"/>
        </w:rPr>
        <w:t>Nokia provides for various legal and constructive obligations such as material liability, indirect tax provisions, divestment-related provisions, employee-related provisions other than restructuring provisions and asset retirement obligations. Cash outflows related to other provisions are generally</w:t>
      </w:r>
    </w:p>
    <w:p>
      <w:pPr>
        <w:spacing w:after="0" w:line="1" w:lineRule="exact"/>
        <w:rPr>
          <w:sz w:val="20"/>
          <w:szCs w:val="20"/>
          <w:color w:val="auto"/>
        </w:rPr>
      </w:pPr>
    </w:p>
    <w:p>
      <w:pPr>
        <w:spacing w:after="0"/>
        <w:tabs>
          <w:tab w:leader="none" w:pos="1660" w:val="left"/>
        </w:tabs>
        <w:rPr>
          <w:sz w:val="20"/>
          <w:szCs w:val="20"/>
          <w:color w:val="auto"/>
        </w:rPr>
      </w:pPr>
      <w:r>
        <w:rPr>
          <w:rFonts w:ascii="Times New Roman" w:cs="Times New Roman" w:eastAsia="Times New Roman" w:hAnsi="Times New Roman"/>
          <w:sz w:val="11"/>
          <w:szCs w:val="11"/>
          <w:color w:val="auto"/>
        </w:rPr>
        <w:t>expected to occur over the next</w:t>
      </w:r>
      <w:r>
        <w:rPr>
          <w:sz w:val="20"/>
          <w:szCs w:val="20"/>
          <w:color w:val="auto"/>
        </w:rPr>
        <w:tab/>
      </w:r>
      <w:r>
        <w:rPr>
          <w:rFonts w:ascii="Times New Roman" w:cs="Times New Roman" w:eastAsia="Times New Roman" w:hAnsi="Times New Roman"/>
          <w:sz w:val="11"/>
          <w:szCs w:val="11"/>
          <w:color w:val="auto"/>
        </w:rPr>
        <w:t>two years .</w:t>
      </w:r>
    </w:p>
    <w:p>
      <w:pPr>
        <w:spacing w:after="0" w:line="303" w:lineRule="exact"/>
        <w:rPr>
          <w:sz w:val="20"/>
          <w:szCs w:val="20"/>
          <w:color w:val="auto"/>
        </w:rPr>
      </w:pPr>
    </w:p>
    <w:p>
      <w:pPr>
        <w:sectPr>
          <w:pgSz w:w="11900" w:h="16838" w:orient="portrait"/>
          <w:cols w:equalWidth="0" w:num="3">
            <w:col w:w="2820" w:space="620"/>
            <w:col w:w="2820" w:space="560"/>
            <w:col w:w="3220"/>
          </w:cols>
          <w:pgMar w:left="960" w:top="410" w:right="899" w:bottom="1440" w:gutter="0" w:footer="0" w:header="0"/>
          <w:type w:val="continuous"/>
        </w:sectPr>
      </w:pPr>
    </w:p>
    <w:p>
      <w:pPr>
        <w:ind w:left="160" w:right="480"/>
        <w:spacing w:after="0" w:line="264" w:lineRule="auto"/>
        <w:rPr>
          <w:sz w:val="20"/>
          <w:szCs w:val="20"/>
          <w:color w:val="auto"/>
        </w:rPr>
      </w:pPr>
      <w:r>
        <w:rPr>
          <w:rFonts w:ascii="Times New Roman" w:cs="Times New Roman" w:eastAsia="Times New Roman" w:hAnsi="Times New Roman"/>
          <w:sz w:val="11"/>
          <w:szCs w:val="11"/>
          <w:color w:val="auto"/>
        </w:rPr>
        <w:t>amounts of costs required to settle the obligation may become necessary as time passes and/or more accurate</w:t>
      </w:r>
    </w:p>
    <w:p>
      <w:pPr>
        <w:ind w:left="160" w:right="440"/>
        <w:spacing w:after="0" w:line="262" w:lineRule="auto"/>
        <w:rPr>
          <w:sz w:val="20"/>
          <w:szCs w:val="20"/>
          <w:color w:val="auto"/>
        </w:rPr>
      </w:pPr>
      <w:r>
        <w:rPr>
          <w:rFonts w:ascii="Times New Roman" w:cs="Times New Roman" w:eastAsia="Times New Roman" w:hAnsi="Times New Roman"/>
          <w:sz w:val="11"/>
          <w:szCs w:val="11"/>
          <w:color w:val="auto"/>
        </w:rPr>
        <w:t>information becomes available. Nokia assesses the adequacy of its existing provisions and adjusts the amounts as necessary based on actual experience</w:t>
      </w:r>
    </w:p>
    <w:p>
      <w:pPr>
        <w:ind w:left="160" w:right="840"/>
        <w:spacing w:after="0" w:line="278" w:lineRule="auto"/>
        <w:rPr>
          <w:sz w:val="20"/>
          <w:szCs w:val="20"/>
          <w:color w:val="auto"/>
        </w:rPr>
      </w:pPr>
      <w:r>
        <w:rPr>
          <w:rFonts w:ascii="Times New Roman" w:cs="Times New Roman" w:eastAsia="Times New Roman" w:hAnsi="Times New Roman"/>
          <w:sz w:val="11"/>
          <w:szCs w:val="11"/>
          <w:color w:val="auto"/>
        </w:rPr>
        <w:t>and changes in facts and circumstances at each reporting date.</w:t>
      </w:r>
    </w:p>
    <w:p>
      <w:pPr>
        <w:spacing w:after="0" w:line="21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Restructuring provision</w:t>
      </w:r>
    </w:p>
    <w:p>
      <w:pPr>
        <w:spacing w:after="0" w:line="32"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Nokia provides for the estimated cost to restructure when a detailed formal plan of restructuring has been completed, approved by management, and announced. Restructuring costs consist primarily of personnel restructuring charges. The other main components are costs associated with exiting real estate locations, and costs of terminating certain other contracts</w:t>
      </w:r>
    </w:p>
    <w:p>
      <w:pPr>
        <w:spacing w:after="0" w:line="1" w:lineRule="exact"/>
        <w:rPr>
          <w:sz w:val="20"/>
          <w:szCs w:val="20"/>
          <w:color w:val="auto"/>
        </w:rPr>
      </w:pPr>
    </w:p>
    <w:p>
      <w:pPr>
        <w:spacing w:after="0"/>
        <w:tabs>
          <w:tab w:leader="none" w:pos="1920" w:val="left"/>
          <w:tab w:leader="none" w:pos="2920" w:val="left"/>
        </w:tabs>
        <w:rPr>
          <w:sz w:val="20"/>
          <w:szCs w:val="20"/>
          <w:color w:val="auto"/>
        </w:rPr>
      </w:pPr>
      <w:r>
        <w:rPr>
          <w:rFonts w:ascii="Times New Roman" w:cs="Times New Roman" w:eastAsia="Times New Roman" w:hAnsi="Times New Roman"/>
          <w:sz w:val="11"/>
          <w:szCs w:val="11"/>
          <w:color w:val="auto"/>
        </w:rPr>
        <w:t>directly linked to the restructuring. At</w:t>
      </w:r>
      <w:r>
        <w:rPr>
          <w:sz w:val="20"/>
          <w:szCs w:val="20"/>
          <w:color w:val="auto"/>
        </w:rPr>
        <w:tab/>
      </w:r>
      <w:r>
        <w:rPr>
          <w:rFonts w:ascii="Times New Roman" w:cs="Times New Roman" w:eastAsia="Times New Roman" w:hAnsi="Times New Roman"/>
          <w:sz w:val="11"/>
          <w:szCs w:val="11"/>
          <w:color w:val="auto"/>
        </w:rPr>
        <w:t>31 December 2023</w:t>
        <w:tab/>
        <w:t>, the</w:t>
      </w:r>
    </w:p>
    <w:p>
      <w:pPr>
        <w:spacing w:after="0" w:line="10" w:lineRule="exact"/>
        <w:rPr>
          <w:sz w:val="20"/>
          <w:szCs w:val="20"/>
          <w:color w:val="auto"/>
        </w:rPr>
      </w:pPr>
    </w:p>
    <w:p>
      <w:pPr>
        <w:spacing w:after="0"/>
        <w:tabs>
          <w:tab w:leader="none" w:pos="2100" w:val="left"/>
        </w:tabs>
        <w:rPr>
          <w:sz w:val="20"/>
          <w:szCs w:val="20"/>
          <w:color w:val="auto"/>
        </w:rPr>
      </w:pPr>
      <w:r>
        <w:rPr>
          <w:rFonts w:ascii="Times New Roman" w:cs="Times New Roman" w:eastAsia="Times New Roman" w:hAnsi="Times New Roman"/>
          <w:sz w:val="11"/>
          <w:szCs w:val="11"/>
          <w:color w:val="auto"/>
        </w:rPr>
        <w:t>restructuring provision amounted to EUR</w:t>
      </w:r>
      <w:r>
        <w:rPr>
          <w:sz w:val="20"/>
          <w:szCs w:val="20"/>
          <w:color w:val="auto"/>
        </w:rPr>
        <w:tab/>
      </w:r>
      <w:r>
        <w:rPr>
          <w:rFonts w:ascii="Times New Roman" w:cs="Times New Roman" w:eastAsia="Times New Roman" w:hAnsi="Times New Roman"/>
          <w:sz w:val="11"/>
          <w:szCs w:val="11"/>
          <w:color w:val="auto"/>
        </w:rPr>
        <w:t>255 million including</w:t>
      </w:r>
    </w:p>
    <w:p>
      <w:pPr>
        <w:spacing w:after="0" w:line="10" w:lineRule="exact"/>
        <w:rPr>
          <w:sz w:val="20"/>
          <w:szCs w:val="20"/>
          <w:color w:val="auto"/>
        </w:rPr>
      </w:pPr>
    </w:p>
    <w:p>
      <w:pPr>
        <w:ind w:right="220"/>
        <w:spacing w:after="0" w:line="266" w:lineRule="auto"/>
        <w:rPr>
          <w:sz w:val="20"/>
          <w:szCs w:val="20"/>
          <w:color w:val="auto"/>
        </w:rPr>
      </w:pPr>
      <w:r>
        <w:rPr>
          <w:rFonts w:ascii="Times New Roman" w:cs="Times New Roman" w:eastAsia="Times New Roman" w:hAnsi="Times New Roman"/>
          <w:sz w:val="11"/>
          <w:szCs w:val="11"/>
          <w:color w:val="auto"/>
        </w:rPr>
        <w:t>personnel and other restructuring costs. The provision consists primarily of amounts related to the announcements made by Nokia on 16 March 2021 and 19 October 2023. The majority of the restructuring cash outflows is expected to occur over the ne xt two years .</w:t>
      </w:r>
    </w:p>
    <w:p>
      <w:pPr>
        <w:spacing w:after="0" w:line="35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01"/>
        </w:trPr>
        <w:tc>
          <w:tcPr>
            <w:tcW w:w="2560" w:type="dxa"/>
            <w:vAlign w:val="bottom"/>
          </w:tcPr>
          <w:p>
            <w:pPr>
              <w:spacing w:after="0"/>
              <w:rPr>
                <w:sz w:val="8"/>
                <w:szCs w:val="8"/>
                <w:color w:val="auto"/>
              </w:rPr>
            </w:pPr>
          </w:p>
        </w:tc>
        <w:tc>
          <w:tcPr>
            <w:tcW w:w="680" w:type="dxa"/>
            <w:vAlign w:val="bottom"/>
          </w:tcPr>
          <w:p>
            <w:pPr>
              <w:spacing w:after="0"/>
              <w:rPr>
                <w:sz w:val="8"/>
                <w:szCs w:val="8"/>
                <w:color w:val="auto"/>
              </w:rPr>
            </w:pPr>
          </w:p>
        </w:tc>
        <w:tc>
          <w:tcPr>
            <w:tcW w:w="680" w:type="dxa"/>
            <w:vAlign w:val="bottom"/>
          </w:tcPr>
          <w:p>
            <w:pPr>
              <w:spacing w:after="0"/>
              <w:rPr>
                <w:sz w:val="8"/>
                <w:szCs w:val="8"/>
                <w:color w:val="auto"/>
              </w:rPr>
            </w:pPr>
          </w:p>
        </w:tc>
        <w:tc>
          <w:tcPr>
            <w:tcW w:w="120" w:type="dxa"/>
            <w:vAlign w:val="bottom"/>
          </w:tcPr>
          <w:p>
            <w:pPr>
              <w:spacing w:after="0"/>
              <w:rPr>
                <w:sz w:val="8"/>
                <w:szCs w:val="8"/>
                <w:color w:val="auto"/>
              </w:rPr>
            </w:pPr>
          </w:p>
        </w:tc>
        <w:tc>
          <w:tcPr>
            <w:tcW w:w="56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w w:val="98"/>
              </w:rPr>
              <w:t>Litigation and</w:t>
            </w:r>
          </w:p>
        </w:tc>
        <w:tc>
          <w:tcPr>
            <w:tcW w:w="860" w:type="dxa"/>
            <w:vAlign w:val="bottom"/>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Project</w:t>
            </w:r>
          </w:p>
        </w:tc>
        <w:tc>
          <w:tcPr>
            <w:tcW w:w="840" w:type="dxa"/>
            <w:vAlign w:val="bottom"/>
          </w:tcPr>
          <w:p>
            <w:pPr>
              <w:spacing w:after="0"/>
              <w:rPr>
                <w:sz w:val="8"/>
                <w:szCs w:val="8"/>
                <w:color w:val="auto"/>
              </w:rPr>
            </w:pPr>
          </w:p>
        </w:tc>
        <w:tc>
          <w:tcPr>
            <w:tcW w:w="340" w:type="dxa"/>
            <w:vAlign w:val="bottom"/>
          </w:tcPr>
          <w:p>
            <w:pPr>
              <w:spacing w:after="0"/>
              <w:rPr>
                <w:sz w:val="8"/>
                <w:szCs w:val="8"/>
                <w:color w:val="auto"/>
              </w:rPr>
            </w:pPr>
          </w:p>
        </w:tc>
      </w:tr>
      <w:tr>
        <w:trPr>
          <w:trHeight w:val="114"/>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Restructuring</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Warranty</w:t>
            </w:r>
          </w:p>
        </w:tc>
        <w:tc>
          <w:tcPr>
            <w:tcW w:w="68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8"/>
                <w:szCs w:val="8"/>
                <w:b w:val="1"/>
                <w:bCs w:val="1"/>
                <w:color w:val="005AFF"/>
              </w:rPr>
              <w:t xml:space="preserve">environmental </w:t>
            </w:r>
            <w:r>
              <w:rPr>
                <w:rFonts w:ascii="Times New Roman" w:cs="Times New Roman" w:eastAsia="Times New Roman" w:hAnsi="Times New Roman"/>
                <w:sz w:val="5"/>
                <w:szCs w:val="5"/>
                <w:b w:val="1"/>
                <w:bCs w:val="1"/>
                <w:color w:val="005AFF"/>
              </w:rPr>
              <w:t>(2)</w:t>
            </w:r>
          </w:p>
        </w:tc>
        <w:tc>
          <w:tcPr>
            <w:tcW w:w="860" w:type="dxa"/>
            <w:vAlign w:val="bottom"/>
            <w:tcBorders>
              <w:bottom w:val="single" w:sz="8" w:color="005AFF"/>
            </w:tcBorders>
          </w:tcPr>
          <w:p>
            <w:pPr>
              <w:jc w:val="right"/>
              <w:ind w:right="211"/>
              <w:spacing w:after="0"/>
              <w:rPr>
                <w:sz w:val="20"/>
                <w:szCs w:val="20"/>
                <w:color w:val="auto"/>
              </w:rPr>
            </w:pPr>
            <w:r>
              <w:rPr>
                <w:rFonts w:ascii="Times New Roman" w:cs="Times New Roman" w:eastAsia="Times New Roman" w:hAnsi="Times New Roman"/>
                <w:sz w:val="8"/>
                <w:szCs w:val="8"/>
                <w:b w:val="1"/>
                <w:bCs w:val="1"/>
                <w:color w:val="005AFF"/>
              </w:rPr>
              <w:t>losses</w:t>
            </w:r>
          </w:p>
        </w:tc>
        <w:tc>
          <w:tcPr>
            <w:tcW w:w="840" w:type="dxa"/>
            <w:vAlign w:val="bottom"/>
            <w:tcBorders>
              <w:bottom w:val="single" w:sz="8" w:color="005AFF"/>
            </w:tcBorders>
          </w:tcPr>
          <w:p>
            <w:pPr>
              <w:jc w:val="center"/>
              <w:ind w:right="111"/>
              <w:spacing w:after="0"/>
              <w:rPr>
                <w:sz w:val="20"/>
                <w:szCs w:val="20"/>
                <w:color w:val="auto"/>
              </w:rPr>
            </w:pPr>
            <w:r>
              <w:rPr>
                <w:rFonts w:ascii="Times New Roman" w:cs="Times New Roman" w:eastAsia="Times New Roman" w:hAnsi="Times New Roman"/>
                <w:sz w:val="8"/>
                <w:szCs w:val="8"/>
                <w:b w:val="1"/>
                <w:bCs w:val="1"/>
                <w:color w:val="005AFF"/>
                <w:w w:val="97"/>
              </w:rPr>
              <w:t>Other</w:t>
            </w:r>
          </w:p>
        </w:tc>
        <w:tc>
          <w:tcPr>
            <w:tcW w:w="3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45"/>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2023</w:t>
            </w:r>
          </w:p>
        </w:tc>
        <w:tc>
          <w:tcPr>
            <w:tcW w:w="6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193</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221</w:t>
            </w:r>
          </w:p>
        </w:tc>
        <w:tc>
          <w:tcPr>
            <w:tcW w:w="120" w:type="dxa"/>
            <w:vAlign w:val="bottom"/>
            <w:tcBorders>
              <w:bottom w:val="single" w:sz="8" w:color="005AFF"/>
            </w:tcBorders>
            <w:shd w:val="clear" w:color="auto" w:fill="F0F5FF"/>
          </w:tcPr>
          <w:p>
            <w:pPr>
              <w:spacing w:after="0"/>
              <w:rPr>
                <w:sz w:val="12"/>
                <w:szCs w:val="12"/>
                <w:color w:val="auto"/>
              </w:rPr>
            </w:pPr>
          </w:p>
        </w:tc>
        <w:tc>
          <w:tcPr>
            <w:tcW w:w="56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253</w:t>
            </w:r>
          </w:p>
        </w:tc>
        <w:tc>
          <w:tcPr>
            <w:tcW w:w="860" w:type="dxa"/>
            <w:vAlign w:val="bottom"/>
            <w:tcBorders>
              <w:bottom w:val="single" w:sz="8" w:color="005AFF"/>
            </w:tcBorders>
            <w:shd w:val="clear" w:color="auto" w:fill="F0F5FF"/>
          </w:tcPr>
          <w:p>
            <w:pPr>
              <w:ind w:left="460"/>
              <w:spacing w:after="0"/>
              <w:rPr>
                <w:sz w:val="20"/>
                <w:szCs w:val="20"/>
                <w:color w:val="auto"/>
              </w:rPr>
            </w:pPr>
            <w:r>
              <w:rPr>
                <w:rFonts w:ascii="Times New Roman" w:cs="Times New Roman" w:eastAsia="Times New Roman" w:hAnsi="Times New Roman"/>
                <w:sz w:val="10"/>
                <w:szCs w:val="10"/>
                <w:b w:val="1"/>
                <w:bCs w:val="1"/>
                <w:color w:val="005AFF"/>
              </w:rPr>
              <w:t>207</w:t>
            </w:r>
          </w:p>
        </w:tc>
        <w:tc>
          <w:tcPr>
            <w:tcW w:w="840" w:type="dxa"/>
            <w:vAlign w:val="bottom"/>
            <w:tcBorders>
              <w:bottom w:val="single" w:sz="8" w:color="005AFF"/>
            </w:tcBorders>
            <w:shd w:val="clear" w:color="auto" w:fill="F0F5FF"/>
          </w:tcPr>
          <w:p>
            <w:pPr>
              <w:jc w:val="center"/>
              <w:ind w:right="111"/>
              <w:spacing w:after="0"/>
              <w:rPr>
                <w:sz w:val="20"/>
                <w:szCs w:val="20"/>
                <w:color w:val="auto"/>
              </w:rPr>
            </w:pPr>
            <w:r>
              <w:rPr>
                <w:rFonts w:ascii="Times New Roman" w:cs="Times New Roman" w:eastAsia="Times New Roman" w:hAnsi="Times New Roman"/>
                <w:sz w:val="10"/>
                <w:szCs w:val="10"/>
                <w:b w:val="1"/>
                <w:bCs w:val="1"/>
                <w:color w:val="005AFF"/>
              </w:rPr>
              <w:t>561</w:t>
            </w:r>
          </w:p>
        </w:tc>
        <w:tc>
          <w:tcPr>
            <w:tcW w:w="34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w w:val="97"/>
              </w:rPr>
              <w:t>1 435</w:t>
            </w:r>
          </w:p>
        </w:tc>
      </w:tr>
      <w:tr>
        <w:trPr>
          <w:trHeight w:val="137"/>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Charged to income statement</w:t>
            </w:r>
          </w:p>
        </w:tc>
        <w:tc>
          <w:tcPr>
            <w:tcW w:w="68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120" w:type="dxa"/>
            <w:vAlign w:val="bottom"/>
            <w:shd w:val="clear" w:color="auto" w:fill="F0F5FF"/>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860" w:type="dxa"/>
            <w:vAlign w:val="bottom"/>
            <w:shd w:val="clear" w:color="auto" w:fill="F0F5FF"/>
          </w:tcPr>
          <w:p>
            <w:pPr>
              <w:spacing w:after="0"/>
              <w:rPr>
                <w:sz w:val="11"/>
                <w:szCs w:val="11"/>
                <w:color w:val="auto"/>
              </w:rPr>
            </w:pPr>
          </w:p>
        </w:tc>
        <w:tc>
          <w:tcPr>
            <w:tcW w:w="840" w:type="dxa"/>
            <w:vAlign w:val="bottom"/>
            <w:shd w:val="clear" w:color="auto" w:fill="F0F5FF"/>
          </w:tcPr>
          <w:p>
            <w:pPr>
              <w:spacing w:after="0"/>
              <w:rPr>
                <w:sz w:val="11"/>
                <w:szCs w:val="11"/>
                <w:color w:val="auto"/>
              </w:rPr>
            </w:pPr>
          </w:p>
        </w:tc>
        <w:tc>
          <w:tcPr>
            <w:tcW w:w="340" w:type="dxa"/>
            <w:vAlign w:val="bottom"/>
            <w:shd w:val="clear" w:color="auto" w:fill="F0F5FF"/>
          </w:tcPr>
          <w:p>
            <w:pPr>
              <w:spacing w:after="0"/>
              <w:rPr>
                <w:sz w:val="11"/>
                <w:szCs w:val="11"/>
                <w:color w:val="auto"/>
              </w:rPr>
            </w:pPr>
          </w:p>
        </w:tc>
      </w:tr>
      <w:tr>
        <w:trPr>
          <w:trHeight w:val="162"/>
        </w:trPr>
        <w:tc>
          <w:tcPr>
            <w:tcW w:w="256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Additions</w:t>
            </w:r>
          </w:p>
        </w:tc>
        <w:tc>
          <w:tcPr>
            <w:tcW w:w="6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316</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177</w:t>
            </w:r>
          </w:p>
        </w:tc>
        <w:tc>
          <w:tcPr>
            <w:tcW w:w="120" w:type="dxa"/>
            <w:vAlign w:val="bottom"/>
            <w:shd w:val="clear" w:color="auto" w:fill="F0F5FF"/>
          </w:tcPr>
          <w:p>
            <w:pPr>
              <w:spacing w:after="0"/>
              <w:rPr>
                <w:sz w:val="14"/>
                <w:szCs w:val="14"/>
                <w:color w:val="auto"/>
              </w:rPr>
            </w:pPr>
          </w:p>
        </w:tc>
        <w:tc>
          <w:tcPr>
            <w:tcW w:w="5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52</w:t>
            </w:r>
          </w:p>
        </w:tc>
        <w:tc>
          <w:tcPr>
            <w:tcW w:w="86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10</w:t>
            </w:r>
          </w:p>
        </w:tc>
        <w:tc>
          <w:tcPr>
            <w:tcW w:w="840" w:type="dxa"/>
            <w:vAlign w:val="bottom"/>
            <w:shd w:val="clear" w:color="auto" w:fill="F0F5FF"/>
          </w:tcPr>
          <w:p>
            <w:pPr>
              <w:jc w:val="center"/>
              <w:ind w:right="111"/>
              <w:spacing w:after="0"/>
              <w:rPr>
                <w:sz w:val="20"/>
                <w:szCs w:val="20"/>
                <w:color w:val="auto"/>
              </w:rPr>
            </w:pPr>
            <w:r>
              <w:rPr>
                <w:rFonts w:ascii="Times New Roman" w:cs="Times New Roman" w:eastAsia="Times New Roman" w:hAnsi="Times New Roman"/>
                <w:sz w:val="10"/>
                <w:szCs w:val="10"/>
                <w:color w:val="005AFF"/>
              </w:rPr>
              <w:t>204</w:t>
            </w:r>
          </w:p>
        </w:tc>
        <w:tc>
          <w:tcPr>
            <w:tcW w:w="3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759</w:t>
            </w:r>
          </w:p>
        </w:tc>
      </w:tr>
      <w:tr>
        <w:trPr>
          <w:trHeight w:val="167"/>
        </w:trPr>
        <w:tc>
          <w:tcPr>
            <w:tcW w:w="256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Reversals</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(51)</w:t>
            </w:r>
          </w:p>
        </w:tc>
        <w:tc>
          <w:tcPr>
            <w:tcW w:w="120" w:type="dxa"/>
            <w:vAlign w:val="bottom"/>
            <w:tcBorders>
              <w:bottom w:val="single" w:sz="8" w:color="005AFF"/>
            </w:tcBorders>
            <w:shd w:val="clear" w:color="auto" w:fill="F0F5FF"/>
          </w:tcPr>
          <w:p>
            <w:pPr>
              <w:spacing w:after="0"/>
              <w:rPr>
                <w:sz w:val="14"/>
                <w:szCs w:val="14"/>
                <w:color w:val="auto"/>
              </w:rPr>
            </w:pP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w:t>
            </w:r>
          </w:p>
        </w:tc>
        <w:tc>
          <w:tcPr>
            <w:tcW w:w="860" w:type="dxa"/>
            <w:vAlign w:val="bottom"/>
            <w:tcBorders>
              <w:bottom w:val="single" w:sz="8" w:color="005AFF"/>
            </w:tcBorders>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w:t>
            </w:r>
          </w:p>
        </w:tc>
        <w:tc>
          <w:tcPr>
            <w:tcW w:w="840" w:type="dxa"/>
            <w:vAlign w:val="bottom"/>
            <w:tcBorders>
              <w:bottom w:val="single" w:sz="8" w:color="005AFF"/>
            </w:tcBorders>
            <w:shd w:val="clear" w:color="auto" w:fill="F0F5FF"/>
          </w:tcPr>
          <w:p>
            <w:pPr>
              <w:jc w:val="center"/>
              <w:ind w:right="91"/>
              <w:spacing w:after="0"/>
              <w:rPr>
                <w:sz w:val="20"/>
                <w:szCs w:val="20"/>
                <w:color w:val="auto"/>
              </w:rPr>
            </w:pPr>
            <w:r>
              <w:rPr>
                <w:rFonts w:ascii="Times New Roman" w:cs="Times New Roman" w:eastAsia="Times New Roman" w:hAnsi="Times New Roman"/>
                <w:sz w:val="10"/>
                <w:szCs w:val="10"/>
                <w:color w:val="005AFF"/>
              </w:rPr>
              <w:t>(199)</w:t>
            </w:r>
          </w:p>
        </w:tc>
        <w:tc>
          <w:tcPr>
            <w:tcW w:w="3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(263)</w:t>
            </w:r>
          </w:p>
        </w:tc>
      </w:tr>
      <w:tr>
        <w:trPr>
          <w:trHeight w:val="137"/>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Total charged to income statement</w:t>
            </w:r>
          </w:p>
        </w:tc>
        <w:tc>
          <w:tcPr>
            <w:tcW w:w="6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316</w:t>
            </w:r>
          </w:p>
        </w:tc>
        <w:tc>
          <w:tcPr>
            <w:tcW w:w="6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126</w:t>
            </w:r>
          </w:p>
        </w:tc>
        <w:tc>
          <w:tcPr>
            <w:tcW w:w="120" w:type="dxa"/>
            <w:vAlign w:val="bottom"/>
            <w:shd w:val="clear" w:color="auto" w:fill="F0F5FF"/>
          </w:tcPr>
          <w:p>
            <w:pPr>
              <w:spacing w:after="0"/>
              <w:rPr>
                <w:sz w:val="11"/>
                <w:szCs w:val="11"/>
                <w:color w:val="auto"/>
              </w:rPr>
            </w:pPr>
          </w:p>
        </w:tc>
        <w:tc>
          <w:tcPr>
            <w:tcW w:w="56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39</w:t>
            </w:r>
          </w:p>
        </w:tc>
        <w:tc>
          <w:tcPr>
            <w:tcW w:w="86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10</w:t>
            </w:r>
          </w:p>
        </w:tc>
        <w:tc>
          <w:tcPr>
            <w:tcW w:w="840" w:type="dxa"/>
            <w:vAlign w:val="bottom"/>
            <w:shd w:val="clear" w:color="auto" w:fill="F0F5FF"/>
          </w:tcPr>
          <w:p>
            <w:pPr>
              <w:jc w:val="right"/>
              <w:ind w:right="351"/>
              <w:spacing w:after="0"/>
              <w:rPr>
                <w:sz w:val="20"/>
                <w:szCs w:val="20"/>
                <w:color w:val="auto"/>
              </w:rPr>
            </w:pPr>
            <w:r>
              <w:rPr>
                <w:rFonts w:ascii="Times New Roman" w:cs="Times New Roman" w:eastAsia="Times New Roman" w:hAnsi="Times New Roman"/>
                <w:sz w:val="10"/>
                <w:szCs w:val="10"/>
                <w:color w:val="005AFF"/>
              </w:rPr>
              <w:t>5</w:t>
            </w:r>
          </w:p>
        </w:tc>
        <w:tc>
          <w:tcPr>
            <w:tcW w:w="3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496</w:t>
            </w:r>
          </w:p>
        </w:tc>
      </w:tr>
      <w:tr>
        <w:trPr>
          <w:trHeight w:val="194"/>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Utilized during year </w:t>
            </w:r>
            <w:r>
              <w:rPr>
                <w:rFonts w:ascii="Times New Roman" w:cs="Times New Roman" w:eastAsia="Times New Roman" w:hAnsi="Times New Roman"/>
                <w:sz w:val="13"/>
                <w:szCs w:val="13"/>
                <w:color w:val="0D0D0D"/>
                <w:vertAlign w:val="superscript"/>
              </w:rPr>
              <w:t>(1)</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(147)</w:t>
            </w:r>
          </w:p>
        </w:tc>
        <w:tc>
          <w:tcPr>
            <w:tcW w:w="120" w:type="dxa"/>
            <w:vAlign w:val="bottom"/>
            <w:shd w:val="clear" w:color="auto" w:fill="F0F5FF"/>
          </w:tcPr>
          <w:p>
            <w:pPr>
              <w:spacing w:after="0"/>
              <w:rPr>
                <w:sz w:val="16"/>
                <w:szCs w:val="16"/>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(29)</w:t>
            </w:r>
          </w:p>
        </w:tc>
        <w:tc>
          <w:tcPr>
            <w:tcW w:w="8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(107)</w:t>
            </w:r>
          </w:p>
        </w:tc>
        <w:tc>
          <w:tcPr>
            <w:tcW w:w="840" w:type="dxa"/>
            <w:vAlign w:val="bottom"/>
            <w:shd w:val="clear" w:color="auto" w:fill="F0F5FF"/>
          </w:tcPr>
          <w:p>
            <w:pPr>
              <w:jc w:val="center"/>
              <w:ind w:right="91"/>
              <w:spacing w:after="0"/>
              <w:rPr>
                <w:sz w:val="20"/>
                <w:szCs w:val="20"/>
                <w:color w:val="auto"/>
              </w:rPr>
            </w:pPr>
            <w:r>
              <w:rPr>
                <w:rFonts w:ascii="Times New Roman" w:cs="Times New Roman" w:eastAsia="Times New Roman" w:hAnsi="Times New Roman"/>
                <w:sz w:val="10"/>
                <w:szCs w:val="10"/>
                <w:color w:val="005AFF"/>
              </w:rPr>
              <w:t>(109)</w:t>
            </w:r>
          </w:p>
        </w:tc>
        <w:tc>
          <w:tcPr>
            <w:tcW w:w="3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(646)</w:t>
            </w:r>
          </w:p>
        </w:tc>
      </w:tr>
      <w:tr>
        <w:trPr>
          <w:trHeight w:val="135"/>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Translation differences and other</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20" w:type="dxa"/>
            <w:vAlign w:val="bottom"/>
            <w:tcBorders>
              <w:bottom w:val="single" w:sz="8" w:color="005AFF"/>
            </w:tcBorders>
            <w:shd w:val="clear" w:color="auto" w:fill="F0F5FF"/>
          </w:tcPr>
          <w:p>
            <w:pPr>
              <w:spacing w:after="0"/>
              <w:rPr>
                <w:sz w:val="11"/>
                <w:szCs w:val="11"/>
                <w:color w:val="auto"/>
              </w:rPr>
            </w:pP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860" w:type="dxa"/>
            <w:vAlign w:val="bottom"/>
            <w:tcBorders>
              <w:bottom w:val="single" w:sz="8" w:color="005AFF"/>
            </w:tcBorders>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w:t>
            </w:r>
          </w:p>
        </w:tc>
        <w:tc>
          <w:tcPr>
            <w:tcW w:w="840" w:type="dxa"/>
            <w:vAlign w:val="bottom"/>
            <w:tcBorders>
              <w:bottom w:val="single" w:sz="8" w:color="005AFF"/>
            </w:tcBorders>
            <w:shd w:val="clear" w:color="auto" w:fill="F0F5FF"/>
          </w:tcPr>
          <w:p>
            <w:pPr>
              <w:jc w:val="right"/>
              <w:ind w:right="331"/>
              <w:spacing w:after="0"/>
              <w:rPr>
                <w:sz w:val="20"/>
                <w:szCs w:val="20"/>
                <w:color w:val="auto"/>
              </w:rPr>
            </w:pPr>
            <w:r>
              <w:rPr>
                <w:rFonts w:ascii="Times New Roman" w:cs="Times New Roman" w:eastAsia="Times New Roman" w:hAnsi="Times New Roman"/>
                <w:sz w:val="10"/>
                <w:szCs w:val="10"/>
                <w:color w:val="005AFF"/>
              </w:rPr>
              <w:t>(11)</w:t>
            </w:r>
          </w:p>
        </w:tc>
        <w:tc>
          <w:tcPr>
            <w:tcW w:w="3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w:t>
            </w:r>
          </w:p>
        </w:tc>
      </w:tr>
      <w:tr>
        <w:trPr>
          <w:trHeight w:val="142"/>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2023</w:t>
            </w:r>
          </w:p>
        </w:tc>
        <w:tc>
          <w:tcPr>
            <w:tcW w:w="6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255</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200</w:t>
            </w:r>
          </w:p>
        </w:tc>
        <w:tc>
          <w:tcPr>
            <w:tcW w:w="120" w:type="dxa"/>
            <w:vAlign w:val="bottom"/>
            <w:tcBorders>
              <w:bottom w:val="single" w:sz="8" w:color="005AFF"/>
            </w:tcBorders>
            <w:shd w:val="clear" w:color="auto" w:fill="F0F5FF"/>
          </w:tcPr>
          <w:p>
            <w:pPr>
              <w:spacing w:after="0"/>
              <w:rPr>
                <w:sz w:val="12"/>
                <w:szCs w:val="12"/>
                <w:color w:val="auto"/>
              </w:rPr>
            </w:pPr>
          </w:p>
        </w:tc>
        <w:tc>
          <w:tcPr>
            <w:tcW w:w="56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b w:val="1"/>
                <w:bCs w:val="1"/>
                <w:color w:val="005AFF"/>
              </w:rPr>
              <w:t>251</w:t>
            </w:r>
          </w:p>
        </w:tc>
        <w:tc>
          <w:tcPr>
            <w:tcW w:w="860" w:type="dxa"/>
            <w:vAlign w:val="bottom"/>
            <w:tcBorders>
              <w:bottom w:val="single" w:sz="8" w:color="005AFF"/>
            </w:tcBorders>
            <w:shd w:val="clear" w:color="auto" w:fill="F0F5FF"/>
          </w:tcPr>
          <w:p>
            <w:pPr>
              <w:ind w:left="460"/>
              <w:spacing w:after="0"/>
              <w:rPr>
                <w:sz w:val="20"/>
                <w:szCs w:val="20"/>
                <w:color w:val="auto"/>
              </w:rPr>
            </w:pPr>
            <w:r>
              <w:rPr>
                <w:rFonts w:ascii="Times New Roman" w:cs="Times New Roman" w:eastAsia="Times New Roman" w:hAnsi="Times New Roman"/>
                <w:sz w:val="10"/>
                <w:szCs w:val="10"/>
                <w:b w:val="1"/>
                <w:bCs w:val="1"/>
                <w:color w:val="005AFF"/>
              </w:rPr>
              <w:t>110</w:t>
            </w:r>
          </w:p>
        </w:tc>
        <w:tc>
          <w:tcPr>
            <w:tcW w:w="840" w:type="dxa"/>
            <w:vAlign w:val="bottom"/>
            <w:tcBorders>
              <w:bottom w:val="single" w:sz="8" w:color="005AFF"/>
            </w:tcBorders>
            <w:shd w:val="clear" w:color="auto" w:fill="F0F5FF"/>
          </w:tcPr>
          <w:p>
            <w:pPr>
              <w:jc w:val="center"/>
              <w:ind w:right="111"/>
              <w:spacing w:after="0"/>
              <w:rPr>
                <w:sz w:val="20"/>
                <w:szCs w:val="20"/>
                <w:color w:val="auto"/>
              </w:rPr>
            </w:pPr>
            <w:r>
              <w:rPr>
                <w:rFonts w:ascii="Times New Roman" w:cs="Times New Roman" w:eastAsia="Times New Roman" w:hAnsi="Times New Roman"/>
                <w:sz w:val="10"/>
                <w:szCs w:val="10"/>
                <w:b w:val="1"/>
                <w:bCs w:val="1"/>
                <w:color w:val="005AFF"/>
              </w:rPr>
              <w:t>446</w:t>
            </w:r>
          </w:p>
        </w:tc>
        <w:tc>
          <w:tcPr>
            <w:tcW w:w="34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w w:val="97"/>
              </w:rPr>
              <w:t>1 262</w:t>
            </w:r>
          </w:p>
        </w:tc>
      </w:tr>
      <w:tr>
        <w:trPr>
          <w:trHeight w:val="137"/>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Non-current</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75</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20</w:t>
            </w:r>
          </w:p>
        </w:tc>
        <w:tc>
          <w:tcPr>
            <w:tcW w:w="120" w:type="dxa"/>
            <w:vAlign w:val="bottom"/>
            <w:shd w:val="clear" w:color="auto" w:fill="F0F5FF"/>
          </w:tcPr>
          <w:p>
            <w:pPr>
              <w:spacing w:after="0"/>
              <w:rPr>
                <w:sz w:val="11"/>
                <w:szCs w:val="11"/>
                <w:color w:val="auto"/>
              </w:rPr>
            </w:pPr>
          </w:p>
        </w:tc>
        <w:tc>
          <w:tcPr>
            <w:tcW w:w="56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156</w:t>
            </w:r>
          </w:p>
        </w:tc>
        <w:tc>
          <w:tcPr>
            <w:tcW w:w="86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89</w:t>
            </w:r>
          </w:p>
        </w:tc>
        <w:tc>
          <w:tcPr>
            <w:tcW w:w="840" w:type="dxa"/>
            <w:vAlign w:val="bottom"/>
            <w:shd w:val="clear" w:color="auto" w:fill="F0F5FF"/>
          </w:tcPr>
          <w:p>
            <w:pPr>
              <w:jc w:val="center"/>
              <w:ind w:right="111"/>
              <w:spacing w:after="0"/>
              <w:rPr>
                <w:sz w:val="20"/>
                <w:szCs w:val="20"/>
                <w:color w:val="auto"/>
              </w:rPr>
            </w:pPr>
            <w:r>
              <w:rPr>
                <w:rFonts w:ascii="Times New Roman" w:cs="Times New Roman" w:eastAsia="Times New Roman" w:hAnsi="Times New Roman"/>
                <w:sz w:val="10"/>
                <w:szCs w:val="10"/>
                <w:color w:val="005AFF"/>
              </w:rPr>
              <w:t>178</w:t>
            </w:r>
          </w:p>
        </w:tc>
        <w:tc>
          <w:tcPr>
            <w:tcW w:w="3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518</w:t>
            </w:r>
          </w:p>
        </w:tc>
      </w:tr>
      <w:tr>
        <w:trPr>
          <w:trHeight w:val="167"/>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Current</w:t>
            </w:r>
          </w:p>
        </w:tc>
        <w:tc>
          <w:tcPr>
            <w:tcW w:w="6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180</w:t>
            </w:r>
          </w:p>
        </w:tc>
        <w:tc>
          <w:tcPr>
            <w:tcW w:w="6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180</w:t>
            </w:r>
          </w:p>
        </w:tc>
        <w:tc>
          <w:tcPr>
            <w:tcW w:w="120" w:type="dxa"/>
            <w:vAlign w:val="bottom"/>
            <w:tcBorders>
              <w:bottom w:val="single" w:sz="8" w:color="005AFF"/>
            </w:tcBorders>
            <w:shd w:val="clear" w:color="auto" w:fill="F0F5FF"/>
          </w:tcPr>
          <w:p>
            <w:pPr>
              <w:spacing w:after="0"/>
              <w:rPr>
                <w:sz w:val="14"/>
                <w:szCs w:val="14"/>
                <w:color w:val="auto"/>
              </w:rPr>
            </w:pPr>
          </w:p>
        </w:tc>
        <w:tc>
          <w:tcPr>
            <w:tcW w:w="5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95</w:t>
            </w:r>
          </w:p>
        </w:tc>
        <w:tc>
          <w:tcPr>
            <w:tcW w:w="860" w:type="dxa"/>
            <w:vAlign w:val="bottom"/>
            <w:tcBorders>
              <w:bottom w:val="single" w:sz="8" w:color="005AFF"/>
            </w:tcBorders>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21</w:t>
            </w:r>
          </w:p>
        </w:tc>
        <w:tc>
          <w:tcPr>
            <w:tcW w:w="840" w:type="dxa"/>
            <w:vAlign w:val="bottom"/>
            <w:tcBorders>
              <w:bottom w:val="single" w:sz="8" w:color="005AFF"/>
            </w:tcBorders>
            <w:shd w:val="clear" w:color="auto" w:fill="F0F5FF"/>
          </w:tcPr>
          <w:p>
            <w:pPr>
              <w:jc w:val="center"/>
              <w:ind w:right="111"/>
              <w:spacing w:after="0"/>
              <w:rPr>
                <w:sz w:val="20"/>
                <w:szCs w:val="20"/>
                <w:color w:val="auto"/>
              </w:rPr>
            </w:pPr>
            <w:r>
              <w:rPr>
                <w:rFonts w:ascii="Times New Roman" w:cs="Times New Roman" w:eastAsia="Times New Roman" w:hAnsi="Times New Roman"/>
                <w:sz w:val="10"/>
                <w:szCs w:val="10"/>
                <w:color w:val="005AFF"/>
              </w:rPr>
              <w:t>268</w:t>
            </w:r>
          </w:p>
        </w:tc>
        <w:tc>
          <w:tcPr>
            <w:tcW w:w="3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744</w:t>
            </w:r>
          </w:p>
        </w:tc>
      </w:tr>
      <w:tr>
        <w:trPr>
          <w:trHeight w:val="178"/>
        </w:trPr>
        <w:tc>
          <w:tcPr>
            <w:tcW w:w="3920" w:type="dxa"/>
            <w:vAlign w:val="bottom"/>
            <w:gridSpan w:val="3"/>
          </w:tcPr>
          <w:p>
            <w:pPr>
              <w:ind w:left="20"/>
              <w:spacing w:after="0"/>
              <w:rPr>
                <w:sz w:val="20"/>
                <w:szCs w:val="20"/>
                <w:color w:val="auto"/>
              </w:rPr>
            </w:pPr>
            <w:r>
              <w:rPr>
                <w:rFonts w:ascii="Times New Roman" w:cs="Times New Roman" w:eastAsia="Times New Roman" w:hAnsi="Times New Roman"/>
                <w:sz w:val="8"/>
                <w:szCs w:val="8"/>
                <w:color w:val="auto"/>
              </w:rPr>
              <w:t>(1)   The utilization of restructuring provision includes items transferred to accrued expenses, of which EUR</w:t>
            </w:r>
          </w:p>
        </w:tc>
        <w:tc>
          <w:tcPr>
            <w:tcW w:w="120" w:type="dxa"/>
            <w:vAlign w:val="bottom"/>
          </w:tcPr>
          <w:p>
            <w:pPr>
              <w:ind w:left="40"/>
              <w:spacing w:after="0"/>
              <w:rPr>
                <w:sz w:val="20"/>
                <w:szCs w:val="20"/>
                <w:color w:val="auto"/>
              </w:rPr>
            </w:pPr>
            <w:r>
              <w:rPr>
                <w:rFonts w:ascii="Times New Roman" w:cs="Times New Roman" w:eastAsia="Times New Roman" w:hAnsi="Times New Roman"/>
                <w:sz w:val="8"/>
                <w:szCs w:val="8"/>
                <w:color w:val="auto"/>
                <w:w w:val="74"/>
              </w:rPr>
              <w:t>65</w:t>
            </w:r>
          </w:p>
        </w:tc>
        <w:tc>
          <w:tcPr>
            <w:tcW w:w="1420" w:type="dxa"/>
            <w:vAlign w:val="bottom"/>
            <w:gridSpan w:val="2"/>
          </w:tcPr>
          <w:p>
            <w:pPr>
              <w:ind w:left="40"/>
              <w:spacing w:after="0"/>
              <w:rPr>
                <w:sz w:val="20"/>
                <w:szCs w:val="20"/>
                <w:color w:val="auto"/>
              </w:rPr>
            </w:pPr>
            <w:r>
              <w:rPr>
                <w:rFonts w:ascii="Times New Roman" w:cs="Times New Roman" w:eastAsia="Times New Roman" w:hAnsi="Times New Roman"/>
                <w:sz w:val="8"/>
                <w:szCs w:val="8"/>
                <w:color w:val="auto"/>
              </w:rPr>
              <w:t>million remained in accrued expenses at</w:t>
            </w:r>
          </w:p>
        </w:tc>
        <w:tc>
          <w:tcPr>
            <w:tcW w:w="840" w:type="dxa"/>
            <w:vAlign w:val="bottom"/>
          </w:tcPr>
          <w:p>
            <w:pPr>
              <w:jc w:val="right"/>
              <w:spacing w:after="0"/>
              <w:rPr>
                <w:sz w:val="20"/>
                <w:szCs w:val="20"/>
                <w:color w:val="auto"/>
              </w:rPr>
            </w:pPr>
            <w:r>
              <w:rPr>
                <w:rFonts w:ascii="Times New Roman" w:cs="Times New Roman" w:eastAsia="Times New Roman" w:hAnsi="Times New Roman"/>
                <w:sz w:val="8"/>
                <w:szCs w:val="8"/>
                <w:color w:val="auto"/>
              </w:rPr>
              <w:t>31 December 2023  .</w:t>
            </w:r>
          </w:p>
        </w:tc>
        <w:tc>
          <w:tcPr>
            <w:tcW w:w="340" w:type="dxa"/>
            <w:vAlign w:val="bottom"/>
          </w:tcPr>
          <w:p>
            <w:pPr>
              <w:spacing w:after="0"/>
              <w:rPr>
                <w:sz w:val="15"/>
                <w:szCs w:val="15"/>
                <w:color w:val="auto"/>
              </w:rPr>
            </w:pPr>
          </w:p>
        </w:tc>
      </w:tr>
      <w:tr>
        <w:trPr>
          <w:trHeight w:val="104"/>
        </w:trPr>
        <w:tc>
          <w:tcPr>
            <w:tcW w:w="2560" w:type="dxa"/>
            <w:vAlign w:val="bottom"/>
          </w:tcPr>
          <w:p>
            <w:pPr>
              <w:ind w:left="20"/>
              <w:spacing w:after="0"/>
              <w:rPr>
                <w:sz w:val="20"/>
                <w:szCs w:val="20"/>
                <w:color w:val="auto"/>
              </w:rPr>
            </w:pPr>
            <w:r>
              <w:rPr>
                <w:rFonts w:ascii="Times New Roman" w:cs="Times New Roman" w:eastAsia="Times New Roman" w:hAnsi="Times New Roman"/>
                <w:sz w:val="8"/>
                <w:szCs w:val="8"/>
                <w:color w:val="auto"/>
              </w:rPr>
              <w:t>(2)   Environmental provision was EUR  154 million at 31 December 2023</w:t>
            </w:r>
          </w:p>
        </w:tc>
        <w:tc>
          <w:tcPr>
            <w:tcW w:w="1480" w:type="dxa"/>
            <w:vAlign w:val="bottom"/>
            <w:gridSpan w:val="3"/>
          </w:tcPr>
          <w:p>
            <w:pPr>
              <w:ind w:left="100"/>
              <w:spacing w:after="0"/>
              <w:rPr>
                <w:sz w:val="20"/>
                <w:szCs w:val="20"/>
                <w:color w:val="auto"/>
              </w:rPr>
            </w:pPr>
            <w:r>
              <w:rPr>
                <w:rFonts w:ascii="Times New Roman" w:cs="Times New Roman" w:eastAsia="Times New Roman" w:hAnsi="Times New Roman"/>
                <w:sz w:val="8"/>
                <w:szCs w:val="8"/>
                <w:color w:val="auto"/>
              </w:rPr>
              <w:t>(EUR155 million at 31 December 2022</w:t>
            </w:r>
          </w:p>
        </w:tc>
        <w:tc>
          <w:tcPr>
            <w:tcW w:w="560" w:type="dxa"/>
            <w:vAlign w:val="bottom"/>
          </w:tcPr>
          <w:p>
            <w:pPr>
              <w:ind w:left="40"/>
              <w:spacing w:after="0"/>
              <w:rPr>
                <w:sz w:val="20"/>
                <w:szCs w:val="20"/>
                <w:color w:val="auto"/>
              </w:rPr>
            </w:pPr>
            <w:r>
              <w:rPr>
                <w:rFonts w:ascii="Times New Roman" w:cs="Times New Roman" w:eastAsia="Times New Roman" w:hAnsi="Times New Roman"/>
                <w:sz w:val="8"/>
                <w:szCs w:val="8"/>
                <w:color w:val="auto"/>
              </w:rPr>
              <w:t>).</w:t>
            </w:r>
          </w:p>
        </w:tc>
        <w:tc>
          <w:tcPr>
            <w:tcW w:w="860" w:type="dxa"/>
            <w:vAlign w:val="bottom"/>
          </w:tcPr>
          <w:p>
            <w:pPr>
              <w:spacing w:after="0"/>
              <w:rPr>
                <w:sz w:val="9"/>
                <w:szCs w:val="9"/>
                <w:color w:val="auto"/>
              </w:rPr>
            </w:pPr>
          </w:p>
        </w:tc>
        <w:tc>
          <w:tcPr>
            <w:tcW w:w="840" w:type="dxa"/>
            <w:vAlign w:val="bottom"/>
          </w:tcPr>
          <w:p>
            <w:pPr>
              <w:spacing w:after="0"/>
              <w:rPr>
                <w:sz w:val="9"/>
                <w:szCs w:val="9"/>
                <w:color w:val="auto"/>
              </w:rPr>
            </w:pPr>
          </w:p>
        </w:tc>
        <w:tc>
          <w:tcPr>
            <w:tcW w:w="340" w:type="dxa"/>
            <w:vAlign w:val="bottom"/>
          </w:tcPr>
          <w:p>
            <w:pPr>
              <w:spacing w:after="0"/>
              <w:rPr>
                <w:sz w:val="9"/>
                <w:szCs w:val="9"/>
                <w:color w:val="auto"/>
              </w:rPr>
            </w:pPr>
          </w:p>
        </w:tc>
      </w:tr>
    </w:tbl>
    <w:p>
      <w:pPr>
        <w:sectPr>
          <w:pgSz w:w="11900" w:h="16838" w:orient="portrait"/>
          <w:cols w:equalWidth="0" w:num="2">
            <w:col w:w="3140" w:space="260"/>
            <w:col w:w="6640"/>
          </w:cols>
          <w:pgMar w:left="960" w:top="410" w:right="899" w:bottom="1440" w:gutter="0" w:footer="0" w:header="0"/>
          <w:type w:val="continuous"/>
        </w:sectPr>
      </w:pPr>
    </w:p>
    <w:bookmarkStart w:id="188" w:name="page189"/>
    <w:bookmarkEnd w:id="188"/>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0" w:lineRule="exact"/>
        <w:rPr>
          <w:sz w:val="20"/>
          <w:szCs w:val="20"/>
          <w:color w:val="auto"/>
        </w:r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5</w:t>
      </w:r>
    </w:p>
    <w:p>
      <w:pPr>
        <w:spacing w:after="0" w:line="54" w:lineRule="exact"/>
        <w:rPr>
          <w:sz w:val="20"/>
          <w:szCs w:val="20"/>
          <w:color w:val="auto"/>
        </w:rPr>
      </w:pPr>
    </w:p>
    <w:p>
      <w:pPr>
        <w:ind w:right="980"/>
        <w:spacing w:after="0" w:line="235" w:lineRule="auto"/>
        <w:rPr>
          <w:sz w:val="20"/>
          <w:szCs w:val="20"/>
          <w:color w:val="auto"/>
        </w:rPr>
      </w:pPr>
      <w:r>
        <w:rPr>
          <w:rFonts w:ascii="Times New Roman" w:cs="Times New Roman" w:eastAsia="Times New Roman" w:hAnsi="Times New Roman"/>
          <w:sz w:val="45"/>
          <w:szCs w:val="45"/>
          <w:color w:val="auto"/>
        </w:rPr>
        <w:t>Capital and financial instruments</w:t>
      </w:r>
    </w:p>
    <w:p>
      <w:pPr>
        <w:spacing w:after="0" w:line="81" w:lineRule="exact"/>
        <w:rPr>
          <w:sz w:val="20"/>
          <w:szCs w:val="20"/>
          <w:color w:val="auto"/>
        </w:rPr>
      </w:pPr>
    </w:p>
    <w:p>
      <w:pPr>
        <w:ind w:right="140"/>
        <w:spacing w:after="0" w:line="265" w:lineRule="auto"/>
        <w:rPr>
          <w:sz w:val="20"/>
          <w:szCs w:val="20"/>
          <w:color w:val="auto"/>
        </w:rPr>
      </w:pPr>
      <w:r>
        <w:rPr>
          <w:rFonts w:ascii="Times New Roman" w:cs="Times New Roman" w:eastAsia="Times New Roman" w:hAnsi="Times New Roman"/>
          <w:sz w:val="13"/>
          <w:szCs w:val="13"/>
          <w:color w:val="auto"/>
        </w:rPr>
        <w:t>This section provides information on shareholders’ equity, shareholders’ remuneration and Nokia’s capital management objectives. Furthermore, this section comprises the policies and disclosures related to Nokia’s financial assets and liabilities and hedge accounting, as well as information on Nokia’s financial risks and financial risk management principles and objectives.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106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37"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5.1. Equity</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Shares and share capital</w:t>
      </w:r>
    </w:p>
    <w:p>
      <w:pPr>
        <w:spacing w:after="0" w:line="17" w:lineRule="exact"/>
        <w:rPr>
          <w:sz w:val="20"/>
          <w:szCs w:val="20"/>
          <w:color w:val="auto"/>
        </w:rPr>
      </w:pPr>
    </w:p>
    <w:tbl>
      <w:tblPr>
        <w:tblLayout w:type="fixed"/>
        <w:tblInd w:w="0" w:type="dxa"/>
        <w:tblCellMar>
          <w:top w:w="0" w:type="dxa"/>
          <w:left w:w="0" w:type="dxa"/>
          <w:bottom w:w="0" w:type="dxa"/>
          <w:right w:w="0" w:type="dxa"/>
        </w:tblCellMar>
      </w:tblPr>
      <w:tr>
        <w:trPr>
          <w:trHeight w:val="126"/>
        </w:trPr>
        <w:tc>
          <w:tcPr>
            <w:tcW w:w="8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Share capital</w:t>
            </w:r>
          </w:p>
        </w:tc>
        <w:tc>
          <w:tcPr>
            <w:tcW w:w="18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24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220" w:type="dxa"/>
            <w:vAlign w:val="bottom"/>
          </w:tcPr>
          <w:p>
            <w:pPr>
              <w:spacing w:after="0"/>
              <w:rPr>
                <w:sz w:val="11"/>
                <w:szCs w:val="11"/>
                <w:color w:val="auto"/>
              </w:rPr>
            </w:pPr>
          </w:p>
        </w:tc>
        <w:tc>
          <w:tcPr>
            <w:tcW w:w="580" w:type="dxa"/>
            <w:vAlign w:val="bottom"/>
          </w:tcPr>
          <w:p>
            <w:pPr>
              <w:spacing w:after="0"/>
              <w:rPr>
                <w:sz w:val="11"/>
                <w:szCs w:val="11"/>
                <w:color w:val="auto"/>
              </w:rPr>
            </w:pPr>
          </w:p>
        </w:tc>
      </w:tr>
      <w:tr>
        <w:trPr>
          <w:trHeight w:val="142"/>
        </w:trPr>
        <w:tc>
          <w:tcPr>
            <w:tcW w:w="10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Nokia Corporation has</w:t>
            </w:r>
          </w:p>
        </w:tc>
        <w:tc>
          <w:tcPr>
            <w:tcW w:w="1980" w:type="dxa"/>
            <w:vAlign w:val="bottom"/>
            <w:gridSpan w:val="5"/>
          </w:tcPr>
          <w:p>
            <w:pPr>
              <w:jc w:val="center"/>
              <w:spacing w:after="0"/>
              <w:rPr>
                <w:sz w:val="20"/>
                <w:szCs w:val="20"/>
                <w:color w:val="auto"/>
              </w:rPr>
            </w:pPr>
            <w:r>
              <w:rPr>
                <w:rFonts w:ascii="Times New Roman" w:cs="Times New Roman" w:eastAsia="Times New Roman" w:hAnsi="Times New Roman"/>
                <w:sz w:val="11"/>
                <w:szCs w:val="11"/>
                <w:color w:val="auto"/>
              </w:rPr>
              <w:t>one class of shares. Each share entitles</w:t>
            </w:r>
          </w:p>
        </w:tc>
      </w:tr>
      <w:tr>
        <w:trPr>
          <w:trHeight w:val="131"/>
        </w:trPr>
        <w:tc>
          <w:tcPr>
            <w:tcW w:w="880" w:type="dxa"/>
            <w:vAlign w:val="bottom"/>
          </w:tcPr>
          <w:p>
            <w:pPr>
              <w:spacing w:after="0"/>
              <w:rPr>
                <w:sz w:val="20"/>
                <w:szCs w:val="20"/>
                <w:color w:val="auto"/>
              </w:rPr>
            </w:pPr>
            <w:r>
              <w:rPr>
                <w:rFonts w:ascii="Times New Roman" w:cs="Times New Roman" w:eastAsia="Times New Roman" w:hAnsi="Times New Roman"/>
                <w:sz w:val="11"/>
                <w:szCs w:val="11"/>
                <w:color w:val="auto"/>
              </w:rPr>
              <w:t>the holder to  one</w:t>
            </w:r>
          </w:p>
        </w:tc>
        <w:tc>
          <w:tcPr>
            <w:tcW w:w="2160" w:type="dxa"/>
            <w:vAlign w:val="bottom"/>
            <w:gridSpan w:val="6"/>
          </w:tcPr>
          <w:p>
            <w:pPr>
              <w:ind w:left="40"/>
              <w:spacing w:after="0"/>
              <w:rPr>
                <w:sz w:val="20"/>
                <w:szCs w:val="20"/>
                <w:color w:val="auto"/>
              </w:rPr>
            </w:pPr>
            <w:r>
              <w:rPr>
                <w:rFonts w:ascii="Times New Roman" w:cs="Times New Roman" w:eastAsia="Times New Roman" w:hAnsi="Times New Roman"/>
                <w:sz w:val="11"/>
                <w:szCs w:val="11"/>
                <w:color w:val="auto"/>
              </w:rPr>
              <w:t>vote at general meetings. The shares</w:t>
            </w:r>
          </w:p>
        </w:tc>
      </w:tr>
      <w:tr>
        <w:trPr>
          <w:trHeight w:val="142"/>
        </w:trPr>
        <w:tc>
          <w:tcPr>
            <w:tcW w:w="30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have no par value nor is there a minimum or maximum share</w:t>
            </w:r>
          </w:p>
        </w:tc>
      </w:tr>
      <w:tr>
        <w:trPr>
          <w:trHeight w:val="142"/>
        </w:trPr>
        <w:tc>
          <w:tcPr>
            <w:tcW w:w="30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capital or number of shares under the Articles of Association</w:t>
            </w:r>
          </w:p>
        </w:tc>
      </w:tr>
      <w:tr>
        <w:trPr>
          <w:trHeight w:val="131"/>
        </w:trPr>
        <w:tc>
          <w:tcPr>
            <w:tcW w:w="2460" w:type="dxa"/>
            <w:vAlign w:val="bottom"/>
            <w:gridSpan w:val="6"/>
          </w:tcPr>
          <w:p>
            <w:pPr>
              <w:spacing w:after="0"/>
              <w:rPr>
                <w:sz w:val="20"/>
                <w:szCs w:val="20"/>
                <w:color w:val="auto"/>
              </w:rPr>
            </w:pPr>
            <w:r>
              <w:rPr>
                <w:rFonts w:ascii="Times New Roman" w:cs="Times New Roman" w:eastAsia="Times New Roman" w:hAnsi="Times New Roman"/>
                <w:sz w:val="11"/>
                <w:szCs w:val="11"/>
                <w:color w:val="auto"/>
              </w:rPr>
              <w:t>of Nokia Corporation. The share capital amounted to</w:t>
            </w:r>
          </w:p>
        </w:tc>
        <w:tc>
          <w:tcPr>
            <w:tcW w:w="580" w:type="dxa"/>
            <w:vAlign w:val="bottom"/>
          </w:tcPr>
          <w:p>
            <w:pPr>
              <w:spacing w:after="0"/>
              <w:rPr>
                <w:sz w:val="11"/>
                <w:szCs w:val="11"/>
                <w:color w:val="auto"/>
              </w:rPr>
            </w:pPr>
          </w:p>
        </w:tc>
      </w:tr>
      <w:tr>
        <w:trPr>
          <w:trHeight w:val="142"/>
        </w:trPr>
        <w:tc>
          <w:tcPr>
            <w:tcW w:w="10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EUR245 896 461.96</w:t>
            </w:r>
          </w:p>
        </w:tc>
        <w:tc>
          <w:tcPr>
            <w:tcW w:w="800" w:type="dxa"/>
            <w:vAlign w:val="bottom"/>
            <w:gridSpan w:val="2"/>
          </w:tcPr>
          <w:p>
            <w:pPr>
              <w:ind w:left="40"/>
              <w:spacing w:after="0"/>
              <w:rPr>
                <w:sz w:val="20"/>
                <w:szCs w:val="20"/>
                <w:color w:val="auto"/>
              </w:rPr>
            </w:pPr>
            <w:r>
              <w:rPr>
                <w:rFonts w:ascii="Times New Roman" w:cs="Times New Roman" w:eastAsia="Times New Roman" w:hAnsi="Times New Roman"/>
                <w:sz w:val="11"/>
                <w:szCs w:val="11"/>
                <w:color w:val="auto"/>
              </w:rPr>
              <w:t>at 31 December</w:t>
            </w:r>
          </w:p>
        </w:tc>
        <w:tc>
          <w:tcPr>
            <w:tcW w:w="38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2023</w:t>
            </w:r>
          </w:p>
        </w:tc>
        <w:tc>
          <w:tcPr>
            <w:tcW w:w="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and 2022 ,</w:t>
            </w:r>
          </w:p>
        </w:tc>
      </w:tr>
      <w:tr>
        <w:trPr>
          <w:trHeight w:val="131"/>
        </w:trPr>
        <w:tc>
          <w:tcPr>
            <w:tcW w:w="880" w:type="dxa"/>
            <w:vAlign w:val="bottom"/>
          </w:tcPr>
          <w:p>
            <w:pPr>
              <w:spacing w:after="0"/>
              <w:rPr>
                <w:sz w:val="20"/>
                <w:szCs w:val="20"/>
                <w:color w:val="auto"/>
              </w:rPr>
            </w:pPr>
            <w:r>
              <w:rPr>
                <w:rFonts w:ascii="Times New Roman" w:cs="Times New Roman" w:eastAsia="Times New Roman" w:hAnsi="Times New Roman"/>
                <w:sz w:val="11"/>
                <w:szCs w:val="11"/>
                <w:color w:val="auto"/>
              </w:rPr>
              <w:t>and consisted of</w:t>
            </w:r>
          </w:p>
        </w:tc>
        <w:tc>
          <w:tcPr>
            <w:tcW w:w="740" w:type="dxa"/>
            <w:vAlign w:val="bottom"/>
            <w:gridSpan w:val="2"/>
          </w:tcPr>
          <w:p>
            <w:pPr>
              <w:jc w:val="right"/>
              <w:ind w:right="23"/>
              <w:spacing w:after="0"/>
              <w:rPr>
                <w:sz w:val="20"/>
                <w:szCs w:val="20"/>
                <w:color w:val="auto"/>
              </w:rPr>
            </w:pPr>
            <w:r>
              <w:rPr>
                <w:rFonts w:ascii="Times New Roman" w:cs="Times New Roman" w:eastAsia="Times New Roman" w:hAnsi="Times New Roman"/>
                <w:sz w:val="11"/>
                <w:szCs w:val="11"/>
                <w:color w:val="auto"/>
              </w:rPr>
              <w:t>5 613 496 565</w:t>
            </w:r>
          </w:p>
        </w:tc>
        <w:tc>
          <w:tcPr>
            <w:tcW w:w="840" w:type="dxa"/>
            <w:vAlign w:val="bottom"/>
            <w:gridSpan w:val="3"/>
          </w:tcPr>
          <w:p>
            <w:pPr>
              <w:ind w:left="60"/>
              <w:spacing w:after="0"/>
              <w:rPr>
                <w:sz w:val="20"/>
                <w:szCs w:val="20"/>
                <w:color w:val="auto"/>
              </w:rPr>
            </w:pPr>
            <w:r>
              <w:rPr>
                <w:rFonts w:ascii="Times New Roman" w:cs="Times New Roman" w:eastAsia="Times New Roman" w:hAnsi="Times New Roman"/>
                <w:sz w:val="11"/>
                <w:szCs w:val="11"/>
                <w:color w:val="auto"/>
              </w:rPr>
              <w:t>(5 632 297 576</w:t>
            </w:r>
          </w:p>
        </w:tc>
        <w:tc>
          <w:tcPr>
            <w:tcW w:w="5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in 2022 )</w:t>
            </w:r>
          </w:p>
        </w:tc>
      </w:tr>
      <w:tr>
        <w:trPr>
          <w:trHeight w:val="148"/>
        </w:trPr>
        <w:tc>
          <w:tcPr>
            <w:tcW w:w="16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issued and fully paid shares.</w:t>
            </w:r>
          </w:p>
        </w:tc>
        <w:tc>
          <w:tcPr>
            <w:tcW w:w="240" w:type="dxa"/>
            <w:vAlign w:val="bottom"/>
          </w:tcPr>
          <w:p>
            <w:pPr>
              <w:spacing w:after="0"/>
              <w:rPr>
                <w:sz w:val="12"/>
                <w:szCs w:val="12"/>
                <w:color w:val="auto"/>
              </w:rPr>
            </w:pPr>
          </w:p>
        </w:tc>
        <w:tc>
          <w:tcPr>
            <w:tcW w:w="380" w:type="dxa"/>
            <w:vAlign w:val="bottom"/>
          </w:tcPr>
          <w:p>
            <w:pPr>
              <w:spacing w:after="0"/>
              <w:rPr>
                <w:sz w:val="12"/>
                <w:szCs w:val="12"/>
                <w:color w:val="auto"/>
              </w:rPr>
            </w:pPr>
          </w:p>
        </w:tc>
        <w:tc>
          <w:tcPr>
            <w:tcW w:w="220" w:type="dxa"/>
            <w:vAlign w:val="bottom"/>
          </w:tcPr>
          <w:p>
            <w:pPr>
              <w:spacing w:after="0"/>
              <w:rPr>
                <w:sz w:val="12"/>
                <w:szCs w:val="12"/>
                <w:color w:val="auto"/>
              </w:rPr>
            </w:pPr>
          </w:p>
        </w:tc>
        <w:tc>
          <w:tcPr>
            <w:tcW w:w="580" w:type="dxa"/>
            <w:vAlign w:val="bottom"/>
          </w:tcPr>
          <w:p>
            <w:pPr>
              <w:spacing w:after="0"/>
              <w:rPr>
                <w:sz w:val="12"/>
                <w:szCs w:val="12"/>
                <w:color w:val="auto"/>
              </w:rPr>
            </w:pPr>
          </w:p>
        </w:tc>
      </w:tr>
      <w:tr>
        <w:trPr>
          <w:trHeight w:val="196"/>
        </w:trPr>
        <w:tc>
          <w:tcPr>
            <w:tcW w:w="30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In 2023 , Nokia Corporation issued without consideration in a</w:t>
            </w:r>
          </w:p>
        </w:tc>
      </w:tr>
      <w:tr>
        <w:trPr>
          <w:trHeight w:val="142"/>
        </w:trPr>
        <w:tc>
          <w:tcPr>
            <w:tcW w:w="10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directed share issue</w:t>
            </w:r>
          </w:p>
        </w:tc>
        <w:tc>
          <w:tcPr>
            <w:tcW w:w="5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59 500 000</w:t>
            </w:r>
          </w:p>
        </w:tc>
        <w:tc>
          <w:tcPr>
            <w:tcW w:w="620" w:type="dxa"/>
            <w:vAlign w:val="bottom"/>
            <w:gridSpan w:val="2"/>
          </w:tcPr>
          <w:p>
            <w:pPr>
              <w:ind w:left="60"/>
              <w:spacing w:after="0"/>
              <w:rPr>
                <w:sz w:val="20"/>
                <w:szCs w:val="20"/>
                <w:color w:val="auto"/>
              </w:rPr>
            </w:pPr>
            <w:r>
              <w:rPr>
                <w:rFonts w:ascii="Times New Roman" w:cs="Times New Roman" w:eastAsia="Times New Roman" w:hAnsi="Times New Roman"/>
                <w:sz w:val="11"/>
                <w:szCs w:val="11"/>
                <w:color w:val="auto"/>
              </w:rPr>
              <w:t>(20 800 000</w:t>
            </w:r>
          </w:p>
        </w:tc>
        <w:tc>
          <w:tcPr>
            <w:tcW w:w="800" w:type="dxa"/>
            <w:vAlign w:val="bottom"/>
            <w:gridSpan w:val="2"/>
          </w:tcPr>
          <w:p>
            <w:pPr>
              <w:ind w:left="100"/>
              <w:spacing w:after="0"/>
              <w:rPr>
                <w:sz w:val="20"/>
                <w:szCs w:val="20"/>
                <w:color w:val="auto"/>
              </w:rPr>
            </w:pPr>
            <w:r>
              <w:rPr>
                <w:rFonts w:ascii="Times New Roman" w:cs="Times New Roman" w:eastAsia="Times New Roman" w:hAnsi="Times New Roman"/>
                <w:sz w:val="11"/>
                <w:szCs w:val="11"/>
                <w:color w:val="auto"/>
              </w:rPr>
              <w:t>in 2022 ) new</w:t>
            </w:r>
          </w:p>
        </w:tc>
      </w:tr>
      <w:tr>
        <w:trPr>
          <w:trHeight w:val="131"/>
        </w:trPr>
        <w:tc>
          <w:tcPr>
            <w:tcW w:w="3040" w:type="dxa"/>
            <w:vAlign w:val="bottom"/>
            <w:gridSpan w:val="7"/>
          </w:tcPr>
          <w:p>
            <w:pPr>
              <w:spacing w:after="0"/>
              <w:rPr>
                <w:sz w:val="20"/>
                <w:szCs w:val="20"/>
                <w:color w:val="auto"/>
              </w:rPr>
            </w:pPr>
            <w:r>
              <w:rPr>
                <w:rFonts w:ascii="Times New Roman" w:cs="Times New Roman" w:eastAsia="Times New Roman" w:hAnsi="Times New Roman"/>
                <w:sz w:val="11"/>
                <w:szCs w:val="11"/>
                <w:color w:val="auto"/>
              </w:rPr>
              <w:t>shares to itself to fulfill the Company’s obligations under the</w:t>
            </w:r>
          </w:p>
        </w:tc>
      </w:tr>
      <w:tr>
        <w:trPr>
          <w:trHeight w:val="148"/>
        </w:trPr>
        <w:tc>
          <w:tcPr>
            <w:tcW w:w="186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Nokia Equity Programs and canceled</w:t>
            </w:r>
          </w:p>
        </w:tc>
        <w:tc>
          <w:tcPr>
            <w:tcW w:w="600" w:type="dxa"/>
            <w:vAlign w:val="bottom"/>
            <w:gridSpan w:val="2"/>
          </w:tcPr>
          <w:p>
            <w:pPr>
              <w:jc w:val="right"/>
              <w:ind w:right="23"/>
              <w:spacing w:after="0"/>
              <w:rPr>
                <w:sz w:val="20"/>
                <w:szCs w:val="20"/>
                <w:color w:val="auto"/>
              </w:rPr>
            </w:pPr>
            <w:r>
              <w:rPr>
                <w:rFonts w:ascii="Times New Roman" w:cs="Times New Roman" w:eastAsia="Times New Roman" w:hAnsi="Times New Roman"/>
                <w:sz w:val="11"/>
                <w:szCs w:val="11"/>
                <w:color w:val="auto"/>
              </w:rPr>
              <w:t>78 301 011</w:t>
            </w:r>
          </w:p>
        </w:tc>
        <w:tc>
          <w:tcPr>
            <w:tcW w:w="580" w:type="dxa"/>
            <w:vAlign w:val="bottom"/>
          </w:tcPr>
          <w:p>
            <w:pPr>
              <w:ind w:left="40"/>
              <w:spacing w:after="0"/>
              <w:rPr>
                <w:sz w:val="20"/>
                <w:szCs w:val="20"/>
                <w:color w:val="auto"/>
              </w:rPr>
            </w:pPr>
            <w:r>
              <w:rPr>
                <w:rFonts w:ascii="Times New Roman" w:cs="Times New Roman" w:eastAsia="Times New Roman" w:hAnsi="Times New Roman"/>
                <w:sz w:val="11"/>
                <w:szCs w:val="11"/>
                <w:color w:val="auto"/>
                <w:w w:val="97"/>
              </w:rPr>
              <w:t>(63 963 583</w:t>
            </w:r>
          </w:p>
        </w:tc>
      </w:tr>
    </w:tbl>
    <w:p>
      <w:pPr>
        <w:ind w:right="300"/>
        <w:spacing w:after="0" w:line="297" w:lineRule="auto"/>
        <w:rPr>
          <w:sz w:val="20"/>
          <w:szCs w:val="20"/>
          <w:color w:val="auto"/>
        </w:rPr>
      </w:pPr>
      <w:r>
        <w:rPr>
          <w:rFonts w:ascii="Times New Roman" w:cs="Times New Roman" w:eastAsia="Times New Roman" w:hAnsi="Times New Roman"/>
          <w:sz w:val="11"/>
          <w:szCs w:val="11"/>
          <w:color w:val="auto"/>
        </w:rPr>
        <w:t>in 2022 ) shares it had repurchased during the year under its share buyback program.</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premium</w:t>
      </w:r>
    </w:p>
    <w:p>
      <w:pPr>
        <w:spacing w:after="0" w:line="24" w:lineRule="exact"/>
        <w:rPr>
          <w:sz w:val="20"/>
          <w:szCs w:val="20"/>
          <w:color w:val="auto"/>
        </w:rPr>
      </w:pPr>
    </w:p>
    <w:p>
      <w:pPr>
        <w:ind w:right="200"/>
        <w:spacing w:after="0" w:line="266" w:lineRule="auto"/>
        <w:rPr>
          <w:sz w:val="20"/>
          <w:szCs w:val="20"/>
          <w:color w:val="auto"/>
        </w:rPr>
      </w:pPr>
      <w:r>
        <w:rPr>
          <w:rFonts w:ascii="Times New Roman" w:cs="Times New Roman" w:eastAsia="Times New Roman" w:hAnsi="Times New Roman"/>
          <w:sz w:val="11"/>
          <w:szCs w:val="11"/>
          <w:color w:val="auto"/>
        </w:rPr>
        <w:t>Share premium reserve consists of the share premium account of the Parent Company. In addition, the equity impact corresponding to the employee services received related to the equity-settled share-based compensation plans is recorded in the share premium reserve.</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Treasury shares</w:t>
      </w:r>
    </w:p>
    <w:p>
      <w:pPr>
        <w:spacing w:after="0" w:line="19" w:lineRule="exact"/>
        <w:rPr>
          <w:sz w:val="20"/>
          <w:szCs w:val="20"/>
          <w:color w:val="auto"/>
        </w:rPr>
      </w:pPr>
    </w:p>
    <w:p>
      <w:pPr>
        <w:spacing w:after="0"/>
        <w:tabs>
          <w:tab w:leader="none" w:pos="1120" w:val="left"/>
        </w:tabs>
        <w:rPr>
          <w:sz w:val="20"/>
          <w:szCs w:val="20"/>
          <w:color w:val="auto"/>
        </w:rPr>
      </w:pPr>
      <w:r>
        <w:rPr>
          <w:rFonts w:ascii="Times New Roman" w:cs="Times New Roman" w:eastAsia="Times New Roman" w:hAnsi="Times New Roman"/>
          <w:sz w:val="11"/>
          <w:szCs w:val="11"/>
          <w:color w:val="auto"/>
        </w:rPr>
        <w:t>At 31 December 2023</w:t>
        <w:tab/>
        <w:t>, the number of Nokia shares held by</w:t>
      </w:r>
    </w:p>
    <w:p>
      <w:pPr>
        <w:spacing w:after="0" w:line="8" w:lineRule="exact"/>
        <w:rPr>
          <w:sz w:val="20"/>
          <w:szCs w:val="20"/>
          <w:color w:val="auto"/>
        </w:rPr>
      </w:pPr>
    </w:p>
    <w:tbl>
      <w:tblPr>
        <w:tblLayout w:type="fixed"/>
        <w:tblInd w:w="0" w:type="dxa"/>
        <w:tblCellMar>
          <w:top w:w="0" w:type="dxa"/>
          <w:left w:w="0" w:type="dxa"/>
          <w:bottom w:w="0" w:type="dxa"/>
          <w:right w:w="0" w:type="dxa"/>
        </w:tblCellMar>
      </w:tblPr>
      <w:tr>
        <w:trPr>
          <w:trHeight w:val="126"/>
        </w:trPr>
        <w:tc>
          <w:tcPr>
            <w:tcW w:w="13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the Group companies was</w:t>
            </w:r>
          </w:p>
        </w:tc>
        <w:tc>
          <w:tcPr>
            <w:tcW w:w="1760" w:type="dxa"/>
            <w:vAlign w:val="bottom"/>
            <w:gridSpan w:val="3"/>
          </w:tcPr>
          <w:p>
            <w:pPr>
              <w:jc w:val="right"/>
              <w:spacing w:after="0"/>
              <w:rPr>
                <w:sz w:val="20"/>
                <w:szCs w:val="20"/>
                <w:color w:val="auto"/>
              </w:rPr>
            </w:pPr>
            <w:r>
              <w:rPr>
                <w:rFonts w:ascii="Times New Roman" w:cs="Times New Roman" w:eastAsia="Times New Roman" w:hAnsi="Times New Roman"/>
                <w:sz w:val="11"/>
                <w:szCs w:val="11"/>
                <w:color w:val="auto"/>
              </w:rPr>
              <w:t>87 895 712  (45 281 539  in 2022 )</w:t>
            </w:r>
          </w:p>
        </w:tc>
      </w:tr>
      <w:tr>
        <w:trPr>
          <w:trHeight w:val="142"/>
        </w:trPr>
        <w:tc>
          <w:tcPr>
            <w:tcW w:w="620" w:type="dxa"/>
            <w:vAlign w:val="bottom"/>
          </w:tcPr>
          <w:p>
            <w:pPr>
              <w:spacing w:after="0"/>
              <w:rPr>
                <w:sz w:val="20"/>
                <w:szCs w:val="20"/>
                <w:color w:val="auto"/>
              </w:rPr>
            </w:pPr>
            <w:r>
              <w:rPr>
                <w:rFonts w:ascii="Times New Roman" w:cs="Times New Roman" w:eastAsia="Times New Roman" w:hAnsi="Times New Roman"/>
                <w:sz w:val="11"/>
                <w:szCs w:val="11"/>
                <w:color w:val="auto"/>
              </w:rPr>
              <w:t>representing</w:t>
            </w:r>
          </w:p>
        </w:tc>
        <w:tc>
          <w:tcPr>
            <w:tcW w:w="6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1.6% (0.8%</w:t>
            </w:r>
          </w:p>
        </w:tc>
        <w:tc>
          <w:tcPr>
            <w:tcW w:w="1760" w:type="dxa"/>
            <w:vAlign w:val="bottom"/>
            <w:gridSpan w:val="3"/>
          </w:tcPr>
          <w:p>
            <w:pPr>
              <w:jc w:val="right"/>
              <w:spacing w:after="0"/>
              <w:rPr>
                <w:sz w:val="20"/>
                <w:szCs w:val="20"/>
                <w:color w:val="auto"/>
              </w:rPr>
            </w:pPr>
            <w:r>
              <w:rPr>
                <w:rFonts w:ascii="Times New Roman" w:cs="Times New Roman" w:eastAsia="Times New Roman" w:hAnsi="Times New Roman"/>
                <w:sz w:val="11"/>
                <w:szCs w:val="11"/>
                <w:color w:val="auto"/>
              </w:rPr>
              <w:t>in 2022 ) of the share capital and total</w:t>
            </w:r>
          </w:p>
        </w:tc>
      </w:tr>
      <w:tr>
        <w:trPr>
          <w:trHeight w:val="148"/>
        </w:trPr>
        <w:tc>
          <w:tcPr>
            <w:tcW w:w="620" w:type="dxa"/>
            <w:vAlign w:val="bottom"/>
          </w:tcPr>
          <w:p>
            <w:pPr>
              <w:spacing w:after="0"/>
              <w:rPr>
                <w:sz w:val="20"/>
                <w:szCs w:val="20"/>
                <w:color w:val="auto"/>
              </w:rPr>
            </w:pPr>
            <w:r>
              <w:rPr>
                <w:rFonts w:ascii="Times New Roman" w:cs="Times New Roman" w:eastAsia="Times New Roman" w:hAnsi="Times New Roman"/>
                <w:sz w:val="11"/>
                <w:szCs w:val="11"/>
                <w:color w:val="auto"/>
              </w:rPr>
              <w:t>voting rights.</w:t>
            </w:r>
          </w:p>
        </w:tc>
        <w:tc>
          <w:tcPr>
            <w:tcW w:w="680" w:type="dxa"/>
            <w:vAlign w:val="bottom"/>
          </w:tcPr>
          <w:p>
            <w:pPr>
              <w:spacing w:after="0"/>
              <w:rPr>
                <w:sz w:val="12"/>
                <w:szCs w:val="12"/>
                <w:color w:val="auto"/>
              </w:rPr>
            </w:pPr>
          </w:p>
        </w:tc>
        <w:tc>
          <w:tcPr>
            <w:tcW w:w="400" w:type="dxa"/>
            <w:vAlign w:val="bottom"/>
          </w:tcPr>
          <w:p>
            <w:pPr>
              <w:spacing w:after="0"/>
              <w:rPr>
                <w:sz w:val="12"/>
                <w:szCs w:val="12"/>
                <w:color w:val="auto"/>
              </w:rPr>
            </w:pPr>
          </w:p>
        </w:tc>
        <w:tc>
          <w:tcPr>
            <w:tcW w:w="480" w:type="dxa"/>
            <w:vAlign w:val="bottom"/>
          </w:tcPr>
          <w:p>
            <w:pPr>
              <w:spacing w:after="0"/>
              <w:rPr>
                <w:sz w:val="12"/>
                <w:szCs w:val="12"/>
                <w:color w:val="auto"/>
              </w:rPr>
            </w:pPr>
          </w:p>
        </w:tc>
        <w:tc>
          <w:tcPr>
            <w:tcW w:w="880" w:type="dxa"/>
            <w:vAlign w:val="bottom"/>
          </w:tcPr>
          <w:p>
            <w:pPr>
              <w:spacing w:after="0"/>
              <w:rPr>
                <w:sz w:val="12"/>
                <w:szCs w:val="12"/>
                <w:color w:val="auto"/>
              </w:rPr>
            </w:pPr>
          </w:p>
        </w:tc>
      </w:tr>
      <w:tr>
        <w:trPr>
          <w:trHeight w:val="196"/>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In 2023 , Nokia Corporation transferred without consideration</w:t>
            </w:r>
          </w:p>
        </w:tc>
      </w:tr>
      <w:tr>
        <w:trPr>
          <w:trHeight w:val="131"/>
        </w:trPr>
        <w:tc>
          <w:tcPr>
            <w:tcW w:w="620" w:type="dxa"/>
            <w:vAlign w:val="bottom"/>
          </w:tcPr>
          <w:p>
            <w:pPr>
              <w:spacing w:after="0"/>
              <w:rPr>
                <w:sz w:val="20"/>
                <w:szCs w:val="20"/>
                <w:color w:val="auto"/>
              </w:rPr>
            </w:pPr>
            <w:r>
              <w:rPr>
                <w:rFonts w:ascii="Times New Roman" w:cs="Times New Roman" w:eastAsia="Times New Roman" w:hAnsi="Times New Roman"/>
                <w:sz w:val="11"/>
                <w:szCs w:val="11"/>
                <w:color w:val="auto"/>
              </w:rPr>
              <w:t>16 885 827</w:t>
            </w:r>
          </w:p>
        </w:tc>
        <w:tc>
          <w:tcPr>
            <w:tcW w:w="2440" w:type="dxa"/>
            <w:vAlign w:val="bottom"/>
            <w:gridSpan w:val="4"/>
          </w:tcPr>
          <w:p>
            <w:pPr>
              <w:jc w:val="right"/>
              <w:ind w:right="3"/>
              <w:spacing w:after="0"/>
              <w:rPr>
                <w:sz w:val="20"/>
                <w:szCs w:val="20"/>
                <w:color w:val="auto"/>
              </w:rPr>
            </w:pPr>
            <w:r>
              <w:rPr>
                <w:rFonts w:ascii="Times New Roman" w:cs="Times New Roman" w:eastAsia="Times New Roman" w:hAnsi="Times New Roman"/>
                <w:sz w:val="11"/>
                <w:szCs w:val="11"/>
                <w:color w:val="auto"/>
              </w:rPr>
              <w:t>(15 986 016  in 2022) shares held by the Company</w:t>
            </w:r>
          </w:p>
        </w:tc>
      </w:tr>
      <w:tr>
        <w:trPr>
          <w:trHeight w:val="142"/>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to employees, including certain members of the Group</w:t>
            </w:r>
          </w:p>
        </w:tc>
      </w:tr>
      <w:tr>
        <w:trPr>
          <w:trHeight w:val="142"/>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Leadership Team, as settlement of the Group’s equity-based</w:t>
            </w:r>
          </w:p>
        </w:tc>
      </w:tr>
      <w:tr>
        <w:trPr>
          <w:trHeight w:val="131"/>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incentive plans and the employee share purchase plan. In</w:t>
            </w:r>
          </w:p>
        </w:tc>
      </w:tr>
      <w:tr>
        <w:trPr>
          <w:trHeight w:val="142"/>
        </w:trPr>
        <w:tc>
          <w:tcPr>
            <w:tcW w:w="13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addition, Nokia repurchased</w:t>
            </w:r>
          </w:p>
        </w:tc>
        <w:tc>
          <w:tcPr>
            <w:tcW w:w="1760" w:type="dxa"/>
            <w:vAlign w:val="bottom"/>
            <w:gridSpan w:val="3"/>
          </w:tcPr>
          <w:p>
            <w:pPr>
              <w:jc w:val="right"/>
              <w:ind w:right="183"/>
              <w:spacing w:after="0"/>
              <w:rPr>
                <w:sz w:val="20"/>
                <w:szCs w:val="20"/>
                <w:color w:val="auto"/>
              </w:rPr>
            </w:pPr>
            <w:r>
              <w:rPr>
                <w:rFonts w:ascii="Times New Roman" w:cs="Times New Roman" w:eastAsia="Times New Roman" w:hAnsi="Times New Roman"/>
                <w:sz w:val="11"/>
                <w:szCs w:val="11"/>
                <w:color w:val="auto"/>
              </w:rPr>
              <w:t>78 301 011  shares under the</w:t>
            </w:r>
          </w:p>
        </w:tc>
      </w:tr>
      <w:tr>
        <w:trPr>
          <w:trHeight w:val="131"/>
        </w:trPr>
        <w:tc>
          <w:tcPr>
            <w:tcW w:w="2180" w:type="dxa"/>
            <w:vAlign w:val="bottom"/>
            <w:gridSpan w:val="4"/>
          </w:tcPr>
          <w:p>
            <w:pPr>
              <w:spacing w:after="0"/>
              <w:rPr>
                <w:sz w:val="20"/>
                <w:szCs w:val="20"/>
                <w:color w:val="auto"/>
              </w:rPr>
            </w:pPr>
            <w:r>
              <w:rPr>
                <w:rFonts w:ascii="Times New Roman" w:cs="Times New Roman" w:eastAsia="Times New Roman" w:hAnsi="Times New Roman"/>
                <w:sz w:val="11"/>
                <w:szCs w:val="11"/>
                <w:color w:val="auto"/>
              </w:rPr>
              <w:t>second phase of its share buyback program (</w:t>
            </w:r>
          </w:p>
        </w:tc>
        <w:tc>
          <w:tcPr>
            <w:tcW w:w="880" w:type="dxa"/>
            <w:vAlign w:val="bottom"/>
          </w:tcPr>
          <w:p>
            <w:pPr>
              <w:jc w:val="right"/>
              <w:ind w:right="3"/>
              <w:spacing w:after="0"/>
              <w:rPr>
                <w:sz w:val="20"/>
                <w:szCs w:val="20"/>
                <w:color w:val="auto"/>
              </w:rPr>
            </w:pPr>
            <w:r>
              <w:rPr>
                <w:rFonts w:ascii="Times New Roman" w:cs="Times New Roman" w:eastAsia="Times New Roman" w:hAnsi="Times New Roman"/>
                <w:sz w:val="11"/>
                <w:szCs w:val="11"/>
                <w:color w:val="auto"/>
              </w:rPr>
              <w:t>63 963 583  in</w:t>
            </w:r>
          </w:p>
        </w:tc>
      </w:tr>
      <w:tr>
        <w:trPr>
          <w:trHeight w:val="142"/>
        </w:trPr>
        <w:tc>
          <w:tcPr>
            <w:tcW w:w="3060" w:type="dxa"/>
            <w:vAlign w:val="bottom"/>
            <w:gridSpan w:val="5"/>
          </w:tcPr>
          <w:p>
            <w:pPr>
              <w:spacing w:after="0"/>
              <w:rPr>
                <w:sz w:val="20"/>
                <w:szCs w:val="20"/>
                <w:color w:val="auto"/>
              </w:rPr>
            </w:pPr>
            <w:r>
              <w:rPr>
                <w:rFonts w:ascii="Times New Roman" w:cs="Times New Roman" w:eastAsia="Times New Roman" w:hAnsi="Times New Roman"/>
                <w:sz w:val="11"/>
                <w:szCs w:val="11"/>
                <w:color w:val="auto"/>
              </w:rPr>
              <w:t>2022 under the first phase of the program). The repurchased</w:t>
            </w:r>
          </w:p>
        </w:tc>
      </w:tr>
      <w:tr>
        <w:trPr>
          <w:trHeight w:val="148"/>
        </w:trPr>
        <w:tc>
          <w:tcPr>
            <w:tcW w:w="170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shares were canceled in November</w:t>
            </w:r>
          </w:p>
        </w:tc>
        <w:tc>
          <w:tcPr>
            <w:tcW w:w="480" w:type="dxa"/>
            <w:vAlign w:val="bottom"/>
          </w:tcPr>
          <w:p>
            <w:pPr>
              <w:jc w:val="right"/>
              <w:ind w:right="23"/>
              <w:spacing w:after="0"/>
              <w:rPr>
                <w:sz w:val="20"/>
                <w:szCs w:val="20"/>
                <w:color w:val="auto"/>
              </w:rPr>
            </w:pPr>
            <w:r>
              <w:rPr>
                <w:rFonts w:ascii="Times New Roman" w:cs="Times New Roman" w:eastAsia="Times New Roman" w:hAnsi="Times New Roman"/>
                <w:sz w:val="11"/>
                <w:szCs w:val="11"/>
                <w:color w:val="auto"/>
              </w:rPr>
              <w:t>2023 .</w:t>
            </w:r>
          </w:p>
        </w:tc>
        <w:tc>
          <w:tcPr>
            <w:tcW w:w="880" w:type="dxa"/>
            <w:vAlign w:val="bottom"/>
          </w:tcPr>
          <w:p>
            <w:pPr>
              <w:spacing w:after="0"/>
              <w:rPr>
                <w:sz w:val="12"/>
                <w:szCs w:val="12"/>
                <w:color w:val="auto"/>
              </w:rPr>
            </w:pPr>
          </w:p>
        </w:tc>
      </w:tr>
    </w:tbl>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ind w:right="80"/>
        <w:spacing w:after="0"/>
        <w:rPr>
          <w:sz w:val="20"/>
          <w:szCs w:val="20"/>
          <w:color w:val="auto"/>
        </w:rPr>
      </w:pPr>
      <w:r>
        <w:rPr>
          <w:rFonts w:ascii="Times New Roman" w:cs="Times New Roman" w:eastAsia="Times New Roman" w:hAnsi="Times New Roman"/>
          <w:sz w:val="12"/>
          <w:szCs w:val="12"/>
          <w:color w:val="auto"/>
        </w:rPr>
        <w:t>181</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ind w:right="440"/>
        <w:spacing w:after="0" w:line="313" w:lineRule="auto"/>
        <w:rPr>
          <w:sz w:val="20"/>
          <w:szCs w:val="20"/>
          <w:color w:val="auto"/>
        </w:rPr>
      </w:pPr>
      <w:r>
        <w:rPr>
          <w:rFonts w:ascii="Times New Roman" w:cs="Times New Roman" w:eastAsia="Times New Roman" w:hAnsi="Times New Roman"/>
          <w:sz w:val="11"/>
          <w:szCs w:val="11"/>
          <w:b w:val="1"/>
          <w:bCs w:val="1"/>
          <w:color w:val="auto"/>
        </w:rPr>
        <w:t>Number of shares outstanding at the beginning and at the end of the period</w:t>
      </w:r>
    </w:p>
    <w:p>
      <w:pPr>
        <w:spacing w:after="0" w:line="7"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4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Number of shares 000s</w:t>
            </w:r>
          </w:p>
        </w:tc>
        <w:tc>
          <w:tcPr>
            <w:tcW w:w="6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2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5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14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1 January</w:t>
            </w:r>
          </w:p>
        </w:tc>
        <w:tc>
          <w:tcPr>
            <w:tcW w:w="600" w:type="dxa"/>
            <w:vAlign w:val="bottom"/>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5 587 016</w:t>
            </w:r>
          </w:p>
        </w:tc>
        <w:tc>
          <w:tcPr>
            <w:tcW w:w="62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5 634 993</w:t>
            </w:r>
          </w:p>
        </w:tc>
        <w:tc>
          <w:tcPr>
            <w:tcW w:w="5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5 617 496</w:t>
            </w:r>
          </w:p>
        </w:tc>
      </w:tr>
      <w:tr>
        <w:trPr>
          <w:trHeight w:val="153"/>
        </w:trPr>
        <w:tc>
          <w:tcPr>
            <w:tcW w:w="14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Settlement of share-based</w:t>
            </w:r>
          </w:p>
        </w:tc>
        <w:tc>
          <w:tcPr>
            <w:tcW w:w="600" w:type="dxa"/>
            <w:vAlign w:val="bottom"/>
            <w:shd w:val="clear" w:color="auto" w:fill="F0F5FF"/>
          </w:tcPr>
          <w:p>
            <w:pPr>
              <w:spacing w:after="0"/>
              <w:rPr>
                <w:sz w:val="13"/>
                <w:szCs w:val="13"/>
                <w:color w:val="auto"/>
              </w:rPr>
            </w:pPr>
          </w:p>
        </w:tc>
        <w:tc>
          <w:tcPr>
            <w:tcW w:w="620" w:type="dxa"/>
            <w:vAlign w:val="bottom"/>
          </w:tcPr>
          <w:p>
            <w:pPr>
              <w:spacing w:after="0"/>
              <w:rPr>
                <w:sz w:val="13"/>
                <w:szCs w:val="13"/>
                <w:color w:val="auto"/>
              </w:rPr>
            </w:pPr>
          </w:p>
        </w:tc>
        <w:tc>
          <w:tcPr>
            <w:tcW w:w="580" w:type="dxa"/>
            <w:vAlign w:val="bottom"/>
          </w:tcPr>
          <w:p>
            <w:pPr>
              <w:spacing w:after="0"/>
              <w:rPr>
                <w:sz w:val="13"/>
                <w:szCs w:val="13"/>
                <w:color w:val="auto"/>
              </w:rPr>
            </w:pPr>
          </w:p>
        </w:tc>
      </w:tr>
      <w:tr>
        <w:trPr>
          <w:trHeight w:val="130"/>
        </w:trPr>
        <w:tc>
          <w:tcPr>
            <w:tcW w:w="14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payments</w:t>
            </w:r>
          </w:p>
        </w:tc>
        <w:tc>
          <w:tcPr>
            <w:tcW w:w="60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16 886</w:t>
            </w:r>
          </w:p>
        </w:tc>
        <w:tc>
          <w:tcPr>
            <w:tcW w:w="62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15 986</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17 497</w:t>
            </w:r>
          </w:p>
        </w:tc>
      </w:tr>
      <w:tr>
        <w:trPr>
          <w:trHeight w:val="167"/>
        </w:trPr>
        <w:tc>
          <w:tcPr>
            <w:tcW w:w="14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Acquisition of treasury shares</w:t>
            </w:r>
          </w:p>
        </w:tc>
        <w:tc>
          <w:tcPr>
            <w:tcW w:w="60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(78 301)</w:t>
            </w:r>
          </w:p>
        </w:tc>
        <w:tc>
          <w:tcPr>
            <w:tcW w:w="6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(63 963)</w:t>
            </w:r>
          </w:p>
        </w:tc>
        <w:tc>
          <w:tcPr>
            <w:tcW w:w="5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42"/>
        </w:trPr>
        <w:tc>
          <w:tcPr>
            <w:tcW w:w="14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600" w:type="dxa"/>
            <w:vAlign w:val="bottom"/>
            <w:tcBorders>
              <w:bottom w:val="single" w:sz="8" w:color="005A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b w:val="1"/>
                <w:bCs w:val="1"/>
                <w:color w:val="005AFF"/>
              </w:rPr>
              <w:t>5 525 601</w:t>
            </w:r>
          </w:p>
        </w:tc>
        <w:tc>
          <w:tcPr>
            <w:tcW w:w="6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b w:val="1"/>
                <w:bCs w:val="1"/>
                <w:color w:val="auto"/>
              </w:rPr>
              <w:t>5 587 016</w:t>
            </w:r>
          </w:p>
        </w:tc>
        <w:tc>
          <w:tcPr>
            <w:tcW w:w="5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10"/>
                <w:szCs w:val="10"/>
                <w:b w:val="1"/>
                <w:bCs w:val="1"/>
                <w:color w:val="auto"/>
              </w:rPr>
              <w:t>5 634 993</w:t>
            </w:r>
          </w:p>
        </w:tc>
      </w:tr>
    </w:tbl>
    <w:p>
      <w:pPr>
        <w:spacing w:after="0" w:line="10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Nature and purpose of other equity reserves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Translation differences</w:t>
      </w:r>
    </w:p>
    <w:p>
      <w:pPr>
        <w:spacing w:after="0" w:line="24" w:lineRule="exact"/>
        <w:rPr>
          <w:sz w:val="20"/>
          <w:szCs w:val="20"/>
          <w:color w:val="auto"/>
        </w:rPr>
      </w:pPr>
    </w:p>
    <w:p>
      <w:pPr>
        <w:ind w:right="380"/>
        <w:spacing w:after="0" w:line="266" w:lineRule="auto"/>
        <w:rPr>
          <w:sz w:val="20"/>
          <w:szCs w:val="20"/>
          <w:color w:val="auto"/>
        </w:rPr>
      </w:pPr>
      <w:r>
        <w:rPr>
          <w:rFonts w:ascii="Times New Roman" w:cs="Times New Roman" w:eastAsia="Times New Roman" w:hAnsi="Times New Roman"/>
          <w:sz w:val="11"/>
          <w:szCs w:val="11"/>
          <w:color w:val="auto"/>
        </w:rPr>
        <w:t>Translation differences consist of foreign exchange differences arising from translation of foreign operations into euro, the presentation currency of the consolidated financial statements, as well as gains and losses related to hedging of net investments in foreign operations.</w:t>
      </w:r>
    </w:p>
    <w:p>
      <w:pPr>
        <w:spacing w:after="0" w:line="5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Fair value and other reserves</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Pension remeasurements</w:t>
      </w:r>
    </w:p>
    <w:p>
      <w:pPr>
        <w:spacing w:after="0" w:line="10" w:lineRule="exact"/>
        <w:rPr>
          <w:sz w:val="20"/>
          <w:szCs w:val="20"/>
          <w:color w:val="auto"/>
        </w:rPr>
      </w:pPr>
    </w:p>
    <w:p>
      <w:pPr>
        <w:ind w:right="380"/>
        <w:spacing w:after="0" w:line="271" w:lineRule="auto"/>
        <w:rPr>
          <w:sz w:val="20"/>
          <w:szCs w:val="20"/>
          <w:color w:val="auto"/>
        </w:rPr>
      </w:pPr>
      <w:r>
        <w:rPr>
          <w:rFonts w:ascii="Times New Roman" w:cs="Times New Roman" w:eastAsia="Times New Roman" w:hAnsi="Times New Roman"/>
          <w:sz w:val="11"/>
          <w:szCs w:val="11"/>
          <w:color w:val="auto"/>
        </w:rPr>
        <w:t>Pension remeasurements reserve includes actuarial gains and losses as well as return on plan assets and changes in the effect of the asset ceiling, excluding amounts recognized in net interest, related to Nokia’s defined benefit plans.</w:t>
      </w:r>
    </w:p>
    <w:p>
      <w:pPr>
        <w:spacing w:after="0" w:line="4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Hedging reserve</w:t>
      </w:r>
    </w:p>
    <w:p>
      <w:pPr>
        <w:spacing w:after="0" w:line="24" w:lineRule="exact"/>
        <w:rPr>
          <w:sz w:val="20"/>
          <w:szCs w:val="20"/>
          <w:color w:val="auto"/>
        </w:rPr>
      </w:pPr>
    </w:p>
    <w:p>
      <w:pPr>
        <w:ind w:right="280"/>
        <w:spacing w:after="0" w:line="262" w:lineRule="auto"/>
        <w:rPr>
          <w:sz w:val="20"/>
          <w:szCs w:val="20"/>
          <w:color w:val="auto"/>
        </w:rPr>
      </w:pPr>
      <w:r>
        <w:rPr>
          <w:rFonts w:ascii="Times New Roman" w:cs="Times New Roman" w:eastAsia="Times New Roman" w:hAnsi="Times New Roman"/>
          <w:sz w:val="11"/>
          <w:szCs w:val="11"/>
          <w:color w:val="auto"/>
        </w:rPr>
        <w:t>Hedging reserve includes the change in fair value that reflects the change in spot exchange rates for certain foreign exchange forward contracts and foreign exchange options, as well as the</w:t>
      </w:r>
    </w:p>
    <w:p>
      <w:pPr>
        <w:ind w:right="240"/>
        <w:spacing w:after="0" w:line="278" w:lineRule="auto"/>
        <w:rPr>
          <w:sz w:val="20"/>
          <w:szCs w:val="20"/>
          <w:color w:val="auto"/>
        </w:rPr>
      </w:pPr>
      <w:r>
        <w:rPr>
          <w:rFonts w:ascii="Times New Roman" w:cs="Times New Roman" w:eastAsia="Times New Roman" w:hAnsi="Times New Roman"/>
          <w:sz w:val="11"/>
          <w:szCs w:val="11"/>
          <w:color w:val="auto"/>
        </w:rPr>
        <w:t>part of cross-currency swaps that is designated as a cash flow hedge to the extent that the hedges are effective.</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Cost of hedging reserve</w:t>
      </w:r>
    </w:p>
    <w:p>
      <w:pPr>
        <w:spacing w:after="0" w:line="24" w:lineRule="exact"/>
        <w:rPr>
          <w:sz w:val="20"/>
          <w:szCs w:val="20"/>
          <w:color w:val="auto"/>
        </w:rPr>
      </w:pPr>
    </w:p>
    <w:p>
      <w:pPr>
        <w:ind w:right="600"/>
        <w:spacing w:after="0" w:line="259" w:lineRule="auto"/>
        <w:rPr>
          <w:sz w:val="20"/>
          <w:szCs w:val="20"/>
          <w:color w:val="auto"/>
        </w:rPr>
      </w:pPr>
      <w:r>
        <w:rPr>
          <w:rFonts w:ascii="Times New Roman" w:cs="Times New Roman" w:eastAsia="Times New Roman" w:hAnsi="Times New Roman"/>
          <w:sz w:val="11"/>
          <w:szCs w:val="11"/>
          <w:color w:val="auto"/>
        </w:rPr>
        <w:t>Cost of hedging reserve includes the forward element of foreign exchange forward contracts and the time value of foreign exchange options related to cash flow hedging of forecast foreign currency sale and purchase transactions.</w:t>
      </w:r>
    </w:p>
    <w:p>
      <w:pPr>
        <w:ind w:right="360"/>
        <w:spacing w:after="0" w:line="260" w:lineRule="auto"/>
        <w:rPr>
          <w:sz w:val="20"/>
          <w:szCs w:val="20"/>
          <w:color w:val="auto"/>
        </w:rPr>
      </w:pPr>
      <w:r>
        <w:rPr>
          <w:rFonts w:ascii="Times New Roman" w:cs="Times New Roman" w:eastAsia="Times New Roman" w:hAnsi="Times New Roman"/>
          <w:sz w:val="11"/>
          <w:szCs w:val="11"/>
          <w:color w:val="auto"/>
        </w:rPr>
        <w:t>Additionally, cost of hedging reserve includes the difference between the change in fair value of the forward element of foreign exchange forward contracts and the time value of option contracts and the amortization of the forward element of foreign exchange forward contracts and time value of option</w:t>
      </w:r>
    </w:p>
    <w:p>
      <w:pPr>
        <w:spacing w:after="0" w:line="3" w:lineRule="exact"/>
        <w:rPr>
          <w:sz w:val="20"/>
          <w:szCs w:val="20"/>
          <w:color w:val="auto"/>
        </w:rPr>
      </w:pPr>
    </w:p>
    <w:p>
      <w:pPr>
        <w:ind w:right="200"/>
        <w:spacing w:after="0" w:line="271" w:lineRule="auto"/>
        <w:rPr>
          <w:sz w:val="20"/>
          <w:szCs w:val="20"/>
          <w:color w:val="auto"/>
        </w:rPr>
      </w:pPr>
      <w:r>
        <w:rPr>
          <w:rFonts w:ascii="Times New Roman" w:cs="Times New Roman" w:eastAsia="Times New Roman" w:hAnsi="Times New Roman"/>
          <w:sz w:val="11"/>
          <w:szCs w:val="11"/>
          <w:color w:val="auto"/>
        </w:rPr>
        <w:t>contracts related to net investment hedging. Cost of hedging reserve also includes changes in fair value from foreign currency basis spread related to fair value hedging of foreign currency denominated bonds.</w:t>
      </w:r>
    </w:p>
    <w:p>
      <w:pPr>
        <w:sectPr>
          <w:pgSz w:w="11900" w:h="16838" w:orient="portrait"/>
          <w:cols w:equalWidth="0" w:num="3">
            <w:col w:w="3120" w:space="280"/>
            <w:col w:w="3060" w:space="340"/>
            <w:col w:w="3260"/>
          </w:cols>
          <w:pgMar w:left="960" w:top="410" w:right="879" w:bottom="1440" w:gutter="0" w:footer="0" w:header="0"/>
        </w:sectPr>
      </w:pPr>
    </w:p>
    <w:bookmarkStart w:id="189" w:name="page190"/>
    <w:bookmarkEnd w:id="189"/>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182</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20"/>
          </w:cols>
          <w:pgMar w:left="960" w:top="410" w:right="91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Fair value reserve</w:t>
      </w:r>
    </w:p>
    <w:p>
      <w:pPr>
        <w:spacing w:after="0" w:line="24"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Fair value reserve includes the changes in fair value of financial instruments that are managed in a portfolio with a business model of holding financial instruments to collect contractual</w:t>
      </w:r>
    </w:p>
    <w:tbl>
      <w:tblPr>
        <w:tblLayout w:type="fixed"/>
        <w:tblInd w:w="0" w:type="dxa"/>
        <w:tblCellMar>
          <w:top w:w="0" w:type="dxa"/>
          <w:left w:w="0" w:type="dxa"/>
          <w:bottom w:w="0" w:type="dxa"/>
          <w:right w:w="0" w:type="dxa"/>
        </w:tblCellMar>
      </w:tblPr>
      <w:tr>
        <w:trPr>
          <w:trHeight w:val="125"/>
        </w:trPr>
        <w:tc>
          <w:tcPr>
            <w:tcW w:w="2900" w:type="dxa"/>
            <w:vAlign w:val="bottom"/>
            <w:gridSpan w:val="2"/>
          </w:tcPr>
          <w:p>
            <w:pPr>
              <w:spacing w:after="0" w:line="125" w:lineRule="exact"/>
              <w:rPr>
                <w:sz w:val="20"/>
                <w:szCs w:val="20"/>
                <w:color w:val="auto"/>
              </w:rPr>
            </w:pPr>
            <w:r>
              <w:rPr>
                <w:rFonts w:ascii="Times New Roman" w:cs="Times New Roman" w:eastAsia="Times New Roman" w:hAnsi="Times New Roman"/>
                <w:sz w:val="11"/>
                <w:szCs w:val="11"/>
                <w:color w:val="auto"/>
              </w:rPr>
              <w:t>cash flows including principal and interest, as well as selling</w:t>
            </w:r>
          </w:p>
        </w:tc>
      </w:tr>
      <w:tr>
        <w:trPr>
          <w:trHeight w:val="142"/>
        </w:trPr>
        <w:tc>
          <w:tcPr>
            <w:tcW w:w="1020" w:type="dxa"/>
            <w:vAlign w:val="bottom"/>
          </w:tcPr>
          <w:p>
            <w:pPr>
              <w:spacing w:after="0"/>
              <w:rPr>
                <w:sz w:val="20"/>
                <w:szCs w:val="20"/>
                <w:color w:val="auto"/>
              </w:rPr>
            </w:pPr>
            <w:r>
              <w:rPr>
                <w:rFonts w:ascii="Times New Roman" w:cs="Times New Roman" w:eastAsia="Times New Roman" w:hAnsi="Times New Roman"/>
                <w:sz w:val="11"/>
                <w:szCs w:val="11"/>
                <w:color w:val="auto"/>
              </w:rPr>
              <w:t>financial instruments.</w:t>
            </w:r>
          </w:p>
        </w:tc>
        <w:tc>
          <w:tcPr>
            <w:tcW w:w="1880" w:type="dxa"/>
            <w:vAlign w:val="bottom"/>
          </w:tcPr>
          <w:p>
            <w:pPr>
              <w:ind w:left="100"/>
              <w:spacing w:after="0"/>
              <w:rPr>
                <w:sz w:val="20"/>
                <w:szCs w:val="20"/>
                <w:color w:val="auto"/>
              </w:rPr>
            </w:pPr>
            <w:r>
              <w:rPr>
                <w:rFonts w:ascii="Times New Roman" w:cs="Times New Roman" w:eastAsia="Times New Roman" w:hAnsi="Times New Roman"/>
                <w:sz w:val="11"/>
                <w:szCs w:val="11"/>
                <w:color w:val="auto"/>
              </w:rPr>
              <w:t>The fair value changes recorded in fair</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value reserve for these instruments are reduced by amounts</w:t>
            </w:r>
          </w:p>
        </w:tc>
      </w:tr>
      <w:tr>
        <w:trPr>
          <w:trHeight w:val="148"/>
        </w:trPr>
        <w:tc>
          <w:tcPr>
            <w:tcW w:w="1020" w:type="dxa"/>
            <w:vAlign w:val="bottom"/>
          </w:tcPr>
          <w:p>
            <w:pPr>
              <w:spacing w:after="0"/>
              <w:rPr>
                <w:sz w:val="20"/>
                <w:szCs w:val="20"/>
                <w:color w:val="auto"/>
              </w:rPr>
            </w:pPr>
            <w:r>
              <w:rPr>
                <w:rFonts w:ascii="Times New Roman" w:cs="Times New Roman" w:eastAsia="Times New Roman" w:hAnsi="Times New Roman"/>
                <w:sz w:val="11"/>
                <w:szCs w:val="11"/>
                <w:color w:val="auto"/>
              </w:rPr>
              <w:t>of loss allowances.</w:t>
            </w:r>
          </w:p>
        </w:tc>
        <w:tc>
          <w:tcPr>
            <w:tcW w:w="1880" w:type="dxa"/>
            <w:vAlign w:val="bottom"/>
          </w:tcPr>
          <w:p>
            <w:pPr>
              <w:spacing w:after="0"/>
              <w:rPr>
                <w:sz w:val="12"/>
                <w:szCs w:val="12"/>
                <w:color w:val="auto"/>
              </w:rPr>
            </w:pPr>
          </w:p>
        </w:tc>
      </w:tr>
      <w:tr>
        <w:trPr>
          <w:trHeight w:val="206"/>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Reserve for invested unrestricted equity</w:t>
            </w:r>
          </w:p>
        </w:tc>
      </w:tr>
      <w:tr>
        <w:trPr>
          <w:trHeight w:val="131"/>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The reserve for invested unrestricted equity includes that</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part of the subscription price of issued shares that according</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to the share issue decision is not to be recorded to the share</w:t>
            </w:r>
          </w:p>
        </w:tc>
      </w:tr>
      <w:tr>
        <w:trPr>
          <w:trHeight w:val="131"/>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capital as well as other equity inputs that are not recorded to</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some other reserve. The amount received for treasury shares</w:t>
            </w:r>
          </w:p>
        </w:tc>
      </w:tr>
      <w:tr>
        <w:trPr>
          <w:trHeight w:val="131"/>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are recorded to the reserve for invested unrestricted equity,</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unless it is provided in the share issue decision that it is to</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be recorded in full or in part to the share capital. The Nokia</w:t>
            </w:r>
          </w:p>
        </w:tc>
      </w:tr>
      <w:tr>
        <w:trPr>
          <w:trHeight w:val="131"/>
        </w:trPr>
        <w:tc>
          <w:tcPr>
            <w:tcW w:w="1020" w:type="dxa"/>
            <w:vAlign w:val="bottom"/>
          </w:tcPr>
          <w:p>
            <w:pPr>
              <w:spacing w:after="0"/>
              <w:rPr>
                <w:sz w:val="20"/>
                <w:szCs w:val="20"/>
                <w:color w:val="auto"/>
              </w:rPr>
            </w:pPr>
            <w:r>
              <w:rPr>
                <w:rFonts w:ascii="Times New Roman" w:cs="Times New Roman" w:eastAsia="Times New Roman" w:hAnsi="Times New Roman"/>
                <w:sz w:val="11"/>
                <w:szCs w:val="11"/>
                <w:color w:val="auto"/>
              </w:rPr>
              <w:t>shares  repurchased</w:t>
            </w:r>
          </w:p>
        </w:tc>
        <w:tc>
          <w:tcPr>
            <w:tcW w:w="188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under the ongoing share buyback</w:t>
            </w:r>
          </w:p>
        </w:tc>
      </w:tr>
      <w:tr>
        <w:trPr>
          <w:trHeight w:val="142"/>
        </w:trPr>
        <w:tc>
          <w:tcPr>
            <w:tcW w:w="29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program are funded using funds in the reserve for invested</w:t>
            </w:r>
          </w:p>
        </w:tc>
      </w:tr>
      <w:tr>
        <w:trPr>
          <w:trHeight w:val="148"/>
        </w:trPr>
        <w:tc>
          <w:tcPr>
            <w:tcW w:w="1020" w:type="dxa"/>
            <w:vAlign w:val="bottom"/>
          </w:tcPr>
          <w:p>
            <w:pPr>
              <w:spacing w:after="0"/>
              <w:rPr>
                <w:sz w:val="20"/>
                <w:szCs w:val="20"/>
                <w:color w:val="auto"/>
              </w:rPr>
            </w:pPr>
            <w:r>
              <w:rPr>
                <w:rFonts w:ascii="Times New Roman" w:cs="Times New Roman" w:eastAsia="Times New Roman" w:hAnsi="Times New Roman"/>
                <w:sz w:val="11"/>
                <w:szCs w:val="11"/>
                <w:color w:val="auto"/>
              </w:rPr>
              <w:t xml:space="preserve">unrestricted equity  </w:t>
            </w:r>
            <w:r>
              <w:rPr>
                <w:rFonts w:ascii="Arial" w:cs="Arial" w:eastAsia="Arial" w:hAnsi="Arial"/>
                <w:sz w:val="10"/>
                <w:szCs w:val="10"/>
                <w:color w:val="auto"/>
              </w:rPr>
              <w:t>.</w:t>
            </w:r>
          </w:p>
        </w:tc>
        <w:tc>
          <w:tcPr>
            <w:tcW w:w="1880" w:type="dxa"/>
            <w:vAlign w:val="bottom"/>
          </w:tcPr>
          <w:p>
            <w:pPr>
              <w:spacing w:after="0"/>
              <w:rPr>
                <w:sz w:val="12"/>
                <w:szCs w:val="12"/>
                <w:color w:val="auto"/>
              </w:rPr>
            </w:pPr>
          </w:p>
        </w:tc>
      </w:tr>
    </w:tbl>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Other equity</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Retained earnings</w:t>
      </w:r>
    </w:p>
    <w:p>
      <w:pPr>
        <w:spacing w:after="0" w:line="24" w:lineRule="exact"/>
        <w:rPr>
          <w:sz w:val="20"/>
          <w:szCs w:val="20"/>
          <w:color w:val="auto"/>
        </w:rPr>
      </w:pPr>
    </w:p>
    <w:p>
      <w:pPr>
        <w:ind w:right="260"/>
        <w:spacing w:after="0" w:line="297" w:lineRule="auto"/>
        <w:rPr>
          <w:sz w:val="20"/>
          <w:szCs w:val="20"/>
          <w:color w:val="auto"/>
        </w:rPr>
      </w:pPr>
      <w:r>
        <w:rPr>
          <w:rFonts w:ascii="Times New Roman" w:cs="Times New Roman" w:eastAsia="Times New Roman" w:hAnsi="Times New Roman"/>
          <w:sz w:val="11"/>
          <w:szCs w:val="11"/>
          <w:color w:val="auto"/>
        </w:rPr>
        <w:t>Retained earnings is the net total of previous years’ profits and losses less dividends paid to the shareholders.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Non-controlling interests</w:t>
      </w:r>
    </w:p>
    <w:p>
      <w:pPr>
        <w:spacing w:after="0" w:line="24" w:lineRule="exact"/>
        <w:rPr>
          <w:sz w:val="20"/>
          <w:szCs w:val="20"/>
          <w:color w:val="auto"/>
        </w:rPr>
      </w:pPr>
    </w:p>
    <w:p>
      <w:pPr>
        <w:ind w:right="100"/>
        <w:spacing w:after="0" w:line="259" w:lineRule="auto"/>
        <w:rPr>
          <w:sz w:val="20"/>
          <w:szCs w:val="20"/>
          <w:color w:val="auto"/>
        </w:rPr>
      </w:pPr>
      <w:r>
        <w:rPr>
          <w:rFonts w:ascii="Times New Roman" w:cs="Times New Roman" w:eastAsia="Times New Roman" w:hAnsi="Times New Roman"/>
          <w:sz w:val="11"/>
          <w:szCs w:val="11"/>
          <w:color w:val="auto"/>
        </w:rPr>
        <w:t>Non-controlling interests represent the share of net assets of certain subsidiaries attributable to their minority shareholders.</w:t>
      </w:r>
    </w:p>
    <w:p>
      <w:pPr>
        <w:spacing w:after="0"/>
        <w:rPr>
          <w:sz w:val="20"/>
          <w:szCs w:val="20"/>
          <w:color w:val="auto"/>
        </w:rPr>
      </w:pPr>
      <w:r>
        <w:rPr>
          <w:rFonts w:ascii="Times New Roman" w:cs="Times New Roman" w:eastAsia="Times New Roman" w:hAnsi="Times New Roman"/>
          <w:sz w:val="11"/>
          <w:szCs w:val="11"/>
          <w:color w:val="auto"/>
        </w:rPr>
        <w:t>For more information on the contractual arrangement related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the ownership interests in the Nokia Shanghai Bell Group,</w:t>
      </w:r>
    </w:p>
    <w:p>
      <w:pPr>
        <w:spacing w:after="0" w:line="10" w:lineRule="exact"/>
        <w:rPr>
          <w:sz w:val="20"/>
          <w:szCs w:val="20"/>
          <w:color w:val="auto"/>
        </w:rPr>
      </w:pPr>
    </w:p>
    <w:p>
      <w:pPr>
        <w:spacing w:after="0"/>
        <w:tabs>
          <w:tab w:leader="none" w:pos="680" w:val="left"/>
          <w:tab w:leader="none" w:pos="2780" w:val="left"/>
        </w:tabs>
        <w:rPr>
          <w:sz w:val="20"/>
          <w:szCs w:val="20"/>
          <w:color w:val="auto"/>
        </w:rPr>
      </w:pPr>
      <w:r>
        <w:rPr>
          <w:rFonts w:ascii="Times New Roman" w:cs="Times New Roman" w:eastAsia="Times New Roman" w:hAnsi="Times New Roman"/>
          <w:sz w:val="11"/>
          <w:szCs w:val="11"/>
          <w:color w:val="auto"/>
        </w:rPr>
        <w:t>refer to Note</w:t>
        <w:tab/>
        <w:t>6.3. Significant partly-owned subsidiaries</w:t>
      </w:r>
      <w:r>
        <w:rPr>
          <w:sz w:val="20"/>
          <w:szCs w:val="20"/>
          <w:color w:val="auto"/>
        </w:rPr>
        <w:tab/>
      </w:r>
      <w:r>
        <w:rPr>
          <w:rFonts w:ascii="Times New Roman" w:cs="Times New Roman" w:eastAsia="Times New Roman" w:hAnsi="Times New Roman"/>
          <w:sz w:val="8"/>
          <w:szCs w:val="8"/>
          <w:color w:val="auto"/>
        </w:rPr>
        <w: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2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Changes in other comprehensive income by component of equity</w:t>
      </w:r>
    </w:p>
    <w:p>
      <w:pPr>
        <w:spacing w:after="0" w:line="12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280" w:type="dxa"/>
            <w:vAlign w:val="bottom"/>
          </w:tcPr>
          <w:p>
            <w:pPr>
              <w:spacing w:after="0"/>
              <w:rPr>
                <w:sz w:val="9"/>
                <w:szCs w:val="9"/>
                <w:color w:val="auto"/>
              </w:rPr>
            </w:pPr>
          </w:p>
        </w:tc>
        <w:tc>
          <w:tcPr>
            <w:tcW w:w="680" w:type="dxa"/>
            <w:vAlign w:val="bottom"/>
          </w:tcPr>
          <w:p>
            <w:pPr>
              <w:spacing w:after="0"/>
              <w:rPr>
                <w:sz w:val="9"/>
                <w:szCs w:val="9"/>
                <w:color w:val="auto"/>
              </w:rPr>
            </w:pPr>
          </w:p>
        </w:tc>
        <w:tc>
          <w:tcPr>
            <w:tcW w:w="680" w:type="dxa"/>
            <w:vAlign w:val="bottom"/>
          </w:tcPr>
          <w:p>
            <w:pPr>
              <w:spacing w:after="0"/>
              <w:rPr>
                <w:sz w:val="9"/>
                <w:szCs w:val="9"/>
                <w:color w:val="auto"/>
              </w:rPr>
            </w:pPr>
          </w:p>
        </w:tc>
        <w:tc>
          <w:tcPr>
            <w:tcW w:w="800" w:type="dxa"/>
            <w:vAlign w:val="bottom"/>
            <w:tcBorders>
              <w:bottom w:val="single" w:sz="8" w:color="005AFF"/>
            </w:tcBorders>
          </w:tcPr>
          <w:p>
            <w:pPr>
              <w:spacing w:after="0"/>
              <w:rPr>
                <w:sz w:val="9"/>
                <w:szCs w:val="9"/>
                <w:color w:val="auto"/>
              </w:rPr>
            </w:pPr>
          </w:p>
        </w:tc>
        <w:tc>
          <w:tcPr>
            <w:tcW w:w="1500" w:type="dxa"/>
            <w:vAlign w:val="bottom"/>
            <w:tcBorders>
              <w:bottom w:val="single" w:sz="8" w:color="005AFF"/>
            </w:tcBorders>
            <w:gridSpan w:val="2"/>
          </w:tcPr>
          <w:p>
            <w:pPr>
              <w:jc w:val="right"/>
              <w:ind w:right="291"/>
              <w:spacing w:after="0"/>
              <w:rPr>
                <w:sz w:val="20"/>
                <w:szCs w:val="20"/>
                <w:color w:val="auto"/>
              </w:rPr>
            </w:pPr>
            <w:r>
              <w:rPr>
                <w:rFonts w:ascii="Times New Roman" w:cs="Times New Roman" w:eastAsia="Times New Roman" w:hAnsi="Times New Roman"/>
                <w:sz w:val="8"/>
                <w:szCs w:val="8"/>
                <w:b w:val="1"/>
                <w:bCs w:val="1"/>
                <w:color w:val="005AFF"/>
              </w:rPr>
              <w:t>Fair value and other reserves</w:t>
            </w:r>
          </w:p>
        </w:tc>
        <w:tc>
          <w:tcPr>
            <w:tcW w:w="680" w:type="dxa"/>
            <w:vAlign w:val="bottom"/>
            <w:tcBorders>
              <w:bottom w:val="single" w:sz="8" w:color="005AFF"/>
            </w:tcBorders>
          </w:tcPr>
          <w:p>
            <w:pPr>
              <w:spacing w:after="0"/>
              <w:rPr>
                <w:sz w:val="9"/>
                <w:szCs w:val="9"/>
                <w:color w:val="auto"/>
              </w:rPr>
            </w:pPr>
          </w:p>
        </w:tc>
      </w:tr>
      <w:tr>
        <w:trPr>
          <w:trHeight w:val="108"/>
        </w:trPr>
        <w:tc>
          <w:tcPr>
            <w:tcW w:w="2280" w:type="dxa"/>
            <w:vAlign w:val="bottom"/>
          </w:tcPr>
          <w:p>
            <w:pPr>
              <w:spacing w:after="0"/>
              <w:rPr>
                <w:sz w:val="9"/>
                <w:szCs w:val="9"/>
                <w:color w:val="auto"/>
              </w:rPr>
            </w:pPr>
          </w:p>
        </w:tc>
        <w:tc>
          <w:tcPr>
            <w:tcW w:w="680" w:type="dxa"/>
            <w:vAlign w:val="bottom"/>
          </w:tcPr>
          <w:p>
            <w:pPr>
              <w:spacing w:after="0"/>
              <w:rPr>
                <w:sz w:val="9"/>
                <w:szCs w:val="9"/>
                <w:color w:val="auto"/>
              </w:rPr>
            </w:pPr>
          </w:p>
        </w:tc>
        <w:tc>
          <w:tcPr>
            <w:tcW w:w="68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Translation</w:t>
            </w:r>
          </w:p>
        </w:tc>
        <w:tc>
          <w:tcPr>
            <w:tcW w:w="80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Pension</w:t>
            </w:r>
          </w:p>
        </w:tc>
        <w:tc>
          <w:tcPr>
            <w:tcW w:w="800" w:type="dxa"/>
            <w:vAlign w:val="bottom"/>
          </w:tcPr>
          <w:p>
            <w:pPr>
              <w:spacing w:after="0"/>
              <w:rPr>
                <w:sz w:val="9"/>
                <w:szCs w:val="9"/>
                <w:color w:val="auto"/>
              </w:rPr>
            </w:pPr>
          </w:p>
        </w:tc>
        <w:tc>
          <w:tcPr>
            <w:tcW w:w="70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Cost of hedging</w:t>
            </w:r>
          </w:p>
        </w:tc>
        <w:tc>
          <w:tcPr>
            <w:tcW w:w="68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w:t>
            </w:r>
          </w:p>
        </w:tc>
      </w:tr>
      <w:tr>
        <w:trPr>
          <w:trHeight w:val="114"/>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differences </w:t>
            </w:r>
            <w:r>
              <w:rPr>
                <w:rFonts w:ascii="Times New Roman" w:cs="Times New Roman" w:eastAsia="Times New Roman" w:hAnsi="Times New Roman"/>
                <w:sz w:val="5"/>
                <w:szCs w:val="5"/>
                <w:b w:val="1"/>
                <w:bCs w:val="1"/>
                <w:color w:val="005AFF"/>
              </w:rPr>
              <w:t>(1)</w:t>
            </w:r>
          </w:p>
        </w:tc>
        <w:tc>
          <w:tcPr>
            <w:tcW w:w="8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remeasurements</w:t>
            </w:r>
          </w:p>
        </w:tc>
        <w:tc>
          <w:tcPr>
            <w:tcW w:w="80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8"/>
                <w:szCs w:val="8"/>
                <w:b w:val="1"/>
                <w:bCs w:val="1"/>
                <w:color w:val="005AFF"/>
              </w:rPr>
              <w:t>Hedging reserve</w:t>
            </w:r>
          </w:p>
        </w:tc>
        <w:tc>
          <w:tcPr>
            <w:tcW w:w="7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reserve</w:t>
            </w:r>
          </w:p>
        </w:tc>
        <w:tc>
          <w:tcPr>
            <w:tcW w:w="6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reserve</w:t>
            </w:r>
          </w:p>
        </w:tc>
      </w:tr>
      <w:tr>
        <w:trPr>
          <w:trHeight w:val="145"/>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2021</w:t>
            </w:r>
          </w:p>
        </w:tc>
        <w:tc>
          <w:tcPr>
            <w:tcW w:w="136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b w:val="1"/>
                <w:bCs w:val="1"/>
                <w:color w:val="auto"/>
              </w:rPr>
              <w:t>(1 295)</w:t>
            </w:r>
          </w:p>
        </w:tc>
        <w:tc>
          <w:tcPr>
            <w:tcW w:w="8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1 940</w:t>
            </w:r>
          </w:p>
        </w:tc>
        <w:tc>
          <w:tcPr>
            <w:tcW w:w="800" w:type="dxa"/>
            <w:vAlign w:val="bottom"/>
            <w:tcBorders>
              <w:bottom w:val="single" w:sz="8" w:color="005AFF"/>
            </w:tcBorders>
          </w:tcPr>
          <w:p>
            <w:pPr>
              <w:jc w:val="center"/>
              <w:ind w:left="371"/>
              <w:spacing w:after="0"/>
              <w:rPr>
                <w:sz w:val="20"/>
                <w:szCs w:val="20"/>
                <w:color w:val="auto"/>
              </w:rPr>
            </w:pPr>
            <w:r>
              <w:rPr>
                <w:rFonts w:ascii="Times New Roman" w:cs="Times New Roman" w:eastAsia="Times New Roman" w:hAnsi="Times New Roman"/>
                <w:sz w:val="10"/>
                <w:szCs w:val="10"/>
                <w:b w:val="1"/>
                <w:bCs w:val="1"/>
                <w:color w:val="auto"/>
              </w:rPr>
              <w:t>2</w:t>
            </w: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(10)</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(22)</w:t>
            </w:r>
          </w:p>
        </w:tc>
      </w:tr>
      <w:tr>
        <w:trPr>
          <w:trHeight w:val="137"/>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Foreign exchange translation differences</w:t>
            </w:r>
          </w:p>
        </w:tc>
        <w:tc>
          <w:tcPr>
            <w:tcW w:w="1360" w:type="dxa"/>
            <w:vAlign w:val="bottom"/>
            <w:gridSpan w:val="2"/>
          </w:tcPr>
          <w:p>
            <w:pPr>
              <w:jc w:val="right"/>
              <w:ind w:right="31"/>
              <w:spacing w:after="0"/>
              <w:rPr>
                <w:sz w:val="20"/>
                <w:szCs w:val="20"/>
                <w:color w:val="auto"/>
              </w:rPr>
            </w:pPr>
            <w:r>
              <w:rPr>
                <w:rFonts w:ascii="Times New Roman" w:cs="Times New Roman" w:eastAsia="Times New Roman" w:hAnsi="Times New Roman"/>
                <w:sz w:val="10"/>
                <w:szCs w:val="10"/>
                <w:color w:val="0D0D0D"/>
              </w:rPr>
              <w:t>1 162</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hedging losses</w:t>
            </w:r>
          </w:p>
        </w:tc>
        <w:tc>
          <w:tcPr>
            <w:tcW w:w="136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(249)</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 of defined benefit plans</w:t>
            </w:r>
          </w:p>
        </w:tc>
        <w:tc>
          <w:tcPr>
            <w:tcW w:w="680" w:type="dxa"/>
            <w:vAlign w:val="bottom"/>
          </w:tcPr>
          <w:p>
            <w:pPr>
              <w:spacing w:after="0"/>
              <w:rPr>
                <w:sz w:val="14"/>
                <w:szCs w:val="14"/>
                <w:color w:val="auto"/>
              </w:rPr>
            </w:pPr>
          </w:p>
        </w:tc>
        <w:tc>
          <w:tcPr>
            <w:tcW w:w="680" w:type="dxa"/>
            <w:vAlign w:val="bottom"/>
          </w:tcPr>
          <w:p>
            <w:pPr>
              <w:ind w:left="560"/>
              <w:spacing w:after="0"/>
              <w:rPr>
                <w:sz w:val="20"/>
                <w:szCs w:val="20"/>
                <w:color w:val="auto"/>
              </w:rPr>
            </w:pPr>
            <w:r>
              <w:rPr>
                <w:rFonts w:ascii="Times New Roman" w:cs="Times New Roman" w:eastAsia="Times New Roman" w:hAnsi="Times New Roman"/>
                <w:sz w:val="10"/>
                <w:szCs w:val="10"/>
                <w:color w:val="0D0D0D"/>
                <w:w w:val="99"/>
              </w:rPr>
              <w:t>—</w:t>
            </w:r>
          </w:p>
        </w:tc>
        <w:tc>
          <w:tcPr>
            <w:tcW w:w="8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2 302</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fair value (losses)/gains</w:t>
            </w:r>
          </w:p>
        </w:tc>
        <w:tc>
          <w:tcPr>
            <w:tcW w:w="680" w:type="dxa"/>
            <w:vAlign w:val="bottom"/>
          </w:tcPr>
          <w:p>
            <w:pPr>
              <w:spacing w:after="0"/>
              <w:rPr>
                <w:sz w:val="14"/>
                <w:szCs w:val="14"/>
                <w:color w:val="auto"/>
              </w:rPr>
            </w:pPr>
          </w:p>
        </w:tc>
        <w:tc>
          <w:tcPr>
            <w:tcW w:w="680" w:type="dxa"/>
            <w:vAlign w:val="bottom"/>
          </w:tcPr>
          <w:p>
            <w:pPr>
              <w:ind w:left="560"/>
              <w:spacing w:after="0"/>
              <w:rPr>
                <w:sz w:val="20"/>
                <w:szCs w:val="20"/>
                <w:color w:val="auto"/>
              </w:rPr>
            </w:pPr>
            <w:r>
              <w:rPr>
                <w:rFonts w:ascii="Times New Roman" w:cs="Times New Roman" w:eastAsia="Times New Roman" w:hAnsi="Times New Roman"/>
                <w:sz w:val="10"/>
                <w:szCs w:val="10"/>
                <w:color w:val="0D0D0D"/>
                <w:w w:val="99"/>
              </w:rPr>
              <w:t>—</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(15)</w:t>
            </w:r>
          </w:p>
        </w:tc>
        <w:tc>
          <w:tcPr>
            <w:tcW w:w="700" w:type="dxa"/>
            <w:vAlign w:val="bottom"/>
          </w:tcPr>
          <w:p>
            <w:pPr>
              <w:jc w:val="center"/>
              <w:ind w:left="491"/>
              <w:spacing w:after="0"/>
              <w:rPr>
                <w:sz w:val="20"/>
                <w:szCs w:val="20"/>
                <w:color w:val="auto"/>
              </w:rPr>
            </w:pPr>
            <w:r>
              <w:rPr>
                <w:rFonts w:ascii="Times New Roman" w:cs="Times New Roman" w:eastAsia="Times New Roman" w:hAnsi="Times New Roman"/>
                <w:sz w:val="10"/>
                <w:szCs w:val="10"/>
                <w:color w:val="0D0D0D"/>
                <w:w w:val="79"/>
              </w:rPr>
              <w:t>5</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(25)</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1360" w:type="dxa"/>
            <w:vAlign w:val="bottom"/>
            <w:gridSpan w:val="2"/>
          </w:tcPr>
          <w:p>
            <w:pPr>
              <w:ind w:left="1240"/>
              <w:spacing w:after="0"/>
              <w:rPr>
                <w:sz w:val="20"/>
                <w:szCs w:val="20"/>
                <w:color w:val="auto"/>
              </w:rPr>
            </w:pPr>
            <w:r>
              <w:rPr>
                <w:rFonts w:ascii="Times New Roman" w:cs="Times New Roman" w:eastAsia="Times New Roman" w:hAnsi="Times New Roman"/>
                <w:sz w:val="10"/>
                <w:szCs w:val="10"/>
                <w:color w:val="0D0D0D"/>
                <w:w w:val="85"/>
              </w:rPr>
              <w:t>(7)</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rPr>
              <w:t>6</w:t>
            </w:r>
          </w:p>
        </w:tc>
        <w:tc>
          <w:tcPr>
            <w:tcW w:w="700" w:type="dxa"/>
            <w:vAlign w:val="bottom"/>
          </w:tcPr>
          <w:p>
            <w:pPr>
              <w:jc w:val="center"/>
              <w:ind w:left="491"/>
              <w:spacing w:after="0"/>
              <w:rPr>
                <w:sz w:val="20"/>
                <w:szCs w:val="20"/>
                <w:color w:val="auto"/>
              </w:rPr>
            </w:pPr>
            <w:r>
              <w:rPr>
                <w:rFonts w:ascii="Times New Roman" w:cs="Times New Roman" w:eastAsia="Times New Roman" w:hAnsi="Times New Roman"/>
                <w:sz w:val="10"/>
                <w:szCs w:val="10"/>
                <w:color w:val="0D0D0D"/>
                <w:w w:val="79"/>
              </w:rPr>
              <w:t>4</w:t>
            </w:r>
          </w:p>
        </w:tc>
        <w:tc>
          <w:tcPr>
            <w:tcW w:w="6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32</w:t>
            </w:r>
          </w:p>
        </w:tc>
      </w:tr>
      <w:tr>
        <w:trPr>
          <w:trHeight w:val="167"/>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Movement attributable to non-controlling interests</w:t>
            </w:r>
          </w:p>
        </w:tc>
        <w:tc>
          <w:tcPr>
            <w:tcW w:w="1360" w:type="dxa"/>
            <w:vAlign w:val="bottom"/>
            <w:tcBorders>
              <w:bottom w:val="single" w:sz="8" w:color="005AFF"/>
            </w:tcBorders>
            <w:gridSpan w:val="2"/>
          </w:tcPr>
          <w:p>
            <w:pPr>
              <w:ind w:left="1240"/>
              <w:spacing w:after="0"/>
              <w:rPr>
                <w:sz w:val="20"/>
                <w:szCs w:val="20"/>
                <w:color w:val="auto"/>
              </w:rPr>
            </w:pPr>
            <w:r>
              <w:rPr>
                <w:rFonts w:ascii="Times New Roman" w:cs="Times New Roman" w:eastAsia="Times New Roman" w:hAnsi="Times New Roman"/>
                <w:sz w:val="10"/>
                <w:szCs w:val="10"/>
                <w:color w:val="0D0D0D"/>
                <w:w w:val="85"/>
              </w:rPr>
              <w:t>(7)</w:t>
            </w:r>
          </w:p>
        </w:tc>
        <w:tc>
          <w:tcPr>
            <w:tcW w:w="8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Borders>
              <w:bottom w:val="single" w:sz="8" w:color="005AFF"/>
            </w:tcBorders>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Borders>
              <w:bottom w:val="single" w:sz="8" w:color="005AFF"/>
            </w:tcBorders>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42"/>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2021</w:t>
            </w:r>
          </w:p>
        </w:tc>
        <w:tc>
          <w:tcPr>
            <w:tcW w:w="136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b w:val="1"/>
                <w:bCs w:val="1"/>
                <w:color w:val="auto"/>
              </w:rPr>
              <w:t>(396)</w:t>
            </w:r>
          </w:p>
        </w:tc>
        <w:tc>
          <w:tcPr>
            <w:tcW w:w="8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4 242</w:t>
            </w:r>
          </w:p>
        </w:tc>
        <w:tc>
          <w:tcPr>
            <w:tcW w:w="800" w:type="dxa"/>
            <w:vAlign w:val="bottom"/>
            <w:tcBorders>
              <w:bottom w:val="single" w:sz="8" w:color="005AFF"/>
            </w:tcBorders>
          </w:tcPr>
          <w:p>
            <w:pPr>
              <w:jc w:val="center"/>
              <w:ind w:left="391"/>
              <w:spacing w:after="0"/>
              <w:rPr>
                <w:sz w:val="20"/>
                <w:szCs w:val="20"/>
                <w:color w:val="auto"/>
              </w:rPr>
            </w:pPr>
            <w:r>
              <w:rPr>
                <w:rFonts w:ascii="Times New Roman" w:cs="Times New Roman" w:eastAsia="Times New Roman" w:hAnsi="Times New Roman"/>
                <w:sz w:val="10"/>
                <w:szCs w:val="10"/>
                <w:b w:val="1"/>
                <w:bCs w:val="1"/>
                <w:color w:val="auto"/>
              </w:rPr>
              <w:t>(7)</w:t>
            </w:r>
          </w:p>
        </w:tc>
        <w:tc>
          <w:tcPr>
            <w:tcW w:w="700" w:type="dxa"/>
            <w:vAlign w:val="bottom"/>
            <w:tcBorders>
              <w:bottom w:val="single" w:sz="8" w:color="005AFF"/>
            </w:tcBorders>
          </w:tcPr>
          <w:p>
            <w:pPr>
              <w:jc w:val="center"/>
              <w:ind w:left="491"/>
              <w:spacing w:after="0"/>
              <w:rPr>
                <w:sz w:val="20"/>
                <w:szCs w:val="20"/>
                <w:color w:val="auto"/>
              </w:rPr>
            </w:pPr>
            <w:r>
              <w:rPr>
                <w:rFonts w:ascii="Times New Roman" w:cs="Times New Roman" w:eastAsia="Times New Roman" w:hAnsi="Times New Roman"/>
                <w:sz w:val="10"/>
                <w:szCs w:val="10"/>
                <w:b w:val="1"/>
                <w:bCs w:val="1"/>
                <w:color w:val="auto"/>
              </w:rPr>
              <w:t>(1)</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(15)</w:t>
            </w:r>
          </w:p>
        </w:tc>
      </w:tr>
      <w:tr>
        <w:trPr>
          <w:trHeight w:val="137"/>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Foreign exchange translation differences</w:t>
            </w:r>
          </w:p>
        </w:tc>
        <w:tc>
          <w:tcPr>
            <w:tcW w:w="1360" w:type="dxa"/>
            <w:vAlign w:val="bottom"/>
            <w:gridSpan w:val="2"/>
          </w:tcPr>
          <w:p>
            <w:pPr>
              <w:jc w:val="right"/>
              <w:ind w:right="11"/>
              <w:spacing w:after="0"/>
              <w:rPr>
                <w:sz w:val="20"/>
                <w:szCs w:val="20"/>
                <w:color w:val="auto"/>
              </w:rPr>
            </w:pPr>
            <w:r>
              <w:rPr>
                <w:rFonts w:ascii="Times New Roman" w:cs="Times New Roman" w:eastAsia="Times New Roman" w:hAnsi="Times New Roman"/>
                <w:sz w:val="10"/>
                <w:szCs w:val="10"/>
                <w:color w:val="0D0D0D"/>
              </w:rPr>
              <w:t>697</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hedging losses</w:t>
            </w:r>
          </w:p>
        </w:tc>
        <w:tc>
          <w:tcPr>
            <w:tcW w:w="136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(147)</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 of defined benefit plans</w:t>
            </w:r>
          </w:p>
        </w:tc>
        <w:tc>
          <w:tcPr>
            <w:tcW w:w="680" w:type="dxa"/>
            <w:vAlign w:val="bottom"/>
          </w:tcPr>
          <w:p>
            <w:pPr>
              <w:spacing w:after="0"/>
              <w:rPr>
                <w:sz w:val="14"/>
                <w:szCs w:val="14"/>
                <w:color w:val="auto"/>
              </w:rPr>
            </w:pPr>
          </w:p>
        </w:tc>
        <w:tc>
          <w:tcPr>
            <w:tcW w:w="680" w:type="dxa"/>
            <w:vAlign w:val="bottom"/>
          </w:tcPr>
          <w:p>
            <w:pPr>
              <w:ind w:left="560"/>
              <w:spacing w:after="0"/>
              <w:rPr>
                <w:sz w:val="20"/>
                <w:szCs w:val="20"/>
                <w:color w:val="auto"/>
              </w:rPr>
            </w:pPr>
            <w:r>
              <w:rPr>
                <w:rFonts w:ascii="Times New Roman" w:cs="Times New Roman" w:eastAsia="Times New Roman" w:hAnsi="Times New Roman"/>
                <w:sz w:val="10"/>
                <w:szCs w:val="10"/>
                <w:color w:val="0D0D0D"/>
                <w:w w:val="99"/>
              </w:rPr>
              <w:t>—</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(349)</w:t>
            </w:r>
          </w:p>
        </w:tc>
        <w:tc>
          <w:tcPr>
            <w:tcW w:w="800" w:type="dxa"/>
            <w:vAlign w:val="bottom"/>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fair value gains/(losses)</w:t>
            </w:r>
          </w:p>
        </w:tc>
        <w:tc>
          <w:tcPr>
            <w:tcW w:w="680" w:type="dxa"/>
            <w:vAlign w:val="bottom"/>
          </w:tcPr>
          <w:p>
            <w:pPr>
              <w:spacing w:after="0"/>
              <w:rPr>
                <w:sz w:val="14"/>
                <w:szCs w:val="14"/>
                <w:color w:val="auto"/>
              </w:rPr>
            </w:pPr>
          </w:p>
        </w:tc>
        <w:tc>
          <w:tcPr>
            <w:tcW w:w="680" w:type="dxa"/>
            <w:vAlign w:val="bottom"/>
          </w:tcPr>
          <w:p>
            <w:pPr>
              <w:ind w:left="560"/>
              <w:spacing w:after="0"/>
              <w:rPr>
                <w:sz w:val="20"/>
                <w:szCs w:val="20"/>
                <w:color w:val="auto"/>
              </w:rPr>
            </w:pPr>
            <w:r>
              <w:rPr>
                <w:rFonts w:ascii="Times New Roman" w:cs="Times New Roman" w:eastAsia="Times New Roman" w:hAnsi="Times New Roman"/>
                <w:sz w:val="10"/>
                <w:szCs w:val="10"/>
                <w:color w:val="0D0D0D"/>
                <w:w w:val="99"/>
              </w:rPr>
              <w:t>—</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24</w:t>
            </w:r>
          </w:p>
        </w:tc>
        <w:tc>
          <w:tcPr>
            <w:tcW w:w="7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w:t>
            </w:r>
          </w:p>
        </w:tc>
        <w:tc>
          <w:tcPr>
            <w:tcW w:w="6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(208)</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1360" w:type="dxa"/>
            <w:vAlign w:val="bottom"/>
            <w:gridSpan w:val="2"/>
          </w:tcPr>
          <w:p>
            <w:pPr>
              <w:jc w:val="right"/>
              <w:ind w:right="11"/>
              <w:spacing w:after="0"/>
              <w:rPr>
                <w:sz w:val="20"/>
                <w:szCs w:val="20"/>
                <w:color w:val="auto"/>
              </w:rPr>
            </w:pPr>
            <w:r>
              <w:rPr>
                <w:rFonts w:ascii="Times New Roman" w:cs="Times New Roman" w:eastAsia="Times New Roman" w:hAnsi="Times New Roman"/>
                <w:sz w:val="10"/>
                <w:szCs w:val="10"/>
                <w:color w:val="0D0D0D"/>
              </w:rPr>
              <w:t>14</w:t>
            </w:r>
          </w:p>
        </w:tc>
        <w:tc>
          <w:tcPr>
            <w:tcW w:w="8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61</w:t>
            </w:r>
          </w:p>
        </w:tc>
        <w:tc>
          <w:tcPr>
            <w:tcW w:w="7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10</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175</w:t>
            </w:r>
          </w:p>
        </w:tc>
      </w:tr>
      <w:tr>
        <w:trPr>
          <w:trHeight w:val="167"/>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Movement attributable to non-controlling interests</w:t>
            </w:r>
          </w:p>
        </w:tc>
        <w:tc>
          <w:tcPr>
            <w:tcW w:w="136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8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00" w:type="dxa"/>
            <w:vAlign w:val="bottom"/>
            <w:tcBorders>
              <w:bottom w:val="single" w:sz="8" w:color="005AFF"/>
            </w:tcBorders>
          </w:tcPr>
          <w:p>
            <w:pPr>
              <w:jc w:val="center"/>
              <w:ind w:left="37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Borders>
              <w:bottom w:val="single" w:sz="8" w:color="005AFF"/>
            </w:tcBorders>
          </w:tcPr>
          <w:p>
            <w:pPr>
              <w:jc w:val="center"/>
              <w:ind w:left="511"/>
              <w:spacing w:after="0"/>
              <w:rPr>
                <w:sz w:val="20"/>
                <w:szCs w:val="20"/>
                <w:color w:val="auto"/>
              </w:rPr>
            </w:pPr>
            <w:r>
              <w:rPr>
                <w:rFonts w:ascii="Times New Roman" w:cs="Times New Roman" w:eastAsia="Times New Roman" w:hAnsi="Times New Roman"/>
                <w:sz w:val="10"/>
                <w:szCs w:val="10"/>
                <w:color w:val="0D0D0D"/>
                <w:w w:val="99"/>
              </w:rPr>
              <w:t>—</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42"/>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2022</w:t>
            </w:r>
          </w:p>
        </w:tc>
        <w:tc>
          <w:tcPr>
            <w:tcW w:w="1360" w:type="dxa"/>
            <w:vAlign w:val="bottom"/>
            <w:tcBorders>
              <w:bottom w:val="single" w:sz="8" w:color="005AFF"/>
            </w:tcBorders>
            <w:gridSpan w:val="2"/>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169</w:t>
            </w:r>
          </w:p>
        </w:tc>
        <w:tc>
          <w:tcPr>
            <w:tcW w:w="8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3 893</w:t>
            </w:r>
          </w:p>
        </w:tc>
        <w:tc>
          <w:tcPr>
            <w:tcW w:w="800" w:type="dxa"/>
            <w:vAlign w:val="bottom"/>
            <w:tcBorders>
              <w:bottom w:val="single" w:sz="8" w:color="005AFF"/>
            </w:tcBorders>
          </w:tcPr>
          <w:p>
            <w:pPr>
              <w:jc w:val="right"/>
              <w:ind w:right="131"/>
              <w:spacing w:after="0"/>
              <w:rPr>
                <w:sz w:val="20"/>
                <w:szCs w:val="20"/>
                <w:color w:val="auto"/>
              </w:rPr>
            </w:pPr>
            <w:r>
              <w:rPr>
                <w:rFonts w:ascii="Times New Roman" w:cs="Times New Roman" w:eastAsia="Times New Roman" w:hAnsi="Times New Roman"/>
                <w:sz w:val="10"/>
                <w:szCs w:val="10"/>
                <w:b w:val="1"/>
                <w:bCs w:val="1"/>
                <w:color w:val="auto"/>
              </w:rPr>
              <w:t>78</w:t>
            </w: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(18)</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(48)</w:t>
            </w:r>
          </w:p>
        </w:tc>
      </w:tr>
      <w:tr>
        <w:trPr>
          <w:trHeight w:val="137"/>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Foreign exchange translation differences</w:t>
            </w:r>
          </w:p>
        </w:tc>
        <w:tc>
          <w:tcPr>
            <w:tcW w:w="680" w:type="dxa"/>
            <w:vAlign w:val="bottom"/>
          </w:tcPr>
          <w:p>
            <w:pPr>
              <w:spacing w:after="0"/>
              <w:rPr>
                <w:sz w:val="11"/>
                <w:szCs w:val="11"/>
                <w:color w:val="auto"/>
              </w:rPr>
            </w:pP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(547)</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w w:val="99"/>
              </w:rPr>
              <w:t>—</w:t>
            </w:r>
          </w:p>
        </w:tc>
        <w:tc>
          <w:tcPr>
            <w:tcW w:w="700" w:type="dxa"/>
            <w:vAlign w:val="bottom"/>
            <w:shd w:val="clear" w:color="auto" w:fill="F0F5FF"/>
          </w:tcPr>
          <w:p>
            <w:pPr>
              <w:jc w:val="center"/>
              <w:ind w:left="511"/>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hedging gains</w:t>
            </w:r>
          </w:p>
        </w:tc>
        <w:tc>
          <w:tcPr>
            <w:tcW w:w="680" w:type="dxa"/>
            <w:vAlign w:val="bottom"/>
          </w:tcPr>
          <w:p>
            <w:pPr>
              <w:spacing w:after="0"/>
              <w:rPr>
                <w:sz w:val="14"/>
                <w:szCs w:val="14"/>
                <w:color w:val="auto"/>
              </w:rPr>
            </w:pP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105</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w w:val="99"/>
              </w:rPr>
              <w:t>—</w:t>
            </w:r>
          </w:p>
        </w:tc>
        <w:tc>
          <w:tcPr>
            <w:tcW w:w="700" w:type="dxa"/>
            <w:vAlign w:val="bottom"/>
            <w:shd w:val="clear" w:color="auto" w:fill="F0F5FF"/>
          </w:tcPr>
          <w:p>
            <w:pPr>
              <w:jc w:val="center"/>
              <w:ind w:left="491"/>
              <w:spacing w:after="0"/>
              <w:rPr>
                <w:sz w:val="20"/>
                <w:szCs w:val="20"/>
                <w:color w:val="auto"/>
              </w:rPr>
            </w:pPr>
            <w:r>
              <w:rPr>
                <w:rFonts w:ascii="Times New Roman" w:cs="Times New Roman" w:eastAsia="Times New Roman" w:hAnsi="Times New Roman"/>
                <w:sz w:val="10"/>
                <w:szCs w:val="10"/>
                <w:color w:val="005AFF"/>
                <w:w w:val="79"/>
              </w:rPr>
              <w:t>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Remeasurements of defined benefit plans</w:t>
            </w:r>
          </w:p>
        </w:tc>
        <w:tc>
          <w:tcPr>
            <w:tcW w:w="680" w:type="dxa"/>
            <w:vAlign w:val="bottom"/>
          </w:tcPr>
          <w:p>
            <w:pPr>
              <w:spacing w:after="0"/>
              <w:rPr>
                <w:sz w:val="14"/>
                <w:szCs w:val="14"/>
                <w:color w:val="auto"/>
              </w:rPr>
            </w:pPr>
          </w:p>
        </w:tc>
        <w:tc>
          <w:tcPr>
            <w:tcW w:w="680" w:type="dxa"/>
            <w:vAlign w:val="bottom"/>
            <w:shd w:val="clear" w:color="auto" w:fill="F0F5FF"/>
          </w:tcPr>
          <w:p>
            <w:pPr>
              <w:ind w:left="560"/>
              <w:spacing w:after="0"/>
              <w:rPr>
                <w:sz w:val="20"/>
                <w:szCs w:val="20"/>
                <w:color w:val="auto"/>
              </w:rPr>
            </w:pPr>
            <w:r>
              <w:rPr>
                <w:rFonts w:ascii="Times New Roman" w:cs="Times New Roman" w:eastAsia="Times New Roman" w:hAnsi="Times New Roman"/>
                <w:sz w:val="10"/>
                <w:szCs w:val="10"/>
                <w:color w:val="005AFF"/>
                <w:w w:val="99"/>
              </w:rPr>
              <w:t>—</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(261)</w:t>
            </w:r>
          </w:p>
        </w:tc>
        <w:tc>
          <w:tcPr>
            <w:tcW w:w="800" w:type="dxa"/>
            <w:vAlign w:val="bottom"/>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w w:val="99"/>
              </w:rPr>
              <w:t>—</w:t>
            </w:r>
          </w:p>
        </w:tc>
        <w:tc>
          <w:tcPr>
            <w:tcW w:w="700" w:type="dxa"/>
            <w:vAlign w:val="bottom"/>
            <w:shd w:val="clear" w:color="auto" w:fill="F0F5FF"/>
          </w:tcPr>
          <w:p>
            <w:pPr>
              <w:jc w:val="center"/>
              <w:ind w:left="511"/>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fair value gains/(losses)</w:t>
            </w:r>
          </w:p>
        </w:tc>
        <w:tc>
          <w:tcPr>
            <w:tcW w:w="680" w:type="dxa"/>
            <w:vAlign w:val="bottom"/>
          </w:tcPr>
          <w:p>
            <w:pPr>
              <w:spacing w:after="0"/>
              <w:rPr>
                <w:sz w:val="14"/>
                <w:szCs w:val="14"/>
                <w:color w:val="auto"/>
              </w:rPr>
            </w:pPr>
          </w:p>
        </w:tc>
        <w:tc>
          <w:tcPr>
            <w:tcW w:w="680" w:type="dxa"/>
            <w:vAlign w:val="bottom"/>
            <w:shd w:val="clear" w:color="auto" w:fill="F0F5FF"/>
          </w:tcPr>
          <w:p>
            <w:pPr>
              <w:ind w:left="560"/>
              <w:spacing w:after="0"/>
              <w:rPr>
                <w:sz w:val="20"/>
                <w:szCs w:val="20"/>
                <w:color w:val="auto"/>
              </w:rPr>
            </w:pPr>
            <w:r>
              <w:rPr>
                <w:rFonts w:ascii="Times New Roman" w:cs="Times New Roman" w:eastAsia="Times New Roman" w:hAnsi="Times New Roman"/>
                <w:sz w:val="10"/>
                <w:szCs w:val="10"/>
                <w:color w:val="005AFF"/>
                <w:w w:val="99"/>
              </w:rPr>
              <w:t>—</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rPr>
              <w:t>2</w:t>
            </w:r>
          </w:p>
        </w:tc>
        <w:tc>
          <w:tcPr>
            <w:tcW w:w="7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(25)</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(87)</w:t>
            </w:r>
          </w:p>
        </w:tc>
      </w:tr>
      <w:tr>
        <w:trPr>
          <w:trHeight w:val="162"/>
        </w:trPr>
        <w:tc>
          <w:tcPr>
            <w:tcW w:w="2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Transfer to income statement</w:t>
            </w:r>
          </w:p>
        </w:tc>
        <w:tc>
          <w:tcPr>
            <w:tcW w:w="680" w:type="dxa"/>
            <w:vAlign w:val="bottom"/>
          </w:tcPr>
          <w:p>
            <w:pPr>
              <w:spacing w:after="0"/>
              <w:rPr>
                <w:sz w:val="14"/>
                <w:szCs w:val="14"/>
                <w:color w:val="auto"/>
              </w:rPr>
            </w:pP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19</w:t>
            </w:r>
          </w:p>
        </w:tc>
        <w:tc>
          <w:tcPr>
            <w:tcW w:w="8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shd w:val="clear" w:color="auto" w:fill="F0F5FF"/>
          </w:tcPr>
          <w:p>
            <w:pPr>
              <w:jc w:val="right"/>
              <w:ind w:right="91"/>
              <w:spacing w:after="0"/>
              <w:rPr>
                <w:sz w:val="20"/>
                <w:szCs w:val="20"/>
                <w:color w:val="auto"/>
              </w:rPr>
            </w:pPr>
            <w:r>
              <w:rPr>
                <w:rFonts w:ascii="Times New Roman" w:cs="Times New Roman" w:eastAsia="Times New Roman" w:hAnsi="Times New Roman"/>
                <w:sz w:val="10"/>
                <w:szCs w:val="10"/>
                <w:color w:val="005AFF"/>
              </w:rPr>
              <w:t>(66)</w:t>
            </w:r>
          </w:p>
        </w:tc>
        <w:tc>
          <w:tcPr>
            <w:tcW w:w="70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38</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96</w:t>
            </w:r>
          </w:p>
        </w:tc>
      </w:tr>
      <w:tr>
        <w:trPr>
          <w:trHeight w:val="167"/>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Movement attributable to non-controlling interests</w:t>
            </w:r>
          </w:p>
        </w:tc>
        <w:tc>
          <w:tcPr>
            <w:tcW w:w="680" w:type="dxa"/>
            <w:vAlign w:val="bottom"/>
            <w:tcBorders>
              <w:bottom w:val="single" w:sz="8" w:color="005AFF"/>
            </w:tcBorders>
          </w:tcPr>
          <w:p>
            <w:pPr>
              <w:spacing w:after="0"/>
              <w:rPr>
                <w:sz w:val="14"/>
                <w:szCs w:val="14"/>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w:t>
            </w:r>
          </w:p>
        </w:tc>
        <w:tc>
          <w:tcPr>
            <w:tcW w:w="8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tcBorders>
              <w:bottom w:val="single" w:sz="8" w:color="005AFF"/>
            </w:tcBorders>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w w:val="99"/>
              </w:rPr>
              <w:t>—</w:t>
            </w:r>
          </w:p>
        </w:tc>
        <w:tc>
          <w:tcPr>
            <w:tcW w:w="700" w:type="dxa"/>
            <w:vAlign w:val="bottom"/>
            <w:tcBorders>
              <w:bottom w:val="single" w:sz="8" w:color="005AFF"/>
            </w:tcBorders>
            <w:shd w:val="clear" w:color="auto" w:fill="F0F5FF"/>
          </w:tcPr>
          <w:p>
            <w:pPr>
              <w:jc w:val="center"/>
              <w:ind w:left="511"/>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42"/>
        </w:trPr>
        <w:tc>
          <w:tcPr>
            <w:tcW w:w="2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2023</w:t>
            </w:r>
          </w:p>
        </w:tc>
        <w:tc>
          <w:tcPr>
            <w:tcW w:w="680" w:type="dxa"/>
            <w:vAlign w:val="bottom"/>
            <w:tcBorders>
              <w:bottom w:val="single" w:sz="8" w:color="005AFF"/>
            </w:tcBorders>
          </w:tcPr>
          <w:p>
            <w:pPr>
              <w:spacing w:after="0"/>
              <w:rPr>
                <w:sz w:val="12"/>
                <w:szCs w:val="12"/>
                <w:color w:val="auto"/>
              </w:rPr>
            </w:pP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(249)</w:t>
            </w:r>
          </w:p>
        </w:tc>
        <w:tc>
          <w:tcPr>
            <w:tcW w:w="80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3 632</w:t>
            </w:r>
          </w:p>
        </w:tc>
        <w:tc>
          <w:tcPr>
            <w:tcW w:w="800" w:type="dxa"/>
            <w:vAlign w:val="bottom"/>
            <w:tcBorders>
              <w:bottom w:val="single" w:sz="8" w:color="005AFF"/>
            </w:tcBorders>
            <w:shd w:val="clear" w:color="auto" w:fill="F0F5FF"/>
          </w:tcPr>
          <w:p>
            <w:pPr>
              <w:jc w:val="right"/>
              <w:ind w:right="131"/>
              <w:spacing w:after="0"/>
              <w:rPr>
                <w:sz w:val="20"/>
                <w:szCs w:val="20"/>
                <w:color w:val="auto"/>
              </w:rPr>
            </w:pPr>
            <w:r>
              <w:rPr>
                <w:rFonts w:ascii="Times New Roman" w:cs="Times New Roman" w:eastAsia="Times New Roman" w:hAnsi="Times New Roman"/>
                <w:sz w:val="10"/>
                <w:szCs w:val="10"/>
                <w:b w:val="1"/>
                <w:bCs w:val="1"/>
                <w:color w:val="005AFF"/>
              </w:rPr>
              <w:t>14</w:t>
            </w:r>
          </w:p>
        </w:tc>
        <w:tc>
          <w:tcPr>
            <w:tcW w:w="700" w:type="dxa"/>
            <w:vAlign w:val="bottom"/>
            <w:tcBorders>
              <w:bottom w:val="single" w:sz="8" w:color="005AFF"/>
            </w:tcBorders>
            <w:shd w:val="clear" w:color="auto" w:fill="F0F5FF"/>
          </w:tcPr>
          <w:p>
            <w:pPr>
              <w:jc w:val="center"/>
              <w:ind w:left="491"/>
              <w:spacing w:after="0"/>
              <w:rPr>
                <w:sz w:val="20"/>
                <w:szCs w:val="20"/>
                <w:color w:val="auto"/>
              </w:rPr>
            </w:pPr>
            <w:r>
              <w:rPr>
                <w:rFonts w:ascii="Times New Roman" w:cs="Times New Roman" w:eastAsia="Times New Roman" w:hAnsi="Times New Roman"/>
                <w:sz w:val="10"/>
                <w:szCs w:val="10"/>
                <w:b w:val="1"/>
                <w:bCs w:val="1"/>
                <w:color w:val="005AFF"/>
              </w:rPr>
              <w:t>(2)</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(39)</w:t>
            </w:r>
          </w:p>
        </w:tc>
      </w:tr>
      <w:tr>
        <w:trPr>
          <w:trHeight w:val="171"/>
        </w:trPr>
        <w:tc>
          <w:tcPr>
            <w:tcW w:w="2280" w:type="dxa"/>
            <w:vAlign w:val="bottom"/>
          </w:tcPr>
          <w:p>
            <w:pPr>
              <w:ind w:left="40"/>
              <w:spacing w:after="0"/>
              <w:rPr>
                <w:sz w:val="20"/>
                <w:szCs w:val="20"/>
                <w:color w:val="auto"/>
              </w:rPr>
            </w:pPr>
            <w:r>
              <w:rPr>
                <w:rFonts w:ascii="Times New Roman" w:cs="Times New Roman" w:eastAsia="Times New Roman" w:hAnsi="Times New Roman"/>
                <w:sz w:val="8"/>
                <w:szCs w:val="8"/>
                <w:color w:val="auto"/>
              </w:rPr>
              <w:t>(1)   At 31 December 2023 translation differences include a EUR</w:t>
            </w:r>
          </w:p>
        </w:tc>
        <w:tc>
          <w:tcPr>
            <w:tcW w:w="2160" w:type="dxa"/>
            <w:vAlign w:val="bottom"/>
            <w:gridSpan w:val="3"/>
          </w:tcPr>
          <w:p>
            <w:pPr>
              <w:jc w:val="right"/>
              <w:ind w:right="130"/>
              <w:spacing w:after="0"/>
              <w:rPr>
                <w:sz w:val="20"/>
                <w:szCs w:val="20"/>
                <w:color w:val="auto"/>
              </w:rPr>
            </w:pPr>
            <w:r>
              <w:rPr>
                <w:rFonts w:ascii="Times New Roman" w:cs="Times New Roman" w:eastAsia="Times New Roman" w:hAnsi="Times New Roman"/>
                <w:sz w:val="8"/>
                <w:szCs w:val="8"/>
                <w:color w:val="auto"/>
              </w:rPr>
              <w:t>186 million gain related to net investment hedging (EUR</w:t>
            </w:r>
          </w:p>
        </w:tc>
        <w:tc>
          <w:tcPr>
            <w:tcW w:w="800" w:type="dxa"/>
            <w:vAlign w:val="bottom"/>
          </w:tcPr>
          <w:p>
            <w:pPr>
              <w:jc w:val="right"/>
              <w:spacing w:after="0"/>
              <w:rPr>
                <w:sz w:val="20"/>
                <w:szCs w:val="20"/>
                <w:color w:val="auto"/>
              </w:rPr>
            </w:pPr>
            <w:r>
              <w:rPr>
                <w:rFonts w:ascii="Times New Roman" w:cs="Times New Roman" w:eastAsia="Times New Roman" w:hAnsi="Times New Roman"/>
                <w:sz w:val="8"/>
                <w:szCs w:val="8"/>
                <w:color w:val="auto"/>
              </w:rPr>
              <w:t>80 million gain in 2022</w:t>
            </w:r>
          </w:p>
        </w:tc>
        <w:tc>
          <w:tcPr>
            <w:tcW w:w="1380" w:type="dxa"/>
            <w:vAlign w:val="bottom"/>
            <w:gridSpan w:val="2"/>
          </w:tcPr>
          <w:p>
            <w:pPr>
              <w:jc w:val="right"/>
              <w:ind w:right="70"/>
              <w:spacing w:after="0"/>
              <w:rPr>
                <w:sz w:val="20"/>
                <w:szCs w:val="20"/>
                <w:color w:val="auto"/>
              </w:rPr>
            </w:pPr>
            <w:r>
              <w:rPr>
                <w:rFonts w:ascii="Times New Roman" w:cs="Times New Roman" w:eastAsia="Times New Roman" w:hAnsi="Times New Roman"/>
                <w:sz w:val="8"/>
                <w:szCs w:val="8"/>
                <w:color w:val="auto"/>
              </w:rPr>
              <w:t>and EUR 226 million gain in 2021 ).</w:t>
            </w:r>
          </w:p>
        </w:tc>
      </w:tr>
    </w:tbl>
    <w:p>
      <w:pPr>
        <w:sectPr>
          <w:pgSz w:w="11900" w:h="16838" w:orient="portrait"/>
          <w:cols w:equalWidth="0" w:num="2">
            <w:col w:w="2940" w:space="460"/>
            <w:col w:w="6620"/>
          </w:cols>
          <w:pgMar w:left="960" w:top="410" w:right="919" w:bottom="1440" w:gutter="0" w:footer="0" w:header="0"/>
          <w:type w:val="continuous"/>
        </w:sectPr>
      </w:pPr>
    </w:p>
    <w:bookmarkStart w:id="190" w:name="page191"/>
    <w:bookmarkEnd w:id="190"/>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9980"/>
          </w:cols>
          <w:pgMar w:left="960" w:top="410" w:right="959" w:bottom="1440" w:gutter="0" w:footer="0" w:header="0"/>
        </w:sectPr>
      </w:pPr>
    </w:p>
    <w:p>
      <w:pPr>
        <w:spacing w:after="0" w:line="1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Capital management</w:t>
      </w:r>
    </w:p>
    <w:p>
      <w:pPr>
        <w:spacing w:after="0" w:line="32" w:lineRule="exact"/>
        <w:rPr>
          <w:sz w:val="20"/>
          <w:szCs w:val="20"/>
          <w:color w:val="auto"/>
        </w:rPr>
      </w:pPr>
    </w:p>
    <w:p>
      <w:pPr>
        <w:ind w:right="300"/>
        <w:spacing w:after="0" w:line="269" w:lineRule="auto"/>
        <w:rPr>
          <w:sz w:val="20"/>
          <w:szCs w:val="20"/>
          <w:color w:val="auto"/>
        </w:rPr>
      </w:pPr>
      <w:r>
        <w:rPr>
          <w:rFonts w:ascii="Times New Roman" w:cs="Times New Roman" w:eastAsia="Times New Roman" w:hAnsi="Times New Roman"/>
          <w:sz w:val="11"/>
          <w:szCs w:val="11"/>
          <w:color w:val="auto"/>
        </w:rPr>
        <w:t>For capital management purposes Nokia defines capital as total equity and interest-bearing liabilities less cash and cash equivalents, current interest-bearing financial investments and non-current interest-bearing financial investments. The main objectives of Nokia’s capital management are to maintain a solid overall financial position and to ensure sufficient financial flexibility to execute Nokia’s long-term business strategy and to provide returns to shareholders.</w:t>
      </w:r>
    </w:p>
    <w:p>
      <w:pPr>
        <w:spacing w:after="0" w:line="49" w:lineRule="exact"/>
        <w:rPr>
          <w:sz w:val="20"/>
          <w:szCs w:val="20"/>
          <w:color w:val="auto"/>
        </w:rPr>
      </w:pPr>
    </w:p>
    <w:p>
      <w:pPr>
        <w:ind w:right="400"/>
        <w:spacing w:after="0" w:line="270" w:lineRule="auto"/>
        <w:rPr>
          <w:sz w:val="20"/>
          <w:szCs w:val="20"/>
          <w:color w:val="auto"/>
        </w:rPr>
      </w:pPr>
      <w:r>
        <w:rPr>
          <w:rFonts w:ascii="Times New Roman" w:cs="Times New Roman" w:eastAsia="Times New Roman" w:hAnsi="Times New Roman"/>
          <w:sz w:val="11"/>
          <w:szCs w:val="11"/>
          <w:color w:val="auto"/>
        </w:rPr>
        <w:t>From a cash perspective, Nokia aims to maintain the balance of its cash and cash equivalents and interest-bearing financial</w:t>
      </w:r>
    </w:p>
    <w:tbl>
      <w:tblPr>
        <w:tblLayout w:type="fixed"/>
        <w:tblInd w:w="0" w:type="dxa"/>
        <w:tblCellMar>
          <w:top w:w="0" w:type="dxa"/>
          <w:left w:w="0" w:type="dxa"/>
          <w:bottom w:w="0" w:type="dxa"/>
          <w:right w:w="0" w:type="dxa"/>
        </w:tblCellMar>
      </w:tblPr>
      <w:tr>
        <w:trPr>
          <w:trHeight w:val="130"/>
        </w:trPr>
        <w:tc>
          <w:tcPr>
            <w:tcW w:w="22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investments less interest-bearing liabilities at</w:t>
            </w:r>
          </w:p>
        </w:tc>
        <w:tc>
          <w:tcPr>
            <w:tcW w:w="5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10 -15%</w:t>
            </w:r>
          </w:p>
        </w:tc>
        <w:tc>
          <w:tcPr>
            <w:tcW w:w="4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of</w:t>
            </w:r>
          </w:p>
        </w:tc>
      </w:tr>
      <w:tr>
        <w:trPr>
          <w:trHeight w:val="142"/>
        </w:trPr>
        <w:tc>
          <w:tcPr>
            <w:tcW w:w="27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annual net sales over time. This cash target was announced</w:t>
            </w:r>
          </w:p>
        </w:tc>
        <w:tc>
          <w:tcPr>
            <w:tcW w:w="460" w:type="dxa"/>
            <w:vAlign w:val="bottom"/>
          </w:tcPr>
          <w:p>
            <w:pPr>
              <w:spacing w:after="0"/>
              <w:rPr>
                <w:sz w:val="12"/>
                <w:szCs w:val="12"/>
                <w:color w:val="auto"/>
              </w:rPr>
            </w:pPr>
          </w:p>
        </w:tc>
      </w:tr>
      <w:tr>
        <w:trPr>
          <w:trHeight w:val="131"/>
        </w:trPr>
        <w:tc>
          <w:tcPr>
            <w:tcW w:w="27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in March 2023, and it replaced the previous cash target to</w:t>
            </w:r>
          </w:p>
        </w:tc>
        <w:tc>
          <w:tcPr>
            <w:tcW w:w="460" w:type="dxa"/>
            <w:vAlign w:val="bottom"/>
          </w:tcPr>
          <w:p>
            <w:pPr>
              <w:spacing w:after="0"/>
              <w:rPr>
                <w:sz w:val="11"/>
                <w:szCs w:val="11"/>
                <w:color w:val="auto"/>
              </w:rPr>
            </w:pPr>
          </w:p>
        </w:tc>
      </w:tr>
      <w:tr>
        <w:trPr>
          <w:trHeight w:val="142"/>
        </w:trPr>
        <w:tc>
          <w:tcPr>
            <w:tcW w:w="27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maintain a level of cash and cash equivalents and interest-</w:t>
            </w:r>
          </w:p>
        </w:tc>
        <w:tc>
          <w:tcPr>
            <w:tcW w:w="460" w:type="dxa"/>
            <w:vAlign w:val="bottom"/>
          </w:tcPr>
          <w:p>
            <w:pPr>
              <w:spacing w:after="0"/>
              <w:rPr>
                <w:sz w:val="12"/>
                <w:szCs w:val="12"/>
                <w:color w:val="auto"/>
              </w:rPr>
            </w:pPr>
          </w:p>
        </w:tc>
      </w:tr>
      <w:tr>
        <w:trPr>
          <w:trHeight w:val="131"/>
        </w:trPr>
        <w:tc>
          <w:tcPr>
            <w:tcW w:w="1620" w:type="dxa"/>
            <w:vAlign w:val="bottom"/>
          </w:tcPr>
          <w:p>
            <w:pPr>
              <w:spacing w:after="0"/>
              <w:rPr>
                <w:sz w:val="20"/>
                <w:szCs w:val="20"/>
                <w:color w:val="auto"/>
              </w:rPr>
            </w:pPr>
            <w:r>
              <w:rPr>
                <w:rFonts w:ascii="Times New Roman" w:cs="Times New Roman" w:eastAsia="Times New Roman" w:hAnsi="Times New Roman"/>
                <w:sz w:val="11"/>
                <w:szCs w:val="11"/>
                <w:color w:val="auto"/>
              </w:rPr>
              <w:t>bearing financial investments at</w:t>
            </w:r>
          </w:p>
        </w:tc>
        <w:tc>
          <w:tcPr>
            <w:tcW w:w="1600" w:type="dxa"/>
            <w:vAlign w:val="bottom"/>
            <w:gridSpan w:val="3"/>
          </w:tcPr>
          <w:p>
            <w:pPr>
              <w:ind w:left="40"/>
              <w:spacing w:after="0"/>
              <w:rPr>
                <w:sz w:val="20"/>
                <w:szCs w:val="20"/>
                <w:color w:val="auto"/>
              </w:rPr>
            </w:pPr>
            <w:r>
              <w:rPr>
                <w:rFonts w:ascii="Times New Roman" w:cs="Times New Roman" w:eastAsia="Times New Roman" w:hAnsi="Times New Roman"/>
                <w:sz w:val="11"/>
                <w:szCs w:val="11"/>
                <w:color w:val="auto"/>
              </w:rPr>
              <w:t>30% or more of annual net</w:t>
            </w:r>
          </w:p>
        </w:tc>
      </w:tr>
      <w:tr>
        <w:trPr>
          <w:trHeight w:val="142"/>
        </w:trPr>
        <w:tc>
          <w:tcPr>
            <w:tcW w:w="276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sales. To support these objectives, Nokia aims to maintain</w:t>
            </w:r>
          </w:p>
        </w:tc>
        <w:tc>
          <w:tcPr>
            <w:tcW w:w="460" w:type="dxa"/>
            <w:vAlign w:val="bottom"/>
          </w:tcPr>
          <w:p>
            <w:pPr>
              <w:spacing w:after="0"/>
              <w:rPr>
                <w:sz w:val="12"/>
                <w:szCs w:val="12"/>
                <w:color w:val="auto"/>
              </w:rPr>
            </w:pPr>
          </w:p>
        </w:tc>
      </w:tr>
      <w:tr>
        <w:trPr>
          <w:trHeight w:val="148"/>
        </w:trPr>
        <w:tc>
          <w:tcPr>
            <w:tcW w:w="1620" w:type="dxa"/>
            <w:vAlign w:val="bottom"/>
          </w:tcPr>
          <w:p>
            <w:pPr>
              <w:spacing w:after="0"/>
              <w:rPr>
                <w:sz w:val="20"/>
                <w:szCs w:val="20"/>
                <w:color w:val="auto"/>
              </w:rPr>
            </w:pPr>
            <w:r>
              <w:rPr>
                <w:rFonts w:ascii="Times New Roman" w:cs="Times New Roman" w:eastAsia="Times New Roman" w:hAnsi="Times New Roman"/>
                <w:sz w:val="11"/>
                <w:szCs w:val="11"/>
                <w:color w:val="auto"/>
              </w:rPr>
              <w:t>investment grade credit ratings. At</w:t>
            </w:r>
          </w:p>
        </w:tc>
        <w:tc>
          <w:tcPr>
            <w:tcW w:w="1140" w:type="dxa"/>
            <w:vAlign w:val="bottom"/>
            <w:gridSpan w:val="2"/>
          </w:tcPr>
          <w:p>
            <w:pPr>
              <w:jc w:val="right"/>
              <w:ind w:right="23"/>
              <w:spacing w:after="0"/>
              <w:rPr>
                <w:sz w:val="20"/>
                <w:szCs w:val="20"/>
                <w:color w:val="auto"/>
              </w:rPr>
            </w:pPr>
            <w:r>
              <w:rPr>
                <w:rFonts w:ascii="Times New Roman" w:cs="Times New Roman" w:eastAsia="Times New Roman" w:hAnsi="Times New Roman"/>
                <w:sz w:val="11"/>
                <w:szCs w:val="11"/>
                <w:color w:val="auto"/>
              </w:rPr>
              <w:t>31 December 2023</w:t>
            </w:r>
          </w:p>
        </w:tc>
        <w:tc>
          <w:tcPr>
            <w:tcW w:w="460" w:type="dxa"/>
            <w:vAlign w:val="bottom"/>
          </w:tcPr>
          <w:p>
            <w:pPr>
              <w:ind w:left="40"/>
              <w:spacing w:after="0"/>
              <w:rPr>
                <w:sz w:val="20"/>
                <w:szCs w:val="20"/>
                <w:color w:val="auto"/>
              </w:rPr>
            </w:pPr>
            <w:r>
              <w:rPr>
                <w:rFonts w:ascii="Times New Roman" w:cs="Times New Roman" w:eastAsia="Times New Roman" w:hAnsi="Times New Roman"/>
                <w:sz w:val="11"/>
                <w:szCs w:val="11"/>
                <w:color w:val="auto"/>
                <w:w w:val="99"/>
              </w:rPr>
              <w:t>, Nokia’s</w:t>
            </w:r>
          </w:p>
        </w:tc>
      </w:tr>
    </w:tbl>
    <w:p>
      <w:pPr>
        <w:ind w:right="280"/>
        <w:spacing w:after="0" w:line="278" w:lineRule="auto"/>
        <w:rPr>
          <w:sz w:val="20"/>
          <w:szCs w:val="20"/>
          <w:color w:val="auto"/>
        </w:rPr>
      </w:pPr>
      <w:r>
        <w:rPr>
          <w:rFonts w:ascii="Times New Roman" w:cs="Times New Roman" w:eastAsia="Times New Roman" w:hAnsi="Times New Roman"/>
          <w:sz w:val="11"/>
          <w:szCs w:val="11"/>
          <w:color w:val="auto"/>
        </w:rPr>
        <w:t>long-term credit ratings are BBB- (stable) by Fitch, Ba1 (stable) by Moody’s, and BBB- (stable) by S&amp;P Global Ratings.</w:t>
      </w:r>
    </w:p>
    <w:p>
      <w:pPr>
        <w:spacing w:after="0" w:line="54" w:lineRule="exact"/>
        <w:rPr>
          <w:sz w:val="20"/>
          <w:szCs w:val="20"/>
          <w:color w:val="auto"/>
        </w:rPr>
      </w:pPr>
    </w:p>
    <w:p>
      <w:pPr>
        <w:ind w:right="340"/>
        <w:spacing w:after="0" w:line="265" w:lineRule="auto"/>
        <w:rPr>
          <w:sz w:val="20"/>
          <w:szCs w:val="20"/>
          <w:color w:val="auto"/>
        </w:rPr>
      </w:pPr>
      <w:r>
        <w:rPr>
          <w:rFonts w:ascii="Times New Roman" w:cs="Times New Roman" w:eastAsia="Times New Roman" w:hAnsi="Times New Roman"/>
          <w:sz w:val="11"/>
          <w:szCs w:val="11"/>
          <w:color w:val="auto"/>
        </w:rPr>
        <w:t>With regards to shareholder remuneration, Nokia targets recurring, stable and over time growing ordinary dividend payments, taking into account the previous year’s earnings as well as the Company’s financial position and business outlook. Nokia may also use share repurchases as a tool to manage its capital structure through the reduction of capital and distribute excess cash to the shareholders.</w:t>
      </w:r>
    </w:p>
    <w:p>
      <w:pPr>
        <w:spacing w:after="0" w:line="6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Distribution of funds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distributes funds to its shareholders in two ways:</w:t>
      </w:r>
    </w:p>
    <w:p>
      <w:pPr>
        <w:spacing w:after="0" w:line="22" w:lineRule="exact"/>
        <w:rPr>
          <w:sz w:val="20"/>
          <w:szCs w:val="20"/>
          <w:color w:val="auto"/>
        </w:rPr>
      </w:pPr>
    </w:p>
    <w:p>
      <w:pPr>
        <w:ind w:right="460" w:firstLine="1"/>
        <w:spacing w:after="0" w:line="264" w:lineRule="auto"/>
        <w:tabs>
          <w:tab w:leader="none" w:pos="118" w:val="left"/>
        </w:tabs>
        <w:numPr>
          <w:ilvl w:val="0"/>
          <w:numId w:val="128"/>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as dividends from retained earnings and/or as assets from the reserve for invested unrestricted equity, and b) by repurchasing shares using funds in the unrestricted equity. The amount of any distribution is limited to the amount of distributable earnings of the Parent Company, and subject to exceptions relating to the right of minority shareholders to request a certain minimum distribution, the distribution may not exceed the amount proposed by the Board of Directors.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79" w:lineRule="exact"/>
        <w:rPr>
          <w:sz w:val="20"/>
          <w:szCs w:val="20"/>
          <w:color w:val="auto"/>
        </w:rPr>
      </w:pPr>
    </w:p>
    <w:p>
      <w:pPr>
        <w:ind w:right="460"/>
        <w:spacing w:after="0" w:line="276" w:lineRule="auto"/>
        <w:rPr>
          <w:sz w:val="20"/>
          <w:szCs w:val="20"/>
          <w:color w:val="auto"/>
        </w:rPr>
      </w:pPr>
      <w:r>
        <w:rPr>
          <w:rFonts w:ascii="Times New Roman" w:cs="Times New Roman" w:eastAsia="Times New Roman" w:hAnsi="Times New Roman"/>
          <w:sz w:val="11"/>
          <w:szCs w:val="11"/>
          <w:b w:val="1"/>
          <w:bCs w:val="1"/>
          <w:color w:val="auto"/>
        </w:rPr>
        <w:t>Dividend and/or assets from the reserve for unrestricted invested equity</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For the financial year 2023</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Nokia’s Board of Directors proposes to the Annual General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Meeting 2024 that no dividend is distributed by a resolution of</w:t>
      </w:r>
    </w:p>
    <w:p>
      <w:pPr>
        <w:spacing w:after="0" w:line="10" w:lineRule="exact"/>
        <w:rPr>
          <w:sz w:val="20"/>
          <w:szCs w:val="20"/>
          <w:color w:val="auto"/>
        </w:rPr>
      </w:pPr>
    </w:p>
    <w:p>
      <w:pPr>
        <w:spacing w:after="0"/>
        <w:tabs>
          <w:tab w:leader="none" w:pos="2040" w:val="left"/>
          <w:tab w:leader="none" w:pos="3020" w:val="left"/>
        </w:tabs>
        <w:rPr>
          <w:sz w:val="20"/>
          <w:szCs w:val="20"/>
          <w:color w:val="auto"/>
        </w:rPr>
      </w:pPr>
      <w:r>
        <w:rPr>
          <w:rFonts w:ascii="Times New Roman" w:cs="Times New Roman" w:eastAsia="Times New Roman" w:hAnsi="Times New Roman"/>
          <w:sz w:val="11"/>
          <w:szCs w:val="11"/>
          <w:color w:val="auto"/>
        </w:rPr>
        <w:t>the AGM for the financial year ended on</w:t>
      </w:r>
      <w:r>
        <w:rPr>
          <w:sz w:val="20"/>
          <w:szCs w:val="20"/>
          <w:color w:val="auto"/>
        </w:rPr>
        <w:tab/>
      </w:r>
      <w:r>
        <w:rPr>
          <w:rFonts w:ascii="Times New Roman" w:cs="Times New Roman" w:eastAsia="Times New Roman" w:hAnsi="Times New Roman"/>
          <w:sz w:val="11"/>
          <w:szCs w:val="11"/>
          <w:color w:val="auto"/>
        </w:rPr>
        <w:t>31 December 2023</w:t>
        <w:tab/>
        <w: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Instead, the Board proposes to be authorized to decide, in its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discretion, on the distribution of an aggregate maximum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EUR 0.13 per share as dividend from the retained earnings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and/or as assets from the reserve for invested unrestricted</w:t>
      </w:r>
    </w:p>
    <w:p>
      <w:pPr>
        <w:spacing w:after="0" w:line="10" w:lineRule="exact"/>
        <w:rPr>
          <w:sz w:val="20"/>
          <w:szCs w:val="20"/>
          <w:color w:val="auto"/>
        </w:rPr>
      </w:pPr>
    </w:p>
    <w:p>
      <w:pPr>
        <w:ind w:right="280"/>
        <w:spacing w:after="0" w:line="261" w:lineRule="auto"/>
        <w:rPr>
          <w:sz w:val="20"/>
          <w:szCs w:val="20"/>
          <w:color w:val="auto"/>
        </w:rPr>
      </w:pPr>
      <w:r>
        <w:rPr>
          <w:rFonts w:ascii="Times New Roman" w:cs="Times New Roman" w:eastAsia="Times New Roman" w:hAnsi="Times New Roman"/>
          <w:sz w:val="11"/>
          <w:szCs w:val="11"/>
          <w:color w:val="auto"/>
        </w:rPr>
        <w:t>equity. The authorization would be used to distribute dividend and/or assets from the reserve for invested unrestricted equity in four installments during the period of validity of the authorization unless the Board decides otherwise for a justified reason. Distributions of dividend and/or assets from the reserve for unrestricted invested equity are recognized as a reduction of equity and a liability when the Board has decided on the distribution. On the date of issuing</w:t>
      </w:r>
    </w:p>
    <w:p>
      <w:pPr>
        <w:spacing w:after="0" w:line="2" w:lineRule="exact"/>
        <w:rPr>
          <w:sz w:val="20"/>
          <w:szCs w:val="20"/>
          <w:color w:val="auto"/>
        </w:rPr>
      </w:pPr>
    </w:p>
    <w:p>
      <w:pPr>
        <w:spacing w:after="0"/>
        <w:tabs>
          <w:tab w:leader="none" w:pos="1420" w:val="left"/>
        </w:tabs>
        <w:rPr>
          <w:sz w:val="20"/>
          <w:szCs w:val="20"/>
          <w:color w:val="auto"/>
        </w:rPr>
      </w:pPr>
      <w:r>
        <w:rPr>
          <w:rFonts w:ascii="Times New Roman" w:cs="Times New Roman" w:eastAsia="Times New Roman" w:hAnsi="Times New Roman"/>
          <w:sz w:val="11"/>
          <w:szCs w:val="11"/>
          <w:color w:val="auto"/>
        </w:rPr>
        <w:t>the financial statements for</w:t>
      </w:r>
      <w:r>
        <w:rPr>
          <w:sz w:val="20"/>
          <w:szCs w:val="20"/>
          <w:color w:val="auto"/>
        </w:rPr>
        <w:tab/>
      </w:r>
      <w:r>
        <w:rPr>
          <w:rFonts w:ascii="Times New Roman" w:cs="Times New Roman" w:eastAsia="Times New Roman" w:hAnsi="Times New Roman"/>
          <w:sz w:val="11"/>
          <w:szCs w:val="11"/>
          <w:color w:val="auto"/>
        </w:rPr>
        <w:t>2023 the total number of Nokia</w:t>
      </w:r>
    </w:p>
    <w:p>
      <w:pPr>
        <w:spacing w:after="0" w:line="10" w:lineRule="exact"/>
        <w:rPr>
          <w:sz w:val="20"/>
          <w:szCs w:val="20"/>
          <w:color w:val="auto"/>
        </w:rPr>
      </w:pPr>
    </w:p>
    <w:p>
      <w:pPr>
        <w:spacing w:after="0"/>
        <w:tabs>
          <w:tab w:leader="none" w:pos="1240" w:val="left"/>
        </w:tabs>
        <w:rPr>
          <w:sz w:val="20"/>
          <w:szCs w:val="20"/>
          <w:color w:val="auto"/>
        </w:rPr>
      </w:pPr>
      <w:r>
        <w:rPr>
          <w:rFonts w:ascii="Times New Roman" w:cs="Times New Roman" w:eastAsia="Times New Roman" w:hAnsi="Times New Roman"/>
          <w:sz w:val="11"/>
          <w:szCs w:val="11"/>
          <w:color w:val="auto"/>
        </w:rPr>
        <w:t>shares is  5 613 496 565</w:t>
        <w:tab/>
        <w:t>and consequently the total amount</w:t>
      </w:r>
    </w:p>
    <w:p>
      <w:pPr>
        <w:spacing w:after="0" w:line="10" w:lineRule="exact"/>
        <w:rPr>
          <w:sz w:val="20"/>
          <w:szCs w:val="20"/>
          <w:color w:val="auto"/>
        </w:rPr>
      </w:pPr>
    </w:p>
    <w:p>
      <w:pPr>
        <w:ind w:right="180"/>
        <w:spacing w:after="0" w:line="277" w:lineRule="auto"/>
        <w:rPr>
          <w:sz w:val="20"/>
          <w:szCs w:val="20"/>
          <w:color w:val="auto"/>
        </w:rPr>
      </w:pPr>
      <w:r>
        <w:rPr>
          <w:rFonts w:ascii="Times New Roman" w:cs="Times New Roman" w:eastAsia="Times New Roman" w:hAnsi="Times New Roman"/>
          <w:sz w:val="11"/>
          <w:szCs w:val="11"/>
          <w:color w:val="auto"/>
        </w:rPr>
        <w:t>of distribution would be EUR 730 million. The total number of shares includes the shares held by the Parent Company which are not entitled to a distribution.</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For the financial year 2022</w:t>
      </w:r>
    </w:p>
    <w:p>
      <w:pPr>
        <w:spacing w:after="0" w:line="24" w:lineRule="exact"/>
        <w:rPr>
          <w:sz w:val="20"/>
          <w:szCs w:val="20"/>
          <w:color w:val="auto"/>
        </w:rPr>
      </w:pPr>
    </w:p>
    <w:p>
      <w:pPr>
        <w:ind w:right="280"/>
        <w:spacing w:after="0" w:line="259" w:lineRule="auto"/>
        <w:rPr>
          <w:sz w:val="20"/>
          <w:szCs w:val="20"/>
          <w:color w:val="auto"/>
        </w:rPr>
      </w:pPr>
      <w:r>
        <w:rPr>
          <w:rFonts w:ascii="Times New Roman" w:cs="Times New Roman" w:eastAsia="Times New Roman" w:hAnsi="Times New Roman"/>
          <w:sz w:val="11"/>
          <w:szCs w:val="11"/>
          <w:color w:val="auto"/>
        </w:rPr>
        <w:t>The AGM in 2023 resolved to authorize the Board of Directors to decide on the distribution of an aggregate maximum</w:t>
      </w:r>
    </w:p>
    <w:p>
      <w:pPr>
        <w:ind w:right="440"/>
        <w:spacing w:after="0" w:line="264" w:lineRule="auto"/>
        <w:rPr>
          <w:sz w:val="20"/>
          <w:szCs w:val="20"/>
          <w:color w:val="auto"/>
        </w:rPr>
      </w:pPr>
      <w:r>
        <w:rPr>
          <w:rFonts w:ascii="Times New Roman" w:cs="Times New Roman" w:eastAsia="Times New Roman" w:hAnsi="Times New Roman"/>
          <w:sz w:val="11"/>
          <w:szCs w:val="11"/>
          <w:color w:val="auto"/>
        </w:rPr>
        <w:t>of EUR 0.12 per share as dividend and/or as assets from the reserve of invested unrestricted equity for the financial year</w:t>
      </w:r>
    </w:p>
    <w:p>
      <w:pPr>
        <w:ind w:right="160"/>
        <w:spacing w:after="0" w:line="259" w:lineRule="auto"/>
        <w:rPr>
          <w:sz w:val="20"/>
          <w:szCs w:val="20"/>
          <w:color w:val="auto"/>
        </w:rPr>
      </w:pPr>
      <w:r>
        <w:rPr>
          <w:rFonts w:ascii="Times New Roman" w:cs="Times New Roman" w:eastAsia="Times New Roman" w:hAnsi="Times New Roman"/>
          <w:sz w:val="11"/>
          <w:szCs w:val="11"/>
          <w:color w:val="auto"/>
        </w:rPr>
        <w:t>2022 . The authorization was used to distribute a dividend in four installments. During 2023 , three installments of dividend</w:t>
      </w:r>
    </w:p>
    <w:tbl>
      <w:tblPr>
        <w:tblLayout w:type="fixed"/>
        <w:tblInd w:w="0" w:type="dxa"/>
        <w:tblCellMar>
          <w:top w:w="0" w:type="dxa"/>
          <w:left w:w="0" w:type="dxa"/>
          <w:bottom w:w="0" w:type="dxa"/>
          <w:right w:w="0" w:type="dxa"/>
        </w:tblCellMar>
      </w:tblPr>
      <w:tr>
        <w:trPr>
          <w:trHeight w:val="130"/>
        </w:trPr>
        <w:tc>
          <w:tcPr>
            <w:tcW w:w="13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were distributed amounting t</w:t>
            </w:r>
          </w:p>
        </w:tc>
        <w:tc>
          <w:tcPr>
            <w:tcW w:w="138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o EUR 0.09 per share and</w:t>
            </w:r>
          </w:p>
        </w:tc>
        <w:tc>
          <w:tcPr>
            <w:tcW w:w="460" w:type="dxa"/>
            <w:vAlign w:val="bottom"/>
          </w:tcPr>
          <w:p>
            <w:pPr>
              <w:spacing w:after="0"/>
              <w:rPr>
                <w:sz w:val="11"/>
                <w:szCs w:val="11"/>
                <w:color w:val="auto"/>
              </w:rPr>
            </w:pPr>
          </w:p>
        </w:tc>
      </w:tr>
      <w:tr>
        <w:trPr>
          <w:trHeight w:val="142"/>
        </w:trPr>
        <w:tc>
          <w:tcPr>
            <w:tcW w:w="27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EUR499 million in total. The fourth installment of EUR</w:t>
            </w:r>
          </w:p>
        </w:tc>
        <w:tc>
          <w:tcPr>
            <w:tcW w:w="46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0.03 per</w:t>
            </w:r>
          </w:p>
        </w:tc>
      </w:tr>
      <w:tr>
        <w:trPr>
          <w:trHeight w:val="131"/>
        </w:trPr>
        <w:tc>
          <w:tcPr>
            <w:tcW w:w="27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share and EUR 166 million in total was paid in February</w:t>
            </w:r>
          </w:p>
        </w:tc>
        <w:tc>
          <w:tcPr>
            <w:tcW w:w="460" w:type="dxa"/>
            <w:vAlign w:val="bottom"/>
          </w:tcPr>
          <w:p>
            <w:pPr>
              <w:jc w:val="right"/>
              <w:ind w:right="23"/>
              <w:spacing w:after="0"/>
              <w:rPr>
                <w:sz w:val="20"/>
                <w:szCs w:val="20"/>
                <w:color w:val="auto"/>
              </w:rPr>
            </w:pPr>
            <w:r>
              <w:rPr>
                <w:rFonts w:ascii="Times New Roman" w:cs="Times New Roman" w:eastAsia="Times New Roman" w:hAnsi="Times New Roman"/>
                <w:sz w:val="11"/>
                <w:szCs w:val="11"/>
                <w:color w:val="auto"/>
              </w:rPr>
              <w:t>2024 .</w:t>
            </w:r>
          </w:p>
        </w:tc>
      </w:tr>
      <w:tr>
        <w:trPr>
          <w:trHeight w:val="142"/>
        </w:trPr>
        <w:tc>
          <w:tcPr>
            <w:tcW w:w="274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total amount of dividend paid for the financial year</w:t>
            </w:r>
          </w:p>
        </w:tc>
        <w:tc>
          <w:tcPr>
            <w:tcW w:w="460" w:type="dxa"/>
            <w:vAlign w:val="bottom"/>
          </w:tcPr>
          <w:p>
            <w:pPr>
              <w:jc w:val="right"/>
              <w:ind w:right="63"/>
              <w:spacing w:after="0"/>
              <w:rPr>
                <w:sz w:val="20"/>
                <w:szCs w:val="20"/>
                <w:color w:val="auto"/>
              </w:rPr>
            </w:pPr>
            <w:r>
              <w:rPr>
                <w:rFonts w:ascii="Times New Roman" w:cs="Times New Roman" w:eastAsia="Times New Roman" w:hAnsi="Times New Roman"/>
                <w:sz w:val="11"/>
                <w:szCs w:val="11"/>
                <w:color w:val="auto"/>
              </w:rPr>
              <w:t>2022</w:t>
            </w:r>
          </w:p>
        </w:tc>
      </w:tr>
      <w:tr>
        <w:trPr>
          <w:trHeight w:val="148"/>
        </w:trPr>
        <w:tc>
          <w:tcPr>
            <w:tcW w:w="1080" w:type="dxa"/>
            <w:vAlign w:val="bottom"/>
          </w:tcPr>
          <w:p>
            <w:pPr>
              <w:spacing w:after="0"/>
              <w:rPr>
                <w:sz w:val="20"/>
                <w:szCs w:val="20"/>
                <w:color w:val="auto"/>
              </w:rPr>
            </w:pPr>
            <w:r>
              <w:rPr>
                <w:rFonts w:ascii="Times New Roman" w:cs="Times New Roman" w:eastAsia="Times New Roman" w:hAnsi="Times New Roman"/>
                <w:sz w:val="11"/>
                <w:szCs w:val="11"/>
                <w:color w:val="auto"/>
              </w:rPr>
              <w:t>was EUR 665 million.</w:t>
            </w:r>
          </w:p>
        </w:tc>
        <w:tc>
          <w:tcPr>
            <w:tcW w:w="280" w:type="dxa"/>
            <w:vAlign w:val="bottom"/>
          </w:tcPr>
          <w:p>
            <w:pPr>
              <w:spacing w:after="0"/>
              <w:rPr>
                <w:sz w:val="12"/>
                <w:szCs w:val="12"/>
                <w:color w:val="auto"/>
              </w:rPr>
            </w:pPr>
          </w:p>
        </w:tc>
        <w:tc>
          <w:tcPr>
            <w:tcW w:w="1380" w:type="dxa"/>
            <w:vAlign w:val="bottom"/>
          </w:tcPr>
          <w:p>
            <w:pPr>
              <w:spacing w:after="0"/>
              <w:rPr>
                <w:sz w:val="12"/>
                <w:szCs w:val="12"/>
                <w:color w:val="auto"/>
              </w:rPr>
            </w:pPr>
          </w:p>
        </w:tc>
        <w:tc>
          <w:tcPr>
            <w:tcW w:w="460" w:type="dxa"/>
            <w:vAlign w:val="bottom"/>
          </w:tcPr>
          <w:p>
            <w:pPr>
              <w:spacing w:after="0"/>
              <w:rPr>
                <w:sz w:val="12"/>
                <w:szCs w:val="12"/>
                <w:color w:val="auto"/>
              </w:rPr>
            </w:pPr>
          </w:p>
        </w:tc>
      </w:tr>
      <w:tr>
        <w:trPr>
          <w:trHeight w:val="206"/>
        </w:trPr>
        <w:tc>
          <w:tcPr>
            <w:tcW w:w="1360" w:type="dxa"/>
            <w:vAlign w:val="bottom"/>
            <w:gridSpan w:val="2"/>
          </w:tcPr>
          <w:p>
            <w:pPr>
              <w:spacing w:after="0"/>
              <w:rPr>
                <w:sz w:val="20"/>
                <w:szCs w:val="20"/>
                <w:color w:val="auto"/>
              </w:rPr>
            </w:pPr>
            <w:r>
              <w:rPr>
                <w:rFonts w:ascii="Times New Roman" w:cs="Times New Roman" w:eastAsia="Times New Roman" w:hAnsi="Times New Roman"/>
                <w:sz w:val="11"/>
                <w:szCs w:val="11"/>
                <w:b w:val="1"/>
                <w:bCs w:val="1"/>
                <w:color w:val="6F6E6E"/>
              </w:rPr>
              <w:t>For the financial year 2021</w:t>
            </w:r>
          </w:p>
        </w:tc>
        <w:tc>
          <w:tcPr>
            <w:tcW w:w="1380" w:type="dxa"/>
            <w:vAlign w:val="bottom"/>
          </w:tcPr>
          <w:p>
            <w:pPr>
              <w:spacing w:after="0"/>
              <w:rPr>
                <w:sz w:val="17"/>
                <w:szCs w:val="17"/>
                <w:color w:val="auto"/>
              </w:rPr>
            </w:pPr>
          </w:p>
        </w:tc>
        <w:tc>
          <w:tcPr>
            <w:tcW w:w="460" w:type="dxa"/>
            <w:vAlign w:val="bottom"/>
          </w:tcPr>
          <w:p>
            <w:pPr>
              <w:spacing w:after="0"/>
              <w:rPr>
                <w:sz w:val="17"/>
                <w:szCs w:val="17"/>
                <w:color w:val="auto"/>
              </w:rPr>
            </w:pPr>
          </w:p>
        </w:tc>
      </w:tr>
      <w:tr>
        <w:trPr>
          <w:trHeight w:val="142"/>
        </w:trPr>
        <w:tc>
          <w:tcPr>
            <w:tcW w:w="1080" w:type="dxa"/>
            <w:vAlign w:val="bottom"/>
          </w:tcPr>
          <w:p>
            <w:pPr>
              <w:spacing w:after="0"/>
              <w:rPr>
                <w:sz w:val="20"/>
                <w:szCs w:val="20"/>
                <w:color w:val="auto"/>
              </w:rPr>
            </w:pPr>
            <w:r>
              <w:rPr>
                <w:rFonts w:ascii="Times New Roman" w:cs="Times New Roman" w:eastAsia="Times New Roman" w:hAnsi="Times New Roman"/>
                <w:sz w:val="11"/>
                <w:szCs w:val="11"/>
                <w:color w:val="auto"/>
              </w:rPr>
              <w:t>For the financial year</w:t>
            </w:r>
          </w:p>
        </w:tc>
        <w:tc>
          <w:tcPr>
            <w:tcW w:w="2120" w:type="dxa"/>
            <w:vAlign w:val="bottom"/>
            <w:gridSpan w:val="3"/>
          </w:tcPr>
          <w:p>
            <w:pPr>
              <w:ind w:left="20"/>
              <w:spacing w:after="0"/>
              <w:rPr>
                <w:sz w:val="20"/>
                <w:szCs w:val="20"/>
                <w:color w:val="auto"/>
              </w:rPr>
            </w:pPr>
            <w:r>
              <w:rPr>
                <w:rFonts w:ascii="Times New Roman" w:cs="Times New Roman" w:eastAsia="Times New Roman" w:hAnsi="Times New Roman"/>
                <w:sz w:val="11"/>
                <w:szCs w:val="11"/>
                <w:color w:val="auto"/>
              </w:rPr>
              <w:t>2021 , a total dividend of  EUR 448 million,</w:t>
            </w:r>
          </w:p>
        </w:tc>
      </w:tr>
      <w:tr>
        <w:trPr>
          <w:trHeight w:val="148"/>
        </w:trPr>
        <w:tc>
          <w:tcPr>
            <w:tcW w:w="1080" w:type="dxa"/>
            <w:vAlign w:val="bottom"/>
          </w:tcPr>
          <w:p>
            <w:pPr>
              <w:spacing w:after="0"/>
              <w:rPr>
                <w:sz w:val="20"/>
                <w:szCs w:val="20"/>
                <w:color w:val="auto"/>
              </w:rPr>
            </w:pPr>
            <w:r>
              <w:rPr>
                <w:rFonts w:ascii="Times New Roman" w:cs="Times New Roman" w:eastAsia="Times New Roman" w:hAnsi="Times New Roman"/>
                <w:sz w:val="11"/>
                <w:szCs w:val="11"/>
                <w:color w:val="auto"/>
              </w:rPr>
              <w:t>corresponding to EUR</w:t>
            </w:r>
          </w:p>
        </w:tc>
        <w:tc>
          <w:tcPr>
            <w:tcW w:w="28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0.08</w:t>
            </w:r>
          </w:p>
        </w:tc>
        <w:tc>
          <w:tcPr>
            <w:tcW w:w="1380" w:type="dxa"/>
            <w:vAlign w:val="bottom"/>
          </w:tcPr>
          <w:p>
            <w:pPr>
              <w:ind w:left="40"/>
              <w:spacing w:after="0"/>
              <w:rPr>
                <w:sz w:val="20"/>
                <w:szCs w:val="20"/>
                <w:color w:val="auto"/>
              </w:rPr>
            </w:pPr>
            <w:r>
              <w:rPr>
                <w:rFonts w:ascii="Times New Roman" w:cs="Times New Roman" w:eastAsia="Times New Roman" w:hAnsi="Times New Roman"/>
                <w:sz w:val="11"/>
                <w:szCs w:val="11"/>
                <w:color w:val="auto"/>
              </w:rPr>
              <w:t>per share, was paid.</w:t>
            </w:r>
          </w:p>
        </w:tc>
        <w:tc>
          <w:tcPr>
            <w:tcW w:w="460" w:type="dxa"/>
            <w:vAlign w:val="bottom"/>
          </w:tcPr>
          <w:p>
            <w:pPr>
              <w:spacing w:after="0"/>
              <w:rPr>
                <w:sz w:val="12"/>
                <w:szCs w:val="12"/>
                <w:color w:val="auto"/>
              </w:rPr>
            </w:pPr>
          </w:p>
        </w:tc>
      </w:tr>
    </w:tbl>
    <w:p>
      <w:pPr>
        <w:spacing w:after="0" w:line="20" w:lineRule="exact"/>
        <w:rPr>
          <w:sz w:val="20"/>
          <w:szCs w:val="20"/>
          <w:color w:val="auto"/>
        </w:rPr>
      </w:pPr>
      <w:r>
        <w:rPr>
          <w:sz w:val="20"/>
          <w:szCs w:val="20"/>
          <w:color w:val="auto"/>
        </w:rPr>
        <w:br w:type="column"/>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Share buyback programs</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Program announced in 2022</w:t>
      </w:r>
    </w:p>
    <w:p>
      <w:pPr>
        <w:spacing w:after="0" w:line="15" w:lineRule="exact"/>
        <w:rPr>
          <w:sz w:val="20"/>
          <w:szCs w:val="20"/>
          <w:color w:val="auto"/>
        </w:rPr>
      </w:pPr>
    </w:p>
    <w:p>
      <w:pPr>
        <w:ind w:right="220"/>
        <w:spacing w:after="0" w:line="263" w:lineRule="auto"/>
        <w:rPr>
          <w:sz w:val="20"/>
          <w:szCs w:val="20"/>
          <w:color w:val="auto"/>
        </w:rPr>
      </w:pPr>
      <w:r>
        <w:rPr>
          <w:rFonts w:ascii="Times New Roman" w:cs="Times New Roman" w:eastAsia="Times New Roman" w:hAnsi="Times New Roman"/>
          <w:sz w:val="11"/>
          <w:szCs w:val="11"/>
          <w:color w:val="auto"/>
        </w:rPr>
        <w:t>In February 2022, Nokia’s Board of Directors initiated a share buyback program under authorization from the AGM to repurchase shares. The program targeted to return up to EUR600 million of cash to shareholders in tranches over a period of two years . The repurchases were funded using funds in the reserve for invested unrestricted equity and hence the repurchases reduced Nokia’s total unrestricted equity.</w:t>
      </w:r>
    </w:p>
    <w:p>
      <w:pPr>
        <w:spacing w:after="0" w:line="65"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2780" w:type="dxa"/>
            <w:vAlign w:val="bottom"/>
          </w:tcPr>
          <w:p>
            <w:pPr>
              <w:spacing w:after="0"/>
              <w:rPr>
                <w:sz w:val="20"/>
                <w:szCs w:val="20"/>
                <w:color w:val="auto"/>
              </w:rPr>
            </w:pPr>
            <w:r>
              <w:rPr>
                <w:rFonts w:ascii="Times New Roman" w:cs="Times New Roman" w:eastAsia="Times New Roman" w:hAnsi="Times New Roman"/>
                <w:sz w:val="11"/>
                <w:szCs w:val="11"/>
                <w:color w:val="auto"/>
              </w:rPr>
              <w:t>In the first phase of the program, which was launched on</w:t>
            </w:r>
          </w:p>
        </w:tc>
        <w:tc>
          <w:tcPr>
            <w:tcW w:w="340" w:type="dxa"/>
            <w:vAlign w:val="bottom"/>
          </w:tcPr>
          <w:p>
            <w:pPr>
              <w:spacing w:after="0"/>
              <w:rPr>
                <w:sz w:val="11"/>
                <w:szCs w:val="11"/>
                <w:color w:val="auto"/>
              </w:rPr>
            </w:pPr>
          </w:p>
        </w:tc>
      </w:tr>
      <w:tr>
        <w:trPr>
          <w:trHeight w:val="142"/>
        </w:trPr>
        <w:tc>
          <w:tcPr>
            <w:tcW w:w="2780" w:type="dxa"/>
            <w:vAlign w:val="bottom"/>
          </w:tcPr>
          <w:p>
            <w:pPr>
              <w:spacing w:after="0"/>
              <w:rPr>
                <w:sz w:val="20"/>
                <w:szCs w:val="20"/>
                <w:color w:val="auto"/>
              </w:rPr>
            </w:pPr>
            <w:r>
              <w:rPr>
                <w:rFonts w:ascii="Times New Roman" w:cs="Times New Roman" w:eastAsia="Times New Roman" w:hAnsi="Times New Roman"/>
                <w:sz w:val="11"/>
                <w:szCs w:val="11"/>
                <w:color w:val="auto"/>
              </w:rPr>
              <w:t>11 February 2022 and which ended on 11 November 2022,</w:t>
            </w:r>
          </w:p>
        </w:tc>
        <w:tc>
          <w:tcPr>
            <w:tcW w:w="340" w:type="dxa"/>
            <w:vAlign w:val="bottom"/>
          </w:tcPr>
          <w:p>
            <w:pPr>
              <w:spacing w:after="0"/>
              <w:rPr>
                <w:sz w:val="12"/>
                <w:szCs w:val="12"/>
                <w:color w:val="auto"/>
              </w:rPr>
            </w:pPr>
          </w:p>
        </w:tc>
      </w:tr>
      <w:tr>
        <w:trPr>
          <w:trHeight w:val="142"/>
        </w:trPr>
        <w:tc>
          <w:tcPr>
            <w:tcW w:w="2780" w:type="dxa"/>
            <w:vAlign w:val="bottom"/>
          </w:tcPr>
          <w:p>
            <w:pPr>
              <w:spacing w:after="0"/>
              <w:rPr>
                <w:sz w:val="20"/>
                <w:szCs w:val="20"/>
                <w:color w:val="auto"/>
              </w:rPr>
            </w:pPr>
            <w:r>
              <w:rPr>
                <w:rFonts w:ascii="Times New Roman" w:cs="Times New Roman" w:eastAsia="Times New Roman" w:hAnsi="Times New Roman"/>
                <w:sz w:val="11"/>
                <w:szCs w:val="11"/>
                <w:color w:val="auto"/>
              </w:rPr>
              <w:t>Nokia repurchased  63 963 583  shares corresponding to</w:t>
            </w:r>
          </w:p>
        </w:tc>
        <w:tc>
          <w:tcPr>
            <w:tcW w:w="34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1.1%</w:t>
            </w:r>
          </w:p>
        </w:tc>
      </w:tr>
      <w:tr>
        <w:trPr>
          <w:trHeight w:val="131"/>
        </w:trPr>
        <w:tc>
          <w:tcPr>
            <w:tcW w:w="2780" w:type="dxa"/>
            <w:vAlign w:val="bottom"/>
          </w:tcPr>
          <w:p>
            <w:pPr>
              <w:spacing w:after="0"/>
              <w:rPr>
                <w:sz w:val="20"/>
                <w:szCs w:val="20"/>
                <w:color w:val="auto"/>
              </w:rPr>
            </w:pPr>
            <w:r>
              <w:rPr>
                <w:rFonts w:ascii="Times New Roman" w:cs="Times New Roman" w:eastAsia="Times New Roman" w:hAnsi="Times New Roman"/>
                <w:sz w:val="11"/>
                <w:szCs w:val="11"/>
                <w:color w:val="auto"/>
              </w:rPr>
              <w:t>of the total number of Nokia shares at 31 December 2021.</w:t>
            </w:r>
          </w:p>
        </w:tc>
        <w:tc>
          <w:tcPr>
            <w:tcW w:w="340" w:type="dxa"/>
            <w:vAlign w:val="bottom"/>
          </w:tcPr>
          <w:p>
            <w:pPr>
              <w:spacing w:after="0"/>
              <w:rPr>
                <w:sz w:val="11"/>
                <w:szCs w:val="11"/>
                <w:color w:val="auto"/>
              </w:rPr>
            </w:pPr>
          </w:p>
        </w:tc>
      </w:tr>
      <w:tr>
        <w:trPr>
          <w:trHeight w:val="148"/>
        </w:trPr>
        <w:tc>
          <w:tcPr>
            <w:tcW w:w="2780" w:type="dxa"/>
            <w:vAlign w:val="bottom"/>
          </w:tcPr>
          <w:p>
            <w:pPr>
              <w:spacing w:after="0"/>
              <w:rPr>
                <w:sz w:val="20"/>
                <w:szCs w:val="20"/>
                <w:color w:val="auto"/>
              </w:rPr>
            </w:pPr>
            <w:r>
              <w:rPr>
                <w:rFonts w:ascii="Times New Roman" w:cs="Times New Roman" w:eastAsia="Times New Roman" w:hAnsi="Times New Roman"/>
                <w:sz w:val="11"/>
                <w:szCs w:val="11"/>
                <w:color w:val="auto"/>
              </w:rPr>
              <w:t>The aggregate purchase price of all shares acquired in the</w:t>
            </w:r>
          </w:p>
        </w:tc>
        <w:tc>
          <w:tcPr>
            <w:tcW w:w="340" w:type="dxa"/>
            <w:vAlign w:val="bottom"/>
          </w:tcPr>
          <w:p>
            <w:pPr>
              <w:spacing w:after="0"/>
              <w:rPr>
                <w:sz w:val="12"/>
                <w:szCs w:val="12"/>
                <w:color w:val="auto"/>
              </w:rPr>
            </w:pPr>
          </w:p>
        </w:tc>
      </w:tr>
    </w:tbl>
    <w:p>
      <w:pPr>
        <w:ind w:right="200"/>
        <w:spacing w:after="0" w:line="273" w:lineRule="auto"/>
        <w:rPr>
          <w:sz w:val="20"/>
          <w:szCs w:val="20"/>
          <w:color w:val="auto"/>
        </w:rPr>
      </w:pPr>
      <w:r>
        <w:rPr>
          <w:rFonts w:ascii="Times New Roman" w:cs="Times New Roman" w:eastAsia="Times New Roman" w:hAnsi="Times New Roman"/>
          <w:sz w:val="11"/>
          <w:szCs w:val="11"/>
          <w:color w:val="auto"/>
        </w:rPr>
        <w:t>first phase was EUR 300 million and the average price per share was EUR 4.69 . The repurchased shares were canceled in December 2022.</w:t>
      </w:r>
    </w:p>
    <w:p>
      <w:pPr>
        <w:spacing w:after="0" w:line="57" w:lineRule="exact"/>
        <w:rPr>
          <w:sz w:val="20"/>
          <w:szCs w:val="20"/>
          <w:color w:val="auto"/>
        </w:rPr>
      </w:pPr>
    </w:p>
    <w:p>
      <w:pPr>
        <w:ind w:right="440"/>
        <w:spacing w:after="0" w:line="265" w:lineRule="auto"/>
        <w:rPr>
          <w:sz w:val="20"/>
          <w:szCs w:val="20"/>
          <w:color w:val="auto"/>
        </w:rPr>
      </w:pPr>
      <w:r>
        <w:rPr>
          <w:rFonts w:ascii="Times New Roman" w:cs="Times New Roman" w:eastAsia="Times New Roman" w:hAnsi="Times New Roman"/>
          <w:sz w:val="11"/>
          <w:szCs w:val="11"/>
          <w:color w:val="auto"/>
        </w:rPr>
        <w:t>In the second phase of the program, which was launched on 2 January 2023 and which ended on 10 November 2023,</w:t>
      </w:r>
    </w:p>
    <w:p>
      <w:pPr>
        <w:ind w:right="60"/>
        <w:spacing w:after="0" w:line="259" w:lineRule="auto"/>
        <w:rPr>
          <w:sz w:val="20"/>
          <w:szCs w:val="20"/>
          <w:color w:val="auto"/>
        </w:rPr>
      </w:pPr>
      <w:r>
        <w:rPr>
          <w:rFonts w:ascii="Times New Roman" w:cs="Times New Roman" w:eastAsia="Times New Roman" w:hAnsi="Times New Roman"/>
          <w:sz w:val="11"/>
          <w:szCs w:val="11"/>
          <w:color w:val="auto"/>
        </w:rPr>
        <w:t>Nokia repurchased 78 301 011 shares corresponding to 1.4% of the total number of Nokia shares at 31 December 2022.</w:t>
      </w:r>
    </w:p>
    <w:p>
      <w:pPr>
        <w:spacing w:after="0"/>
        <w:rPr>
          <w:sz w:val="20"/>
          <w:szCs w:val="20"/>
          <w:color w:val="auto"/>
        </w:rPr>
      </w:pPr>
      <w:r>
        <w:rPr>
          <w:rFonts w:ascii="Times New Roman" w:cs="Times New Roman" w:eastAsia="Times New Roman" w:hAnsi="Times New Roman"/>
          <w:sz w:val="11"/>
          <w:szCs w:val="11"/>
          <w:color w:val="auto"/>
        </w:rPr>
        <w:t>The aggregate purchase price of all shares acquired under the</w:t>
      </w:r>
    </w:p>
    <w:p>
      <w:pPr>
        <w:spacing w:after="0" w:line="15" w:lineRule="exact"/>
        <w:rPr>
          <w:sz w:val="20"/>
          <w:szCs w:val="20"/>
          <w:color w:val="auto"/>
        </w:rPr>
      </w:pPr>
    </w:p>
    <w:p>
      <w:pPr>
        <w:spacing w:after="0"/>
        <w:tabs>
          <w:tab w:leader="none" w:pos="1960" w:val="left"/>
        </w:tabs>
        <w:rPr>
          <w:sz w:val="20"/>
          <w:szCs w:val="20"/>
          <w:color w:val="auto"/>
        </w:rPr>
      </w:pPr>
      <w:r>
        <w:rPr>
          <w:rFonts w:ascii="Times New Roman" w:cs="Times New Roman" w:eastAsia="Times New Roman" w:hAnsi="Times New Roman"/>
          <w:sz w:val="11"/>
          <w:szCs w:val="11"/>
          <w:color w:val="auto"/>
        </w:rPr>
        <w:t>second phase of the program was EUR</w:t>
      </w:r>
      <w:r>
        <w:rPr>
          <w:sz w:val="20"/>
          <w:szCs w:val="20"/>
          <w:color w:val="auto"/>
        </w:rPr>
        <w:tab/>
      </w:r>
      <w:r>
        <w:rPr>
          <w:rFonts w:ascii="Times New Roman" w:cs="Times New Roman" w:eastAsia="Times New Roman" w:hAnsi="Times New Roman"/>
          <w:sz w:val="11"/>
          <w:szCs w:val="11"/>
          <w:color w:val="auto"/>
        </w:rPr>
        <w:t>300 million and the</w:t>
      </w:r>
    </w:p>
    <w:p>
      <w:pPr>
        <w:spacing w:after="0" w:line="10" w:lineRule="exact"/>
        <w:rPr>
          <w:sz w:val="20"/>
          <w:szCs w:val="20"/>
          <w:color w:val="auto"/>
        </w:rPr>
      </w:pPr>
    </w:p>
    <w:p>
      <w:pPr>
        <w:ind w:right="140"/>
        <w:spacing w:after="0" w:line="286" w:lineRule="auto"/>
        <w:rPr>
          <w:sz w:val="20"/>
          <w:szCs w:val="20"/>
          <w:color w:val="auto"/>
        </w:rPr>
      </w:pPr>
      <w:r>
        <w:rPr>
          <w:rFonts w:ascii="Times New Roman" w:cs="Times New Roman" w:eastAsia="Times New Roman" w:hAnsi="Times New Roman"/>
          <w:sz w:val="11"/>
          <w:szCs w:val="11"/>
          <w:color w:val="auto"/>
        </w:rPr>
        <w:t>average price per share was EUR 3.83 . The repurchased shares were canceled in November 2023.</w:t>
      </w:r>
    </w:p>
    <w:p>
      <w:pPr>
        <w:spacing w:after="0" w:line="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Program announced in 2024</w:t>
      </w:r>
    </w:p>
    <w:p>
      <w:pPr>
        <w:spacing w:after="0" w:line="24" w:lineRule="exact"/>
        <w:rPr>
          <w:sz w:val="20"/>
          <w:szCs w:val="20"/>
          <w:color w:val="auto"/>
        </w:rPr>
      </w:pPr>
    </w:p>
    <w:p>
      <w:pPr>
        <w:ind w:right="200"/>
        <w:spacing w:after="0" w:line="262" w:lineRule="auto"/>
        <w:rPr>
          <w:sz w:val="20"/>
          <w:szCs w:val="20"/>
          <w:color w:val="auto"/>
        </w:rPr>
      </w:pPr>
      <w:r>
        <w:rPr>
          <w:rFonts w:ascii="Times New Roman" w:cs="Times New Roman" w:eastAsia="Times New Roman" w:hAnsi="Times New Roman"/>
          <w:sz w:val="11"/>
          <w:szCs w:val="11"/>
          <w:color w:val="auto"/>
        </w:rPr>
        <w:t>Nokia’s Board of Directors is initiating a share buyback program under the current authorization from the AGM to repurchase shares, with purchases expected to begin in March 2024.</w:t>
      </w:r>
    </w:p>
    <w:p>
      <w:pPr>
        <w:spacing w:after="0"/>
        <w:tabs>
          <w:tab w:leader="none" w:pos="2100" w:val="left"/>
        </w:tabs>
        <w:rPr>
          <w:sz w:val="20"/>
          <w:szCs w:val="20"/>
          <w:color w:val="auto"/>
        </w:rPr>
      </w:pPr>
      <w:r>
        <w:rPr>
          <w:rFonts w:ascii="Times New Roman" w:cs="Times New Roman" w:eastAsia="Times New Roman" w:hAnsi="Times New Roman"/>
          <w:sz w:val="11"/>
          <w:szCs w:val="11"/>
          <w:color w:val="auto"/>
        </w:rPr>
        <w:t>The program targets to return up to EUR</w:t>
      </w:r>
      <w:r>
        <w:rPr>
          <w:sz w:val="20"/>
          <w:szCs w:val="20"/>
          <w:color w:val="auto"/>
        </w:rPr>
        <w:tab/>
      </w:r>
      <w:r>
        <w:rPr>
          <w:rFonts w:ascii="Times New Roman" w:cs="Times New Roman" w:eastAsia="Times New Roman" w:hAnsi="Times New Roman"/>
          <w:sz w:val="11"/>
          <w:szCs w:val="11"/>
          <w:color w:val="auto"/>
        </w:rPr>
        <w:t>600 million of</w:t>
      </w:r>
    </w:p>
    <w:p>
      <w:pPr>
        <w:spacing w:after="0" w:line="10" w:lineRule="exact"/>
        <w:rPr>
          <w:sz w:val="20"/>
          <w:szCs w:val="20"/>
          <w:color w:val="auto"/>
        </w:rPr>
      </w:pPr>
    </w:p>
    <w:p>
      <w:pPr>
        <w:spacing w:after="0"/>
        <w:tabs>
          <w:tab w:leader="none" w:pos="2500" w:val="left"/>
        </w:tabs>
        <w:rPr>
          <w:sz w:val="20"/>
          <w:szCs w:val="20"/>
          <w:color w:val="auto"/>
        </w:rPr>
      </w:pPr>
      <w:r>
        <w:rPr>
          <w:rFonts w:ascii="Times New Roman" w:cs="Times New Roman" w:eastAsia="Times New Roman" w:hAnsi="Times New Roman"/>
          <w:sz w:val="11"/>
          <w:szCs w:val="11"/>
          <w:color w:val="auto"/>
        </w:rPr>
        <w:t>cash to shareholders in tranches over a period of</w:t>
      </w:r>
      <w:r>
        <w:rPr>
          <w:sz w:val="20"/>
          <w:szCs w:val="20"/>
          <w:color w:val="auto"/>
        </w:rPr>
        <w:tab/>
      </w:r>
      <w:r>
        <w:rPr>
          <w:rFonts w:ascii="Times New Roman" w:cs="Times New Roman" w:eastAsia="Times New Roman" w:hAnsi="Times New Roman"/>
          <w:sz w:val="11"/>
          <w:szCs w:val="11"/>
          <w:color w:val="auto"/>
        </w:rPr>
        <w:t>two years ,</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subject to continued authorization from the AGM.</w:t>
      </w:r>
    </w:p>
    <w:p>
      <w:pPr>
        <w:sectPr>
          <w:pgSz w:w="11900" w:h="16838" w:orient="portrait"/>
          <w:cols w:equalWidth="0" w:num="3">
            <w:col w:w="3220" w:space="180"/>
            <w:col w:w="3200" w:space="200"/>
            <w:col w:w="3180"/>
          </w:cols>
          <w:pgMar w:left="960" w:top="410" w:right="959" w:bottom="1440" w:gutter="0" w:footer="0" w:header="0"/>
          <w:type w:val="continuous"/>
        </w:sectPr>
      </w:pPr>
    </w:p>
    <w:bookmarkStart w:id="191" w:name="page192"/>
    <w:bookmarkEnd w:id="191"/>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184</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Authorizations given to the Board of Directors</w:t>
      </w:r>
    </w:p>
    <w:p>
      <w:pPr>
        <w:spacing w:after="0" w:line="24" w:lineRule="exact"/>
        <w:rPr>
          <w:sz w:val="20"/>
          <w:szCs w:val="20"/>
          <w:color w:val="auto"/>
        </w:rPr>
      </w:pPr>
    </w:p>
    <w:p>
      <w:pPr>
        <w:ind w:right="280"/>
        <w:spacing w:after="0" w:line="277" w:lineRule="auto"/>
        <w:rPr>
          <w:sz w:val="20"/>
          <w:szCs w:val="20"/>
          <w:color w:val="auto"/>
        </w:rPr>
      </w:pPr>
      <w:r>
        <w:rPr>
          <w:rFonts w:ascii="Times New Roman" w:cs="Times New Roman" w:eastAsia="Times New Roman" w:hAnsi="Times New Roman"/>
          <w:sz w:val="11"/>
          <w:szCs w:val="11"/>
          <w:color w:val="auto"/>
        </w:rPr>
        <w:t>The following authorizations related to the issue and repurchase of shares were given to the Board of Directors at the AGM held on 4 April 2023 .</w:t>
      </w:r>
    </w:p>
    <w:p>
      <w:pPr>
        <w:spacing w:after="0" w:line="44" w:lineRule="exact"/>
        <w:rPr>
          <w:sz w:val="20"/>
          <w:szCs w:val="20"/>
          <w:color w:val="auto"/>
        </w:rPr>
      </w:pPr>
    </w:p>
    <w:p>
      <w:pPr>
        <w:ind w:right="300"/>
        <w:spacing w:after="0" w:line="272" w:lineRule="auto"/>
        <w:rPr>
          <w:sz w:val="20"/>
          <w:szCs w:val="20"/>
          <w:color w:val="auto"/>
        </w:rPr>
      </w:pPr>
      <w:r>
        <w:rPr>
          <w:rFonts w:ascii="Times New Roman" w:cs="Times New Roman" w:eastAsia="Times New Roman" w:hAnsi="Times New Roman"/>
          <w:sz w:val="11"/>
          <w:szCs w:val="11"/>
          <w:b w:val="1"/>
          <w:bCs w:val="1"/>
          <w:color w:val="auto"/>
        </w:rPr>
        <w:t>Authorization to issue shares and special rights entitling to shares</w:t>
      </w:r>
    </w:p>
    <w:p>
      <w:pPr>
        <w:spacing w:after="0"/>
        <w:rPr>
          <w:sz w:val="20"/>
          <w:szCs w:val="20"/>
          <w:color w:val="auto"/>
        </w:rPr>
      </w:pPr>
      <w:r>
        <w:rPr>
          <w:rFonts w:ascii="Times New Roman" w:cs="Times New Roman" w:eastAsia="Times New Roman" w:hAnsi="Times New Roman"/>
          <w:sz w:val="11"/>
          <w:szCs w:val="11"/>
          <w:color w:val="auto"/>
        </w:rPr>
        <w:t>The shareholders authorized the Board to issue a maximum</w:t>
      </w:r>
    </w:p>
    <w:p>
      <w:pPr>
        <w:spacing w:after="0" w:line="10"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of 550 million shares, corresponding to less than 10% of the total number of Nokia’s shares, through one or more issues</w:t>
      </w:r>
    </w:p>
    <w:p>
      <w:pPr>
        <w:ind w:right="180"/>
        <w:spacing w:after="0" w:line="263" w:lineRule="auto"/>
        <w:rPr>
          <w:sz w:val="20"/>
          <w:szCs w:val="20"/>
          <w:color w:val="auto"/>
        </w:rPr>
      </w:pPr>
      <w:r>
        <w:rPr>
          <w:rFonts w:ascii="Times New Roman" w:cs="Times New Roman" w:eastAsia="Times New Roman" w:hAnsi="Times New Roman"/>
          <w:sz w:val="11"/>
          <w:szCs w:val="11"/>
          <w:color w:val="auto"/>
        </w:rPr>
        <w:t>of shares or special rights entitling to shares. The Board is authorized to issue either new shares or shares held by Nokia. Shares and special rights entitling to shares may be issued in deviation from the shareholders’ pre-emptive rights within the limits set by law. The authorization may be used to develop Nokia’s capital structure, diversify the shareholder base, finance or carry out acquisitions or other arrangements, settle Nokia’s equity-based incentive plans or for other purposes resolved by the Board of Directors.</w:t>
      </w:r>
    </w:p>
    <w:p>
      <w:pPr>
        <w:spacing w:after="0" w:line="65" w:lineRule="exact"/>
        <w:rPr>
          <w:sz w:val="20"/>
          <w:szCs w:val="20"/>
          <w:color w:val="auto"/>
        </w:rPr>
      </w:pPr>
    </w:p>
    <w:p>
      <w:pPr>
        <w:jc w:val="both"/>
        <w:ind w:right="400"/>
        <w:spacing w:after="0" w:line="279" w:lineRule="auto"/>
        <w:rPr>
          <w:sz w:val="20"/>
          <w:szCs w:val="20"/>
          <w:color w:val="auto"/>
        </w:rPr>
      </w:pPr>
      <w:r>
        <w:rPr>
          <w:rFonts w:ascii="Times New Roman" w:cs="Times New Roman" w:eastAsia="Times New Roman" w:hAnsi="Times New Roman"/>
          <w:sz w:val="11"/>
          <w:szCs w:val="11"/>
          <w:color w:val="auto"/>
        </w:rPr>
        <w:t>The authorization is effective until 3 October 2024, and it terminated the previous authorizations to issue shares and special rights entitling to shares.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Authorization to repurchase shares</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shareholders authorized the Board to repurchase a</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maximum of  550 million shares, corresponding to less than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10% of the total number of Nokia’s shares, using funds in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unrestricted equity, which means that the repurchases will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reduce Nokia’s distributable funds. Shares may be repurchased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be canceled, held to be reissued, transferred further or for</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other purposes resolved by the Board. The price paid for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shares shall be based on the market price of Nokia shares 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securities markets on the date of the repurchase or a price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otherwise formed in a competitive process. The shares may be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repurchased otherwise than in proportion to the shares held by</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shareholders. The Board shall resolve on all other matters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related to the repurchase of Nokia shares.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authorization is effective until 3 October 2024, and it</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terminated the previous authorization to repurchase shares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the extent that the Board has not previously resolved to</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repurchase shares based on such authorization.</w:t>
      </w:r>
    </w:p>
    <w:p>
      <w:pPr>
        <w:sectPr>
          <w:pgSz w:w="11900" w:h="16838" w:orient="portrait"/>
          <w:cols w:equalWidth="0" w:num="2">
            <w:col w:w="3040" w:space="360"/>
            <w:col w:w="6580"/>
          </w:cols>
          <w:pgMar w:left="960" w:top="410" w:right="959" w:bottom="1440" w:gutter="0" w:footer="0" w:header="0"/>
          <w:type w:val="continuous"/>
        </w:sectPr>
      </w:pPr>
    </w:p>
    <w:bookmarkStart w:id="192" w:name="page193"/>
    <w:bookmarkEnd w:id="19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5.2. Financial assets and liabilities</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185</w:t>
      </w:r>
    </w:p>
    <w:p>
      <w:pPr>
        <w:spacing w:after="0" w:line="1116" w:lineRule="exact"/>
        <w:rPr>
          <w:sz w:val="20"/>
          <w:szCs w:val="20"/>
          <w:color w:val="auto"/>
        </w:rPr>
      </w:pPr>
    </w:p>
    <w:p>
      <w:pPr>
        <w:sectPr>
          <w:pgSz w:w="11900" w:h="16838" w:orient="portrait"/>
          <w:cols w:equalWidth="0" w:num="2">
            <w:col w:w="9080" w:space="720"/>
            <w:col w:w="180"/>
          </w:cols>
          <w:pgMar w:left="960" w:top="410" w:right="959" w:bottom="1440" w:gutter="0" w:footer="0" w:header="0"/>
        </w:sectPr>
      </w:pPr>
    </w:p>
    <w:p>
      <w:pPr>
        <w:spacing w:after="0" w:line="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Fair value</w:t>
      </w:r>
    </w:p>
    <w:p>
      <w:pPr>
        <w:spacing w:after="0" w:line="19" w:lineRule="exact"/>
        <w:rPr>
          <w:sz w:val="20"/>
          <w:szCs w:val="20"/>
          <w:color w:val="auto"/>
        </w:rPr>
      </w:pPr>
    </w:p>
    <w:p>
      <w:pPr>
        <w:ind w:left="160" w:right="60"/>
        <w:spacing w:after="0" w:line="263" w:lineRule="auto"/>
        <w:rPr>
          <w:sz w:val="20"/>
          <w:szCs w:val="20"/>
          <w:color w:val="auto"/>
        </w:rPr>
      </w:pPr>
      <w:r>
        <w:rPr>
          <w:rFonts w:ascii="Times New Roman" w:cs="Times New Roman" w:eastAsia="Times New Roman" w:hAnsi="Times New Roman"/>
          <w:sz w:val="11"/>
          <w:szCs w:val="11"/>
          <w:color w:val="auto"/>
        </w:rPr>
        <w:t>Fair value is the price that would be received to sell an asset or paid to transfer a liability in an orderly transaction between market participants at the measurement date. Financial assets and liabilities measured at fair value are categorized based on the availability of observable inputs used to measure their fair value. Three hierarchical levels are based on an increasing amount of judgment associated with the inputs used to derive fair valuation for these assets and liabilities, Level 1 being market values for exchange traded products, Level 2 being primarily based on publicly available market information and Level 3 requiring most management judgment.</w:t>
      </w:r>
    </w:p>
    <w:p>
      <w:pPr>
        <w:spacing w:after="0" w:line="193" w:lineRule="exact"/>
        <w:rPr>
          <w:sz w:val="20"/>
          <w:szCs w:val="20"/>
          <w:color w:val="auto"/>
        </w:rPr>
      </w:pPr>
    </w:p>
    <w:p>
      <w:pPr>
        <w:ind w:left="160"/>
        <w:spacing w:after="0" w:line="264" w:lineRule="auto"/>
        <w:rPr>
          <w:sz w:val="20"/>
          <w:szCs w:val="20"/>
          <w:color w:val="auto"/>
        </w:rPr>
      </w:pPr>
      <w:r>
        <w:rPr>
          <w:rFonts w:ascii="Times New Roman" w:cs="Times New Roman" w:eastAsia="Times New Roman" w:hAnsi="Times New Roman"/>
          <w:sz w:val="11"/>
          <w:szCs w:val="11"/>
          <w:color w:val="auto"/>
        </w:rPr>
        <w:t>The fair value of an asset or a liability is measured using the assumptions that market participants would use when pricing the asset or liability, assuming that market participants act in their economic best interest, by using quoted market rates, discounted cash flow analyses and other appropriate valuation models. Nokia uses valuation techniques that are appropriate in the circumstances and for which sufficient data is available to measure fair value, maximizing the use of relevant observable inputs and minimizing the use of unobservable inputs. At the end of each reporting period, all financial assets and liabilities, that are either measured at fair value on a recurring basis or for which fair values are disclosed in the financial statements, are categorized within the fair value hierarchy based on</w:t>
      </w:r>
    </w:p>
    <w:p>
      <w:pPr>
        <w:spacing w:after="0" w:line="129" w:lineRule="exact"/>
        <w:rPr>
          <w:sz w:val="20"/>
          <w:szCs w:val="20"/>
          <w:color w:val="auto"/>
        </w:rPr>
      </w:pPr>
    </w:p>
    <w:p>
      <w:pPr>
        <w:ind w:left="160" w:right="280"/>
        <w:spacing w:after="0" w:line="278" w:lineRule="auto"/>
        <w:rPr>
          <w:sz w:val="20"/>
          <w:szCs w:val="20"/>
          <w:color w:val="auto"/>
        </w:rPr>
      </w:pPr>
      <w:r>
        <w:rPr>
          <w:rFonts w:ascii="Times New Roman" w:cs="Times New Roman" w:eastAsia="Times New Roman" w:hAnsi="Times New Roman"/>
          <w:sz w:val="11"/>
          <w:szCs w:val="11"/>
          <w:color w:val="auto"/>
        </w:rPr>
        <w:t>the lowest level input that is significant to the fair value measurement as a whole.</w:t>
      </w:r>
    </w:p>
    <w:p>
      <w:pPr>
        <w:spacing w:after="0" w:line="52"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Classification and measurement</w:t>
      </w:r>
    </w:p>
    <w:p>
      <w:pPr>
        <w:spacing w:after="0" w:line="24"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6F6E6E"/>
        </w:rPr>
        <w:t>Financial assets</w:t>
      </w:r>
    </w:p>
    <w:p>
      <w:pPr>
        <w:spacing w:after="0" w:line="10" w:lineRule="exact"/>
        <w:rPr>
          <w:sz w:val="20"/>
          <w:szCs w:val="20"/>
          <w:color w:val="auto"/>
        </w:rPr>
      </w:pPr>
    </w:p>
    <w:p>
      <w:pPr>
        <w:ind w:left="160" w:right="80"/>
        <w:spacing w:after="0" w:line="264" w:lineRule="auto"/>
        <w:rPr>
          <w:sz w:val="20"/>
          <w:szCs w:val="20"/>
          <w:color w:val="auto"/>
        </w:rPr>
      </w:pPr>
      <w:r>
        <w:rPr>
          <w:rFonts w:ascii="Times New Roman" w:cs="Times New Roman" w:eastAsia="Times New Roman" w:hAnsi="Times New Roman"/>
          <w:sz w:val="11"/>
          <w:szCs w:val="11"/>
          <w:color w:val="auto"/>
        </w:rPr>
        <w:t>Nokia classifies its financial assets that are debt instruments in the following three categories: financial assets measured at amortized cost, financial assets measured at fair value through other comprehensive income, and financial assets measured at fair value through profit and loss. The selection of the appropriate category is made based on both Nokia’s business model for managing the financial asset and on the contractual cash flow characteristics of the asset. Equity instruments and derivative financial assets are measured at fair value through profit and loss.</w:t>
      </w:r>
    </w:p>
    <w:p>
      <w:pPr>
        <w:spacing w:after="0" w:line="20" w:lineRule="exact"/>
        <w:rPr>
          <w:sz w:val="20"/>
          <w:szCs w:val="20"/>
          <w:color w:val="auto"/>
        </w:rPr>
      </w:pPr>
      <w:r>
        <w:rPr>
          <w:sz w:val="20"/>
          <w:szCs w:val="20"/>
          <w:color w:val="auto"/>
        </w:rPr>
        <w:br w:type="column"/>
      </w:r>
    </w:p>
    <w:p>
      <w:pPr>
        <w:spacing w:after="0" w:line="190" w:lineRule="exact"/>
        <w:rPr>
          <w:sz w:val="20"/>
          <w:szCs w:val="20"/>
          <w:color w:val="auto"/>
        </w:rPr>
      </w:pPr>
    </w:p>
    <w:p>
      <w:pPr>
        <w:ind w:right="40"/>
        <w:spacing w:after="0" w:line="261" w:lineRule="auto"/>
        <w:rPr>
          <w:sz w:val="20"/>
          <w:szCs w:val="20"/>
          <w:color w:val="auto"/>
        </w:rPr>
      </w:pPr>
      <w:r>
        <w:rPr>
          <w:rFonts w:ascii="Times New Roman" w:cs="Times New Roman" w:eastAsia="Times New Roman" w:hAnsi="Times New Roman"/>
          <w:sz w:val="11"/>
          <w:szCs w:val="11"/>
          <w:color w:val="auto"/>
        </w:rPr>
        <w:t>Nokia’s business model for managing financial assets is defined on a portfolio level. The business model must be observable on a practical level by the way the business is managed. The cash flows of financial assets measured at amortized cost are solely payments of principal and interest. These assets are held within a business model that has an objective to hold assets to collect contractual cash flows. Financial assets measured at fair value through other comprehensive income have cash flows that are solely payments of principal and interest, and these assets are held within a business model that has an objective that is achieved both by holding financial assets to collect contractual cash flows and selling financial assets. For these categories,</w:t>
      </w:r>
    </w:p>
    <w:p>
      <w:pPr>
        <w:spacing w:after="0" w:line="4" w:lineRule="exact"/>
        <w:rPr>
          <w:sz w:val="20"/>
          <w:szCs w:val="20"/>
          <w:color w:val="auto"/>
        </w:rPr>
      </w:pPr>
    </w:p>
    <w:p>
      <w:pPr>
        <w:ind w:right="140"/>
        <w:spacing w:after="0" w:line="266" w:lineRule="auto"/>
        <w:rPr>
          <w:sz w:val="20"/>
          <w:szCs w:val="20"/>
          <w:color w:val="auto"/>
        </w:rPr>
      </w:pPr>
      <w:r>
        <w:rPr>
          <w:rFonts w:ascii="Times New Roman" w:cs="Times New Roman" w:eastAsia="Times New Roman" w:hAnsi="Times New Roman"/>
          <w:sz w:val="11"/>
          <w:szCs w:val="11"/>
          <w:color w:val="auto"/>
        </w:rPr>
        <w:t>a loss allowance is calculated on a quarterly basis based on a review of collectability (probability of default) and available collateral (loss given default) for the asset, recorded as an adjustment to the carrying amount of the asset and recognized in other financial expenses in the income statement.</w:t>
      </w:r>
    </w:p>
    <w:p>
      <w:pPr>
        <w:spacing w:after="0" w:line="6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Financial assets measured at fair value through profit and loss</w:t>
      </w:r>
    </w:p>
    <w:p>
      <w:pPr>
        <w:spacing w:after="0" w:line="17" w:lineRule="exact"/>
        <w:rPr>
          <w:sz w:val="20"/>
          <w:szCs w:val="20"/>
          <w:color w:val="auto"/>
        </w:rPr>
      </w:pPr>
    </w:p>
    <w:p>
      <w:pPr>
        <w:ind w:right="100"/>
        <w:spacing w:after="0" w:line="262" w:lineRule="auto"/>
        <w:rPr>
          <w:sz w:val="20"/>
          <w:szCs w:val="20"/>
          <w:color w:val="auto"/>
        </w:rPr>
      </w:pPr>
      <w:r>
        <w:rPr>
          <w:rFonts w:ascii="Times New Roman" w:cs="Times New Roman" w:eastAsia="Times New Roman" w:hAnsi="Times New Roman"/>
          <w:sz w:val="11"/>
          <w:szCs w:val="11"/>
          <w:color w:val="auto"/>
        </w:rPr>
        <w:t>are assets that do not fall in either of the categories in the paragraph above . Additionally, the accounting for financial assets depends on whether the financial asset is part of a</w:t>
      </w:r>
    </w:p>
    <w:tbl>
      <w:tblPr>
        <w:tblLayout w:type="fixed"/>
        <w:tblInd w:w="0" w:type="dxa"/>
        <w:tblCellMar>
          <w:top w:w="0" w:type="dxa"/>
          <w:left w:w="0" w:type="dxa"/>
          <w:bottom w:w="0" w:type="dxa"/>
          <w:right w:w="0" w:type="dxa"/>
        </w:tblCellMar>
      </w:tblPr>
      <w:tr>
        <w:trPr>
          <w:trHeight w:val="130"/>
        </w:trPr>
        <w:tc>
          <w:tcPr>
            <w:tcW w:w="1640" w:type="dxa"/>
            <w:vAlign w:val="bottom"/>
          </w:tcPr>
          <w:p>
            <w:pPr>
              <w:spacing w:after="0"/>
              <w:rPr>
                <w:sz w:val="20"/>
                <w:szCs w:val="20"/>
                <w:color w:val="auto"/>
              </w:rPr>
            </w:pPr>
            <w:r>
              <w:rPr>
                <w:rFonts w:ascii="Times New Roman" w:cs="Times New Roman" w:eastAsia="Times New Roman" w:hAnsi="Times New Roman"/>
                <w:sz w:val="11"/>
                <w:szCs w:val="11"/>
                <w:color w:val="auto"/>
              </w:rPr>
              <w:t>hedging relationship (refer to Note</w:t>
            </w:r>
          </w:p>
        </w:tc>
        <w:tc>
          <w:tcPr>
            <w:tcW w:w="140" w:type="dxa"/>
            <w:vAlign w:val="bottom"/>
          </w:tcPr>
          <w:p>
            <w:pPr>
              <w:spacing w:after="0"/>
              <w:rPr>
                <w:sz w:val="11"/>
                <w:szCs w:val="11"/>
                <w:color w:val="auto"/>
              </w:rPr>
            </w:pPr>
          </w:p>
        </w:tc>
        <w:tc>
          <w:tcPr>
            <w:tcW w:w="1140" w:type="dxa"/>
            <w:vAlign w:val="bottom"/>
          </w:tcPr>
          <w:p>
            <w:pPr>
              <w:ind w:left="20"/>
              <w:spacing w:after="0"/>
              <w:rPr>
                <w:sz w:val="20"/>
                <w:szCs w:val="20"/>
                <w:color w:val="auto"/>
              </w:rPr>
            </w:pPr>
            <w:r>
              <w:rPr>
                <w:rFonts w:ascii="Times New Roman" w:cs="Times New Roman" w:eastAsia="Times New Roman" w:hAnsi="Times New Roman"/>
                <w:sz w:val="11"/>
                <w:szCs w:val="11"/>
                <w:color w:val="auto"/>
              </w:rPr>
              <w:t>5.3. Derivative and firm</w:t>
            </w:r>
          </w:p>
        </w:tc>
        <w:tc>
          <w:tcPr>
            <w:tcW w:w="60" w:type="dxa"/>
            <w:vAlign w:val="bottom"/>
          </w:tcPr>
          <w:p>
            <w:pPr>
              <w:spacing w:after="0"/>
              <w:rPr>
                <w:sz w:val="11"/>
                <w:szCs w:val="11"/>
                <w:color w:val="auto"/>
              </w:rPr>
            </w:pPr>
          </w:p>
        </w:tc>
      </w:tr>
      <w:tr>
        <w:trPr>
          <w:trHeight w:val="148"/>
        </w:trPr>
        <w:tc>
          <w:tcPr>
            <w:tcW w:w="1640" w:type="dxa"/>
            <w:vAlign w:val="bottom"/>
          </w:tcPr>
          <w:p>
            <w:pPr>
              <w:spacing w:after="0"/>
              <w:rPr>
                <w:sz w:val="20"/>
                <w:szCs w:val="20"/>
                <w:color w:val="auto"/>
              </w:rPr>
            </w:pPr>
            <w:r>
              <w:rPr>
                <w:rFonts w:ascii="Times New Roman" w:cs="Times New Roman" w:eastAsia="Times New Roman" w:hAnsi="Times New Roman"/>
                <w:sz w:val="11"/>
                <w:szCs w:val="11"/>
                <w:color w:val="auto"/>
              </w:rPr>
              <w:t>commitment assets and liabilities</w:t>
            </w:r>
          </w:p>
        </w:tc>
        <w:tc>
          <w:tcPr>
            <w:tcW w:w="14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w:t>
            </w:r>
          </w:p>
        </w:tc>
        <w:tc>
          <w:tcPr>
            <w:tcW w:w="1140" w:type="dxa"/>
            <w:vAlign w:val="bottom"/>
          </w:tcPr>
          <w:p>
            <w:pPr>
              <w:spacing w:after="0"/>
              <w:rPr>
                <w:sz w:val="12"/>
                <w:szCs w:val="12"/>
                <w:color w:val="auto"/>
              </w:rPr>
            </w:pPr>
          </w:p>
        </w:tc>
        <w:tc>
          <w:tcPr>
            <w:tcW w:w="60" w:type="dxa"/>
            <w:vAlign w:val="bottom"/>
          </w:tcPr>
          <w:p>
            <w:pPr>
              <w:spacing w:after="0"/>
              <w:rPr>
                <w:sz w:val="12"/>
                <w:szCs w:val="12"/>
                <w:color w:val="auto"/>
              </w:rPr>
            </w:pPr>
          </w:p>
        </w:tc>
      </w:tr>
      <w:tr>
        <w:trPr>
          <w:trHeight w:val="206"/>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All purchases and sales of financial assets are recorded on</w:t>
            </w:r>
          </w:p>
        </w:tc>
        <w:tc>
          <w:tcPr>
            <w:tcW w:w="60" w:type="dxa"/>
            <w:vAlign w:val="bottom"/>
          </w:tcPr>
          <w:p>
            <w:pPr>
              <w:spacing w:after="0"/>
              <w:rPr>
                <w:sz w:val="17"/>
                <w:szCs w:val="17"/>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trade date, i.e.   when Nokia commits to purchase or sell</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the asset. All financial assets are initially measured at fair</w:t>
            </w:r>
          </w:p>
        </w:tc>
        <w:tc>
          <w:tcPr>
            <w:tcW w:w="60" w:type="dxa"/>
            <w:vAlign w:val="bottom"/>
          </w:tcPr>
          <w:p>
            <w:pPr>
              <w:spacing w:after="0"/>
              <w:rPr>
                <w:sz w:val="11"/>
                <w:szCs w:val="11"/>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value and subsequently remeasured according to their</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classification. Subsequently, instruments classified as fair</w:t>
            </w:r>
          </w:p>
        </w:tc>
        <w:tc>
          <w:tcPr>
            <w:tcW w:w="60" w:type="dxa"/>
            <w:vAlign w:val="bottom"/>
          </w:tcPr>
          <w:p>
            <w:pPr>
              <w:spacing w:after="0"/>
              <w:rPr>
                <w:sz w:val="11"/>
                <w:szCs w:val="11"/>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value through profit or loss and instruments classified as fair</w:t>
            </w:r>
          </w:p>
        </w:tc>
        <w:tc>
          <w:tcPr>
            <w:tcW w:w="60" w:type="dxa"/>
            <w:vAlign w:val="bottom"/>
          </w:tcPr>
          <w:p>
            <w:pPr>
              <w:spacing w:after="0"/>
              <w:rPr>
                <w:sz w:val="12"/>
                <w:szCs w:val="12"/>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value through other comprehensive income are remeasured</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at fair value, while instruments classified as amortized cost</w:t>
            </w:r>
          </w:p>
        </w:tc>
        <w:tc>
          <w:tcPr>
            <w:tcW w:w="60" w:type="dxa"/>
            <w:vAlign w:val="bottom"/>
          </w:tcPr>
          <w:p>
            <w:pPr>
              <w:spacing w:after="0"/>
              <w:rPr>
                <w:sz w:val="11"/>
                <w:szCs w:val="11"/>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are remeasured using the effective interest rate method.</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For instruments classified as fair value through profit or</w:t>
            </w:r>
          </w:p>
        </w:tc>
        <w:tc>
          <w:tcPr>
            <w:tcW w:w="60" w:type="dxa"/>
            <w:vAlign w:val="bottom"/>
          </w:tcPr>
          <w:p>
            <w:pPr>
              <w:spacing w:after="0"/>
              <w:rPr>
                <w:sz w:val="11"/>
                <w:szCs w:val="11"/>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loss, the fair value adjustments and foreign exchange gains</w:t>
            </w:r>
          </w:p>
        </w:tc>
        <w:tc>
          <w:tcPr>
            <w:tcW w:w="60" w:type="dxa"/>
            <w:vAlign w:val="bottom"/>
          </w:tcPr>
          <w:p>
            <w:pPr>
              <w:spacing w:after="0"/>
              <w:rPr>
                <w:sz w:val="12"/>
                <w:szCs w:val="12"/>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and losses are recognized in the income statement either in</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other operating income and expenses or financial income</w:t>
            </w:r>
          </w:p>
        </w:tc>
        <w:tc>
          <w:tcPr>
            <w:tcW w:w="60" w:type="dxa"/>
            <w:vAlign w:val="bottom"/>
          </w:tcPr>
          <w:p>
            <w:pPr>
              <w:spacing w:after="0"/>
              <w:rPr>
                <w:sz w:val="11"/>
                <w:szCs w:val="11"/>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and expenses as determined by the purpose of the</w:t>
            </w:r>
          </w:p>
        </w:tc>
        <w:tc>
          <w:tcPr>
            <w:tcW w:w="60" w:type="dxa"/>
            <w:vAlign w:val="bottom"/>
          </w:tcPr>
          <w:p>
            <w:pPr>
              <w:spacing w:after="0"/>
              <w:rPr>
                <w:sz w:val="12"/>
                <w:szCs w:val="12"/>
                <w:color w:val="auto"/>
              </w:rPr>
            </w:pPr>
          </w:p>
        </w:tc>
      </w:tr>
      <w:tr>
        <w:trPr>
          <w:trHeight w:val="131"/>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instruments. For instruments classified as fair value throug</w:t>
            </w:r>
          </w:p>
        </w:tc>
        <w:tc>
          <w:tcPr>
            <w:tcW w:w="60" w:type="dxa"/>
            <w:vAlign w:val="bottom"/>
          </w:tcPr>
          <w:p>
            <w:pPr>
              <w:spacing w:after="0"/>
              <w:rPr>
                <w:sz w:val="20"/>
                <w:szCs w:val="20"/>
                <w:color w:val="auto"/>
              </w:rPr>
            </w:pPr>
            <w:r>
              <w:rPr>
                <w:rFonts w:ascii="Times New Roman" w:cs="Times New Roman" w:eastAsia="Times New Roman" w:hAnsi="Times New Roman"/>
                <w:sz w:val="11"/>
                <w:szCs w:val="11"/>
                <w:color w:val="auto"/>
                <w:w w:val="71"/>
              </w:rPr>
              <w:t>h</w:t>
            </w: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other comprehensive income, changes in fair value are</w:t>
            </w:r>
          </w:p>
        </w:tc>
        <w:tc>
          <w:tcPr>
            <w:tcW w:w="60" w:type="dxa"/>
            <w:vAlign w:val="bottom"/>
          </w:tcPr>
          <w:p>
            <w:pPr>
              <w:spacing w:after="0"/>
              <w:rPr>
                <w:sz w:val="12"/>
                <w:szCs w:val="12"/>
                <w:color w:val="auto"/>
              </w:rPr>
            </w:pPr>
          </w:p>
        </w:tc>
      </w:tr>
      <w:tr>
        <w:trPr>
          <w:trHeight w:val="142"/>
        </w:trPr>
        <w:tc>
          <w:tcPr>
            <w:tcW w:w="2920" w:type="dxa"/>
            <w:vAlign w:val="bottom"/>
            <w:gridSpan w:val="3"/>
          </w:tcPr>
          <w:p>
            <w:pPr>
              <w:spacing w:after="0"/>
              <w:rPr>
                <w:sz w:val="20"/>
                <w:szCs w:val="20"/>
                <w:color w:val="auto"/>
              </w:rPr>
            </w:pPr>
            <w:r>
              <w:rPr>
                <w:rFonts w:ascii="Times New Roman" w:cs="Times New Roman" w:eastAsia="Times New Roman" w:hAnsi="Times New Roman"/>
                <w:sz w:val="11"/>
                <w:szCs w:val="11"/>
                <w:color w:val="auto"/>
              </w:rPr>
              <w:t>recognized in the fair value reserve through other</w:t>
            </w:r>
          </w:p>
        </w:tc>
        <w:tc>
          <w:tcPr>
            <w:tcW w:w="60" w:type="dxa"/>
            <w:vAlign w:val="bottom"/>
          </w:tcPr>
          <w:p>
            <w:pPr>
              <w:spacing w:after="0"/>
              <w:rPr>
                <w:sz w:val="12"/>
                <w:szCs w:val="12"/>
                <w:color w:val="auto"/>
              </w:rPr>
            </w:pPr>
          </w:p>
        </w:tc>
      </w:tr>
      <w:tr>
        <w:trPr>
          <w:trHeight w:val="148"/>
        </w:trPr>
        <w:tc>
          <w:tcPr>
            <w:tcW w:w="178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comprehensive income (refer to Note</w:t>
            </w:r>
          </w:p>
        </w:tc>
        <w:tc>
          <w:tcPr>
            <w:tcW w:w="1140" w:type="dxa"/>
            <w:vAlign w:val="bottom"/>
          </w:tcPr>
          <w:p>
            <w:pPr>
              <w:ind w:left="160"/>
              <w:spacing w:after="0"/>
              <w:rPr>
                <w:sz w:val="20"/>
                <w:szCs w:val="20"/>
                <w:color w:val="auto"/>
              </w:rPr>
            </w:pPr>
            <w:r>
              <w:rPr>
                <w:rFonts w:ascii="Times New Roman" w:cs="Times New Roman" w:eastAsia="Times New Roman" w:hAnsi="Times New Roman"/>
                <w:sz w:val="11"/>
                <w:szCs w:val="11"/>
                <w:color w:val="auto"/>
              </w:rPr>
              <w:t>5.1. Equity ).</w:t>
            </w:r>
          </w:p>
        </w:tc>
        <w:tc>
          <w:tcPr>
            <w:tcW w:w="60" w:type="dxa"/>
            <w:vAlign w:val="bottom"/>
          </w:tcPr>
          <w:p>
            <w:pPr>
              <w:spacing w:after="0"/>
              <w:rPr>
                <w:sz w:val="12"/>
                <w:szCs w:val="12"/>
                <w:color w:val="auto"/>
              </w:rPr>
            </w:pPr>
          </w:p>
        </w:tc>
      </w:tr>
    </w:tbl>
    <w:p>
      <w:pPr>
        <w:spacing w:after="0" w:line="20" w:lineRule="exact"/>
        <w:rPr>
          <w:sz w:val="20"/>
          <w:szCs w:val="20"/>
          <w:color w:val="auto"/>
        </w:rPr>
      </w:pPr>
      <w:r>
        <w:rPr>
          <w:sz w:val="20"/>
          <w:szCs w:val="20"/>
          <w:color w:val="auto"/>
        </w:rPr>
        <w:br w:type="column"/>
      </w:r>
    </w:p>
    <w:p>
      <w:pPr>
        <w:spacing w:after="0" w:line="190" w:lineRule="exact"/>
        <w:rPr>
          <w:sz w:val="20"/>
          <w:szCs w:val="20"/>
          <w:color w:val="auto"/>
        </w:rPr>
      </w:pPr>
    </w:p>
    <w:p>
      <w:pPr>
        <w:ind w:right="600"/>
        <w:spacing w:after="0" w:line="269" w:lineRule="auto"/>
        <w:rPr>
          <w:sz w:val="20"/>
          <w:szCs w:val="20"/>
          <w:color w:val="auto"/>
        </w:rPr>
      </w:pPr>
      <w:r>
        <w:rPr>
          <w:rFonts w:ascii="Times New Roman" w:cs="Times New Roman" w:eastAsia="Times New Roman" w:hAnsi="Times New Roman"/>
          <w:sz w:val="11"/>
          <w:szCs w:val="11"/>
          <w:color w:val="auto"/>
        </w:rPr>
        <w:t>For instruments classified as amortized cost, interest calculated using the effective interest method, as well as foreign exchange gains and losses, are recognized in financial income and expenses in the income statement.</w:t>
      </w:r>
    </w:p>
    <w:p>
      <w:pPr>
        <w:spacing w:after="0" w:line="60" w:lineRule="exact"/>
        <w:rPr>
          <w:sz w:val="20"/>
          <w:szCs w:val="20"/>
          <w:color w:val="auto"/>
        </w:rPr>
      </w:pPr>
    </w:p>
    <w:p>
      <w:pPr>
        <w:ind w:right="480"/>
        <w:spacing w:after="0" w:line="265" w:lineRule="auto"/>
        <w:rPr>
          <w:sz w:val="20"/>
          <w:szCs w:val="20"/>
          <w:color w:val="auto"/>
        </w:rPr>
      </w:pPr>
      <w:r>
        <w:rPr>
          <w:rFonts w:ascii="Times New Roman" w:cs="Times New Roman" w:eastAsia="Times New Roman" w:hAnsi="Times New Roman"/>
          <w:sz w:val="11"/>
          <w:szCs w:val="11"/>
          <w:color w:val="auto"/>
        </w:rPr>
        <w:t>A financial asset is derecognized when substantially all the risks and rewards related to the financial asset have been transferred to a third party that assumes control of the asset. On derecognition of a financial asset, the difference between the carrying amount and the consideration received is recognized in the income statement either in other operating income and expenses or financial income and expenses as determined by the purpose of the instrument. The FIFO method is used to determine the cost basis of financial assets at amortized cost that are disposed of.</w:t>
      </w:r>
    </w:p>
    <w:p>
      <w:pPr>
        <w:spacing w:after="0" w:line="1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Financial liabilities</w:t>
      </w:r>
    </w:p>
    <w:p>
      <w:pPr>
        <w:spacing w:after="0" w:line="19" w:lineRule="exact"/>
        <w:rPr>
          <w:sz w:val="20"/>
          <w:szCs w:val="20"/>
          <w:color w:val="auto"/>
        </w:rPr>
      </w:pPr>
    </w:p>
    <w:p>
      <w:pPr>
        <w:ind w:right="420"/>
        <w:spacing w:after="0" w:line="268" w:lineRule="auto"/>
        <w:rPr>
          <w:sz w:val="20"/>
          <w:szCs w:val="20"/>
          <w:color w:val="auto"/>
        </w:rPr>
      </w:pPr>
      <w:r>
        <w:rPr>
          <w:rFonts w:ascii="Times New Roman" w:cs="Times New Roman" w:eastAsia="Times New Roman" w:hAnsi="Times New Roman"/>
          <w:sz w:val="11"/>
          <w:szCs w:val="11"/>
          <w:color w:val="auto"/>
        </w:rPr>
        <w:t>Nokia classifies its financial liabilities as financial liabilities measured at amortized cost except for derivative liabilities and the conditional obligation related to Nokia Shanghai Bell, which are classified as financial liabilities at fair value through profit and loss.</w:t>
      </w:r>
    </w:p>
    <w:p>
      <w:pPr>
        <w:spacing w:after="0" w:line="50" w:lineRule="exact"/>
        <w:rPr>
          <w:sz w:val="20"/>
          <w:szCs w:val="20"/>
          <w:color w:val="auto"/>
        </w:rPr>
      </w:pPr>
    </w:p>
    <w:p>
      <w:pPr>
        <w:ind w:right="260"/>
        <w:spacing w:after="0" w:line="275" w:lineRule="auto"/>
        <w:rPr>
          <w:sz w:val="20"/>
          <w:szCs w:val="20"/>
          <w:color w:val="auto"/>
        </w:rPr>
      </w:pPr>
      <w:r>
        <w:rPr>
          <w:rFonts w:ascii="Times New Roman" w:cs="Times New Roman" w:eastAsia="Times New Roman" w:hAnsi="Times New Roman"/>
          <w:sz w:val="11"/>
          <w:szCs w:val="11"/>
          <w:color w:val="auto"/>
        </w:rPr>
        <w:t>All financial liabilities are initially recognized at fair value and, in the case of borrowings and payables, net of transaction costs. Financial liabilities are subsequently remeasured according to their classification.</w:t>
      </w:r>
    </w:p>
    <w:p>
      <w:pPr>
        <w:spacing w:after="0" w:line="57"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For financial liabilities measured at amortized cost, interest calculated using the effective interest method, as well as foreign exchange gains and losses, are recognized in financial income and expenses in the income statement.</w:t>
      </w:r>
    </w:p>
    <w:p>
      <w:pPr>
        <w:spacing w:after="0" w:line="60" w:lineRule="exact"/>
        <w:rPr>
          <w:sz w:val="20"/>
          <w:szCs w:val="20"/>
          <w:color w:val="auto"/>
        </w:rPr>
      </w:pPr>
    </w:p>
    <w:p>
      <w:pPr>
        <w:ind w:right="180"/>
        <w:spacing w:after="0" w:line="263" w:lineRule="auto"/>
        <w:rPr>
          <w:sz w:val="20"/>
          <w:szCs w:val="20"/>
          <w:color w:val="auto"/>
        </w:rPr>
      </w:pPr>
      <w:r>
        <w:rPr>
          <w:rFonts w:ascii="Times New Roman" w:cs="Times New Roman" w:eastAsia="Times New Roman" w:hAnsi="Times New Roman"/>
          <w:sz w:val="11"/>
          <w:szCs w:val="11"/>
          <w:color w:val="auto"/>
        </w:rPr>
        <w:t>Financial liabilities are derecognized when the related obligation is discharged, canceled or expired . Additionally, a substantial modification of the terms of an existing financial liability is accounted for as a derecognition of the original financial liability and the recognition of a new financial liability. On derecognition of a financial liability, the difference between the carrying amount extinguished and</w:t>
      </w:r>
    </w:p>
    <w:p>
      <w:pPr>
        <w:spacing w:after="0" w:line="2" w:lineRule="exact"/>
        <w:rPr>
          <w:sz w:val="20"/>
          <w:szCs w:val="20"/>
          <w:color w:val="auto"/>
        </w:rPr>
      </w:pPr>
    </w:p>
    <w:p>
      <w:pPr>
        <w:ind w:right="500"/>
        <w:spacing w:after="0" w:line="286" w:lineRule="auto"/>
        <w:rPr>
          <w:sz w:val="20"/>
          <w:szCs w:val="20"/>
          <w:color w:val="auto"/>
        </w:rPr>
      </w:pPr>
      <w:r>
        <w:rPr>
          <w:rFonts w:ascii="Times New Roman" w:cs="Times New Roman" w:eastAsia="Times New Roman" w:hAnsi="Times New Roman"/>
          <w:sz w:val="11"/>
          <w:szCs w:val="11"/>
          <w:color w:val="auto"/>
        </w:rPr>
        <w:t>the consideration paid is recognized in financial income or expenses in the income statement.</w:t>
      </w:r>
    </w:p>
    <w:p>
      <w:pPr>
        <w:spacing w:after="0" w:line="299" w:lineRule="exact"/>
        <w:rPr>
          <w:sz w:val="20"/>
          <w:szCs w:val="20"/>
          <w:color w:val="auto"/>
        </w:rPr>
      </w:pPr>
    </w:p>
    <w:p>
      <w:pPr>
        <w:sectPr>
          <w:pgSz w:w="11900" w:h="16838" w:orient="portrait"/>
          <w:cols w:equalWidth="0" w:num="3">
            <w:col w:w="2980" w:space="420"/>
            <w:col w:w="2980" w:space="420"/>
            <w:col w:w="318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193" w:name="page194"/>
    <w:bookmarkEnd w:id="193"/>
    <w:tbl>
      <w:tblPr>
        <w:tblLayout w:type="fixed"/>
        <w:tblInd w:w="0" w:type="dxa"/>
        <w:tblCellMar>
          <w:top w:w="0" w:type="dxa"/>
          <w:left w:w="0" w:type="dxa"/>
          <w:bottom w:w="0" w:type="dxa"/>
          <w:right w:w="0" w:type="dxa"/>
        </w:tblCellMar>
      </w:tblPr>
      <w:tr>
        <w:trPr>
          <w:trHeight w:val="111"/>
        </w:trPr>
        <w:tc>
          <w:tcPr>
            <w:tcW w:w="78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7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Corporate</w:t>
            </w:r>
          </w:p>
        </w:tc>
        <w:tc>
          <w:tcPr>
            <w:tcW w:w="360" w:type="dxa"/>
            <w:vAlign w:val="bottom"/>
          </w:tcPr>
          <w:p>
            <w:pPr>
              <w:spacing w:after="0"/>
              <w:rPr>
                <w:sz w:val="9"/>
                <w:szCs w:val="9"/>
                <w:color w:val="auto"/>
              </w:rPr>
            </w:pPr>
          </w:p>
        </w:tc>
        <w:tc>
          <w:tcPr>
            <w:tcW w:w="130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auto"/>
              </w:rPr>
              <w:t>Operating and financial</w:t>
            </w:r>
          </w:p>
        </w:tc>
        <w:tc>
          <w:tcPr>
            <w:tcW w:w="860" w:type="dxa"/>
            <w:vAlign w:val="bottom"/>
            <w:gridSpan w:val="2"/>
          </w:tcPr>
          <w:p>
            <w:pPr>
              <w:ind w:left="180"/>
              <w:spacing w:after="0"/>
              <w:rPr>
                <w:sz w:val="20"/>
                <w:szCs w:val="20"/>
                <w:color w:val="auto"/>
              </w:rPr>
            </w:pPr>
            <w:r>
              <w:rPr>
                <w:rFonts w:ascii="Times New Roman" w:cs="Times New Roman" w:eastAsia="Times New Roman" w:hAnsi="Times New Roman"/>
                <w:sz w:val="9"/>
                <w:szCs w:val="9"/>
                <w:color w:val="auto"/>
              </w:rPr>
              <w:t>General facts</w:t>
            </w:r>
          </w:p>
        </w:tc>
        <w:tc>
          <w:tcPr>
            <w:tcW w:w="380" w:type="dxa"/>
            <w:vAlign w:val="bottom"/>
          </w:tcPr>
          <w:p>
            <w:pPr>
              <w:spacing w:after="0"/>
              <w:rPr>
                <w:sz w:val="9"/>
                <w:szCs w:val="9"/>
                <w:color w:val="auto"/>
              </w:rPr>
            </w:pPr>
          </w:p>
        </w:tc>
        <w:tc>
          <w:tcPr>
            <w:tcW w:w="20" w:type="dxa"/>
            <w:vAlign w:val="bottom"/>
          </w:tcPr>
          <w:p>
            <w:pPr>
              <w:spacing w:after="0"/>
              <w:rPr>
                <w:sz w:val="9"/>
                <w:szCs w:val="9"/>
                <w:color w:val="auto"/>
              </w:rPr>
            </w:pPr>
          </w:p>
        </w:tc>
        <w:tc>
          <w:tcPr>
            <w:tcW w:w="720" w:type="dxa"/>
            <w:vAlign w:val="bottom"/>
            <w:gridSpan w:val="4"/>
          </w:tcPr>
          <w:p>
            <w:pPr>
              <w:spacing w:after="0"/>
              <w:rPr>
                <w:sz w:val="20"/>
                <w:szCs w:val="20"/>
                <w:color w:val="auto"/>
              </w:rPr>
            </w:pPr>
            <w:r>
              <w:rPr>
                <w:rFonts w:ascii="Times New Roman" w:cs="Times New Roman" w:eastAsia="Times New Roman" w:hAnsi="Times New Roman"/>
                <w:sz w:val="9"/>
                <w:szCs w:val="9"/>
                <w:color w:val="005AFF"/>
              </w:rPr>
              <w:t>Financial</w:t>
            </w:r>
          </w:p>
        </w:tc>
        <w:tc>
          <w:tcPr>
            <w:tcW w:w="560" w:type="dxa"/>
            <w:vAlign w:val="bottom"/>
          </w:tcPr>
          <w:p>
            <w:pPr>
              <w:ind w:left="300"/>
              <w:spacing w:after="0"/>
              <w:rPr>
                <w:sz w:val="20"/>
                <w:szCs w:val="20"/>
                <w:color w:val="auto"/>
              </w:rPr>
            </w:pPr>
            <w:r>
              <w:rPr>
                <w:rFonts w:ascii="Times New Roman" w:cs="Times New Roman" w:eastAsia="Times New Roman" w:hAnsi="Times New Roman"/>
                <w:sz w:val="9"/>
                <w:szCs w:val="9"/>
                <w:color w:val="auto"/>
              </w:rPr>
              <w:t>Other</w:t>
            </w:r>
          </w:p>
        </w:tc>
        <w:tc>
          <w:tcPr>
            <w:tcW w:w="40" w:type="dxa"/>
            <w:vAlign w:val="bottom"/>
          </w:tcPr>
          <w:p>
            <w:pPr>
              <w:spacing w:after="0"/>
              <w:rPr>
                <w:sz w:val="9"/>
                <w:szCs w:val="9"/>
                <w:color w:val="auto"/>
              </w:rPr>
            </w:pPr>
          </w:p>
        </w:tc>
        <w:tc>
          <w:tcPr>
            <w:tcW w:w="540" w:type="dxa"/>
            <w:vAlign w:val="bottom"/>
          </w:tcPr>
          <w:p>
            <w:pPr>
              <w:spacing w:after="0"/>
              <w:rPr>
                <w:sz w:val="9"/>
                <w:szCs w:val="9"/>
                <w:color w:val="auto"/>
              </w:rPr>
            </w:pPr>
          </w:p>
        </w:tc>
        <w:tc>
          <w:tcPr>
            <w:tcW w:w="660" w:type="dxa"/>
            <w:vAlign w:val="bottom"/>
          </w:tcPr>
          <w:p>
            <w:pPr>
              <w:spacing w:after="0"/>
              <w:rPr>
                <w:sz w:val="9"/>
                <w:szCs w:val="9"/>
                <w:color w:val="auto"/>
              </w:rPr>
            </w:pPr>
          </w:p>
        </w:tc>
        <w:tc>
          <w:tcPr>
            <w:tcW w:w="480" w:type="dxa"/>
            <w:vAlign w:val="bottom"/>
          </w:tcPr>
          <w:p>
            <w:pPr>
              <w:spacing w:after="0"/>
              <w:rPr>
                <w:sz w:val="9"/>
                <w:szCs w:val="9"/>
                <w:color w:val="auto"/>
              </w:rPr>
            </w:pPr>
          </w:p>
        </w:tc>
        <w:tc>
          <w:tcPr>
            <w:tcW w:w="440" w:type="dxa"/>
            <w:vAlign w:val="bottom"/>
          </w:tcPr>
          <w:p>
            <w:pPr>
              <w:spacing w:after="0"/>
              <w:rPr>
                <w:sz w:val="9"/>
                <w:szCs w:val="9"/>
                <w:color w:val="auto"/>
              </w:rPr>
            </w:pPr>
          </w:p>
        </w:tc>
        <w:tc>
          <w:tcPr>
            <w:tcW w:w="360" w:type="dxa"/>
            <w:vAlign w:val="bottom"/>
          </w:tcPr>
          <w:p>
            <w:pPr>
              <w:spacing w:after="0"/>
              <w:rPr>
                <w:sz w:val="9"/>
                <w:szCs w:val="9"/>
                <w:color w:val="auto"/>
              </w:rPr>
            </w:pPr>
          </w:p>
        </w:tc>
        <w:tc>
          <w:tcPr>
            <w:tcW w:w="40" w:type="dxa"/>
            <w:vAlign w:val="bottom"/>
          </w:tcPr>
          <w:p>
            <w:pPr>
              <w:spacing w:after="0"/>
              <w:rPr>
                <w:sz w:val="9"/>
                <w:szCs w:val="9"/>
                <w:color w:val="auto"/>
              </w:rPr>
            </w:pPr>
          </w:p>
        </w:tc>
        <w:tc>
          <w:tcPr>
            <w:tcW w:w="640" w:type="dxa"/>
            <w:vAlign w:val="bottom"/>
          </w:tcPr>
          <w:p>
            <w:pPr>
              <w:spacing w:after="0"/>
              <w:rPr>
                <w:sz w:val="9"/>
                <w:szCs w:val="9"/>
                <w:color w:val="auto"/>
              </w:rPr>
            </w:pPr>
          </w:p>
        </w:tc>
        <w:tc>
          <w:tcPr>
            <w:tcW w:w="560" w:type="dxa"/>
            <w:vAlign w:val="bottom"/>
          </w:tcPr>
          <w:p>
            <w:pPr>
              <w:spacing w:after="0"/>
              <w:rPr>
                <w:sz w:val="9"/>
                <w:szCs w:val="9"/>
                <w:color w:val="auto"/>
              </w:rPr>
            </w:pPr>
          </w:p>
        </w:tc>
        <w:tc>
          <w:tcPr>
            <w:tcW w:w="40" w:type="dxa"/>
            <w:vAlign w:val="bottom"/>
          </w:tcPr>
          <w:p>
            <w:pPr>
              <w:spacing w:after="0"/>
              <w:rPr>
                <w:sz w:val="9"/>
                <w:szCs w:val="9"/>
                <w:color w:val="auto"/>
              </w:rPr>
            </w:pPr>
          </w:p>
        </w:tc>
        <w:tc>
          <w:tcPr>
            <w:tcW w:w="520" w:type="dxa"/>
            <w:vAlign w:val="bottom"/>
            <w:vMerge w:val="restart"/>
          </w:tcPr>
          <w:p>
            <w:pPr>
              <w:jc w:val="center"/>
              <w:ind w:left="90"/>
              <w:spacing w:after="0"/>
              <w:rPr>
                <w:sz w:val="20"/>
                <w:szCs w:val="20"/>
                <w:color w:val="auto"/>
              </w:rPr>
            </w:pPr>
            <w:r>
              <w:rPr>
                <w:rFonts w:ascii="Times New Roman" w:cs="Times New Roman" w:eastAsia="Times New Roman" w:hAnsi="Times New Roman"/>
                <w:sz w:val="12"/>
                <w:szCs w:val="12"/>
                <w:color w:val="auto"/>
                <w:w w:val="99"/>
              </w:rPr>
              <w:t>186</w:t>
            </w:r>
          </w:p>
        </w:tc>
        <w:tc>
          <w:tcPr>
            <w:tcW w:w="0" w:type="dxa"/>
            <w:vAlign w:val="bottom"/>
          </w:tcPr>
          <w:p>
            <w:pPr>
              <w:spacing w:after="0"/>
              <w:rPr>
                <w:sz w:val="1"/>
                <w:szCs w:val="1"/>
                <w:color w:val="auto"/>
              </w:rPr>
            </w:pPr>
          </w:p>
        </w:tc>
      </w:tr>
      <w:tr>
        <w:trPr>
          <w:trHeight w:val="130"/>
        </w:trPr>
        <w:tc>
          <w:tcPr>
            <w:tcW w:w="78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78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governance</w:t>
            </w:r>
          </w:p>
        </w:tc>
        <w:tc>
          <w:tcPr>
            <w:tcW w:w="360" w:type="dxa"/>
            <w:vAlign w:val="bottom"/>
          </w:tcPr>
          <w:p>
            <w:pPr>
              <w:spacing w:after="0"/>
              <w:rPr>
                <w:sz w:val="11"/>
                <w:szCs w:val="11"/>
                <w:color w:val="auto"/>
              </w:rPr>
            </w:pPr>
          </w:p>
        </w:tc>
        <w:tc>
          <w:tcPr>
            <w:tcW w:w="1300" w:type="dxa"/>
            <w:vAlign w:val="bottom"/>
            <w:gridSpan w:val="2"/>
          </w:tcPr>
          <w:p>
            <w:pPr>
              <w:ind w:left="20"/>
              <w:spacing w:after="0"/>
              <w:rPr>
                <w:sz w:val="20"/>
                <w:szCs w:val="20"/>
                <w:color w:val="auto"/>
              </w:rPr>
            </w:pPr>
            <w:r>
              <w:rPr>
                <w:rFonts w:ascii="Times New Roman" w:cs="Times New Roman" w:eastAsia="Times New Roman" w:hAnsi="Times New Roman"/>
                <w:sz w:val="9"/>
                <w:szCs w:val="9"/>
                <w:color w:val="auto"/>
              </w:rPr>
              <w:t>review and prospects</w:t>
            </w:r>
          </w:p>
        </w:tc>
        <w:tc>
          <w:tcPr>
            <w:tcW w:w="540" w:type="dxa"/>
            <w:vAlign w:val="bottom"/>
          </w:tcPr>
          <w:p>
            <w:pPr>
              <w:ind w:left="180"/>
              <w:spacing w:after="0"/>
              <w:rPr>
                <w:sz w:val="20"/>
                <w:szCs w:val="20"/>
                <w:color w:val="auto"/>
              </w:rPr>
            </w:pPr>
            <w:r>
              <w:rPr>
                <w:rFonts w:ascii="Times New Roman" w:cs="Times New Roman" w:eastAsia="Times New Roman" w:hAnsi="Times New Roman"/>
                <w:sz w:val="9"/>
                <w:szCs w:val="9"/>
                <w:color w:val="auto"/>
              </w:rPr>
              <w:t>on Nokia</w:t>
            </w:r>
          </w:p>
        </w:tc>
        <w:tc>
          <w:tcPr>
            <w:tcW w:w="320" w:type="dxa"/>
            <w:vAlign w:val="bottom"/>
          </w:tcPr>
          <w:p>
            <w:pPr>
              <w:spacing w:after="0"/>
              <w:rPr>
                <w:sz w:val="11"/>
                <w:szCs w:val="11"/>
                <w:color w:val="auto"/>
              </w:rPr>
            </w:pPr>
          </w:p>
        </w:tc>
        <w:tc>
          <w:tcPr>
            <w:tcW w:w="380" w:type="dxa"/>
            <w:vAlign w:val="bottom"/>
          </w:tcPr>
          <w:p>
            <w:pPr>
              <w:spacing w:after="0"/>
              <w:rPr>
                <w:sz w:val="11"/>
                <w:szCs w:val="11"/>
                <w:color w:val="auto"/>
              </w:rPr>
            </w:pPr>
          </w:p>
        </w:tc>
        <w:tc>
          <w:tcPr>
            <w:tcW w:w="20" w:type="dxa"/>
            <w:vAlign w:val="bottom"/>
          </w:tcPr>
          <w:p>
            <w:pPr>
              <w:spacing w:after="0"/>
              <w:rPr>
                <w:sz w:val="11"/>
                <w:szCs w:val="11"/>
                <w:color w:val="auto"/>
              </w:rPr>
            </w:pPr>
          </w:p>
        </w:tc>
        <w:tc>
          <w:tcPr>
            <w:tcW w:w="720" w:type="dxa"/>
            <w:vAlign w:val="bottom"/>
            <w:gridSpan w:val="4"/>
          </w:tcPr>
          <w:p>
            <w:pPr>
              <w:spacing w:after="0"/>
              <w:rPr>
                <w:sz w:val="20"/>
                <w:szCs w:val="20"/>
                <w:color w:val="auto"/>
              </w:rPr>
            </w:pPr>
            <w:r>
              <w:rPr>
                <w:rFonts w:ascii="Times New Roman" w:cs="Times New Roman" w:eastAsia="Times New Roman" w:hAnsi="Times New Roman"/>
                <w:sz w:val="9"/>
                <w:szCs w:val="9"/>
                <w:color w:val="005AFF"/>
              </w:rPr>
              <w:t>statements</w:t>
            </w:r>
          </w:p>
        </w:tc>
        <w:tc>
          <w:tcPr>
            <w:tcW w:w="1140" w:type="dxa"/>
            <w:vAlign w:val="bottom"/>
            <w:gridSpan w:val="3"/>
          </w:tcPr>
          <w:p>
            <w:pPr>
              <w:ind w:left="300"/>
              <w:spacing w:after="0"/>
              <w:rPr>
                <w:sz w:val="20"/>
                <w:szCs w:val="20"/>
                <w:color w:val="auto"/>
              </w:rPr>
            </w:pPr>
            <w:r>
              <w:rPr>
                <w:rFonts w:ascii="Times New Roman" w:cs="Times New Roman" w:eastAsia="Times New Roman" w:hAnsi="Times New Roman"/>
                <w:sz w:val="9"/>
                <w:szCs w:val="9"/>
                <w:color w:val="auto"/>
              </w:rPr>
              <w:t>information</w:t>
            </w:r>
          </w:p>
        </w:tc>
        <w:tc>
          <w:tcPr>
            <w:tcW w:w="66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44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5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60" w:type="dxa"/>
            <w:vAlign w:val="bottom"/>
            <w:gridSpan w:val="4"/>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660" w:type="dxa"/>
            <w:vAlign w:val="bottom"/>
            <w:vMerge w:val="restart"/>
          </w:tcPr>
          <w:p>
            <w:pPr>
              <w:jc w:val="right"/>
              <w:ind w:right="49"/>
              <w:spacing w:after="0"/>
              <w:rPr>
                <w:sz w:val="20"/>
                <w:szCs w:val="20"/>
                <w:color w:val="auto"/>
              </w:rPr>
            </w:pPr>
            <w:r>
              <w:rPr>
                <w:rFonts w:ascii="Times New Roman" w:cs="Times New Roman" w:eastAsia="Times New Roman" w:hAnsi="Times New Roman"/>
                <w:sz w:val="13"/>
                <w:szCs w:val="13"/>
                <w:color w:val="005AFF"/>
              </w:rPr>
              <w:t>continued</w:t>
            </w:r>
          </w:p>
        </w:tc>
        <w:tc>
          <w:tcPr>
            <w:tcW w:w="540" w:type="dxa"/>
            <w:vAlign w:val="bottom"/>
          </w:tcPr>
          <w:p>
            <w:pPr>
              <w:spacing w:after="0"/>
              <w:rPr>
                <w:sz w:val="3"/>
                <w:szCs w:val="3"/>
                <w:color w:val="auto"/>
              </w:rPr>
            </w:pPr>
          </w:p>
        </w:tc>
        <w:tc>
          <w:tcPr>
            <w:tcW w:w="320" w:type="dxa"/>
            <w:vAlign w:val="bottom"/>
          </w:tcPr>
          <w:p>
            <w:pPr>
              <w:spacing w:after="0"/>
              <w:rPr>
                <w:sz w:val="3"/>
                <w:szCs w:val="3"/>
                <w:color w:val="auto"/>
              </w:rPr>
            </w:pPr>
          </w:p>
        </w:tc>
        <w:tc>
          <w:tcPr>
            <w:tcW w:w="380" w:type="dxa"/>
            <w:vAlign w:val="bottom"/>
          </w:tcPr>
          <w:p>
            <w:pPr>
              <w:spacing w:after="0"/>
              <w:rPr>
                <w:sz w:val="3"/>
                <w:szCs w:val="3"/>
                <w:color w:val="auto"/>
              </w:rPr>
            </w:pPr>
          </w:p>
        </w:tc>
        <w:tc>
          <w:tcPr>
            <w:tcW w:w="20" w:type="dxa"/>
            <w:vAlign w:val="bottom"/>
            <w:tcBorders>
              <w:bottom w:val="single" w:sz="8" w:color="005AFF"/>
            </w:tcBorders>
          </w:tcPr>
          <w:p>
            <w:pPr>
              <w:spacing w:after="0"/>
              <w:rPr>
                <w:sz w:val="3"/>
                <w:szCs w:val="3"/>
                <w:color w:val="auto"/>
              </w:rPr>
            </w:pPr>
          </w:p>
        </w:tc>
        <w:tc>
          <w:tcPr>
            <w:tcW w:w="40" w:type="dxa"/>
            <w:vAlign w:val="bottom"/>
            <w:tcBorders>
              <w:bottom w:val="single" w:sz="8" w:color="005AFF"/>
            </w:tcBorders>
          </w:tcPr>
          <w:p>
            <w:pPr>
              <w:spacing w:after="0"/>
              <w:rPr>
                <w:sz w:val="3"/>
                <w:szCs w:val="3"/>
                <w:color w:val="auto"/>
              </w:rPr>
            </w:pPr>
          </w:p>
        </w:tc>
        <w:tc>
          <w:tcPr>
            <w:tcW w:w="40" w:type="dxa"/>
            <w:vAlign w:val="bottom"/>
            <w:tcBorders>
              <w:bottom w:val="single" w:sz="8" w:color="005AFF"/>
            </w:tcBorders>
          </w:tcPr>
          <w:p>
            <w:pPr>
              <w:spacing w:after="0"/>
              <w:rPr>
                <w:sz w:val="3"/>
                <w:szCs w:val="3"/>
                <w:color w:val="auto"/>
              </w:rPr>
            </w:pPr>
          </w:p>
        </w:tc>
        <w:tc>
          <w:tcPr>
            <w:tcW w:w="440" w:type="dxa"/>
            <w:vAlign w:val="bottom"/>
            <w:tcBorders>
              <w:bottom w:val="single" w:sz="8" w:color="005AFF"/>
            </w:tcBorders>
          </w:tcPr>
          <w:p>
            <w:pPr>
              <w:spacing w:after="0"/>
              <w:rPr>
                <w:sz w:val="3"/>
                <w:szCs w:val="3"/>
                <w:color w:val="auto"/>
              </w:rPr>
            </w:pPr>
          </w:p>
        </w:tc>
        <w:tc>
          <w:tcPr>
            <w:tcW w:w="200" w:type="dxa"/>
            <w:vAlign w:val="bottom"/>
          </w:tcPr>
          <w:p>
            <w:pPr>
              <w:spacing w:after="0"/>
              <w:rPr>
                <w:sz w:val="3"/>
                <w:szCs w:val="3"/>
                <w:color w:val="auto"/>
              </w:rPr>
            </w:pPr>
          </w:p>
        </w:tc>
        <w:tc>
          <w:tcPr>
            <w:tcW w:w="560" w:type="dxa"/>
            <w:vAlign w:val="bottom"/>
          </w:tcPr>
          <w:p>
            <w:pPr>
              <w:spacing w:after="0"/>
              <w:rPr>
                <w:sz w:val="3"/>
                <w:szCs w:val="3"/>
                <w:color w:val="auto"/>
              </w:rPr>
            </w:pPr>
          </w:p>
        </w:tc>
        <w:tc>
          <w:tcPr>
            <w:tcW w:w="40" w:type="dxa"/>
            <w:vAlign w:val="bottom"/>
          </w:tcPr>
          <w:p>
            <w:pPr>
              <w:spacing w:after="0"/>
              <w:rPr>
                <w:sz w:val="3"/>
                <w:szCs w:val="3"/>
                <w:color w:val="auto"/>
              </w:rPr>
            </w:pPr>
          </w:p>
        </w:tc>
        <w:tc>
          <w:tcPr>
            <w:tcW w:w="540" w:type="dxa"/>
            <w:vAlign w:val="bottom"/>
          </w:tcPr>
          <w:p>
            <w:pPr>
              <w:spacing w:after="0"/>
              <w:rPr>
                <w:sz w:val="3"/>
                <w:szCs w:val="3"/>
                <w:color w:val="auto"/>
              </w:rPr>
            </w:pPr>
          </w:p>
        </w:tc>
        <w:tc>
          <w:tcPr>
            <w:tcW w:w="660" w:type="dxa"/>
            <w:vAlign w:val="bottom"/>
          </w:tcPr>
          <w:p>
            <w:pPr>
              <w:spacing w:after="0"/>
              <w:rPr>
                <w:sz w:val="3"/>
                <w:szCs w:val="3"/>
                <w:color w:val="auto"/>
              </w:rPr>
            </w:pPr>
          </w:p>
        </w:tc>
        <w:tc>
          <w:tcPr>
            <w:tcW w:w="480" w:type="dxa"/>
            <w:vAlign w:val="bottom"/>
          </w:tcPr>
          <w:p>
            <w:pPr>
              <w:spacing w:after="0"/>
              <w:rPr>
                <w:sz w:val="3"/>
                <w:szCs w:val="3"/>
                <w:color w:val="auto"/>
              </w:rPr>
            </w:pPr>
          </w:p>
        </w:tc>
        <w:tc>
          <w:tcPr>
            <w:tcW w:w="440" w:type="dxa"/>
            <w:vAlign w:val="bottom"/>
          </w:tcPr>
          <w:p>
            <w:pPr>
              <w:spacing w:after="0"/>
              <w:rPr>
                <w:sz w:val="3"/>
                <w:szCs w:val="3"/>
                <w:color w:val="auto"/>
              </w:rPr>
            </w:pPr>
          </w:p>
        </w:tc>
        <w:tc>
          <w:tcPr>
            <w:tcW w:w="360" w:type="dxa"/>
            <w:vAlign w:val="bottom"/>
          </w:tcPr>
          <w:p>
            <w:pPr>
              <w:spacing w:after="0"/>
              <w:rPr>
                <w:sz w:val="3"/>
                <w:szCs w:val="3"/>
                <w:color w:val="auto"/>
              </w:rPr>
            </w:pPr>
          </w:p>
        </w:tc>
        <w:tc>
          <w:tcPr>
            <w:tcW w:w="40" w:type="dxa"/>
            <w:vAlign w:val="bottom"/>
          </w:tcPr>
          <w:p>
            <w:pPr>
              <w:spacing w:after="0"/>
              <w:rPr>
                <w:sz w:val="3"/>
                <w:szCs w:val="3"/>
                <w:color w:val="auto"/>
              </w:rPr>
            </w:pPr>
          </w:p>
        </w:tc>
        <w:tc>
          <w:tcPr>
            <w:tcW w:w="640" w:type="dxa"/>
            <w:vAlign w:val="bottom"/>
          </w:tcPr>
          <w:p>
            <w:pPr>
              <w:spacing w:after="0"/>
              <w:rPr>
                <w:sz w:val="3"/>
                <w:szCs w:val="3"/>
                <w:color w:val="auto"/>
              </w:rPr>
            </w:pPr>
          </w:p>
        </w:tc>
        <w:tc>
          <w:tcPr>
            <w:tcW w:w="560" w:type="dxa"/>
            <w:vAlign w:val="bottom"/>
          </w:tcPr>
          <w:p>
            <w:pPr>
              <w:spacing w:after="0"/>
              <w:rPr>
                <w:sz w:val="3"/>
                <w:szCs w:val="3"/>
                <w:color w:val="auto"/>
              </w:rPr>
            </w:pPr>
          </w:p>
        </w:tc>
        <w:tc>
          <w:tcPr>
            <w:tcW w:w="40" w:type="dxa"/>
            <w:vAlign w:val="bottom"/>
          </w:tcPr>
          <w:p>
            <w:pPr>
              <w:spacing w:after="0"/>
              <w:rPr>
                <w:sz w:val="3"/>
                <w:szCs w:val="3"/>
                <w:color w:val="auto"/>
              </w:rPr>
            </w:pPr>
          </w:p>
        </w:tc>
        <w:tc>
          <w:tcPr>
            <w:tcW w:w="5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60" w:type="dxa"/>
            <w:vAlign w:val="bottom"/>
            <w:gridSpan w:val="4"/>
            <w:vMerge w:val="continue"/>
          </w:tcPr>
          <w:p>
            <w:pPr>
              <w:spacing w:after="0"/>
              <w:rPr>
                <w:sz w:val="24"/>
                <w:szCs w:val="24"/>
                <w:color w:val="auto"/>
              </w:rPr>
            </w:pPr>
          </w:p>
        </w:tc>
        <w:tc>
          <w:tcPr>
            <w:tcW w:w="660" w:type="dxa"/>
            <w:vAlign w:val="bottom"/>
            <w:vMerge w:val="continue"/>
          </w:tcPr>
          <w:p>
            <w:pPr>
              <w:spacing w:after="0"/>
              <w:rPr>
                <w:sz w:val="24"/>
                <w:szCs w:val="24"/>
                <w:color w:val="auto"/>
              </w:rPr>
            </w:pPr>
          </w:p>
        </w:tc>
        <w:tc>
          <w:tcPr>
            <w:tcW w:w="540" w:type="dxa"/>
            <w:vAlign w:val="bottom"/>
          </w:tcPr>
          <w:p>
            <w:pPr>
              <w:spacing w:after="0"/>
              <w:rPr>
                <w:sz w:val="24"/>
                <w:szCs w:val="24"/>
                <w:color w:val="auto"/>
              </w:rPr>
            </w:pPr>
          </w:p>
        </w:tc>
        <w:tc>
          <w:tcPr>
            <w:tcW w:w="320" w:type="dxa"/>
            <w:vAlign w:val="bottom"/>
          </w:tcPr>
          <w:p>
            <w:pPr>
              <w:spacing w:after="0"/>
              <w:rPr>
                <w:sz w:val="24"/>
                <w:szCs w:val="24"/>
                <w:color w:val="auto"/>
              </w:rPr>
            </w:pPr>
          </w:p>
        </w:tc>
        <w:tc>
          <w:tcPr>
            <w:tcW w:w="38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1920" w:type="dxa"/>
            <w:vAlign w:val="bottom"/>
            <w:gridSpan w:val="3"/>
          </w:tcPr>
          <w:p>
            <w:pPr>
              <w:spacing w:after="0"/>
              <w:rPr>
                <w:sz w:val="20"/>
                <w:szCs w:val="20"/>
                <w:color w:val="auto"/>
              </w:rPr>
            </w:pPr>
            <w:r>
              <w:rPr>
                <w:rFonts w:ascii="Times New Roman" w:cs="Times New Roman" w:eastAsia="Times New Roman" w:hAnsi="Times New Roman"/>
                <w:sz w:val="13"/>
                <w:szCs w:val="13"/>
                <w:color w:val="auto"/>
              </w:rPr>
              <w:t>Fair value of financial instruments</w:t>
            </w:r>
          </w:p>
        </w:tc>
        <w:tc>
          <w:tcPr>
            <w:tcW w:w="64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320" w:type="dxa"/>
            <w:vAlign w:val="bottom"/>
          </w:tcPr>
          <w:p>
            <w:pPr>
              <w:spacing w:after="0"/>
              <w:rPr>
                <w:sz w:val="24"/>
                <w:szCs w:val="24"/>
                <w:color w:val="auto"/>
              </w:rPr>
            </w:pPr>
          </w:p>
        </w:tc>
        <w:tc>
          <w:tcPr>
            <w:tcW w:w="380" w:type="dxa"/>
            <w:vAlign w:val="bottom"/>
          </w:tcPr>
          <w:p>
            <w:pPr>
              <w:spacing w:after="0"/>
              <w:rPr>
                <w:sz w:val="24"/>
                <w:szCs w:val="24"/>
                <w:color w:val="auto"/>
              </w:rPr>
            </w:pPr>
          </w:p>
        </w:tc>
        <w:tc>
          <w:tcPr>
            <w:tcW w:w="2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20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660" w:type="dxa"/>
            <w:vAlign w:val="bottom"/>
          </w:tcPr>
          <w:p>
            <w:pPr>
              <w:spacing w:after="0"/>
              <w:rPr>
                <w:sz w:val="24"/>
                <w:szCs w:val="24"/>
                <w:color w:val="auto"/>
              </w:rPr>
            </w:pPr>
          </w:p>
        </w:tc>
        <w:tc>
          <w:tcPr>
            <w:tcW w:w="48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3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640" w:type="dxa"/>
            <w:vAlign w:val="bottom"/>
          </w:tcPr>
          <w:p>
            <w:pPr>
              <w:spacing w:after="0"/>
              <w:rPr>
                <w:sz w:val="24"/>
                <w:szCs w:val="24"/>
                <w:color w:val="auto"/>
              </w:rPr>
            </w:pPr>
          </w:p>
        </w:tc>
        <w:tc>
          <w:tcPr>
            <w:tcW w:w="5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5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79"/>
        </w:trPr>
        <w:tc>
          <w:tcPr>
            <w:tcW w:w="780" w:type="dxa"/>
            <w:vAlign w:val="bottom"/>
          </w:tcPr>
          <w:p>
            <w:pPr>
              <w:spacing w:after="0"/>
              <w:rPr>
                <w:sz w:val="15"/>
                <w:szCs w:val="15"/>
                <w:color w:val="auto"/>
              </w:rPr>
            </w:pPr>
          </w:p>
        </w:tc>
        <w:tc>
          <w:tcPr>
            <w:tcW w:w="780" w:type="dxa"/>
            <w:vAlign w:val="bottom"/>
          </w:tcPr>
          <w:p>
            <w:pPr>
              <w:spacing w:after="0"/>
              <w:rPr>
                <w:sz w:val="15"/>
                <w:szCs w:val="15"/>
                <w:color w:val="auto"/>
              </w:rPr>
            </w:pPr>
          </w:p>
        </w:tc>
        <w:tc>
          <w:tcPr>
            <w:tcW w:w="360" w:type="dxa"/>
            <w:vAlign w:val="bottom"/>
          </w:tcPr>
          <w:p>
            <w:pPr>
              <w:spacing w:after="0"/>
              <w:rPr>
                <w:sz w:val="15"/>
                <w:szCs w:val="15"/>
                <w:color w:val="auto"/>
              </w:rPr>
            </w:pPr>
          </w:p>
        </w:tc>
        <w:tc>
          <w:tcPr>
            <w:tcW w:w="640" w:type="dxa"/>
            <w:vAlign w:val="bottom"/>
          </w:tcPr>
          <w:p>
            <w:pPr>
              <w:spacing w:after="0"/>
              <w:rPr>
                <w:sz w:val="15"/>
                <w:szCs w:val="15"/>
                <w:color w:val="auto"/>
              </w:rPr>
            </w:pPr>
          </w:p>
        </w:tc>
        <w:tc>
          <w:tcPr>
            <w:tcW w:w="660" w:type="dxa"/>
            <w:vAlign w:val="bottom"/>
            <w:tcBorders>
              <w:bottom w:val="single" w:sz="8" w:color="005AFF"/>
            </w:tcBorders>
          </w:tcPr>
          <w:p>
            <w:pPr>
              <w:spacing w:after="0"/>
              <w:rPr>
                <w:sz w:val="15"/>
                <w:szCs w:val="15"/>
                <w:color w:val="auto"/>
              </w:rPr>
            </w:pPr>
          </w:p>
        </w:tc>
        <w:tc>
          <w:tcPr>
            <w:tcW w:w="540" w:type="dxa"/>
            <w:vAlign w:val="bottom"/>
            <w:tcBorders>
              <w:bottom w:val="single" w:sz="8" w:color="005AFF"/>
            </w:tcBorders>
          </w:tcPr>
          <w:p>
            <w:pPr>
              <w:spacing w:after="0"/>
              <w:rPr>
                <w:sz w:val="15"/>
                <w:szCs w:val="15"/>
                <w:color w:val="auto"/>
              </w:rPr>
            </w:pPr>
          </w:p>
        </w:tc>
        <w:tc>
          <w:tcPr>
            <w:tcW w:w="320" w:type="dxa"/>
            <w:vAlign w:val="bottom"/>
            <w:tcBorders>
              <w:bottom w:val="single" w:sz="8" w:color="005AFF"/>
            </w:tcBorders>
          </w:tcPr>
          <w:p>
            <w:pPr>
              <w:spacing w:after="0"/>
              <w:rPr>
                <w:sz w:val="15"/>
                <w:szCs w:val="15"/>
                <w:color w:val="auto"/>
              </w:rPr>
            </w:pPr>
          </w:p>
        </w:tc>
        <w:tc>
          <w:tcPr>
            <w:tcW w:w="440" w:type="dxa"/>
            <w:vAlign w:val="bottom"/>
            <w:tcBorders>
              <w:bottom w:val="single" w:sz="8" w:color="005AFF"/>
            </w:tcBorders>
            <w:gridSpan w:val="3"/>
          </w:tcPr>
          <w:p>
            <w:pPr>
              <w:jc w:val="center"/>
              <w:ind w:left="190"/>
              <w:spacing w:after="0"/>
              <w:rPr>
                <w:sz w:val="20"/>
                <w:szCs w:val="20"/>
                <w:color w:val="auto"/>
              </w:rPr>
            </w:pPr>
            <w:r>
              <w:rPr>
                <w:rFonts w:ascii="Times New Roman" w:cs="Times New Roman" w:eastAsia="Times New Roman" w:hAnsi="Times New Roman"/>
                <w:sz w:val="8"/>
                <w:szCs w:val="8"/>
                <w:b w:val="1"/>
                <w:bCs w:val="1"/>
                <w:color w:val="005AFF"/>
                <w:w w:val="99"/>
              </w:rPr>
              <w:t>2023</w:t>
            </w:r>
          </w:p>
        </w:tc>
        <w:tc>
          <w:tcPr>
            <w:tcW w:w="40" w:type="dxa"/>
            <w:vAlign w:val="bottom"/>
            <w:tcBorders>
              <w:bottom w:val="single" w:sz="8" w:color="005AFF"/>
            </w:tcBorders>
          </w:tcPr>
          <w:p>
            <w:pPr>
              <w:spacing w:after="0"/>
              <w:rPr>
                <w:sz w:val="15"/>
                <w:szCs w:val="15"/>
                <w:color w:val="auto"/>
              </w:rPr>
            </w:pPr>
          </w:p>
        </w:tc>
        <w:tc>
          <w:tcPr>
            <w:tcW w:w="440" w:type="dxa"/>
            <w:vAlign w:val="bottom"/>
            <w:tcBorders>
              <w:bottom w:val="single" w:sz="8" w:color="005AFF"/>
            </w:tcBorders>
          </w:tcPr>
          <w:p>
            <w:pPr>
              <w:spacing w:after="0"/>
              <w:rPr>
                <w:sz w:val="15"/>
                <w:szCs w:val="15"/>
                <w:color w:val="auto"/>
              </w:rPr>
            </w:pPr>
          </w:p>
        </w:tc>
        <w:tc>
          <w:tcPr>
            <w:tcW w:w="200" w:type="dxa"/>
            <w:vAlign w:val="bottom"/>
            <w:tcBorders>
              <w:bottom w:val="single" w:sz="8" w:color="005AFF"/>
            </w:tcBorders>
          </w:tcPr>
          <w:p>
            <w:pPr>
              <w:spacing w:after="0"/>
              <w:rPr>
                <w:sz w:val="15"/>
                <w:szCs w:val="15"/>
                <w:color w:val="auto"/>
              </w:rPr>
            </w:pPr>
          </w:p>
        </w:tc>
        <w:tc>
          <w:tcPr>
            <w:tcW w:w="560" w:type="dxa"/>
            <w:vAlign w:val="bottom"/>
            <w:tcBorders>
              <w:bottom w:val="single" w:sz="8" w:color="005AFF"/>
            </w:tcBorders>
          </w:tcPr>
          <w:p>
            <w:pPr>
              <w:spacing w:after="0"/>
              <w:rPr>
                <w:sz w:val="15"/>
                <w:szCs w:val="15"/>
                <w:color w:val="auto"/>
              </w:rPr>
            </w:pPr>
          </w:p>
        </w:tc>
        <w:tc>
          <w:tcPr>
            <w:tcW w:w="40" w:type="dxa"/>
            <w:vAlign w:val="bottom"/>
            <w:tcBorders>
              <w:bottom w:val="single" w:sz="8" w:color="005AFF"/>
            </w:tcBorders>
          </w:tcPr>
          <w:p>
            <w:pPr>
              <w:spacing w:after="0"/>
              <w:rPr>
                <w:sz w:val="15"/>
                <w:szCs w:val="15"/>
                <w:color w:val="auto"/>
              </w:rPr>
            </w:pPr>
          </w:p>
        </w:tc>
        <w:tc>
          <w:tcPr>
            <w:tcW w:w="540" w:type="dxa"/>
            <w:vAlign w:val="bottom"/>
            <w:tcBorders>
              <w:bottom w:val="single" w:sz="8" w:color="005AFF"/>
            </w:tcBorders>
          </w:tcPr>
          <w:p>
            <w:pPr>
              <w:spacing w:after="0"/>
              <w:rPr>
                <w:sz w:val="15"/>
                <w:szCs w:val="15"/>
                <w:color w:val="auto"/>
              </w:rPr>
            </w:pPr>
          </w:p>
        </w:tc>
        <w:tc>
          <w:tcPr>
            <w:tcW w:w="660" w:type="dxa"/>
            <w:vAlign w:val="bottom"/>
            <w:tcBorders>
              <w:bottom w:val="single" w:sz="8" w:color="005AFF"/>
            </w:tcBorders>
          </w:tcPr>
          <w:p>
            <w:pPr>
              <w:spacing w:after="0"/>
              <w:rPr>
                <w:sz w:val="15"/>
                <w:szCs w:val="15"/>
                <w:color w:val="auto"/>
              </w:rPr>
            </w:pPr>
          </w:p>
        </w:tc>
        <w:tc>
          <w:tcPr>
            <w:tcW w:w="480" w:type="dxa"/>
            <w:vAlign w:val="bottom"/>
            <w:tcBorders>
              <w:bottom w:val="single" w:sz="8" w:color="005AFF"/>
            </w:tcBorders>
          </w:tcPr>
          <w:p>
            <w:pPr>
              <w:spacing w:after="0"/>
              <w:rPr>
                <w:sz w:val="15"/>
                <w:szCs w:val="15"/>
                <w:color w:val="auto"/>
              </w:rPr>
            </w:pPr>
          </w:p>
        </w:tc>
        <w:tc>
          <w:tcPr>
            <w:tcW w:w="440" w:type="dxa"/>
            <w:vAlign w:val="bottom"/>
            <w:tcBorders>
              <w:bottom w:val="single" w:sz="8" w:color="005AFF"/>
            </w:tcBorders>
          </w:tcPr>
          <w:p>
            <w:pPr>
              <w:spacing w:after="0"/>
              <w:rPr>
                <w:sz w:val="15"/>
                <w:szCs w:val="15"/>
                <w:color w:val="auto"/>
              </w:rPr>
            </w:pPr>
          </w:p>
        </w:tc>
        <w:tc>
          <w:tcPr>
            <w:tcW w:w="360" w:type="dxa"/>
            <w:vAlign w:val="bottom"/>
            <w:tcBorders>
              <w:bottom w:val="single" w:sz="8" w:color="005AFF"/>
            </w:tcBorders>
          </w:tcPr>
          <w:p>
            <w:pPr>
              <w:jc w:val="center"/>
              <w:ind w:left="150"/>
              <w:spacing w:after="0"/>
              <w:rPr>
                <w:sz w:val="20"/>
                <w:szCs w:val="20"/>
                <w:color w:val="auto"/>
              </w:rPr>
            </w:pPr>
            <w:r>
              <w:rPr>
                <w:rFonts w:ascii="Times New Roman" w:cs="Times New Roman" w:eastAsia="Times New Roman" w:hAnsi="Times New Roman"/>
                <w:sz w:val="8"/>
                <w:szCs w:val="8"/>
                <w:b w:val="1"/>
                <w:bCs w:val="1"/>
                <w:color w:val="005AFF"/>
                <w:w w:val="99"/>
              </w:rPr>
              <w:t>2022</w:t>
            </w:r>
          </w:p>
        </w:tc>
        <w:tc>
          <w:tcPr>
            <w:tcW w:w="40" w:type="dxa"/>
            <w:vAlign w:val="bottom"/>
            <w:tcBorders>
              <w:bottom w:val="single" w:sz="8" w:color="005AFF"/>
            </w:tcBorders>
          </w:tcPr>
          <w:p>
            <w:pPr>
              <w:spacing w:after="0"/>
              <w:rPr>
                <w:sz w:val="15"/>
                <w:szCs w:val="15"/>
                <w:color w:val="auto"/>
              </w:rPr>
            </w:pPr>
          </w:p>
        </w:tc>
        <w:tc>
          <w:tcPr>
            <w:tcW w:w="640" w:type="dxa"/>
            <w:vAlign w:val="bottom"/>
            <w:tcBorders>
              <w:bottom w:val="single" w:sz="8" w:color="005AFF"/>
            </w:tcBorders>
          </w:tcPr>
          <w:p>
            <w:pPr>
              <w:spacing w:after="0"/>
              <w:rPr>
                <w:sz w:val="15"/>
                <w:szCs w:val="15"/>
                <w:color w:val="auto"/>
              </w:rPr>
            </w:pPr>
          </w:p>
        </w:tc>
        <w:tc>
          <w:tcPr>
            <w:tcW w:w="560" w:type="dxa"/>
            <w:vAlign w:val="bottom"/>
            <w:tcBorders>
              <w:bottom w:val="single" w:sz="8" w:color="005AFF"/>
            </w:tcBorders>
          </w:tcPr>
          <w:p>
            <w:pPr>
              <w:spacing w:after="0"/>
              <w:rPr>
                <w:sz w:val="15"/>
                <w:szCs w:val="15"/>
                <w:color w:val="auto"/>
              </w:rPr>
            </w:pPr>
          </w:p>
        </w:tc>
        <w:tc>
          <w:tcPr>
            <w:tcW w:w="40" w:type="dxa"/>
            <w:vAlign w:val="bottom"/>
            <w:tcBorders>
              <w:bottom w:val="single" w:sz="8" w:color="005AFF"/>
            </w:tcBorders>
          </w:tcPr>
          <w:p>
            <w:pPr>
              <w:spacing w:after="0"/>
              <w:rPr>
                <w:sz w:val="15"/>
                <w:szCs w:val="15"/>
                <w:color w:val="auto"/>
              </w:rPr>
            </w:pPr>
          </w:p>
        </w:tc>
        <w:tc>
          <w:tcPr>
            <w:tcW w:w="520" w:type="dxa"/>
            <w:vAlign w:val="bottom"/>
            <w:tcBorders>
              <w:bottom w:val="single" w:sz="8" w:color="005AFF"/>
            </w:tcBorders>
          </w:tcPr>
          <w:p>
            <w:pPr>
              <w:spacing w:after="0"/>
              <w:rPr>
                <w:sz w:val="15"/>
                <w:szCs w:val="15"/>
                <w:color w:val="auto"/>
              </w:rPr>
            </w:pPr>
          </w:p>
        </w:tc>
        <w:tc>
          <w:tcPr>
            <w:tcW w:w="0" w:type="dxa"/>
            <w:vAlign w:val="bottom"/>
          </w:tcPr>
          <w:p>
            <w:pPr>
              <w:spacing w:after="0"/>
              <w:rPr>
                <w:sz w:val="1"/>
                <w:szCs w:val="1"/>
                <w:color w:val="auto"/>
              </w:rPr>
            </w:pPr>
          </w:p>
        </w:tc>
      </w:tr>
      <w:tr>
        <w:trPr>
          <w:trHeight w:val="135"/>
        </w:trPr>
        <w:tc>
          <w:tcPr>
            <w:tcW w:w="780" w:type="dxa"/>
            <w:vAlign w:val="bottom"/>
          </w:tcPr>
          <w:p>
            <w:pPr>
              <w:spacing w:after="0"/>
              <w:rPr>
                <w:sz w:val="11"/>
                <w:szCs w:val="11"/>
                <w:color w:val="auto"/>
              </w:rPr>
            </w:pPr>
          </w:p>
        </w:tc>
        <w:tc>
          <w:tcPr>
            <w:tcW w:w="780" w:type="dxa"/>
            <w:vAlign w:val="bottom"/>
          </w:tcPr>
          <w:p>
            <w:pPr>
              <w:spacing w:after="0"/>
              <w:rPr>
                <w:sz w:val="11"/>
                <w:szCs w:val="11"/>
                <w:color w:val="auto"/>
              </w:rPr>
            </w:pPr>
          </w:p>
        </w:tc>
        <w:tc>
          <w:tcPr>
            <w:tcW w:w="36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720" w:type="dxa"/>
            <w:vAlign w:val="bottom"/>
            <w:gridSpan w:val="3"/>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Carrying amounts</w:t>
            </w:r>
          </w:p>
        </w:tc>
        <w:tc>
          <w:tcPr>
            <w:tcW w:w="4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440" w:type="dxa"/>
            <w:vAlign w:val="bottom"/>
          </w:tcPr>
          <w:p>
            <w:pPr>
              <w:spacing w:after="0"/>
              <w:rPr>
                <w:sz w:val="11"/>
                <w:szCs w:val="11"/>
                <w:color w:val="auto"/>
              </w:rPr>
            </w:pPr>
          </w:p>
        </w:tc>
        <w:tc>
          <w:tcPr>
            <w:tcW w:w="20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54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660" w:type="dxa"/>
            <w:vAlign w:val="bottom"/>
          </w:tcPr>
          <w:p>
            <w:pPr>
              <w:spacing w:after="0"/>
              <w:rPr>
                <w:sz w:val="11"/>
                <w:szCs w:val="11"/>
                <w:color w:val="auto"/>
              </w:rPr>
            </w:pPr>
          </w:p>
        </w:tc>
        <w:tc>
          <w:tcPr>
            <w:tcW w:w="480" w:type="dxa"/>
            <w:vAlign w:val="bottom"/>
          </w:tcPr>
          <w:p>
            <w:pPr>
              <w:spacing w:after="0"/>
              <w:rPr>
                <w:sz w:val="11"/>
                <w:szCs w:val="11"/>
                <w:color w:val="auto"/>
              </w:rPr>
            </w:pPr>
          </w:p>
        </w:tc>
        <w:tc>
          <w:tcPr>
            <w:tcW w:w="840" w:type="dxa"/>
            <w:vAlign w:val="bottom"/>
            <w:gridSpan w:val="3"/>
          </w:tcPr>
          <w:p>
            <w:pPr>
              <w:ind w:left="120"/>
              <w:spacing w:after="0"/>
              <w:rPr>
                <w:sz w:val="20"/>
                <w:szCs w:val="20"/>
                <w:color w:val="auto"/>
              </w:rPr>
            </w:pPr>
            <w:r>
              <w:rPr>
                <w:rFonts w:ascii="Times New Roman" w:cs="Times New Roman" w:eastAsia="Times New Roman" w:hAnsi="Times New Roman"/>
                <w:sz w:val="8"/>
                <w:szCs w:val="8"/>
                <w:b w:val="1"/>
                <w:bCs w:val="1"/>
                <w:color w:val="005AFF"/>
              </w:rPr>
              <w:t>Carrying amounts</w:t>
            </w:r>
          </w:p>
        </w:tc>
        <w:tc>
          <w:tcPr>
            <w:tcW w:w="640" w:type="dxa"/>
            <w:vAlign w:val="bottom"/>
          </w:tcPr>
          <w:p>
            <w:pPr>
              <w:spacing w:after="0"/>
              <w:rPr>
                <w:sz w:val="11"/>
                <w:szCs w:val="11"/>
                <w:color w:val="auto"/>
              </w:rPr>
            </w:pPr>
          </w:p>
        </w:tc>
        <w:tc>
          <w:tcPr>
            <w:tcW w:w="5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52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0" w:type="dxa"/>
            <w:vAlign w:val="bottom"/>
          </w:tcPr>
          <w:p>
            <w:pPr>
              <w:spacing w:after="0"/>
              <w:rPr>
                <w:sz w:val="1"/>
                <w:szCs w:val="1"/>
                <w:color w:val="auto"/>
              </w:rPr>
            </w:pPr>
          </w:p>
        </w:tc>
      </w:tr>
      <w:tr>
        <w:trPr>
          <w:trHeight w:val="100"/>
        </w:trPr>
        <w:tc>
          <w:tcPr>
            <w:tcW w:w="780" w:type="dxa"/>
            <w:vAlign w:val="bottom"/>
          </w:tcPr>
          <w:p>
            <w:pPr>
              <w:spacing w:after="0"/>
              <w:rPr>
                <w:sz w:val="8"/>
                <w:szCs w:val="8"/>
                <w:color w:val="auto"/>
              </w:rPr>
            </w:pPr>
          </w:p>
        </w:tc>
        <w:tc>
          <w:tcPr>
            <w:tcW w:w="780" w:type="dxa"/>
            <w:vAlign w:val="bottom"/>
          </w:tcPr>
          <w:p>
            <w:pPr>
              <w:spacing w:after="0"/>
              <w:rPr>
                <w:sz w:val="8"/>
                <w:szCs w:val="8"/>
                <w:color w:val="auto"/>
              </w:rPr>
            </w:pPr>
          </w:p>
        </w:tc>
        <w:tc>
          <w:tcPr>
            <w:tcW w:w="360" w:type="dxa"/>
            <w:vAlign w:val="bottom"/>
          </w:tcPr>
          <w:p>
            <w:pPr>
              <w:spacing w:after="0"/>
              <w:rPr>
                <w:sz w:val="8"/>
                <w:szCs w:val="8"/>
                <w:color w:val="auto"/>
              </w:rPr>
            </w:pPr>
          </w:p>
        </w:tc>
        <w:tc>
          <w:tcPr>
            <w:tcW w:w="640" w:type="dxa"/>
            <w:vAlign w:val="bottom"/>
          </w:tcPr>
          <w:p>
            <w:pPr>
              <w:spacing w:after="0"/>
              <w:rPr>
                <w:sz w:val="8"/>
                <w:szCs w:val="8"/>
                <w:color w:val="auto"/>
              </w:rPr>
            </w:pPr>
          </w:p>
        </w:tc>
        <w:tc>
          <w:tcPr>
            <w:tcW w:w="660" w:type="dxa"/>
            <w:vAlign w:val="bottom"/>
            <w:tcBorders>
              <w:top w:val="single" w:sz="8" w:color="005AFF"/>
            </w:tcBorders>
          </w:tcPr>
          <w:p>
            <w:pPr>
              <w:spacing w:after="0"/>
              <w:rPr>
                <w:sz w:val="8"/>
                <w:szCs w:val="8"/>
                <w:color w:val="auto"/>
              </w:rPr>
            </w:pPr>
          </w:p>
        </w:tc>
        <w:tc>
          <w:tcPr>
            <w:tcW w:w="540" w:type="dxa"/>
            <w:vAlign w:val="bottom"/>
            <w:tcBorders>
              <w:top w:val="single" w:sz="8" w:color="005AFF"/>
            </w:tcBorders>
          </w:tcPr>
          <w:p>
            <w:pPr>
              <w:spacing w:after="0"/>
              <w:rPr>
                <w:sz w:val="8"/>
                <w:szCs w:val="8"/>
                <w:color w:val="auto"/>
              </w:rPr>
            </w:pPr>
          </w:p>
        </w:tc>
        <w:tc>
          <w:tcPr>
            <w:tcW w:w="320" w:type="dxa"/>
            <w:vAlign w:val="bottom"/>
            <w:tcBorders>
              <w:top w:val="single" w:sz="8" w:color="005AFF"/>
            </w:tcBorders>
          </w:tcPr>
          <w:p>
            <w:pPr>
              <w:spacing w:after="0"/>
              <w:rPr>
                <w:sz w:val="8"/>
                <w:szCs w:val="8"/>
                <w:color w:val="auto"/>
              </w:rPr>
            </w:pPr>
          </w:p>
        </w:tc>
        <w:tc>
          <w:tcPr>
            <w:tcW w:w="380" w:type="dxa"/>
            <w:vAlign w:val="bottom"/>
            <w:tcBorders>
              <w:top w:val="single" w:sz="8" w:color="005AFF"/>
            </w:tcBorders>
          </w:tcPr>
          <w:p>
            <w:pPr>
              <w:spacing w:after="0"/>
              <w:rPr>
                <w:sz w:val="8"/>
                <w:szCs w:val="8"/>
                <w:color w:val="auto"/>
              </w:rPr>
            </w:pPr>
          </w:p>
        </w:tc>
        <w:tc>
          <w:tcPr>
            <w:tcW w:w="20" w:type="dxa"/>
            <w:vAlign w:val="bottom"/>
            <w:tcBorders>
              <w:top w:val="single" w:sz="8" w:color="005AFF"/>
            </w:tcBorders>
          </w:tcPr>
          <w:p>
            <w:pPr>
              <w:spacing w:after="0"/>
              <w:rPr>
                <w:sz w:val="8"/>
                <w:szCs w:val="8"/>
                <w:color w:val="auto"/>
              </w:rPr>
            </w:pPr>
          </w:p>
        </w:tc>
        <w:tc>
          <w:tcPr>
            <w:tcW w:w="40" w:type="dxa"/>
            <w:vAlign w:val="bottom"/>
            <w:tcBorders>
              <w:top w:val="single" w:sz="8" w:color="005AFF"/>
            </w:tcBorders>
          </w:tcPr>
          <w:p>
            <w:pPr>
              <w:spacing w:after="0"/>
              <w:rPr>
                <w:sz w:val="8"/>
                <w:szCs w:val="8"/>
                <w:color w:val="auto"/>
              </w:rPr>
            </w:pPr>
          </w:p>
        </w:tc>
        <w:tc>
          <w:tcPr>
            <w:tcW w:w="40" w:type="dxa"/>
            <w:vAlign w:val="bottom"/>
            <w:tcBorders>
              <w:top w:val="single" w:sz="8" w:color="005AFF"/>
            </w:tcBorders>
          </w:tcPr>
          <w:p>
            <w:pPr>
              <w:spacing w:after="0"/>
              <w:rPr>
                <w:sz w:val="8"/>
                <w:szCs w:val="8"/>
                <w:color w:val="auto"/>
              </w:rPr>
            </w:pPr>
          </w:p>
        </w:tc>
        <w:tc>
          <w:tcPr>
            <w:tcW w:w="640" w:type="dxa"/>
            <w:vAlign w:val="bottom"/>
            <w:tcBorders>
              <w:top w:val="single" w:sz="8" w:color="005AFF"/>
            </w:tcBorders>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w:t>
            </w:r>
          </w:p>
        </w:tc>
        <w:tc>
          <w:tcPr>
            <w:tcW w:w="560" w:type="dxa"/>
            <w:vAlign w:val="bottom"/>
            <w:tcBorders>
              <w:top w:val="single" w:sz="8" w:color="005AFF"/>
            </w:tcBorders>
          </w:tcPr>
          <w:p>
            <w:pPr>
              <w:spacing w:after="0"/>
              <w:rPr>
                <w:sz w:val="8"/>
                <w:szCs w:val="8"/>
                <w:color w:val="auto"/>
              </w:rPr>
            </w:pPr>
          </w:p>
        </w:tc>
        <w:tc>
          <w:tcPr>
            <w:tcW w:w="40" w:type="dxa"/>
            <w:vAlign w:val="bottom"/>
          </w:tcPr>
          <w:p>
            <w:pPr>
              <w:spacing w:after="0"/>
              <w:rPr>
                <w:sz w:val="8"/>
                <w:szCs w:val="8"/>
                <w:color w:val="auto"/>
              </w:rPr>
            </w:pPr>
          </w:p>
        </w:tc>
        <w:tc>
          <w:tcPr>
            <w:tcW w:w="540" w:type="dxa"/>
            <w:vAlign w:val="bottom"/>
            <w:tcBorders>
              <w:top w:val="single" w:sz="8" w:color="005AFF"/>
            </w:tcBorders>
          </w:tcPr>
          <w:p>
            <w:pPr>
              <w:spacing w:after="0"/>
              <w:rPr>
                <w:sz w:val="8"/>
                <w:szCs w:val="8"/>
                <w:color w:val="auto"/>
              </w:rPr>
            </w:pPr>
          </w:p>
        </w:tc>
        <w:tc>
          <w:tcPr>
            <w:tcW w:w="660" w:type="dxa"/>
            <w:vAlign w:val="bottom"/>
            <w:tcBorders>
              <w:top w:val="single" w:sz="8" w:color="005AFF"/>
            </w:tcBorders>
          </w:tcPr>
          <w:p>
            <w:pPr>
              <w:spacing w:after="0"/>
              <w:rPr>
                <w:sz w:val="8"/>
                <w:szCs w:val="8"/>
                <w:color w:val="auto"/>
              </w:rPr>
            </w:pPr>
          </w:p>
        </w:tc>
        <w:tc>
          <w:tcPr>
            <w:tcW w:w="480" w:type="dxa"/>
            <w:vAlign w:val="bottom"/>
            <w:tcBorders>
              <w:top w:val="single" w:sz="8" w:color="005AFF"/>
            </w:tcBorders>
          </w:tcPr>
          <w:p>
            <w:pPr>
              <w:spacing w:after="0"/>
              <w:rPr>
                <w:sz w:val="8"/>
                <w:szCs w:val="8"/>
                <w:color w:val="auto"/>
              </w:rPr>
            </w:pPr>
          </w:p>
        </w:tc>
        <w:tc>
          <w:tcPr>
            <w:tcW w:w="440" w:type="dxa"/>
            <w:vAlign w:val="bottom"/>
            <w:tcBorders>
              <w:top w:val="single" w:sz="8" w:color="005AFF"/>
            </w:tcBorders>
          </w:tcPr>
          <w:p>
            <w:pPr>
              <w:spacing w:after="0"/>
              <w:rPr>
                <w:sz w:val="8"/>
                <w:szCs w:val="8"/>
                <w:color w:val="auto"/>
              </w:rPr>
            </w:pPr>
          </w:p>
        </w:tc>
        <w:tc>
          <w:tcPr>
            <w:tcW w:w="360" w:type="dxa"/>
            <w:vAlign w:val="bottom"/>
            <w:tcBorders>
              <w:top w:val="single" w:sz="8" w:color="005AFF"/>
            </w:tcBorders>
          </w:tcPr>
          <w:p>
            <w:pPr>
              <w:spacing w:after="0"/>
              <w:rPr>
                <w:sz w:val="8"/>
                <w:szCs w:val="8"/>
                <w:color w:val="auto"/>
              </w:rPr>
            </w:pPr>
          </w:p>
        </w:tc>
        <w:tc>
          <w:tcPr>
            <w:tcW w:w="40" w:type="dxa"/>
            <w:vAlign w:val="bottom"/>
            <w:tcBorders>
              <w:top w:val="single" w:sz="8" w:color="005AFF"/>
            </w:tcBorders>
          </w:tcPr>
          <w:p>
            <w:pPr>
              <w:spacing w:after="0"/>
              <w:rPr>
                <w:sz w:val="8"/>
                <w:szCs w:val="8"/>
                <w:color w:val="auto"/>
              </w:rPr>
            </w:pPr>
          </w:p>
        </w:tc>
        <w:tc>
          <w:tcPr>
            <w:tcW w:w="640" w:type="dxa"/>
            <w:vAlign w:val="bottom"/>
            <w:tcBorders>
              <w:top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w:t>
            </w:r>
          </w:p>
        </w:tc>
        <w:tc>
          <w:tcPr>
            <w:tcW w:w="560" w:type="dxa"/>
            <w:vAlign w:val="bottom"/>
            <w:tcBorders>
              <w:top w:val="single" w:sz="8" w:color="005AFF"/>
            </w:tcBorders>
          </w:tcPr>
          <w:p>
            <w:pPr>
              <w:spacing w:after="0"/>
              <w:rPr>
                <w:sz w:val="8"/>
                <w:szCs w:val="8"/>
                <w:color w:val="auto"/>
              </w:rPr>
            </w:pPr>
          </w:p>
        </w:tc>
        <w:tc>
          <w:tcPr>
            <w:tcW w:w="40" w:type="dxa"/>
            <w:vAlign w:val="bottom"/>
          </w:tcPr>
          <w:p>
            <w:pPr>
              <w:spacing w:after="0"/>
              <w:rPr>
                <w:sz w:val="8"/>
                <w:szCs w:val="8"/>
                <w:color w:val="auto"/>
              </w:rPr>
            </w:pPr>
          </w:p>
        </w:tc>
        <w:tc>
          <w:tcPr>
            <w:tcW w:w="520" w:type="dxa"/>
            <w:vAlign w:val="bottom"/>
            <w:tcBorders>
              <w:top w:val="single" w:sz="8" w:color="005AFF"/>
            </w:tcBorders>
          </w:tcPr>
          <w:p>
            <w:pPr>
              <w:spacing w:after="0"/>
              <w:rPr>
                <w:sz w:val="8"/>
                <w:szCs w:val="8"/>
                <w:color w:val="auto"/>
              </w:rPr>
            </w:pPr>
          </w:p>
        </w:tc>
        <w:tc>
          <w:tcPr>
            <w:tcW w:w="0" w:type="dxa"/>
            <w:vAlign w:val="bottom"/>
          </w:tcPr>
          <w:p>
            <w:pPr>
              <w:spacing w:after="0"/>
              <w:rPr>
                <w:sz w:val="1"/>
                <w:szCs w:val="1"/>
                <w:color w:val="auto"/>
              </w:rPr>
            </w:pPr>
          </w:p>
        </w:tc>
      </w:tr>
      <w:tr>
        <w:trPr>
          <w:trHeight w:val="101"/>
        </w:trPr>
        <w:tc>
          <w:tcPr>
            <w:tcW w:w="780" w:type="dxa"/>
            <w:vAlign w:val="bottom"/>
          </w:tcPr>
          <w:p>
            <w:pPr>
              <w:spacing w:after="0"/>
              <w:rPr>
                <w:sz w:val="8"/>
                <w:szCs w:val="8"/>
                <w:color w:val="auto"/>
              </w:rPr>
            </w:pPr>
          </w:p>
        </w:tc>
        <w:tc>
          <w:tcPr>
            <w:tcW w:w="780" w:type="dxa"/>
            <w:vAlign w:val="bottom"/>
          </w:tcPr>
          <w:p>
            <w:pPr>
              <w:spacing w:after="0"/>
              <w:rPr>
                <w:sz w:val="8"/>
                <w:szCs w:val="8"/>
                <w:color w:val="auto"/>
              </w:rPr>
            </w:pPr>
          </w:p>
        </w:tc>
        <w:tc>
          <w:tcPr>
            <w:tcW w:w="360" w:type="dxa"/>
            <w:vAlign w:val="bottom"/>
          </w:tcPr>
          <w:p>
            <w:pPr>
              <w:spacing w:after="0"/>
              <w:rPr>
                <w:sz w:val="8"/>
                <w:szCs w:val="8"/>
                <w:color w:val="auto"/>
              </w:rPr>
            </w:pPr>
          </w:p>
        </w:tc>
        <w:tc>
          <w:tcPr>
            <w:tcW w:w="640" w:type="dxa"/>
            <w:vAlign w:val="bottom"/>
          </w:tcPr>
          <w:p>
            <w:pPr>
              <w:spacing w:after="0"/>
              <w:rPr>
                <w:sz w:val="8"/>
                <w:szCs w:val="8"/>
                <w:color w:val="auto"/>
              </w:rPr>
            </w:pPr>
          </w:p>
        </w:tc>
        <w:tc>
          <w:tcPr>
            <w:tcW w:w="660" w:type="dxa"/>
            <w:vAlign w:val="bottom"/>
          </w:tcPr>
          <w:p>
            <w:pPr>
              <w:spacing w:after="0"/>
              <w:rPr>
                <w:sz w:val="8"/>
                <w:szCs w:val="8"/>
                <w:color w:val="auto"/>
              </w:rPr>
            </w:pPr>
          </w:p>
        </w:tc>
        <w:tc>
          <w:tcPr>
            <w:tcW w:w="540" w:type="dxa"/>
            <w:vAlign w:val="bottom"/>
          </w:tcPr>
          <w:p>
            <w:pPr>
              <w:spacing w:after="0"/>
              <w:rPr>
                <w:sz w:val="8"/>
                <w:szCs w:val="8"/>
                <w:color w:val="auto"/>
              </w:rPr>
            </w:pPr>
          </w:p>
        </w:tc>
        <w:tc>
          <w:tcPr>
            <w:tcW w:w="320" w:type="dxa"/>
            <w:vAlign w:val="bottom"/>
          </w:tcPr>
          <w:p>
            <w:pPr>
              <w:spacing w:after="0"/>
              <w:rPr>
                <w:sz w:val="8"/>
                <w:szCs w:val="8"/>
                <w:color w:val="auto"/>
              </w:rPr>
            </w:pPr>
          </w:p>
        </w:tc>
        <w:tc>
          <w:tcPr>
            <w:tcW w:w="380" w:type="dxa"/>
            <w:vAlign w:val="bottom"/>
          </w:tcPr>
          <w:p>
            <w:pPr>
              <w:spacing w:after="0"/>
              <w:rPr>
                <w:sz w:val="8"/>
                <w:szCs w:val="8"/>
                <w:color w:val="auto"/>
              </w:rPr>
            </w:pPr>
          </w:p>
        </w:tc>
        <w:tc>
          <w:tcPr>
            <w:tcW w:w="20" w:type="dxa"/>
            <w:vAlign w:val="bottom"/>
          </w:tcPr>
          <w:p>
            <w:pPr>
              <w:spacing w:after="0"/>
              <w:rPr>
                <w:sz w:val="8"/>
                <w:szCs w:val="8"/>
                <w:color w:val="auto"/>
              </w:rPr>
            </w:pPr>
          </w:p>
        </w:tc>
        <w:tc>
          <w:tcPr>
            <w:tcW w:w="40" w:type="dxa"/>
            <w:vAlign w:val="bottom"/>
          </w:tcPr>
          <w:p>
            <w:pPr>
              <w:spacing w:after="0"/>
              <w:rPr>
                <w:sz w:val="8"/>
                <w:szCs w:val="8"/>
                <w:color w:val="auto"/>
              </w:rPr>
            </w:pPr>
          </w:p>
        </w:tc>
        <w:tc>
          <w:tcPr>
            <w:tcW w:w="40" w:type="dxa"/>
            <w:vAlign w:val="bottom"/>
          </w:tcPr>
          <w:p>
            <w:pPr>
              <w:spacing w:after="0"/>
              <w:rPr>
                <w:sz w:val="8"/>
                <w:szCs w:val="8"/>
                <w:color w:val="auto"/>
              </w:rPr>
            </w:pPr>
          </w:p>
        </w:tc>
        <w:tc>
          <w:tcPr>
            <w:tcW w:w="640" w:type="dxa"/>
            <w:vAlign w:val="bottom"/>
            <w:gridSpan w:val="2"/>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through other</w:t>
            </w:r>
          </w:p>
        </w:tc>
        <w:tc>
          <w:tcPr>
            <w:tcW w:w="560" w:type="dxa"/>
            <w:vAlign w:val="bottom"/>
          </w:tcPr>
          <w:p>
            <w:pPr>
              <w:spacing w:after="0"/>
              <w:rPr>
                <w:sz w:val="8"/>
                <w:szCs w:val="8"/>
                <w:color w:val="auto"/>
              </w:rPr>
            </w:pPr>
          </w:p>
        </w:tc>
        <w:tc>
          <w:tcPr>
            <w:tcW w:w="40" w:type="dxa"/>
            <w:vAlign w:val="bottom"/>
          </w:tcPr>
          <w:p>
            <w:pPr>
              <w:spacing w:after="0"/>
              <w:rPr>
                <w:sz w:val="8"/>
                <w:szCs w:val="8"/>
                <w:color w:val="auto"/>
              </w:rPr>
            </w:pPr>
          </w:p>
        </w:tc>
        <w:tc>
          <w:tcPr>
            <w:tcW w:w="540" w:type="dxa"/>
            <w:vAlign w:val="bottom"/>
          </w:tcPr>
          <w:p>
            <w:pPr>
              <w:spacing w:after="0"/>
              <w:rPr>
                <w:sz w:val="8"/>
                <w:szCs w:val="8"/>
                <w:color w:val="auto"/>
              </w:rPr>
            </w:pPr>
          </w:p>
        </w:tc>
        <w:tc>
          <w:tcPr>
            <w:tcW w:w="660" w:type="dxa"/>
            <w:vAlign w:val="bottom"/>
          </w:tcPr>
          <w:p>
            <w:pPr>
              <w:spacing w:after="0"/>
              <w:rPr>
                <w:sz w:val="8"/>
                <w:szCs w:val="8"/>
                <w:color w:val="auto"/>
              </w:rPr>
            </w:pPr>
          </w:p>
        </w:tc>
        <w:tc>
          <w:tcPr>
            <w:tcW w:w="480" w:type="dxa"/>
            <w:vAlign w:val="bottom"/>
          </w:tcPr>
          <w:p>
            <w:pPr>
              <w:spacing w:after="0"/>
              <w:rPr>
                <w:sz w:val="8"/>
                <w:szCs w:val="8"/>
                <w:color w:val="auto"/>
              </w:rPr>
            </w:pPr>
          </w:p>
        </w:tc>
        <w:tc>
          <w:tcPr>
            <w:tcW w:w="440" w:type="dxa"/>
            <w:vAlign w:val="bottom"/>
          </w:tcPr>
          <w:p>
            <w:pPr>
              <w:spacing w:after="0"/>
              <w:rPr>
                <w:sz w:val="8"/>
                <w:szCs w:val="8"/>
                <w:color w:val="auto"/>
              </w:rPr>
            </w:pPr>
          </w:p>
        </w:tc>
        <w:tc>
          <w:tcPr>
            <w:tcW w:w="360" w:type="dxa"/>
            <w:vAlign w:val="bottom"/>
          </w:tcPr>
          <w:p>
            <w:pPr>
              <w:spacing w:after="0"/>
              <w:rPr>
                <w:sz w:val="8"/>
                <w:szCs w:val="8"/>
                <w:color w:val="auto"/>
              </w:rPr>
            </w:pPr>
          </w:p>
        </w:tc>
        <w:tc>
          <w:tcPr>
            <w:tcW w:w="40" w:type="dxa"/>
            <w:vAlign w:val="bottom"/>
          </w:tcPr>
          <w:p>
            <w:pPr>
              <w:spacing w:after="0"/>
              <w:rPr>
                <w:sz w:val="8"/>
                <w:szCs w:val="8"/>
                <w:color w:val="auto"/>
              </w:rPr>
            </w:pPr>
          </w:p>
        </w:tc>
        <w:tc>
          <w:tcPr>
            <w:tcW w:w="64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through other</w:t>
            </w:r>
          </w:p>
        </w:tc>
        <w:tc>
          <w:tcPr>
            <w:tcW w:w="560" w:type="dxa"/>
            <w:vAlign w:val="bottom"/>
          </w:tcPr>
          <w:p>
            <w:pPr>
              <w:spacing w:after="0"/>
              <w:rPr>
                <w:sz w:val="8"/>
                <w:szCs w:val="8"/>
                <w:color w:val="auto"/>
              </w:rPr>
            </w:pPr>
          </w:p>
        </w:tc>
        <w:tc>
          <w:tcPr>
            <w:tcW w:w="40" w:type="dxa"/>
            <w:vAlign w:val="bottom"/>
          </w:tcPr>
          <w:p>
            <w:pPr>
              <w:spacing w:after="0"/>
              <w:rPr>
                <w:sz w:val="8"/>
                <w:szCs w:val="8"/>
                <w:color w:val="auto"/>
              </w:rPr>
            </w:pPr>
          </w:p>
        </w:tc>
        <w:tc>
          <w:tcPr>
            <w:tcW w:w="52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00"/>
        </w:trPr>
        <w:tc>
          <w:tcPr>
            <w:tcW w:w="780" w:type="dxa"/>
            <w:vAlign w:val="bottom"/>
          </w:tcPr>
          <w:p>
            <w:pPr>
              <w:spacing w:after="0"/>
              <w:rPr>
                <w:sz w:val="8"/>
                <w:szCs w:val="8"/>
                <w:color w:val="auto"/>
              </w:rPr>
            </w:pPr>
          </w:p>
        </w:tc>
        <w:tc>
          <w:tcPr>
            <w:tcW w:w="780" w:type="dxa"/>
            <w:vAlign w:val="bottom"/>
          </w:tcPr>
          <w:p>
            <w:pPr>
              <w:spacing w:after="0"/>
              <w:rPr>
                <w:sz w:val="8"/>
                <w:szCs w:val="8"/>
                <w:color w:val="auto"/>
              </w:rPr>
            </w:pPr>
          </w:p>
        </w:tc>
        <w:tc>
          <w:tcPr>
            <w:tcW w:w="360" w:type="dxa"/>
            <w:vAlign w:val="bottom"/>
          </w:tcPr>
          <w:p>
            <w:pPr>
              <w:spacing w:after="0"/>
              <w:rPr>
                <w:sz w:val="8"/>
                <w:szCs w:val="8"/>
                <w:color w:val="auto"/>
              </w:rPr>
            </w:pPr>
          </w:p>
        </w:tc>
        <w:tc>
          <w:tcPr>
            <w:tcW w:w="640" w:type="dxa"/>
            <w:vAlign w:val="bottom"/>
          </w:tcPr>
          <w:p>
            <w:pPr>
              <w:spacing w:after="0"/>
              <w:rPr>
                <w:sz w:val="8"/>
                <w:szCs w:val="8"/>
                <w:color w:val="auto"/>
              </w:rPr>
            </w:pPr>
          </w:p>
        </w:tc>
        <w:tc>
          <w:tcPr>
            <w:tcW w:w="660" w:type="dxa"/>
            <w:vAlign w:val="bottom"/>
          </w:tcPr>
          <w:p>
            <w:pPr>
              <w:spacing w:after="0"/>
              <w:rPr>
                <w:sz w:val="8"/>
                <w:szCs w:val="8"/>
                <w:color w:val="auto"/>
              </w:rPr>
            </w:pPr>
          </w:p>
        </w:tc>
        <w:tc>
          <w:tcPr>
            <w:tcW w:w="540" w:type="dxa"/>
            <w:vAlign w:val="bottom"/>
          </w:tcPr>
          <w:p>
            <w:pPr>
              <w:spacing w:after="0"/>
              <w:rPr>
                <w:sz w:val="8"/>
                <w:szCs w:val="8"/>
                <w:color w:val="auto"/>
              </w:rPr>
            </w:pPr>
          </w:p>
        </w:tc>
        <w:tc>
          <w:tcPr>
            <w:tcW w:w="320" w:type="dxa"/>
            <w:vAlign w:val="bottom"/>
          </w:tcPr>
          <w:p>
            <w:pPr>
              <w:spacing w:after="0"/>
              <w:rPr>
                <w:sz w:val="8"/>
                <w:szCs w:val="8"/>
                <w:color w:val="auto"/>
              </w:rPr>
            </w:pPr>
          </w:p>
        </w:tc>
        <w:tc>
          <w:tcPr>
            <w:tcW w:w="380" w:type="dxa"/>
            <w:vAlign w:val="bottom"/>
          </w:tcPr>
          <w:p>
            <w:pPr>
              <w:spacing w:after="0"/>
              <w:rPr>
                <w:sz w:val="8"/>
                <w:szCs w:val="8"/>
                <w:color w:val="auto"/>
              </w:rPr>
            </w:pPr>
          </w:p>
        </w:tc>
        <w:tc>
          <w:tcPr>
            <w:tcW w:w="20" w:type="dxa"/>
            <w:vAlign w:val="bottom"/>
          </w:tcPr>
          <w:p>
            <w:pPr>
              <w:spacing w:after="0"/>
              <w:rPr>
                <w:sz w:val="8"/>
                <w:szCs w:val="8"/>
                <w:color w:val="auto"/>
              </w:rPr>
            </w:pPr>
          </w:p>
        </w:tc>
        <w:tc>
          <w:tcPr>
            <w:tcW w:w="40" w:type="dxa"/>
            <w:vAlign w:val="bottom"/>
          </w:tcPr>
          <w:p>
            <w:pPr>
              <w:spacing w:after="0"/>
              <w:rPr>
                <w:sz w:val="8"/>
                <w:szCs w:val="8"/>
                <w:color w:val="auto"/>
              </w:rPr>
            </w:pPr>
          </w:p>
        </w:tc>
        <w:tc>
          <w:tcPr>
            <w:tcW w:w="40" w:type="dxa"/>
            <w:vAlign w:val="bottom"/>
          </w:tcPr>
          <w:p>
            <w:pPr>
              <w:spacing w:after="0"/>
              <w:rPr>
                <w:sz w:val="8"/>
                <w:szCs w:val="8"/>
                <w:color w:val="auto"/>
              </w:rPr>
            </w:pPr>
          </w:p>
        </w:tc>
        <w:tc>
          <w:tcPr>
            <w:tcW w:w="640" w:type="dxa"/>
            <w:vAlign w:val="bottom"/>
            <w:gridSpan w:val="2"/>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comprehensive</w:t>
            </w:r>
          </w:p>
        </w:tc>
        <w:tc>
          <w:tcPr>
            <w:tcW w:w="560" w:type="dxa"/>
            <w:vAlign w:val="bottom"/>
          </w:tcPr>
          <w:p>
            <w:pPr>
              <w:spacing w:after="0"/>
              <w:rPr>
                <w:sz w:val="8"/>
                <w:szCs w:val="8"/>
                <w:color w:val="auto"/>
              </w:rPr>
            </w:pPr>
          </w:p>
        </w:tc>
        <w:tc>
          <w:tcPr>
            <w:tcW w:w="40" w:type="dxa"/>
            <w:vAlign w:val="bottom"/>
          </w:tcPr>
          <w:p>
            <w:pPr>
              <w:spacing w:after="0"/>
              <w:rPr>
                <w:sz w:val="8"/>
                <w:szCs w:val="8"/>
                <w:color w:val="auto"/>
              </w:rPr>
            </w:pPr>
          </w:p>
        </w:tc>
        <w:tc>
          <w:tcPr>
            <w:tcW w:w="540" w:type="dxa"/>
            <w:vAlign w:val="bottom"/>
          </w:tcPr>
          <w:p>
            <w:pPr>
              <w:spacing w:after="0"/>
              <w:rPr>
                <w:sz w:val="8"/>
                <w:szCs w:val="8"/>
                <w:color w:val="auto"/>
              </w:rPr>
            </w:pPr>
          </w:p>
        </w:tc>
        <w:tc>
          <w:tcPr>
            <w:tcW w:w="660" w:type="dxa"/>
            <w:vAlign w:val="bottom"/>
          </w:tcPr>
          <w:p>
            <w:pPr>
              <w:spacing w:after="0"/>
              <w:rPr>
                <w:sz w:val="8"/>
                <w:szCs w:val="8"/>
                <w:color w:val="auto"/>
              </w:rPr>
            </w:pPr>
          </w:p>
        </w:tc>
        <w:tc>
          <w:tcPr>
            <w:tcW w:w="480" w:type="dxa"/>
            <w:vAlign w:val="bottom"/>
          </w:tcPr>
          <w:p>
            <w:pPr>
              <w:spacing w:after="0"/>
              <w:rPr>
                <w:sz w:val="8"/>
                <w:szCs w:val="8"/>
                <w:color w:val="auto"/>
              </w:rPr>
            </w:pPr>
          </w:p>
        </w:tc>
        <w:tc>
          <w:tcPr>
            <w:tcW w:w="440" w:type="dxa"/>
            <w:vAlign w:val="bottom"/>
          </w:tcPr>
          <w:p>
            <w:pPr>
              <w:spacing w:after="0"/>
              <w:rPr>
                <w:sz w:val="8"/>
                <w:szCs w:val="8"/>
                <w:color w:val="auto"/>
              </w:rPr>
            </w:pPr>
          </w:p>
        </w:tc>
        <w:tc>
          <w:tcPr>
            <w:tcW w:w="360" w:type="dxa"/>
            <w:vAlign w:val="bottom"/>
          </w:tcPr>
          <w:p>
            <w:pPr>
              <w:spacing w:after="0"/>
              <w:rPr>
                <w:sz w:val="8"/>
                <w:szCs w:val="8"/>
                <w:color w:val="auto"/>
              </w:rPr>
            </w:pPr>
          </w:p>
        </w:tc>
        <w:tc>
          <w:tcPr>
            <w:tcW w:w="40" w:type="dxa"/>
            <w:vAlign w:val="bottom"/>
          </w:tcPr>
          <w:p>
            <w:pPr>
              <w:spacing w:after="0"/>
              <w:rPr>
                <w:sz w:val="8"/>
                <w:szCs w:val="8"/>
                <w:color w:val="auto"/>
              </w:rPr>
            </w:pPr>
          </w:p>
        </w:tc>
        <w:tc>
          <w:tcPr>
            <w:tcW w:w="640" w:type="dxa"/>
            <w:vAlign w:val="bottom"/>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comprehensive</w:t>
            </w:r>
          </w:p>
        </w:tc>
        <w:tc>
          <w:tcPr>
            <w:tcW w:w="560" w:type="dxa"/>
            <w:vAlign w:val="bottom"/>
          </w:tcPr>
          <w:p>
            <w:pPr>
              <w:spacing w:after="0"/>
              <w:rPr>
                <w:sz w:val="8"/>
                <w:szCs w:val="8"/>
                <w:color w:val="auto"/>
              </w:rPr>
            </w:pPr>
          </w:p>
        </w:tc>
        <w:tc>
          <w:tcPr>
            <w:tcW w:w="40" w:type="dxa"/>
            <w:vAlign w:val="bottom"/>
          </w:tcPr>
          <w:p>
            <w:pPr>
              <w:spacing w:after="0"/>
              <w:rPr>
                <w:sz w:val="8"/>
                <w:szCs w:val="8"/>
                <w:color w:val="auto"/>
              </w:rPr>
            </w:pPr>
          </w:p>
        </w:tc>
        <w:tc>
          <w:tcPr>
            <w:tcW w:w="520" w:type="dxa"/>
            <w:vAlign w:val="bottom"/>
          </w:tcPr>
          <w:p>
            <w:pPr>
              <w:spacing w:after="0"/>
              <w:rPr>
                <w:sz w:val="8"/>
                <w:szCs w:val="8"/>
                <w:color w:val="auto"/>
              </w:rPr>
            </w:pPr>
          </w:p>
        </w:tc>
        <w:tc>
          <w:tcPr>
            <w:tcW w:w="0" w:type="dxa"/>
            <w:vAlign w:val="bottom"/>
          </w:tcPr>
          <w:p>
            <w:pPr>
              <w:spacing w:after="0"/>
              <w:rPr>
                <w:sz w:val="1"/>
                <w:szCs w:val="1"/>
                <w:color w:val="auto"/>
              </w:rPr>
            </w:pPr>
          </w:p>
        </w:tc>
      </w:tr>
      <w:tr>
        <w:trPr>
          <w:trHeight w:val="114"/>
        </w:trPr>
        <w:tc>
          <w:tcPr>
            <w:tcW w:w="780" w:type="dxa"/>
            <w:vAlign w:val="bottom"/>
          </w:tcPr>
          <w:p>
            <w:pPr>
              <w:spacing w:after="0"/>
              <w:rPr>
                <w:sz w:val="9"/>
                <w:szCs w:val="9"/>
                <w:color w:val="auto"/>
              </w:rPr>
            </w:pPr>
          </w:p>
        </w:tc>
        <w:tc>
          <w:tcPr>
            <w:tcW w:w="780" w:type="dxa"/>
            <w:vAlign w:val="bottom"/>
          </w:tcPr>
          <w:p>
            <w:pPr>
              <w:spacing w:after="0"/>
              <w:rPr>
                <w:sz w:val="9"/>
                <w:szCs w:val="9"/>
                <w:color w:val="auto"/>
              </w:rPr>
            </w:pPr>
          </w:p>
        </w:tc>
        <w:tc>
          <w:tcPr>
            <w:tcW w:w="360" w:type="dxa"/>
            <w:vAlign w:val="bottom"/>
          </w:tcPr>
          <w:p>
            <w:pPr>
              <w:spacing w:after="0"/>
              <w:rPr>
                <w:sz w:val="9"/>
                <w:szCs w:val="9"/>
                <w:color w:val="auto"/>
              </w:rPr>
            </w:pPr>
          </w:p>
        </w:tc>
        <w:tc>
          <w:tcPr>
            <w:tcW w:w="640" w:type="dxa"/>
            <w:vAlign w:val="bottom"/>
          </w:tcPr>
          <w:p>
            <w:pPr>
              <w:spacing w:after="0"/>
              <w:rPr>
                <w:sz w:val="9"/>
                <w:szCs w:val="9"/>
                <w:color w:val="auto"/>
              </w:rPr>
            </w:pPr>
          </w:p>
        </w:tc>
        <w:tc>
          <w:tcPr>
            <w:tcW w:w="660" w:type="dxa"/>
            <w:vAlign w:val="bottom"/>
          </w:tcPr>
          <w:p>
            <w:pPr>
              <w:spacing w:after="0"/>
              <w:rPr>
                <w:sz w:val="9"/>
                <w:szCs w:val="9"/>
                <w:color w:val="auto"/>
              </w:rPr>
            </w:pPr>
          </w:p>
        </w:tc>
        <w:tc>
          <w:tcPr>
            <w:tcW w:w="1260" w:type="dxa"/>
            <w:vAlign w:val="bottom"/>
            <w:tcBorders>
              <w:bottom w:val="single" w:sz="8" w:color="005AFF"/>
            </w:tcBorders>
            <w:gridSpan w:val="4"/>
          </w:tcPr>
          <w:p>
            <w:pPr>
              <w:ind w:left="80"/>
              <w:spacing w:after="0"/>
              <w:rPr>
                <w:sz w:val="20"/>
                <w:szCs w:val="20"/>
                <w:color w:val="auto"/>
              </w:rPr>
            </w:pPr>
            <w:r>
              <w:rPr>
                <w:rFonts w:ascii="Times New Roman" w:cs="Times New Roman" w:eastAsia="Times New Roman" w:hAnsi="Times New Roman"/>
                <w:sz w:val="8"/>
                <w:szCs w:val="8"/>
                <w:b w:val="1"/>
                <w:bCs w:val="1"/>
                <w:color w:val="005AFF"/>
              </w:rPr>
              <w:t>Fair value through profit or loss</w:t>
            </w:r>
          </w:p>
        </w:tc>
        <w:tc>
          <w:tcPr>
            <w:tcW w:w="4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640" w:type="dxa"/>
            <w:vAlign w:val="bottom"/>
            <w:tcBorders>
              <w:bottom w:val="single" w:sz="8" w:color="005AFF"/>
            </w:tcBorders>
            <w:gridSpan w:val="2"/>
          </w:tcPr>
          <w:p>
            <w:pPr>
              <w:jc w:val="right"/>
              <w:spacing w:after="0" w:line="114" w:lineRule="exact"/>
              <w:rPr>
                <w:sz w:val="20"/>
                <w:szCs w:val="20"/>
                <w:color w:val="auto"/>
              </w:rPr>
            </w:pPr>
            <w:r>
              <w:rPr>
                <w:rFonts w:ascii="Times New Roman" w:cs="Times New Roman" w:eastAsia="Times New Roman" w:hAnsi="Times New Roman"/>
                <w:sz w:val="8"/>
                <w:szCs w:val="8"/>
                <w:b w:val="1"/>
                <w:bCs w:val="1"/>
                <w:color w:val="005AFF"/>
              </w:rPr>
              <w:t xml:space="preserve">income </w:t>
            </w:r>
            <w:r>
              <w:rPr>
                <w:rFonts w:ascii="Times New Roman" w:cs="Times New Roman" w:eastAsia="Times New Roman" w:hAnsi="Times New Roman"/>
                <w:sz w:val="10"/>
                <w:szCs w:val="10"/>
                <w:b w:val="1"/>
                <w:bCs w:val="1"/>
                <w:color w:val="005AFF"/>
                <w:vertAlign w:val="superscript"/>
              </w:rPr>
              <w:t>(2)</w:t>
            </w:r>
          </w:p>
        </w:tc>
        <w:tc>
          <w:tcPr>
            <w:tcW w:w="560" w:type="dxa"/>
            <w:vAlign w:val="bottom"/>
          </w:tcPr>
          <w:p>
            <w:pPr>
              <w:spacing w:after="0"/>
              <w:rPr>
                <w:sz w:val="9"/>
                <w:szCs w:val="9"/>
                <w:color w:val="auto"/>
              </w:rPr>
            </w:pPr>
          </w:p>
        </w:tc>
        <w:tc>
          <w:tcPr>
            <w:tcW w:w="40" w:type="dxa"/>
            <w:vAlign w:val="bottom"/>
          </w:tcPr>
          <w:p>
            <w:pPr>
              <w:spacing w:after="0"/>
              <w:rPr>
                <w:sz w:val="9"/>
                <w:szCs w:val="9"/>
                <w:color w:val="auto"/>
              </w:rPr>
            </w:pPr>
          </w:p>
        </w:tc>
        <w:tc>
          <w:tcPr>
            <w:tcW w:w="540" w:type="dxa"/>
            <w:vAlign w:val="bottom"/>
          </w:tcPr>
          <w:p>
            <w:pPr>
              <w:spacing w:after="0"/>
              <w:rPr>
                <w:sz w:val="9"/>
                <w:szCs w:val="9"/>
                <w:color w:val="auto"/>
              </w:rPr>
            </w:pPr>
          </w:p>
        </w:tc>
        <w:tc>
          <w:tcPr>
            <w:tcW w:w="660" w:type="dxa"/>
            <w:vAlign w:val="bottom"/>
          </w:tcPr>
          <w:p>
            <w:pPr>
              <w:spacing w:after="0"/>
              <w:rPr>
                <w:sz w:val="9"/>
                <w:szCs w:val="9"/>
                <w:color w:val="auto"/>
              </w:rPr>
            </w:pPr>
          </w:p>
        </w:tc>
        <w:tc>
          <w:tcPr>
            <w:tcW w:w="1280" w:type="dxa"/>
            <w:vAlign w:val="bottom"/>
            <w:tcBorders>
              <w:bottom w:val="single" w:sz="8" w:color="005AFF"/>
            </w:tcBorders>
            <w:gridSpan w:val="3"/>
          </w:tcPr>
          <w:p>
            <w:pPr>
              <w:jc w:val="right"/>
              <w:ind w:right="50"/>
              <w:spacing w:after="0"/>
              <w:rPr>
                <w:sz w:val="20"/>
                <w:szCs w:val="20"/>
                <w:color w:val="auto"/>
              </w:rPr>
            </w:pPr>
            <w:r>
              <w:rPr>
                <w:rFonts w:ascii="Times New Roman" w:cs="Times New Roman" w:eastAsia="Times New Roman" w:hAnsi="Times New Roman"/>
                <w:sz w:val="8"/>
                <w:szCs w:val="8"/>
                <w:b w:val="1"/>
                <w:bCs w:val="1"/>
                <w:color w:val="005AFF"/>
              </w:rPr>
              <w:t>Fair value through profit or loss</w:t>
            </w:r>
          </w:p>
        </w:tc>
        <w:tc>
          <w:tcPr>
            <w:tcW w:w="40" w:type="dxa"/>
            <w:vAlign w:val="bottom"/>
          </w:tcPr>
          <w:p>
            <w:pPr>
              <w:spacing w:after="0"/>
              <w:rPr>
                <w:sz w:val="9"/>
                <w:szCs w:val="9"/>
                <w:color w:val="auto"/>
              </w:rPr>
            </w:pPr>
          </w:p>
        </w:tc>
        <w:tc>
          <w:tcPr>
            <w:tcW w:w="640" w:type="dxa"/>
            <w:vAlign w:val="bottom"/>
            <w:tcBorders>
              <w:bottom w:val="single" w:sz="8" w:color="005AFF"/>
            </w:tcBorders>
          </w:tcPr>
          <w:p>
            <w:pPr>
              <w:jc w:val="right"/>
              <w:spacing w:after="0" w:line="114" w:lineRule="exact"/>
              <w:rPr>
                <w:sz w:val="20"/>
                <w:szCs w:val="20"/>
                <w:color w:val="auto"/>
              </w:rPr>
            </w:pPr>
            <w:r>
              <w:rPr>
                <w:rFonts w:ascii="Times New Roman" w:cs="Times New Roman" w:eastAsia="Times New Roman" w:hAnsi="Times New Roman"/>
                <w:sz w:val="8"/>
                <w:szCs w:val="8"/>
                <w:b w:val="1"/>
                <w:bCs w:val="1"/>
                <w:color w:val="005AFF"/>
              </w:rPr>
              <w:t xml:space="preserve">income </w:t>
            </w:r>
            <w:r>
              <w:rPr>
                <w:rFonts w:ascii="Times New Roman" w:cs="Times New Roman" w:eastAsia="Times New Roman" w:hAnsi="Times New Roman"/>
                <w:sz w:val="10"/>
                <w:szCs w:val="10"/>
                <w:b w:val="1"/>
                <w:bCs w:val="1"/>
                <w:color w:val="005AFF"/>
                <w:vertAlign w:val="superscript"/>
              </w:rPr>
              <w:t>(2)</w:t>
            </w:r>
          </w:p>
        </w:tc>
        <w:tc>
          <w:tcPr>
            <w:tcW w:w="560" w:type="dxa"/>
            <w:vAlign w:val="bottom"/>
          </w:tcPr>
          <w:p>
            <w:pPr>
              <w:spacing w:after="0"/>
              <w:rPr>
                <w:sz w:val="9"/>
                <w:szCs w:val="9"/>
                <w:color w:val="auto"/>
              </w:rPr>
            </w:pPr>
          </w:p>
        </w:tc>
        <w:tc>
          <w:tcPr>
            <w:tcW w:w="40" w:type="dxa"/>
            <w:vAlign w:val="bottom"/>
          </w:tcPr>
          <w:p>
            <w:pPr>
              <w:spacing w:after="0"/>
              <w:rPr>
                <w:sz w:val="9"/>
                <w:szCs w:val="9"/>
                <w:color w:val="auto"/>
              </w:rPr>
            </w:pPr>
          </w:p>
        </w:tc>
        <w:tc>
          <w:tcPr>
            <w:tcW w:w="5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29"/>
        </w:trPr>
        <w:tc>
          <w:tcPr>
            <w:tcW w:w="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80" w:type="dxa"/>
            <w:vAlign w:val="bottom"/>
            <w:tcBorders>
              <w:bottom w:val="single" w:sz="8" w:color="005AFF"/>
            </w:tcBorders>
          </w:tcPr>
          <w:p>
            <w:pPr>
              <w:spacing w:after="0"/>
              <w:rPr>
                <w:sz w:val="11"/>
                <w:szCs w:val="11"/>
                <w:color w:val="auto"/>
              </w:rPr>
            </w:pPr>
          </w:p>
        </w:tc>
        <w:tc>
          <w:tcPr>
            <w:tcW w:w="360" w:type="dxa"/>
            <w:vAlign w:val="bottom"/>
            <w:tcBorders>
              <w:bottom w:val="single" w:sz="8" w:color="005AFF"/>
            </w:tcBorders>
          </w:tcPr>
          <w:p>
            <w:pPr>
              <w:spacing w:after="0"/>
              <w:rPr>
                <w:sz w:val="11"/>
                <w:szCs w:val="11"/>
                <w:color w:val="auto"/>
              </w:rPr>
            </w:pPr>
          </w:p>
        </w:tc>
        <w:tc>
          <w:tcPr>
            <w:tcW w:w="640" w:type="dxa"/>
            <w:vAlign w:val="bottom"/>
            <w:tcBorders>
              <w:bottom w:val="single" w:sz="8" w:color="005AFF"/>
            </w:tcBorders>
          </w:tcPr>
          <w:p>
            <w:pPr>
              <w:spacing w:after="0"/>
              <w:rPr>
                <w:sz w:val="11"/>
                <w:szCs w:val="11"/>
                <w:color w:val="auto"/>
              </w:rPr>
            </w:pPr>
          </w:p>
        </w:tc>
        <w:tc>
          <w:tcPr>
            <w:tcW w:w="6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8"/>
                <w:szCs w:val="8"/>
                <w:b w:val="1"/>
                <w:bCs w:val="1"/>
                <w:color w:val="005AFF"/>
              </w:rPr>
              <w:t>Amortized cost</w:t>
            </w:r>
          </w:p>
        </w:tc>
        <w:tc>
          <w:tcPr>
            <w:tcW w:w="540" w:type="dxa"/>
            <w:vAlign w:val="bottom"/>
            <w:tcBorders>
              <w:bottom w:val="single" w:sz="8" w:color="005AFF"/>
            </w:tcBorders>
          </w:tcPr>
          <w:p>
            <w:pPr>
              <w:jc w:val="right"/>
              <w:ind w:right="111"/>
              <w:spacing w:after="0"/>
              <w:rPr>
                <w:sz w:val="20"/>
                <w:szCs w:val="20"/>
                <w:color w:val="auto"/>
              </w:rPr>
            </w:pPr>
            <w:r>
              <w:rPr>
                <w:rFonts w:ascii="Times New Roman" w:cs="Times New Roman" w:eastAsia="Times New Roman" w:hAnsi="Times New Roman"/>
                <w:sz w:val="8"/>
                <w:szCs w:val="8"/>
                <w:b w:val="1"/>
                <w:bCs w:val="1"/>
                <w:color w:val="005AFF"/>
              </w:rPr>
              <w:t>Level 1</w:t>
            </w:r>
          </w:p>
        </w:tc>
        <w:tc>
          <w:tcPr>
            <w:tcW w:w="320" w:type="dxa"/>
            <w:vAlign w:val="bottom"/>
            <w:tcBorders>
              <w:bottom w:val="single" w:sz="8" w:color="005AFF"/>
            </w:tcBorders>
          </w:tcPr>
          <w:p>
            <w:pPr>
              <w:ind w:left="20"/>
              <w:spacing w:after="0"/>
              <w:rPr>
                <w:sz w:val="20"/>
                <w:szCs w:val="20"/>
                <w:color w:val="auto"/>
              </w:rPr>
            </w:pPr>
            <w:r>
              <w:rPr>
                <w:rFonts w:ascii="Times New Roman" w:cs="Times New Roman" w:eastAsia="Times New Roman" w:hAnsi="Times New Roman"/>
                <w:sz w:val="8"/>
                <w:szCs w:val="8"/>
                <w:b w:val="1"/>
                <w:bCs w:val="1"/>
                <w:color w:val="005AFF"/>
              </w:rPr>
              <w:t>Level 2</w:t>
            </w:r>
          </w:p>
        </w:tc>
        <w:tc>
          <w:tcPr>
            <w:tcW w:w="400" w:type="dxa"/>
            <w:vAlign w:val="bottom"/>
            <w:tcBorders>
              <w:bottom w:val="single" w:sz="8" w:color="005AFF"/>
            </w:tcBorders>
            <w:gridSpan w:val="2"/>
          </w:tcPr>
          <w:p>
            <w:pPr>
              <w:jc w:val="right"/>
              <w:spacing w:after="0"/>
              <w:rPr>
                <w:sz w:val="20"/>
                <w:szCs w:val="20"/>
                <w:color w:val="auto"/>
              </w:rPr>
            </w:pPr>
            <w:r>
              <w:rPr>
                <w:rFonts w:ascii="Times New Roman" w:cs="Times New Roman" w:eastAsia="Times New Roman" w:hAnsi="Times New Roman"/>
                <w:sz w:val="8"/>
                <w:szCs w:val="8"/>
                <w:b w:val="1"/>
                <w:bCs w:val="1"/>
                <w:color w:val="005AFF"/>
              </w:rPr>
              <w:t>Level 3</w:t>
            </w:r>
          </w:p>
        </w:tc>
        <w:tc>
          <w:tcPr>
            <w:tcW w:w="40" w:type="dxa"/>
            <w:vAlign w:val="bottom"/>
            <w:tcBorders>
              <w:bottom w:val="single" w:sz="8" w:color="005AFF"/>
            </w:tcBorders>
          </w:tcPr>
          <w:p>
            <w:pPr>
              <w:spacing w:after="0"/>
              <w:rPr>
                <w:sz w:val="11"/>
                <w:szCs w:val="11"/>
                <w:color w:val="auto"/>
              </w:rPr>
            </w:pPr>
          </w:p>
        </w:tc>
        <w:tc>
          <w:tcPr>
            <w:tcW w:w="40" w:type="dxa"/>
            <w:vAlign w:val="bottom"/>
            <w:tcBorders>
              <w:bottom w:val="single" w:sz="8" w:color="005AFF"/>
            </w:tcBorders>
          </w:tcPr>
          <w:p>
            <w:pPr>
              <w:spacing w:after="0"/>
              <w:rPr>
                <w:sz w:val="11"/>
                <w:szCs w:val="11"/>
                <w:color w:val="auto"/>
              </w:rPr>
            </w:pPr>
          </w:p>
        </w:tc>
        <w:tc>
          <w:tcPr>
            <w:tcW w:w="640" w:type="dxa"/>
            <w:vAlign w:val="bottom"/>
            <w:tcBorders>
              <w:bottom w:val="single" w:sz="8" w:color="005AFF"/>
            </w:tcBorders>
            <w:gridSpan w:val="2"/>
          </w:tcPr>
          <w:p>
            <w:pPr>
              <w:jc w:val="right"/>
              <w:ind w:right="9"/>
              <w:spacing w:after="0"/>
              <w:rPr>
                <w:sz w:val="20"/>
                <w:szCs w:val="20"/>
                <w:color w:val="auto"/>
              </w:rPr>
            </w:pPr>
            <w:r>
              <w:rPr>
                <w:rFonts w:ascii="Times New Roman" w:cs="Times New Roman" w:eastAsia="Times New Roman" w:hAnsi="Times New Roman"/>
                <w:sz w:val="8"/>
                <w:szCs w:val="8"/>
                <w:b w:val="1"/>
                <w:bCs w:val="1"/>
                <w:color w:val="005AFF"/>
              </w:rPr>
              <w:t>Level 2</w:t>
            </w:r>
          </w:p>
        </w:tc>
        <w:tc>
          <w:tcPr>
            <w:tcW w:w="5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4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Total</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Amortized cost</w:t>
            </w:r>
          </w:p>
        </w:tc>
        <w:tc>
          <w:tcPr>
            <w:tcW w:w="48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8"/>
                <w:szCs w:val="8"/>
                <w:b w:val="1"/>
                <w:bCs w:val="1"/>
                <w:color w:val="005AFF"/>
              </w:rPr>
              <w:t>Level 1</w:t>
            </w:r>
          </w:p>
        </w:tc>
        <w:tc>
          <w:tcPr>
            <w:tcW w:w="44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Level 2</w:t>
            </w:r>
          </w:p>
        </w:tc>
        <w:tc>
          <w:tcPr>
            <w:tcW w:w="400" w:type="dxa"/>
            <w:vAlign w:val="bottom"/>
            <w:tcBorders>
              <w:bottom w:val="single" w:sz="8" w:color="005AFF"/>
            </w:tcBorders>
            <w:gridSpan w:val="2"/>
          </w:tcPr>
          <w:p>
            <w:pPr>
              <w:ind w:left="60"/>
              <w:spacing w:after="0"/>
              <w:rPr>
                <w:sz w:val="20"/>
                <w:szCs w:val="20"/>
                <w:color w:val="auto"/>
              </w:rPr>
            </w:pPr>
            <w:r>
              <w:rPr>
                <w:rFonts w:ascii="Times New Roman" w:cs="Times New Roman" w:eastAsia="Times New Roman" w:hAnsi="Times New Roman"/>
                <w:sz w:val="8"/>
                <w:szCs w:val="8"/>
                <w:b w:val="1"/>
                <w:bCs w:val="1"/>
                <w:color w:val="005AFF"/>
              </w:rPr>
              <w:t>Level 3</w:t>
            </w: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Level 2</w:t>
            </w:r>
          </w:p>
        </w:tc>
        <w:tc>
          <w:tcPr>
            <w:tcW w:w="600" w:type="dxa"/>
            <w:vAlign w:val="bottom"/>
            <w:tcBorders>
              <w:bottom w:val="single" w:sz="8" w:color="005AFF"/>
            </w:tcBorders>
            <w:gridSpan w:val="2"/>
          </w:tcPr>
          <w:p>
            <w:pPr>
              <w:ind w:left="32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52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0" w:type="dxa"/>
            <w:vAlign w:val="bottom"/>
          </w:tcPr>
          <w:p>
            <w:pPr>
              <w:spacing w:after="0"/>
              <w:rPr>
                <w:sz w:val="1"/>
                <w:szCs w:val="1"/>
                <w:color w:val="auto"/>
              </w:rPr>
            </w:pPr>
          </w:p>
        </w:tc>
      </w:tr>
      <w:tr>
        <w:trPr>
          <w:trHeight w:val="135"/>
        </w:trPr>
        <w:tc>
          <w:tcPr>
            <w:tcW w:w="2560" w:type="dxa"/>
            <w:vAlign w:val="bottom"/>
            <w:gridSpan w:val="4"/>
          </w:tcPr>
          <w:p>
            <w:pPr>
              <w:ind w:left="4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715</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715</w:t>
            </w:r>
          </w:p>
        </w:tc>
        <w:tc>
          <w:tcPr>
            <w:tcW w:w="580" w:type="dxa"/>
            <w:vAlign w:val="bottom"/>
            <w:tcBorders>
              <w:right w:val="single" w:sz="8" w:color="F0F5FF"/>
            </w:tcBorders>
            <w:gridSpan w:val="2"/>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717</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697</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697</w:t>
            </w:r>
          </w:p>
        </w:tc>
        <w:tc>
          <w:tcPr>
            <w:tcW w:w="40" w:type="dxa"/>
            <w:vAlign w:val="bottom"/>
          </w:tcPr>
          <w:p>
            <w:pPr>
              <w:spacing w:after="0"/>
              <w:rPr>
                <w:sz w:val="11"/>
                <w:szCs w:val="11"/>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659</w:t>
            </w:r>
          </w:p>
        </w:tc>
        <w:tc>
          <w:tcPr>
            <w:tcW w:w="0" w:type="dxa"/>
            <w:vAlign w:val="bottom"/>
          </w:tcPr>
          <w:p>
            <w:pPr>
              <w:spacing w:after="0"/>
              <w:rPr>
                <w:sz w:val="1"/>
                <w:szCs w:val="1"/>
                <w:color w:val="auto"/>
              </w:rPr>
            </w:pP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Investments in venture funds</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rPr>
              <w:t>5</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779</w:t>
            </w:r>
          </w:p>
        </w:tc>
        <w:tc>
          <w:tcPr>
            <w:tcW w:w="2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784</w:t>
            </w:r>
          </w:p>
        </w:tc>
        <w:tc>
          <w:tcPr>
            <w:tcW w:w="580" w:type="dxa"/>
            <w:vAlign w:val="bottom"/>
            <w:tcBorders>
              <w:right w:val="single" w:sz="8" w:color="F0F5FF"/>
            </w:tcBorders>
            <w:gridSpan w:val="2"/>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784</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w w:val="79"/>
              </w:rPr>
              <w:t>5</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3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823</w:t>
            </w:r>
          </w:p>
        </w:tc>
        <w:tc>
          <w:tcPr>
            <w:tcW w:w="40" w:type="dxa"/>
            <w:vAlign w:val="bottom"/>
          </w:tcPr>
          <w:p>
            <w:pPr>
              <w:spacing w:after="0"/>
              <w:rPr>
                <w:sz w:val="14"/>
                <w:szCs w:val="14"/>
                <w:color w:val="auto"/>
              </w:rPr>
            </w:pP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828</w:t>
            </w:r>
          </w:p>
        </w:tc>
        <w:tc>
          <w:tcPr>
            <w:tcW w:w="40" w:type="dxa"/>
            <w:vAlign w:val="bottom"/>
          </w:tcPr>
          <w:p>
            <w:pPr>
              <w:spacing w:after="0"/>
              <w:rPr>
                <w:sz w:val="14"/>
                <w:szCs w:val="14"/>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828</w:t>
            </w:r>
          </w:p>
        </w:tc>
        <w:tc>
          <w:tcPr>
            <w:tcW w:w="0" w:type="dxa"/>
            <w:vAlign w:val="bottom"/>
          </w:tcPr>
          <w:p>
            <w:pPr>
              <w:spacing w:after="0"/>
              <w:rPr>
                <w:sz w:val="1"/>
                <w:szCs w:val="1"/>
                <w:color w:val="auto"/>
              </w:rPr>
            </w:pP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Other non-current financial assets</w:t>
            </w:r>
          </w:p>
        </w:tc>
        <w:tc>
          <w:tcPr>
            <w:tcW w:w="360" w:type="dxa"/>
            <w:vAlign w:val="bottom"/>
          </w:tcPr>
          <w:p>
            <w:pPr>
              <w:jc w:val="right"/>
              <w:ind w:right="227"/>
              <w:spacing w:after="0"/>
              <w:rPr>
                <w:sz w:val="20"/>
                <w:szCs w:val="20"/>
                <w:color w:val="auto"/>
              </w:rPr>
            </w:pPr>
            <w:r>
              <w:rPr>
                <w:rFonts w:ascii="Times New Roman" w:cs="Times New Roman" w:eastAsia="Times New Roman" w:hAnsi="Times New Roman"/>
                <w:sz w:val="7"/>
                <w:szCs w:val="7"/>
                <w:color w:val="0D0D0D"/>
                <w:w w:val="97"/>
              </w:rPr>
              <w:t>(3)</w:t>
            </w: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161</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96</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720" w:type="dxa"/>
            <w:vAlign w:val="bottom"/>
            <w:gridSpan w:val="4"/>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59</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316</w:t>
            </w:r>
          </w:p>
        </w:tc>
        <w:tc>
          <w:tcPr>
            <w:tcW w:w="580" w:type="dxa"/>
            <w:vAlign w:val="bottom"/>
            <w:tcBorders>
              <w:right w:val="single" w:sz="8" w:color="F0F5FF"/>
            </w:tcBorders>
            <w:gridSpan w:val="2"/>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316</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183</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91</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27</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301</w:t>
            </w:r>
          </w:p>
        </w:tc>
        <w:tc>
          <w:tcPr>
            <w:tcW w:w="40" w:type="dxa"/>
            <w:vAlign w:val="bottom"/>
          </w:tcPr>
          <w:p>
            <w:pPr>
              <w:spacing w:after="0"/>
              <w:rPr>
                <w:sz w:val="14"/>
                <w:szCs w:val="14"/>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301</w:t>
            </w:r>
          </w:p>
        </w:tc>
        <w:tc>
          <w:tcPr>
            <w:tcW w:w="0" w:type="dxa"/>
            <w:vAlign w:val="bottom"/>
          </w:tcPr>
          <w:p>
            <w:pPr>
              <w:spacing w:after="0"/>
              <w:rPr>
                <w:sz w:val="1"/>
                <w:szCs w:val="1"/>
                <w:color w:val="auto"/>
              </w:rPr>
            </w:pPr>
          </w:p>
        </w:tc>
      </w:tr>
      <w:tr>
        <w:trPr>
          <w:trHeight w:val="17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Other current financial assets   </w:t>
            </w:r>
            <w:r>
              <w:rPr>
                <w:rFonts w:ascii="Times New Roman" w:cs="Times New Roman" w:eastAsia="Times New Roman" w:hAnsi="Times New Roman"/>
                <w:sz w:val="13"/>
                <w:szCs w:val="13"/>
                <w:color w:val="0D0D0D"/>
                <w:vertAlign w:val="superscript"/>
              </w:rPr>
              <w:t>(3)</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263</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680" w:type="dxa"/>
            <w:vAlign w:val="bottom"/>
            <w:gridSpan w:val="3"/>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22</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285</w:t>
            </w:r>
          </w:p>
        </w:tc>
        <w:tc>
          <w:tcPr>
            <w:tcW w:w="580" w:type="dxa"/>
            <w:vAlign w:val="bottom"/>
            <w:tcBorders>
              <w:right w:val="single" w:sz="8" w:color="F0F5FF"/>
            </w:tcBorders>
            <w:gridSpan w:val="2"/>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285</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296</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480"/>
              <w:spacing w:after="0"/>
              <w:rPr>
                <w:sz w:val="20"/>
                <w:szCs w:val="20"/>
                <w:color w:val="auto"/>
              </w:rPr>
            </w:pPr>
            <w:r>
              <w:rPr>
                <w:rFonts w:ascii="Times New Roman" w:cs="Times New Roman" w:eastAsia="Times New Roman" w:hAnsi="Times New Roman"/>
                <w:sz w:val="10"/>
                <w:szCs w:val="10"/>
                <w:color w:val="0D0D0D"/>
              </w:rPr>
              <w:t>36</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332</w:t>
            </w:r>
          </w:p>
        </w:tc>
        <w:tc>
          <w:tcPr>
            <w:tcW w:w="40" w:type="dxa"/>
            <w:vAlign w:val="bottom"/>
          </w:tcPr>
          <w:p>
            <w:pPr>
              <w:spacing w:after="0"/>
              <w:rPr>
                <w:sz w:val="14"/>
                <w:szCs w:val="14"/>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332</w:t>
            </w:r>
          </w:p>
        </w:tc>
        <w:tc>
          <w:tcPr>
            <w:tcW w:w="0" w:type="dxa"/>
            <w:vAlign w:val="bottom"/>
          </w:tcPr>
          <w:p>
            <w:pPr>
              <w:spacing w:after="0"/>
              <w:rPr>
                <w:sz w:val="1"/>
                <w:szCs w:val="1"/>
                <w:color w:val="auto"/>
              </w:rPr>
            </w:pPr>
          </w:p>
        </w:tc>
      </w:tr>
      <w:tr>
        <w:trPr>
          <w:trHeight w:val="151"/>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Derivative assets</w:t>
            </w:r>
          </w:p>
        </w:tc>
        <w:tc>
          <w:tcPr>
            <w:tcW w:w="780" w:type="dxa"/>
            <w:vAlign w:val="bottom"/>
          </w:tcPr>
          <w:p>
            <w:pPr>
              <w:jc w:val="right"/>
              <w:ind w:right="640"/>
              <w:spacing w:after="0"/>
              <w:rPr>
                <w:sz w:val="20"/>
                <w:szCs w:val="20"/>
                <w:color w:val="auto"/>
              </w:rPr>
            </w:pPr>
            <w:r>
              <w:rPr>
                <w:rFonts w:ascii="Times New Roman" w:cs="Times New Roman" w:eastAsia="Times New Roman" w:hAnsi="Times New Roman"/>
                <w:sz w:val="7"/>
                <w:szCs w:val="7"/>
                <w:color w:val="0D0D0D"/>
                <w:w w:val="97"/>
              </w:rPr>
              <w:t>(4)</w:t>
            </w:r>
          </w:p>
        </w:tc>
        <w:tc>
          <w:tcPr>
            <w:tcW w:w="360" w:type="dxa"/>
            <w:vAlign w:val="bottom"/>
          </w:tcPr>
          <w:p>
            <w:pPr>
              <w:spacing w:after="0"/>
              <w:rPr>
                <w:sz w:val="13"/>
                <w:szCs w:val="13"/>
                <w:color w:val="auto"/>
              </w:rPr>
            </w:pPr>
          </w:p>
        </w:tc>
        <w:tc>
          <w:tcPr>
            <w:tcW w:w="640" w:type="dxa"/>
            <w:vAlign w:val="bottom"/>
          </w:tcPr>
          <w:p>
            <w:pPr>
              <w:spacing w:after="0"/>
              <w:rPr>
                <w:sz w:val="13"/>
                <w:szCs w:val="13"/>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134</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3"/>
                <w:szCs w:val="13"/>
                <w:color w:val="auto"/>
              </w:rPr>
            </w:pPr>
          </w:p>
        </w:tc>
        <w:tc>
          <w:tcPr>
            <w:tcW w:w="40" w:type="dxa"/>
            <w:vAlign w:val="bottom"/>
            <w:shd w:val="clear" w:color="auto" w:fill="F0F5FF"/>
          </w:tcPr>
          <w:p>
            <w:pPr>
              <w:spacing w:after="0"/>
              <w:rPr>
                <w:sz w:val="13"/>
                <w:szCs w:val="13"/>
                <w:color w:val="auto"/>
              </w:rPr>
            </w:pPr>
          </w:p>
        </w:tc>
        <w:tc>
          <w:tcPr>
            <w:tcW w:w="440" w:type="dxa"/>
            <w:vAlign w:val="bottom"/>
            <w:shd w:val="clear" w:color="auto" w:fill="F0F5FF"/>
          </w:tcPr>
          <w:p>
            <w:pPr>
              <w:spacing w:after="0"/>
              <w:rPr>
                <w:sz w:val="13"/>
                <w:szCs w:val="13"/>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134</w:t>
            </w:r>
          </w:p>
        </w:tc>
        <w:tc>
          <w:tcPr>
            <w:tcW w:w="580" w:type="dxa"/>
            <w:vAlign w:val="bottom"/>
            <w:tcBorders>
              <w:right w:val="single" w:sz="8" w:color="F0F5FF"/>
            </w:tcBorders>
            <w:gridSpan w:val="2"/>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134</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239</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239</w:t>
            </w:r>
          </w:p>
        </w:tc>
        <w:tc>
          <w:tcPr>
            <w:tcW w:w="40" w:type="dxa"/>
            <w:vAlign w:val="bottom"/>
          </w:tcPr>
          <w:p>
            <w:pPr>
              <w:spacing w:after="0"/>
              <w:rPr>
                <w:sz w:val="13"/>
                <w:szCs w:val="13"/>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239</w:t>
            </w:r>
          </w:p>
        </w:tc>
        <w:tc>
          <w:tcPr>
            <w:tcW w:w="0" w:type="dxa"/>
            <w:vAlign w:val="bottom"/>
          </w:tcPr>
          <w:p>
            <w:pPr>
              <w:spacing w:after="0"/>
              <w:rPr>
                <w:sz w:val="1"/>
                <w:szCs w:val="1"/>
                <w:color w:val="auto"/>
              </w:rPr>
            </w:pPr>
          </w:p>
        </w:tc>
      </w:tr>
      <w:tr>
        <w:trPr>
          <w:trHeight w:val="162"/>
        </w:trPr>
        <w:tc>
          <w:tcPr>
            <w:tcW w:w="7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Trade receivables</w:t>
            </w:r>
          </w:p>
        </w:tc>
        <w:tc>
          <w:tcPr>
            <w:tcW w:w="780" w:type="dxa"/>
            <w:vAlign w:val="bottom"/>
          </w:tcPr>
          <w:p>
            <w:pPr>
              <w:jc w:val="right"/>
              <w:ind w:right="620"/>
              <w:spacing w:after="0"/>
              <w:rPr>
                <w:sz w:val="20"/>
                <w:szCs w:val="20"/>
                <w:color w:val="auto"/>
              </w:rPr>
            </w:pPr>
            <w:r>
              <w:rPr>
                <w:rFonts w:ascii="Times New Roman" w:cs="Times New Roman" w:eastAsia="Times New Roman" w:hAnsi="Times New Roman"/>
                <w:sz w:val="7"/>
                <w:szCs w:val="7"/>
                <w:color w:val="0D0D0D"/>
              </w:rPr>
              <w:t>(3)</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640" w:type="dxa"/>
            <w:vAlign w:val="bottom"/>
            <w:gridSpan w:val="2"/>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4 921</w:t>
            </w:r>
          </w:p>
        </w:tc>
        <w:tc>
          <w:tcPr>
            <w:tcW w:w="56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4 921</w:t>
            </w:r>
          </w:p>
        </w:tc>
        <w:tc>
          <w:tcPr>
            <w:tcW w:w="580" w:type="dxa"/>
            <w:vAlign w:val="bottom"/>
            <w:tcBorders>
              <w:right w:val="single" w:sz="8" w:color="F0F5FF"/>
            </w:tcBorders>
            <w:gridSpan w:val="2"/>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4 921</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jc w:val="right"/>
              <w:ind w:right="32"/>
              <w:spacing w:after="0"/>
              <w:rPr>
                <w:sz w:val="20"/>
                <w:szCs w:val="20"/>
                <w:color w:val="auto"/>
              </w:rPr>
            </w:pPr>
            <w:r>
              <w:rPr>
                <w:rFonts w:ascii="Times New Roman" w:cs="Times New Roman" w:eastAsia="Times New Roman" w:hAnsi="Times New Roman"/>
                <w:sz w:val="10"/>
                <w:szCs w:val="10"/>
                <w:color w:val="0D0D0D"/>
              </w:rPr>
              <w:t>5 549</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5 549</w:t>
            </w:r>
          </w:p>
        </w:tc>
        <w:tc>
          <w:tcPr>
            <w:tcW w:w="40" w:type="dxa"/>
            <w:vAlign w:val="bottom"/>
          </w:tcPr>
          <w:p>
            <w:pPr>
              <w:spacing w:after="0"/>
              <w:rPr>
                <w:sz w:val="14"/>
                <w:szCs w:val="14"/>
                <w:color w:val="auto"/>
              </w:rPr>
            </w:pPr>
          </w:p>
        </w:tc>
        <w:tc>
          <w:tcPr>
            <w:tcW w:w="520" w:type="dxa"/>
            <w:vAlign w:val="bottom"/>
          </w:tcPr>
          <w:p>
            <w:pPr>
              <w:jc w:val="center"/>
              <w:ind w:left="70"/>
              <w:spacing w:after="0"/>
              <w:rPr>
                <w:sz w:val="20"/>
                <w:szCs w:val="20"/>
                <w:color w:val="auto"/>
              </w:rPr>
            </w:pPr>
            <w:r>
              <w:rPr>
                <w:rFonts w:ascii="Times New Roman" w:cs="Times New Roman" w:eastAsia="Times New Roman" w:hAnsi="Times New Roman"/>
                <w:sz w:val="10"/>
                <w:szCs w:val="10"/>
                <w:color w:val="0D0D0D"/>
              </w:rPr>
              <w:t>5 549</w:t>
            </w:r>
          </w:p>
        </w:tc>
        <w:tc>
          <w:tcPr>
            <w:tcW w:w="0" w:type="dxa"/>
            <w:vAlign w:val="bottom"/>
          </w:tcPr>
          <w:p>
            <w:pPr>
              <w:spacing w:after="0"/>
              <w:rPr>
                <w:sz w:val="1"/>
                <w:szCs w:val="1"/>
                <w:color w:val="auto"/>
              </w:rPr>
            </w:pPr>
          </w:p>
        </w:tc>
      </w:tr>
      <w:tr>
        <w:trPr>
          <w:trHeight w:val="162"/>
        </w:trPr>
        <w:tc>
          <w:tcPr>
            <w:tcW w:w="192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874</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691</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1 565</w:t>
            </w:r>
          </w:p>
        </w:tc>
        <w:tc>
          <w:tcPr>
            <w:tcW w:w="580" w:type="dxa"/>
            <w:vAlign w:val="bottom"/>
            <w:tcBorders>
              <w:right w:val="single" w:sz="8" w:color="F0F5FF"/>
            </w:tcBorders>
            <w:gridSpan w:val="2"/>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1 565</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1 447</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1 633</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3 080</w:t>
            </w:r>
          </w:p>
        </w:tc>
        <w:tc>
          <w:tcPr>
            <w:tcW w:w="40" w:type="dxa"/>
            <w:vAlign w:val="bottom"/>
          </w:tcPr>
          <w:p>
            <w:pPr>
              <w:spacing w:after="0"/>
              <w:rPr>
                <w:sz w:val="14"/>
                <w:szCs w:val="14"/>
                <w:color w:val="auto"/>
              </w:rPr>
            </w:pPr>
          </w:p>
        </w:tc>
        <w:tc>
          <w:tcPr>
            <w:tcW w:w="520" w:type="dxa"/>
            <w:vAlign w:val="bottom"/>
          </w:tcPr>
          <w:p>
            <w:pPr>
              <w:jc w:val="center"/>
              <w:ind w:left="70"/>
              <w:spacing w:after="0"/>
              <w:rPr>
                <w:sz w:val="20"/>
                <w:szCs w:val="20"/>
                <w:color w:val="auto"/>
              </w:rPr>
            </w:pPr>
            <w:r>
              <w:rPr>
                <w:rFonts w:ascii="Times New Roman" w:cs="Times New Roman" w:eastAsia="Times New Roman" w:hAnsi="Times New Roman"/>
                <w:sz w:val="10"/>
                <w:szCs w:val="10"/>
                <w:color w:val="0D0D0D"/>
              </w:rPr>
              <w:t>3 080</w:t>
            </w:r>
          </w:p>
        </w:tc>
        <w:tc>
          <w:tcPr>
            <w:tcW w:w="0" w:type="dxa"/>
            <w:vAlign w:val="bottom"/>
          </w:tcPr>
          <w:p>
            <w:pPr>
              <w:spacing w:after="0"/>
              <w:rPr>
                <w:sz w:val="1"/>
                <w:szCs w:val="1"/>
                <w:color w:val="auto"/>
              </w:rPr>
            </w:pPr>
          </w:p>
        </w:tc>
      </w:tr>
      <w:tr>
        <w:trPr>
          <w:trHeight w:val="167"/>
        </w:trPr>
        <w:tc>
          <w:tcPr>
            <w:tcW w:w="15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36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rPr>
              <w:t>4 791</w:t>
            </w:r>
          </w:p>
        </w:tc>
        <w:tc>
          <w:tcPr>
            <w:tcW w:w="540" w:type="dxa"/>
            <w:vAlign w:val="bottom"/>
            <w:tcBorders>
              <w:bottom w:val="single" w:sz="8" w:color="005AFF"/>
            </w:tcBorders>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w w:val="97"/>
              </w:rPr>
              <w:t>1 443</w:t>
            </w:r>
          </w:p>
        </w:tc>
        <w:tc>
          <w:tcPr>
            <w:tcW w:w="400" w:type="dxa"/>
            <w:vAlign w:val="bottom"/>
            <w:tcBorders>
              <w:bottom w:val="single" w:sz="8" w:color="005AFF"/>
            </w:tcBorders>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tcBorders>
              <w:bottom w:val="single" w:sz="8" w:color="005AFF"/>
            </w:tcBorders>
            <w:shd w:val="clear" w:color="auto" w:fill="F0F5FF"/>
          </w:tcPr>
          <w:p>
            <w:pPr>
              <w:spacing w:after="0"/>
              <w:rPr>
                <w:sz w:val="14"/>
                <w:szCs w:val="14"/>
                <w:color w:val="auto"/>
              </w:rPr>
            </w:pPr>
          </w:p>
        </w:tc>
        <w:tc>
          <w:tcPr>
            <w:tcW w:w="40" w:type="dxa"/>
            <w:vAlign w:val="bottom"/>
            <w:tcBorders>
              <w:bottom w:val="single" w:sz="8" w:color="005AFF"/>
            </w:tcBorders>
            <w:shd w:val="clear" w:color="auto" w:fill="F0F5FF"/>
          </w:tcPr>
          <w:p>
            <w:pPr>
              <w:spacing w:after="0"/>
              <w:rPr>
                <w:sz w:val="14"/>
                <w:szCs w:val="14"/>
                <w:color w:val="auto"/>
              </w:rPr>
            </w:pPr>
          </w:p>
        </w:tc>
        <w:tc>
          <w:tcPr>
            <w:tcW w:w="440" w:type="dxa"/>
            <w:vAlign w:val="bottom"/>
            <w:tcBorders>
              <w:bottom w:val="single" w:sz="8" w:color="005AFF"/>
            </w:tcBorders>
            <w:shd w:val="clear" w:color="auto" w:fill="F0F5FF"/>
          </w:tcPr>
          <w:p>
            <w:pPr>
              <w:spacing w:after="0"/>
              <w:rPr>
                <w:sz w:val="14"/>
                <w:szCs w:val="14"/>
                <w:color w:val="auto"/>
              </w:rPr>
            </w:pPr>
          </w:p>
        </w:tc>
        <w:tc>
          <w:tcPr>
            <w:tcW w:w="2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6 234</w:t>
            </w:r>
          </w:p>
        </w:tc>
        <w:tc>
          <w:tcPr>
            <w:tcW w:w="580" w:type="dxa"/>
            <w:vAlign w:val="bottom"/>
            <w:tcBorders>
              <w:bottom w:val="single" w:sz="8" w:color="005AFF"/>
              <w:right w:val="single" w:sz="8" w:color="F0F5FF"/>
            </w:tcBorders>
            <w:gridSpan w:val="2"/>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6 234</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4 176</w:t>
            </w:r>
          </w:p>
        </w:tc>
        <w:tc>
          <w:tcPr>
            <w:tcW w:w="480" w:type="dxa"/>
            <w:vAlign w:val="bottom"/>
            <w:tcBorders>
              <w:bottom w:val="single" w:sz="8" w:color="005AFF"/>
            </w:tcBorders>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10"/>
                <w:szCs w:val="10"/>
                <w:color w:val="0D0D0D"/>
              </w:rPr>
              <w:t>1 291</w:t>
            </w:r>
          </w:p>
        </w:tc>
        <w:tc>
          <w:tcPr>
            <w:tcW w:w="400" w:type="dxa"/>
            <w:vAlign w:val="bottom"/>
            <w:tcBorders>
              <w:bottom w:val="single" w:sz="8" w:color="005AFF"/>
            </w:tcBorders>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5 467</w:t>
            </w:r>
          </w:p>
        </w:tc>
        <w:tc>
          <w:tcPr>
            <w:tcW w:w="4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tcPr>
          <w:p>
            <w:pPr>
              <w:jc w:val="center"/>
              <w:ind w:left="70"/>
              <w:spacing w:after="0"/>
              <w:rPr>
                <w:sz w:val="20"/>
                <w:szCs w:val="20"/>
                <w:color w:val="auto"/>
              </w:rPr>
            </w:pPr>
            <w:r>
              <w:rPr>
                <w:rFonts w:ascii="Times New Roman" w:cs="Times New Roman" w:eastAsia="Times New Roman" w:hAnsi="Times New Roman"/>
                <w:sz w:val="10"/>
                <w:szCs w:val="10"/>
                <w:color w:val="0D0D0D"/>
              </w:rPr>
              <w:t>5 467</w:t>
            </w:r>
          </w:p>
        </w:tc>
        <w:tc>
          <w:tcPr>
            <w:tcW w:w="0" w:type="dxa"/>
            <w:vAlign w:val="bottom"/>
          </w:tcPr>
          <w:p>
            <w:pPr>
              <w:spacing w:after="0"/>
              <w:rPr>
                <w:sz w:val="1"/>
                <w:szCs w:val="1"/>
                <w:color w:val="auto"/>
              </w:rPr>
            </w:pPr>
          </w:p>
        </w:tc>
      </w:tr>
      <w:tr>
        <w:trPr>
          <w:trHeight w:val="142"/>
        </w:trPr>
        <w:tc>
          <w:tcPr>
            <w:tcW w:w="15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financial assets</w:t>
            </w:r>
          </w:p>
        </w:tc>
        <w:tc>
          <w:tcPr>
            <w:tcW w:w="36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shd w:val="clear" w:color="auto" w:fill="F0F5FF"/>
          </w:tcPr>
          <w:p>
            <w:pPr>
              <w:ind w:left="340"/>
              <w:spacing w:after="0"/>
              <w:rPr>
                <w:sz w:val="20"/>
                <w:szCs w:val="20"/>
                <w:color w:val="auto"/>
              </w:rPr>
            </w:pPr>
            <w:r>
              <w:rPr>
                <w:rFonts w:ascii="Times New Roman" w:cs="Times New Roman" w:eastAsia="Times New Roman" w:hAnsi="Times New Roman"/>
                <w:sz w:val="10"/>
                <w:szCs w:val="10"/>
                <w:b w:val="1"/>
                <w:bCs w:val="1"/>
                <w:color w:val="005AFF"/>
              </w:rPr>
              <w:t>6 804</w:t>
            </w:r>
          </w:p>
        </w:tc>
        <w:tc>
          <w:tcPr>
            <w:tcW w:w="540" w:type="dxa"/>
            <w:vAlign w:val="bottom"/>
            <w:tcBorders>
              <w:bottom w:val="single" w:sz="8" w:color="005AFF"/>
            </w:tcBorders>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b w:val="1"/>
                <w:bCs w:val="1"/>
                <w:color w:val="005AFF"/>
              </w:rPr>
              <w:t>5</w:t>
            </w:r>
          </w:p>
        </w:tc>
        <w:tc>
          <w:tcPr>
            <w:tcW w:w="32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w w:val="97"/>
              </w:rPr>
              <w:t>2 364</w:t>
            </w:r>
          </w:p>
        </w:tc>
        <w:tc>
          <w:tcPr>
            <w:tcW w:w="3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779</w:t>
            </w:r>
          </w:p>
        </w:tc>
        <w:tc>
          <w:tcPr>
            <w:tcW w:w="20" w:type="dxa"/>
            <w:vAlign w:val="bottom"/>
            <w:tcBorders>
              <w:bottom w:val="single" w:sz="8" w:color="005AFF"/>
            </w:tcBorders>
            <w:shd w:val="clear" w:color="auto" w:fill="F0F5FF"/>
          </w:tcPr>
          <w:p>
            <w:pPr>
              <w:spacing w:after="0"/>
              <w:rPr>
                <w:sz w:val="12"/>
                <w:szCs w:val="12"/>
                <w:color w:val="auto"/>
              </w:rPr>
            </w:pPr>
          </w:p>
        </w:tc>
        <w:tc>
          <w:tcPr>
            <w:tcW w:w="40" w:type="dxa"/>
            <w:vAlign w:val="bottom"/>
            <w:tcBorders>
              <w:bottom w:val="single" w:sz="8" w:color="005AFF"/>
            </w:tcBorders>
            <w:shd w:val="clear" w:color="auto" w:fill="F0F5FF"/>
          </w:tcPr>
          <w:p>
            <w:pPr>
              <w:spacing w:after="0"/>
              <w:rPr>
                <w:sz w:val="12"/>
                <w:szCs w:val="12"/>
                <w:color w:val="auto"/>
              </w:rPr>
            </w:pPr>
          </w:p>
        </w:tc>
        <w:tc>
          <w:tcPr>
            <w:tcW w:w="40" w:type="dxa"/>
            <w:vAlign w:val="bottom"/>
            <w:tcBorders>
              <w:bottom w:val="single" w:sz="8" w:color="005AFF"/>
            </w:tcBorders>
            <w:shd w:val="clear" w:color="auto" w:fill="F0F5FF"/>
          </w:tcPr>
          <w:p>
            <w:pPr>
              <w:spacing w:after="0"/>
              <w:rPr>
                <w:sz w:val="12"/>
                <w:szCs w:val="12"/>
                <w:color w:val="auto"/>
              </w:rPr>
            </w:pPr>
          </w:p>
        </w:tc>
        <w:tc>
          <w:tcPr>
            <w:tcW w:w="640" w:type="dxa"/>
            <w:vAlign w:val="bottom"/>
            <w:tcBorders>
              <w:bottom w:val="single" w:sz="8" w:color="005AFF"/>
            </w:tcBorders>
            <w:gridSpan w:val="2"/>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b w:val="1"/>
                <w:bCs w:val="1"/>
                <w:color w:val="005AFF"/>
              </w:rPr>
              <w:t>5 002</w:t>
            </w:r>
          </w:p>
        </w:tc>
        <w:tc>
          <w:tcPr>
            <w:tcW w:w="56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14 954</w:t>
            </w:r>
          </w:p>
        </w:tc>
        <w:tc>
          <w:tcPr>
            <w:tcW w:w="40" w:type="dxa"/>
            <w:vAlign w:val="bottom"/>
            <w:tcBorders>
              <w:bottom w:val="single" w:sz="8" w:color="005AFF"/>
            </w:tcBorders>
            <w:shd w:val="clear" w:color="auto" w:fill="F0F5FF"/>
          </w:tcPr>
          <w:p>
            <w:pPr>
              <w:spacing w:after="0"/>
              <w:rPr>
                <w:sz w:val="12"/>
                <w:szCs w:val="12"/>
                <w:color w:val="auto"/>
              </w:rPr>
            </w:pPr>
          </w:p>
        </w:tc>
        <w:tc>
          <w:tcPr>
            <w:tcW w:w="540" w:type="dxa"/>
            <w:vAlign w:val="bottom"/>
            <w:tcBorders>
              <w:bottom w:val="single" w:sz="8" w:color="005AFF"/>
              <w:right w:val="single" w:sz="8" w:color="F0F5FF"/>
            </w:tcBorders>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b w:val="1"/>
                <w:bCs w:val="1"/>
                <w:color w:val="005AFF"/>
              </w:rPr>
              <w:t>14 956</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6 799</w:t>
            </w:r>
          </w:p>
        </w:tc>
        <w:tc>
          <w:tcPr>
            <w:tcW w:w="480" w:type="dxa"/>
            <w:vAlign w:val="bottom"/>
            <w:tcBorders>
              <w:bottom w:val="single" w:sz="8" w:color="005AFF"/>
            </w:tcBorders>
          </w:tcPr>
          <w:p>
            <w:pPr>
              <w:jc w:val="center"/>
              <w:ind w:left="190"/>
              <w:spacing w:after="0"/>
              <w:rPr>
                <w:sz w:val="20"/>
                <w:szCs w:val="20"/>
                <w:color w:val="auto"/>
              </w:rPr>
            </w:pPr>
            <w:r>
              <w:rPr>
                <w:rFonts w:ascii="Times New Roman" w:cs="Times New Roman" w:eastAsia="Times New Roman" w:hAnsi="Times New Roman"/>
                <w:sz w:val="10"/>
                <w:szCs w:val="10"/>
                <w:b w:val="1"/>
                <w:bCs w:val="1"/>
                <w:color w:val="auto"/>
                <w:w w:val="79"/>
              </w:rPr>
              <w:t>5</w:t>
            </w:r>
          </w:p>
        </w:tc>
        <w:tc>
          <w:tcPr>
            <w:tcW w:w="440" w:type="dxa"/>
            <w:vAlign w:val="bottom"/>
            <w:tcBorders>
              <w:bottom w:val="single" w:sz="8" w:color="005AFF"/>
            </w:tcBorders>
          </w:tcPr>
          <w:p>
            <w:pPr>
              <w:jc w:val="right"/>
              <w:ind w:right="90"/>
              <w:spacing w:after="0"/>
              <w:rPr>
                <w:sz w:val="20"/>
                <w:szCs w:val="20"/>
                <w:color w:val="auto"/>
              </w:rPr>
            </w:pPr>
            <w:r>
              <w:rPr>
                <w:rFonts w:ascii="Times New Roman" w:cs="Times New Roman" w:eastAsia="Times New Roman" w:hAnsi="Times New Roman"/>
                <w:sz w:val="10"/>
                <w:szCs w:val="10"/>
                <w:b w:val="1"/>
                <w:bCs w:val="1"/>
                <w:color w:val="auto"/>
              </w:rPr>
              <w:t>3 254</w:t>
            </w:r>
          </w:p>
        </w:tc>
        <w:tc>
          <w:tcPr>
            <w:tcW w:w="3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823</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ind w:right="32"/>
              <w:spacing w:after="0"/>
              <w:rPr>
                <w:sz w:val="20"/>
                <w:szCs w:val="20"/>
                <w:color w:val="auto"/>
              </w:rPr>
            </w:pPr>
            <w:r>
              <w:rPr>
                <w:rFonts w:ascii="Times New Roman" w:cs="Times New Roman" w:eastAsia="Times New Roman" w:hAnsi="Times New Roman"/>
                <w:sz w:val="10"/>
                <w:szCs w:val="10"/>
                <w:b w:val="1"/>
                <w:bCs w:val="1"/>
                <w:color w:val="auto"/>
              </w:rPr>
              <w:t>5 612</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16 493</w:t>
            </w:r>
          </w:p>
        </w:tc>
        <w:tc>
          <w:tcPr>
            <w:tcW w:w="4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16 455</w:t>
            </w:r>
          </w:p>
        </w:tc>
        <w:tc>
          <w:tcPr>
            <w:tcW w:w="0" w:type="dxa"/>
            <w:vAlign w:val="bottom"/>
          </w:tcPr>
          <w:p>
            <w:pPr>
              <w:spacing w:after="0"/>
              <w:rPr>
                <w:sz w:val="1"/>
                <w:szCs w:val="1"/>
                <w:color w:val="auto"/>
              </w:rPr>
            </w:pPr>
          </w:p>
        </w:tc>
      </w:tr>
      <w:tr>
        <w:trPr>
          <w:trHeight w:val="137"/>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Long-term interest-bearing liabilities</w:t>
            </w:r>
          </w:p>
        </w:tc>
        <w:tc>
          <w:tcPr>
            <w:tcW w:w="360" w:type="dxa"/>
            <w:vAlign w:val="bottom"/>
          </w:tcPr>
          <w:p>
            <w:pPr>
              <w:spacing w:after="0"/>
              <w:rPr>
                <w:sz w:val="11"/>
                <w:szCs w:val="11"/>
                <w:color w:val="auto"/>
              </w:rPr>
            </w:pPr>
          </w:p>
        </w:tc>
        <w:tc>
          <w:tcPr>
            <w:tcW w:w="640" w:type="dxa"/>
            <w:vAlign w:val="bottom"/>
          </w:tcPr>
          <w:p>
            <w:pPr>
              <w:spacing w:after="0"/>
              <w:rPr>
                <w:sz w:val="11"/>
                <w:szCs w:val="11"/>
                <w:color w:val="auto"/>
              </w:rPr>
            </w:pPr>
          </w:p>
        </w:tc>
        <w:tc>
          <w:tcPr>
            <w:tcW w:w="660" w:type="dxa"/>
            <w:vAlign w:val="bottom"/>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rPr>
              <w:t>3 637</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3 637</w:t>
            </w:r>
          </w:p>
        </w:tc>
        <w:tc>
          <w:tcPr>
            <w:tcW w:w="40" w:type="dxa"/>
            <w:vAlign w:val="bottom"/>
            <w:shd w:val="clear" w:color="auto" w:fill="F0F5FF"/>
          </w:tcPr>
          <w:p>
            <w:pPr>
              <w:spacing w:after="0"/>
              <w:rPr>
                <w:sz w:val="11"/>
                <w:szCs w:val="11"/>
                <w:color w:val="auto"/>
              </w:rPr>
            </w:pPr>
          </w:p>
        </w:tc>
        <w:tc>
          <w:tcPr>
            <w:tcW w:w="540" w:type="dxa"/>
            <w:vAlign w:val="bottom"/>
            <w:tcBorders>
              <w:right w:val="single" w:sz="8" w:color="F0F5FF"/>
            </w:tcBorders>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3 614</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4 249</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4 249</w:t>
            </w:r>
          </w:p>
        </w:tc>
        <w:tc>
          <w:tcPr>
            <w:tcW w:w="40" w:type="dxa"/>
            <w:vAlign w:val="bottom"/>
          </w:tcPr>
          <w:p>
            <w:pPr>
              <w:spacing w:after="0"/>
              <w:rPr>
                <w:sz w:val="11"/>
                <w:szCs w:val="11"/>
                <w:color w:val="auto"/>
              </w:rPr>
            </w:pPr>
          </w:p>
        </w:tc>
        <w:tc>
          <w:tcPr>
            <w:tcW w:w="520" w:type="dxa"/>
            <w:vAlign w:val="bottom"/>
          </w:tcPr>
          <w:p>
            <w:pPr>
              <w:jc w:val="center"/>
              <w:ind w:left="70"/>
              <w:spacing w:after="0"/>
              <w:rPr>
                <w:sz w:val="20"/>
                <w:szCs w:val="20"/>
                <w:color w:val="auto"/>
              </w:rPr>
            </w:pPr>
            <w:r>
              <w:rPr>
                <w:rFonts w:ascii="Times New Roman" w:cs="Times New Roman" w:eastAsia="Times New Roman" w:hAnsi="Times New Roman"/>
                <w:sz w:val="10"/>
                <w:szCs w:val="10"/>
                <w:color w:val="0D0D0D"/>
              </w:rPr>
              <w:t>4 230</w:t>
            </w:r>
          </w:p>
        </w:tc>
        <w:tc>
          <w:tcPr>
            <w:tcW w:w="0" w:type="dxa"/>
            <w:vAlign w:val="bottom"/>
          </w:tcPr>
          <w:p>
            <w:pPr>
              <w:spacing w:after="0"/>
              <w:rPr>
                <w:sz w:val="1"/>
                <w:szCs w:val="1"/>
                <w:color w:val="auto"/>
              </w:rPr>
            </w:pP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Other long-term financial liabilities</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33</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2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61</w:t>
            </w:r>
          </w:p>
        </w:tc>
        <w:tc>
          <w:tcPr>
            <w:tcW w:w="40" w:type="dxa"/>
            <w:vAlign w:val="bottom"/>
            <w:shd w:val="clear" w:color="auto" w:fill="F0F5FF"/>
          </w:tcPr>
          <w:p>
            <w:pPr>
              <w:spacing w:after="0"/>
              <w:rPr>
                <w:sz w:val="14"/>
                <w:szCs w:val="14"/>
                <w:color w:val="auto"/>
              </w:rPr>
            </w:pPr>
          </w:p>
        </w:tc>
        <w:tc>
          <w:tcPr>
            <w:tcW w:w="540" w:type="dxa"/>
            <w:vAlign w:val="bottom"/>
            <w:tcBorders>
              <w:right w:val="single" w:sz="8" w:color="F0F5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61</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3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48</w:t>
            </w:r>
          </w:p>
        </w:tc>
        <w:tc>
          <w:tcPr>
            <w:tcW w:w="40" w:type="dxa"/>
            <w:vAlign w:val="bottom"/>
          </w:tcPr>
          <w:p>
            <w:pPr>
              <w:spacing w:after="0"/>
              <w:rPr>
                <w:sz w:val="14"/>
                <w:szCs w:val="14"/>
                <w:color w:val="auto"/>
              </w:rPr>
            </w:pP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48</w:t>
            </w:r>
          </w:p>
        </w:tc>
        <w:tc>
          <w:tcPr>
            <w:tcW w:w="40" w:type="dxa"/>
            <w:vAlign w:val="bottom"/>
          </w:tcPr>
          <w:p>
            <w:pPr>
              <w:spacing w:after="0"/>
              <w:rPr>
                <w:sz w:val="14"/>
                <w:szCs w:val="14"/>
                <w:color w:val="auto"/>
              </w:rPr>
            </w:pPr>
          </w:p>
        </w:tc>
        <w:tc>
          <w:tcPr>
            <w:tcW w:w="52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48</w:t>
            </w:r>
          </w:p>
        </w:tc>
        <w:tc>
          <w:tcPr>
            <w:tcW w:w="0" w:type="dxa"/>
            <w:vAlign w:val="bottom"/>
          </w:tcPr>
          <w:p>
            <w:pPr>
              <w:spacing w:after="0"/>
              <w:rPr>
                <w:sz w:val="1"/>
                <w:szCs w:val="1"/>
                <w:color w:val="auto"/>
              </w:rPr>
            </w:pP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Short-term interest-bearing liabilities</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554</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554</w:t>
            </w:r>
          </w:p>
        </w:tc>
        <w:tc>
          <w:tcPr>
            <w:tcW w:w="40" w:type="dxa"/>
            <w:vAlign w:val="bottom"/>
            <w:shd w:val="clear" w:color="auto" w:fill="F0F5FF"/>
          </w:tcPr>
          <w:p>
            <w:pPr>
              <w:spacing w:after="0"/>
              <w:rPr>
                <w:sz w:val="14"/>
                <w:szCs w:val="14"/>
                <w:color w:val="auto"/>
              </w:rPr>
            </w:pPr>
          </w:p>
        </w:tc>
        <w:tc>
          <w:tcPr>
            <w:tcW w:w="540" w:type="dxa"/>
            <w:vAlign w:val="bottom"/>
            <w:tcBorders>
              <w:right w:val="single" w:sz="8" w:color="F0F5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555</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228</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228</w:t>
            </w:r>
          </w:p>
        </w:tc>
        <w:tc>
          <w:tcPr>
            <w:tcW w:w="40" w:type="dxa"/>
            <w:vAlign w:val="bottom"/>
          </w:tcPr>
          <w:p>
            <w:pPr>
              <w:spacing w:after="0"/>
              <w:rPr>
                <w:sz w:val="14"/>
                <w:szCs w:val="14"/>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228</w:t>
            </w:r>
          </w:p>
        </w:tc>
        <w:tc>
          <w:tcPr>
            <w:tcW w:w="0" w:type="dxa"/>
            <w:vAlign w:val="bottom"/>
          </w:tcPr>
          <w:p>
            <w:pPr>
              <w:spacing w:after="0"/>
              <w:rPr>
                <w:sz w:val="1"/>
                <w:szCs w:val="1"/>
                <w:color w:val="auto"/>
              </w:rPr>
            </w:pPr>
          </w:p>
        </w:tc>
      </w:tr>
      <w:tr>
        <w:trPr>
          <w:trHeight w:val="162"/>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Other short-term financial liabilities</w:t>
            </w:r>
          </w:p>
        </w:tc>
        <w:tc>
          <w:tcPr>
            <w:tcW w:w="360" w:type="dxa"/>
            <w:vAlign w:val="bottom"/>
          </w:tcPr>
          <w:p>
            <w:pPr>
              <w:spacing w:after="0"/>
              <w:rPr>
                <w:sz w:val="14"/>
                <w:szCs w:val="14"/>
                <w:color w:val="auto"/>
              </w:rPr>
            </w:pPr>
          </w:p>
        </w:tc>
        <w:tc>
          <w:tcPr>
            <w:tcW w:w="640" w:type="dxa"/>
            <w:vAlign w:val="bottom"/>
          </w:tcPr>
          <w:p>
            <w:pPr>
              <w:spacing w:after="0"/>
              <w:rPr>
                <w:sz w:val="14"/>
                <w:szCs w:val="14"/>
                <w:color w:val="auto"/>
              </w:rPr>
            </w:pP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65</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471</w:t>
            </w:r>
          </w:p>
        </w:tc>
        <w:tc>
          <w:tcPr>
            <w:tcW w:w="2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536</w:t>
            </w:r>
          </w:p>
        </w:tc>
        <w:tc>
          <w:tcPr>
            <w:tcW w:w="40" w:type="dxa"/>
            <w:vAlign w:val="bottom"/>
            <w:shd w:val="clear" w:color="auto" w:fill="F0F5FF"/>
          </w:tcPr>
          <w:p>
            <w:pPr>
              <w:spacing w:after="0"/>
              <w:rPr>
                <w:sz w:val="14"/>
                <w:szCs w:val="14"/>
                <w:color w:val="auto"/>
              </w:rPr>
            </w:pPr>
          </w:p>
        </w:tc>
        <w:tc>
          <w:tcPr>
            <w:tcW w:w="540" w:type="dxa"/>
            <w:vAlign w:val="bottom"/>
            <w:tcBorders>
              <w:right w:val="single" w:sz="8" w:color="F0F5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536</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75</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3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502</w:t>
            </w:r>
          </w:p>
        </w:tc>
        <w:tc>
          <w:tcPr>
            <w:tcW w:w="40" w:type="dxa"/>
            <w:vAlign w:val="bottom"/>
          </w:tcPr>
          <w:p>
            <w:pPr>
              <w:spacing w:after="0"/>
              <w:rPr>
                <w:sz w:val="14"/>
                <w:szCs w:val="14"/>
                <w:color w:val="auto"/>
              </w:rPr>
            </w:pP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577</w:t>
            </w:r>
          </w:p>
        </w:tc>
        <w:tc>
          <w:tcPr>
            <w:tcW w:w="40" w:type="dxa"/>
            <w:vAlign w:val="bottom"/>
          </w:tcPr>
          <w:p>
            <w:pPr>
              <w:spacing w:after="0"/>
              <w:rPr>
                <w:sz w:val="14"/>
                <w:szCs w:val="14"/>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577</w:t>
            </w:r>
          </w:p>
        </w:tc>
        <w:tc>
          <w:tcPr>
            <w:tcW w:w="0" w:type="dxa"/>
            <w:vAlign w:val="bottom"/>
          </w:tcPr>
          <w:p>
            <w:pPr>
              <w:spacing w:after="0"/>
              <w:rPr>
                <w:sz w:val="1"/>
                <w:szCs w:val="1"/>
                <w:color w:val="auto"/>
              </w:rPr>
            </w:pPr>
          </w:p>
        </w:tc>
      </w:tr>
      <w:tr>
        <w:trPr>
          <w:trHeight w:val="194"/>
        </w:trPr>
        <w:tc>
          <w:tcPr>
            <w:tcW w:w="156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Derivative liabilities </w:t>
            </w:r>
            <w:r>
              <w:rPr>
                <w:rFonts w:ascii="Times New Roman" w:cs="Times New Roman" w:eastAsia="Times New Roman" w:hAnsi="Times New Roman"/>
                <w:sz w:val="13"/>
                <w:szCs w:val="13"/>
                <w:color w:val="0D0D0D"/>
                <w:vertAlign w:val="superscript"/>
              </w:rPr>
              <w:t>(4)</w:t>
            </w:r>
          </w:p>
        </w:tc>
        <w:tc>
          <w:tcPr>
            <w:tcW w:w="360" w:type="dxa"/>
            <w:vAlign w:val="bottom"/>
          </w:tcPr>
          <w:p>
            <w:pPr>
              <w:spacing w:after="0"/>
              <w:rPr>
                <w:sz w:val="16"/>
                <w:szCs w:val="16"/>
                <w:color w:val="auto"/>
              </w:rPr>
            </w:pPr>
          </w:p>
        </w:tc>
        <w:tc>
          <w:tcPr>
            <w:tcW w:w="640" w:type="dxa"/>
            <w:vAlign w:val="bottom"/>
          </w:tcPr>
          <w:p>
            <w:pPr>
              <w:spacing w:after="0"/>
              <w:rPr>
                <w:sz w:val="16"/>
                <w:szCs w:val="16"/>
                <w:color w:val="auto"/>
              </w:rPr>
            </w:pPr>
          </w:p>
        </w:tc>
        <w:tc>
          <w:tcPr>
            <w:tcW w:w="6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286</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6"/>
                <w:szCs w:val="16"/>
                <w:color w:val="auto"/>
              </w:rPr>
            </w:pPr>
          </w:p>
        </w:tc>
        <w:tc>
          <w:tcPr>
            <w:tcW w:w="40" w:type="dxa"/>
            <w:vAlign w:val="bottom"/>
            <w:shd w:val="clear" w:color="auto" w:fill="F0F5FF"/>
          </w:tcPr>
          <w:p>
            <w:pPr>
              <w:spacing w:after="0"/>
              <w:rPr>
                <w:sz w:val="16"/>
                <w:szCs w:val="16"/>
                <w:color w:val="auto"/>
              </w:rPr>
            </w:pPr>
          </w:p>
        </w:tc>
        <w:tc>
          <w:tcPr>
            <w:tcW w:w="440" w:type="dxa"/>
            <w:vAlign w:val="bottom"/>
            <w:shd w:val="clear" w:color="auto" w:fill="F0F5FF"/>
          </w:tcPr>
          <w:p>
            <w:pPr>
              <w:spacing w:after="0"/>
              <w:rPr>
                <w:sz w:val="16"/>
                <w:szCs w:val="16"/>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286</w:t>
            </w:r>
          </w:p>
        </w:tc>
        <w:tc>
          <w:tcPr>
            <w:tcW w:w="40" w:type="dxa"/>
            <w:vAlign w:val="bottom"/>
            <w:shd w:val="clear" w:color="auto" w:fill="F0F5FF"/>
          </w:tcPr>
          <w:p>
            <w:pPr>
              <w:spacing w:after="0"/>
              <w:rPr>
                <w:sz w:val="16"/>
                <w:szCs w:val="16"/>
                <w:color w:val="auto"/>
              </w:rPr>
            </w:pPr>
          </w:p>
        </w:tc>
        <w:tc>
          <w:tcPr>
            <w:tcW w:w="540" w:type="dxa"/>
            <w:vAlign w:val="bottom"/>
            <w:tcBorders>
              <w:right w:val="single" w:sz="8" w:color="F0F5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286</w:t>
            </w:r>
          </w:p>
        </w:tc>
        <w:tc>
          <w:tcPr>
            <w:tcW w:w="6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496</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496</w:t>
            </w:r>
          </w:p>
        </w:tc>
        <w:tc>
          <w:tcPr>
            <w:tcW w:w="40" w:type="dxa"/>
            <w:vAlign w:val="bottom"/>
          </w:tcPr>
          <w:p>
            <w:pPr>
              <w:spacing w:after="0"/>
              <w:rPr>
                <w:sz w:val="16"/>
                <w:szCs w:val="16"/>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496</w:t>
            </w:r>
          </w:p>
        </w:tc>
        <w:tc>
          <w:tcPr>
            <w:tcW w:w="0" w:type="dxa"/>
            <w:vAlign w:val="bottom"/>
          </w:tcPr>
          <w:p>
            <w:pPr>
              <w:spacing w:after="0"/>
              <w:rPr>
                <w:sz w:val="1"/>
                <w:szCs w:val="1"/>
                <w:color w:val="auto"/>
              </w:rPr>
            </w:pPr>
          </w:p>
        </w:tc>
      </w:tr>
      <w:tr>
        <w:trPr>
          <w:trHeight w:val="130"/>
        </w:trPr>
        <w:tc>
          <w:tcPr>
            <w:tcW w:w="192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Discounts without performance obligations</w:t>
            </w:r>
          </w:p>
        </w:tc>
        <w:tc>
          <w:tcPr>
            <w:tcW w:w="640" w:type="dxa"/>
            <w:vAlign w:val="bottom"/>
          </w:tcPr>
          <w:p>
            <w:pPr>
              <w:jc w:val="right"/>
              <w:ind w:right="458"/>
              <w:spacing w:after="0"/>
              <w:rPr>
                <w:sz w:val="20"/>
                <w:szCs w:val="20"/>
                <w:color w:val="auto"/>
              </w:rPr>
            </w:pPr>
            <w:r>
              <w:rPr>
                <w:rFonts w:ascii="Times New Roman" w:cs="Times New Roman" w:eastAsia="Times New Roman" w:hAnsi="Times New Roman"/>
                <w:sz w:val="7"/>
                <w:szCs w:val="7"/>
                <w:color w:val="0D0D0D"/>
              </w:rPr>
              <w:t>(3)</w:t>
            </w:r>
          </w:p>
        </w:tc>
        <w:tc>
          <w:tcPr>
            <w:tcW w:w="660" w:type="dxa"/>
            <w:vAlign w:val="bottom"/>
            <w:shd w:val="clear" w:color="auto" w:fill="F0F5FF"/>
          </w:tcPr>
          <w:p>
            <w:pPr>
              <w:jc w:val="right"/>
              <w:ind w:right="29"/>
              <w:spacing w:after="0"/>
              <w:rPr>
                <w:sz w:val="20"/>
                <w:szCs w:val="20"/>
                <w:color w:val="auto"/>
              </w:rPr>
            </w:pPr>
            <w:r>
              <w:rPr>
                <w:rFonts w:ascii="Times New Roman" w:cs="Times New Roman" w:eastAsia="Times New Roman" w:hAnsi="Times New Roman"/>
                <w:sz w:val="10"/>
                <w:szCs w:val="10"/>
                <w:color w:val="005AFF"/>
              </w:rPr>
              <w:t>404</w:t>
            </w:r>
          </w:p>
        </w:tc>
        <w:tc>
          <w:tcPr>
            <w:tcW w:w="540" w:type="dxa"/>
            <w:vAlign w:val="bottom"/>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2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404</w:t>
            </w:r>
          </w:p>
        </w:tc>
        <w:tc>
          <w:tcPr>
            <w:tcW w:w="40" w:type="dxa"/>
            <w:vAlign w:val="bottom"/>
            <w:shd w:val="clear" w:color="auto" w:fill="F0F5FF"/>
          </w:tcPr>
          <w:p>
            <w:pPr>
              <w:spacing w:after="0"/>
              <w:rPr>
                <w:sz w:val="11"/>
                <w:szCs w:val="11"/>
                <w:color w:val="auto"/>
              </w:rPr>
            </w:pPr>
          </w:p>
        </w:tc>
        <w:tc>
          <w:tcPr>
            <w:tcW w:w="540" w:type="dxa"/>
            <w:vAlign w:val="bottom"/>
            <w:tcBorders>
              <w:right w:val="single" w:sz="8" w:color="F0F5FF"/>
            </w:tcBorders>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404</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539</w:t>
            </w:r>
          </w:p>
        </w:tc>
        <w:tc>
          <w:tcPr>
            <w:tcW w:w="480" w:type="dxa"/>
            <w:vAlign w:val="bottom"/>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539</w:t>
            </w:r>
          </w:p>
        </w:tc>
        <w:tc>
          <w:tcPr>
            <w:tcW w:w="40" w:type="dxa"/>
            <w:vAlign w:val="bottom"/>
          </w:tcPr>
          <w:p>
            <w:pPr>
              <w:spacing w:after="0"/>
              <w:rPr>
                <w:sz w:val="11"/>
                <w:szCs w:val="11"/>
                <w:color w:val="auto"/>
              </w:rPr>
            </w:pPr>
          </w:p>
        </w:tc>
        <w:tc>
          <w:tcPr>
            <w:tcW w:w="52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539</w:t>
            </w:r>
          </w:p>
        </w:tc>
        <w:tc>
          <w:tcPr>
            <w:tcW w:w="0" w:type="dxa"/>
            <w:vAlign w:val="bottom"/>
          </w:tcPr>
          <w:p>
            <w:pPr>
              <w:spacing w:after="0"/>
              <w:rPr>
                <w:sz w:val="1"/>
                <w:szCs w:val="1"/>
                <w:color w:val="auto"/>
              </w:rPr>
            </w:pPr>
          </w:p>
        </w:tc>
      </w:tr>
      <w:tr>
        <w:trPr>
          <w:trHeight w:val="167"/>
        </w:trPr>
        <w:tc>
          <w:tcPr>
            <w:tcW w:w="7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Trade payables</w:t>
            </w:r>
          </w:p>
        </w:tc>
        <w:tc>
          <w:tcPr>
            <w:tcW w:w="78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64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rPr>
              <w:t>3 423</w:t>
            </w:r>
          </w:p>
        </w:tc>
        <w:tc>
          <w:tcPr>
            <w:tcW w:w="540" w:type="dxa"/>
            <w:vAlign w:val="bottom"/>
            <w:tcBorders>
              <w:bottom w:val="single" w:sz="8" w:color="005AFF"/>
            </w:tcBorders>
            <w:shd w:val="clear" w:color="auto" w:fill="F0F5FF"/>
          </w:tcPr>
          <w:p>
            <w:pPr>
              <w:jc w:val="center"/>
              <w:ind w:left="111"/>
              <w:spacing w:after="0"/>
              <w:rPr>
                <w:sz w:val="20"/>
                <w:szCs w:val="20"/>
                <w:color w:val="auto"/>
              </w:rPr>
            </w:pPr>
            <w:r>
              <w:rPr>
                <w:rFonts w:ascii="Times New Roman" w:cs="Times New Roman" w:eastAsia="Times New Roman" w:hAnsi="Times New Roman"/>
                <w:sz w:val="10"/>
                <w:szCs w:val="10"/>
                <w:color w:val="005AFF"/>
                <w:w w:val="99"/>
              </w:rPr>
              <w:t>—</w:t>
            </w:r>
          </w:p>
        </w:tc>
        <w:tc>
          <w:tcPr>
            <w:tcW w:w="320" w:type="dxa"/>
            <w:vAlign w:val="bottom"/>
            <w:tcBorders>
              <w:bottom w:val="single" w:sz="8" w:color="005AFF"/>
            </w:tcBorders>
            <w:shd w:val="clear" w:color="auto" w:fill="F0F5FF"/>
          </w:tcPr>
          <w:p>
            <w:pPr>
              <w:ind w:left="200"/>
              <w:spacing w:after="0"/>
              <w:rPr>
                <w:sz w:val="20"/>
                <w:szCs w:val="20"/>
                <w:color w:val="auto"/>
              </w:rPr>
            </w:pPr>
            <w:r>
              <w:rPr>
                <w:rFonts w:ascii="Times New Roman" w:cs="Times New Roman" w:eastAsia="Times New Roman" w:hAnsi="Times New Roman"/>
                <w:sz w:val="10"/>
                <w:szCs w:val="10"/>
                <w:color w:val="005AFF"/>
                <w:w w:val="99"/>
              </w:rPr>
              <w:t>—</w:t>
            </w:r>
          </w:p>
        </w:tc>
        <w:tc>
          <w:tcPr>
            <w:tcW w:w="400" w:type="dxa"/>
            <w:vAlign w:val="bottom"/>
            <w:tcBorders>
              <w:bottom w:val="single" w:sz="8" w:color="005AFF"/>
            </w:tcBorders>
            <w:gridSpan w:val="2"/>
            <w:shd w:val="clear" w:color="auto" w:fill="F0F5FF"/>
          </w:tcPr>
          <w:p>
            <w:pPr>
              <w:jc w:val="center"/>
              <w:ind w:left="25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tcBorders>
              <w:bottom w:val="single" w:sz="8" w:color="005AFF"/>
            </w:tcBorders>
            <w:shd w:val="clear" w:color="auto" w:fill="F0F5FF"/>
          </w:tcPr>
          <w:p>
            <w:pPr>
              <w:spacing w:after="0"/>
              <w:rPr>
                <w:sz w:val="14"/>
                <w:szCs w:val="14"/>
                <w:color w:val="auto"/>
              </w:rPr>
            </w:pPr>
          </w:p>
        </w:tc>
        <w:tc>
          <w:tcPr>
            <w:tcW w:w="40" w:type="dxa"/>
            <w:vAlign w:val="bottom"/>
            <w:tcBorders>
              <w:bottom w:val="single" w:sz="8" w:color="005AFF"/>
            </w:tcBorders>
            <w:shd w:val="clear" w:color="auto" w:fill="F0F5FF"/>
          </w:tcPr>
          <w:p>
            <w:pPr>
              <w:spacing w:after="0"/>
              <w:rPr>
                <w:sz w:val="14"/>
                <w:szCs w:val="14"/>
                <w:color w:val="auto"/>
              </w:rPr>
            </w:pPr>
          </w:p>
        </w:tc>
        <w:tc>
          <w:tcPr>
            <w:tcW w:w="440" w:type="dxa"/>
            <w:vAlign w:val="bottom"/>
            <w:tcBorders>
              <w:bottom w:val="single" w:sz="8" w:color="005AFF"/>
            </w:tcBorders>
            <w:shd w:val="clear" w:color="auto" w:fill="F0F5FF"/>
          </w:tcPr>
          <w:p>
            <w:pPr>
              <w:spacing w:after="0"/>
              <w:rPr>
                <w:sz w:val="14"/>
                <w:szCs w:val="14"/>
                <w:color w:val="auto"/>
              </w:rPr>
            </w:pPr>
          </w:p>
        </w:tc>
        <w:tc>
          <w:tcPr>
            <w:tcW w:w="2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color w:val="005AFF"/>
              </w:rPr>
              <w:t>3 423</w:t>
            </w:r>
          </w:p>
        </w:tc>
        <w:tc>
          <w:tcPr>
            <w:tcW w:w="40" w:type="dxa"/>
            <w:vAlign w:val="bottom"/>
            <w:tcBorders>
              <w:bottom w:val="single" w:sz="8" w:color="005AFF"/>
            </w:tcBorders>
            <w:shd w:val="clear" w:color="auto" w:fill="F0F5FF"/>
          </w:tcPr>
          <w:p>
            <w:pPr>
              <w:spacing w:after="0"/>
              <w:rPr>
                <w:sz w:val="14"/>
                <w:szCs w:val="14"/>
                <w:color w:val="auto"/>
              </w:rPr>
            </w:pPr>
          </w:p>
        </w:tc>
        <w:tc>
          <w:tcPr>
            <w:tcW w:w="540" w:type="dxa"/>
            <w:vAlign w:val="bottom"/>
            <w:tcBorders>
              <w:bottom w:val="single" w:sz="8" w:color="005AFF"/>
              <w:right w:val="single" w:sz="8" w:color="F0F5FF"/>
            </w:tcBorders>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color w:val="005AFF"/>
              </w:rPr>
              <w:t>3 423</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4 730</w:t>
            </w:r>
          </w:p>
        </w:tc>
        <w:tc>
          <w:tcPr>
            <w:tcW w:w="480" w:type="dxa"/>
            <w:vAlign w:val="bottom"/>
            <w:tcBorders>
              <w:bottom w:val="single" w:sz="8" w:color="005AFF"/>
            </w:tcBorders>
          </w:tcPr>
          <w:p>
            <w:pPr>
              <w:jc w:val="center"/>
              <w:ind w:left="190"/>
              <w:spacing w:after="0"/>
              <w:rPr>
                <w:sz w:val="20"/>
                <w:szCs w:val="20"/>
                <w:color w:val="auto"/>
              </w:rPr>
            </w:pPr>
            <w:r>
              <w:rPr>
                <w:rFonts w:ascii="Times New Roman" w:cs="Times New Roman" w:eastAsia="Times New Roman" w:hAnsi="Times New Roman"/>
                <w:sz w:val="10"/>
                <w:szCs w:val="10"/>
                <w:color w:val="0D0D0D"/>
              </w:rPr>
              <w:t>—</w:t>
            </w:r>
          </w:p>
        </w:tc>
        <w:tc>
          <w:tcPr>
            <w:tcW w:w="440" w:type="dxa"/>
            <w:vAlign w:val="bottom"/>
            <w:tcBorders>
              <w:bottom w:val="single" w:sz="8" w:color="005AFF"/>
            </w:tcBorders>
          </w:tcPr>
          <w:p>
            <w:pPr>
              <w:ind w:left="260"/>
              <w:spacing w:after="0"/>
              <w:rPr>
                <w:sz w:val="20"/>
                <w:szCs w:val="20"/>
                <w:color w:val="auto"/>
              </w:rPr>
            </w:pPr>
            <w:r>
              <w:rPr>
                <w:rFonts w:ascii="Times New Roman" w:cs="Times New Roman" w:eastAsia="Times New Roman" w:hAnsi="Times New Roman"/>
                <w:sz w:val="10"/>
                <w:szCs w:val="10"/>
                <w:color w:val="0D0D0D"/>
              </w:rPr>
              <w:t>—</w:t>
            </w:r>
          </w:p>
        </w:tc>
        <w:tc>
          <w:tcPr>
            <w:tcW w:w="400" w:type="dxa"/>
            <w:vAlign w:val="bottom"/>
            <w:tcBorders>
              <w:bottom w:val="single" w:sz="8" w:color="005AFF"/>
            </w:tcBorders>
            <w:gridSpan w:val="2"/>
          </w:tcPr>
          <w:p>
            <w:pPr>
              <w:jc w:val="center"/>
              <w:ind w:left="130"/>
              <w:spacing w:after="0"/>
              <w:rPr>
                <w:sz w:val="20"/>
                <w:szCs w:val="20"/>
                <w:color w:val="auto"/>
              </w:rPr>
            </w:pPr>
            <w:r>
              <w:rPr>
                <w:rFonts w:ascii="Times New Roman" w:cs="Times New Roman" w:eastAsia="Times New Roman" w:hAnsi="Times New Roman"/>
                <w:sz w:val="10"/>
                <w:szCs w:val="10"/>
                <w:color w:val="0D0D0D"/>
                <w:w w:val="99"/>
              </w:rPr>
              <w:t>—</w:t>
            </w:r>
          </w:p>
        </w:tc>
        <w:tc>
          <w:tcPr>
            <w:tcW w:w="64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10"/>
                <w:szCs w:val="10"/>
                <w:color w:val="0D0D0D"/>
                <w:w w:val="99"/>
              </w:rPr>
              <w:t>—</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4 730</w:t>
            </w:r>
          </w:p>
        </w:tc>
        <w:tc>
          <w:tcPr>
            <w:tcW w:w="40" w:type="dxa"/>
            <w:vAlign w:val="bottom"/>
            <w:tcBorders>
              <w:bottom w:val="single" w:sz="8" w:color="005AFF"/>
            </w:tcBorders>
          </w:tcPr>
          <w:p>
            <w:pPr>
              <w:spacing w:after="0"/>
              <w:rPr>
                <w:sz w:val="14"/>
                <w:szCs w:val="14"/>
                <w:color w:val="auto"/>
              </w:rPr>
            </w:pPr>
          </w:p>
        </w:tc>
        <w:tc>
          <w:tcPr>
            <w:tcW w:w="520" w:type="dxa"/>
            <w:vAlign w:val="bottom"/>
            <w:tcBorders>
              <w:bottom w:val="single" w:sz="8" w:color="005AFF"/>
            </w:tcBorders>
          </w:tcPr>
          <w:p>
            <w:pPr>
              <w:jc w:val="center"/>
              <w:ind w:left="70"/>
              <w:spacing w:after="0"/>
              <w:rPr>
                <w:sz w:val="20"/>
                <w:szCs w:val="20"/>
                <w:color w:val="auto"/>
              </w:rPr>
            </w:pPr>
            <w:r>
              <w:rPr>
                <w:rFonts w:ascii="Times New Roman" w:cs="Times New Roman" w:eastAsia="Times New Roman" w:hAnsi="Times New Roman"/>
                <w:sz w:val="10"/>
                <w:szCs w:val="10"/>
                <w:color w:val="0D0D0D"/>
              </w:rPr>
              <w:t>4 730</w:t>
            </w:r>
          </w:p>
        </w:tc>
        <w:tc>
          <w:tcPr>
            <w:tcW w:w="0" w:type="dxa"/>
            <w:vAlign w:val="bottom"/>
          </w:tcPr>
          <w:p>
            <w:pPr>
              <w:spacing w:after="0"/>
              <w:rPr>
                <w:sz w:val="1"/>
                <w:szCs w:val="1"/>
                <w:color w:val="auto"/>
              </w:rPr>
            </w:pPr>
          </w:p>
        </w:tc>
      </w:tr>
      <w:tr>
        <w:trPr>
          <w:trHeight w:val="142"/>
        </w:trPr>
        <w:tc>
          <w:tcPr>
            <w:tcW w:w="156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Total financial liabilities</w:t>
            </w:r>
          </w:p>
        </w:tc>
        <w:tc>
          <w:tcPr>
            <w:tcW w:w="36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shd w:val="clear" w:color="auto" w:fill="F0F5FF"/>
          </w:tcPr>
          <w:p>
            <w:pPr>
              <w:ind w:left="340"/>
              <w:spacing w:after="0"/>
              <w:rPr>
                <w:sz w:val="20"/>
                <w:szCs w:val="20"/>
                <w:color w:val="auto"/>
              </w:rPr>
            </w:pPr>
            <w:r>
              <w:rPr>
                <w:rFonts w:ascii="Times New Roman" w:cs="Times New Roman" w:eastAsia="Times New Roman" w:hAnsi="Times New Roman"/>
                <w:sz w:val="10"/>
                <w:szCs w:val="10"/>
                <w:b w:val="1"/>
                <w:bCs w:val="1"/>
                <w:color w:val="005AFF"/>
              </w:rPr>
              <w:t>8 116</w:t>
            </w:r>
          </w:p>
        </w:tc>
        <w:tc>
          <w:tcPr>
            <w:tcW w:w="540" w:type="dxa"/>
            <w:vAlign w:val="bottom"/>
            <w:tcBorders>
              <w:bottom w:val="single" w:sz="8" w:color="005AFF"/>
            </w:tcBorders>
            <w:shd w:val="clear" w:color="auto" w:fill="F0F5FF"/>
          </w:tcPr>
          <w:p>
            <w:pPr>
              <w:jc w:val="right"/>
              <w:ind w:right="111"/>
              <w:spacing w:after="0"/>
              <w:rPr>
                <w:sz w:val="20"/>
                <w:szCs w:val="20"/>
                <w:color w:val="auto"/>
              </w:rPr>
            </w:pPr>
            <w:r>
              <w:rPr>
                <w:rFonts w:ascii="Times New Roman" w:cs="Times New Roman" w:eastAsia="Times New Roman" w:hAnsi="Times New Roman"/>
                <w:sz w:val="10"/>
                <w:szCs w:val="10"/>
                <w:b w:val="1"/>
                <w:bCs w:val="1"/>
                <w:color w:val="005AFF"/>
              </w:rPr>
              <w:t>—</w:t>
            </w:r>
          </w:p>
        </w:tc>
        <w:tc>
          <w:tcPr>
            <w:tcW w:w="32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286</w:t>
            </w:r>
          </w:p>
        </w:tc>
        <w:tc>
          <w:tcPr>
            <w:tcW w:w="3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499</w:t>
            </w:r>
          </w:p>
        </w:tc>
        <w:tc>
          <w:tcPr>
            <w:tcW w:w="20" w:type="dxa"/>
            <w:vAlign w:val="bottom"/>
            <w:tcBorders>
              <w:bottom w:val="single" w:sz="8" w:color="005AFF"/>
            </w:tcBorders>
            <w:shd w:val="clear" w:color="auto" w:fill="F0F5FF"/>
          </w:tcPr>
          <w:p>
            <w:pPr>
              <w:spacing w:after="0"/>
              <w:rPr>
                <w:sz w:val="12"/>
                <w:szCs w:val="12"/>
                <w:color w:val="auto"/>
              </w:rPr>
            </w:pPr>
          </w:p>
        </w:tc>
        <w:tc>
          <w:tcPr>
            <w:tcW w:w="40" w:type="dxa"/>
            <w:vAlign w:val="bottom"/>
            <w:tcBorders>
              <w:bottom w:val="single" w:sz="8" w:color="005AFF"/>
            </w:tcBorders>
            <w:shd w:val="clear" w:color="auto" w:fill="F0F5FF"/>
          </w:tcPr>
          <w:p>
            <w:pPr>
              <w:spacing w:after="0"/>
              <w:rPr>
                <w:sz w:val="12"/>
                <w:szCs w:val="12"/>
                <w:color w:val="auto"/>
              </w:rPr>
            </w:pPr>
          </w:p>
        </w:tc>
        <w:tc>
          <w:tcPr>
            <w:tcW w:w="40" w:type="dxa"/>
            <w:vAlign w:val="bottom"/>
            <w:tcBorders>
              <w:bottom w:val="single" w:sz="8" w:color="005AFF"/>
            </w:tcBorders>
            <w:shd w:val="clear" w:color="auto" w:fill="F0F5FF"/>
          </w:tcPr>
          <w:p>
            <w:pPr>
              <w:spacing w:after="0"/>
              <w:rPr>
                <w:sz w:val="12"/>
                <w:szCs w:val="12"/>
                <w:color w:val="auto"/>
              </w:rPr>
            </w:pPr>
          </w:p>
        </w:tc>
        <w:tc>
          <w:tcPr>
            <w:tcW w:w="440" w:type="dxa"/>
            <w:vAlign w:val="bottom"/>
            <w:tcBorders>
              <w:bottom w:val="single" w:sz="8" w:color="005AFF"/>
            </w:tcBorders>
            <w:shd w:val="clear" w:color="auto" w:fill="F0F5FF"/>
          </w:tcPr>
          <w:p>
            <w:pPr>
              <w:spacing w:after="0"/>
              <w:rPr>
                <w:sz w:val="12"/>
                <w:szCs w:val="12"/>
                <w:color w:val="auto"/>
              </w:rPr>
            </w:pPr>
          </w:p>
        </w:tc>
        <w:tc>
          <w:tcPr>
            <w:tcW w:w="200" w:type="dxa"/>
            <w:vAlign w:val="bottom"/>
            <w:tcBorders>
              <w:bottom w:val="single" w:sz="8" w:color="005AFF"/>
            </w:tcBorders>
            <w:shd w:val="clear" w:color="auto" w:fill="F0F5FF"/>
          </w:tcPr>
          <w:p>
            <w:pPr>
              <w:jc w:val="right"/>
              <w:ind w:right="9"/>
              <w:spacing w:after="0"/>
              <w:rPr>
                <w:sz w:val="20"/>
                <w:szCs w:val="20"/>
                <w:color w:val="auto"/>
              </w:rPr>
            </w:pPr>
            <w:r>
              <w:rPr>
                <w:rFonts w:ascii="Times New Roman" w:cs="Times New Roman" w:eastAsia="Times New Roman" w:hAnsi="Times New Roman"/>
                <w:sz w:val="10"/>
                <w:szCs w:val="10"/>
                <w:b w:val="1"/>
                <w:bCs w:val="1"/>
                <w:color w:val="005AFF"/>
              </w:rPr>
              <w:t>—</w:t>
            </w:r>
          </w:p>
        </w:tc>
        <w:tc>
          <w:tcPr>
            <w:tcW w:w="56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8 901</w:t>
            </w:r>
          </w:p>
        </w:tc>
        <w:tc>
          <w:tcPr>
            <w:tcW w:w="40" w:type="dxa"/>
            <w:vAlign w:val="bottom"/>
            <w:tcBorders>
              <w:bottom w:val="single" w:sz="8" w:color="005AFF"/>
            </w:tcBorders>
            <w:shd w:val="clear" w:color="auto" w:fill="F0F5FF"/>
          </w:tcPr>
          <w:p>
            <w:pPr>
              <w:spacing w:after="0"/>
              <w:rPr>
                <w:sz w:val="12"/>
                <w:szCs w:val="12"/>
                <w:color w:val="auto"/>
              </w:rPr>
            </w:pPr>
          </w:p>
        </w:tc>
        <w:tc>
          <w:tcPr>
            <w:tcW w:w="540" w:type="dxa"/>
            <w:vAlign w:val="bottom"/>
            <w:tcBorders>
              <w:bottom w:val="single" w:sz="8" w:color="005AFF"/>
              <w:right w:val="single" w:sz="8" w:color="F0F5FF"/>
            </w:tcBorders>
            <w:shd w:val="clear" w:color="auto" w:fill="F0F5FF"/>
          </w:tcPr>
          <w:p>
            <w:pPr>
              <w:jc w:val="right"/>
              <w:ind w:right="71"/>
              <w:spacing w:after="0"/>
              <w:rPr>
                <w:sz w:val="20"/>
                <w:szCs w:val="20"/>
                <w:color w:val="auto"/>
              </w:rPr>
            </w:pPr>
            <w:r>
              <w:rPr>
                <w:rFonts w:ascii="Times New Roman" w:cs="Times New Roman" w:eastAsia="Times New Roman" w:hAnsi="Times New Roman"/>
                <w:sz w:val="10"/>
                <w:szCs w:val="10"/>
                <w:b w:val="1"/>
                <w:bCs w:val="1"/>
                <w:color w:val="005AFF"/>
              </w:rPr>
              <w:t>8 879</w:t>
            </w:r>
          </w:p>
        </w:tc>
        <w:tc>
          <w:tcPr>
            <w:tcW w:w="6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9 821</w:t>
            </w:r>
          </w:p>
        </w:tc>
        <w:tc>
          <w:tcPr>
            <w:tcW w:w="48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10"/>
                <w:szCs w:val="10"/>
                <w:b w:val="1"/>
                <w:bCs w:val="1"/>
                <w:color w:val="auto"/>
              </w:rPr>
              <w:t>—</w:t>
            </w:r>
          </w:p>
        </w:tc>
        <w:tc>
          <w:tcPr>
            <w:tcW w:w="44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b w:val="1"/>
                <w:bCs w:val="1"/>
                <w:color w:val="auto"/>
              </w:rPr>
              <w:t>496</w:t>
            </w:r>
          </w:p>
        </w:tc>
        <w:tc>
          <w:tcPr>
            <w:tcW w:w="36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550</w:t>
            </w:r>
          </w:p>
        </w:tc>
        <w:tc>
          <w:tcPr>
            <w:tcW w:w="40" w:type="dxa"/>
            <w:vAlign w:val="bottom"/>
            <w:tcBorders>
              <w:bottom w:val="single" w:sz="8" w:color="005AFF"/>
            </w:tcBorders>
          </w:tcPr>
          <w:p>
            <w:pPr>
              <w:spacing w:after="0"/>
              <w:rPr>
                <w:sz w:val="12"/>
                <w:szCs w:val="12"/>
                <w:color w:val="auto"/>
              </w:rPr>
            </w:pPr>
          </w:p>
        </w:tc>
        <w:tc>
          <w:tcPr>
            <w:tcW w:w="6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5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10 867</w:t>
            </w:r>
          </w:p>
        </w:tc>
        <w:tc>
          <w:tcPr>
            <w:tcW w:w="40" w:type="dxa"/>
            <w:vAlign w:val="bottom"/>
            <w:tcBorders>
              <w:bottom w:val="single" w:sz="8" w:color="005AFF"/>
            </w:tcBorders>
          </w:tcPr>
          <w:p>
            <w:pPr>
              <w:spacing w:after="0"/>
              <w:rPr>
                <w:sz w:val="12"/>
                <w:szCs w:val="12"/>
                <w:color w:val="auto"/>
              </w:rPr>
            </w:pPr>
          </w:p>
        </w:tc>
        <w:tc>
          <w:tcPr>
            <w:tcW w:w="52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10 848</w:t>
            </w:r>
          </w:p>
        </w:tc>
        <w:tc>
          <w:tcPr>
            <w:tcW w:w="0" w:type="dxa"/>
            <w:vAlign w:val="bottom"/>
          </w:tcPr>
          <w:p>
            <w:pPr>
              <w:spacing w:after="0"/>
              <w:rPr>
                <w:sz w:val="1"/>
                <w:szCs w:val="1"/>
                <w:color w:val="auto"/>
              </w:rPr>
            </w:pPr>
          </w:p>
        </w:tc>
      </w:tr>
    </w:tbl>
    <w:p>
      <w:pPr>
        <w:spacing w:after="0" w:line="4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00" w:hanging="199"/>
        <w:spacing w:after="0"/>
        <w:tabs>
          <w:tab w:leader="none" w:pos="200" w:val="left"/>
        </w:tabs>
        <w:numPr>
          <w:ilvl w:val="0"/>
          <w:numId w:val="12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following fair value measurement methods are used for items not carried at fair value: The fair values of long-term interest-bearing liabilities, including current portion, are primarily based on publicly available market information (level 2). The fair values of other</w:t>
      </w:r>
    </w:p>
    <w:p>
      <w:pPr>
        <w:sectPr>
          <w:pgSz w:w="11900" w:h="16838" w:orient="portrait"/>
          <w:cols w:equalWidth="0" w:num="1">
            <w:col w:w="10080"/>
          </w:cols>
          <w:pgMar w:left="960" w:top="410" w:right="859" w:bottom="1440" w:gutter="0" w:footer="0" w:header="0"/>
        </w:sectPr>
      </w:pPr>
    </w:p>
    <w:p>
      <w:pPr>
        <w:spacing w:after="0" w:line="12" w:lineRule="exact"/>
        <w:rPr>
          <w:sz w:val="20"/>
          <w:szCs w:val="20"/>
          <w:color w:val="auto"/>
        </w:rPr>
      </w:pPr>
    </w:p>
    <w:p>
      <w:pPr>
        <w:ind w:left="200"/>
        <w:spacing w:after="0" w:line="250" w:lineRule="auto"/>
        <w:rPr>
          <w:sz w:val="20"/>
          <w:szCs w:val="20"/>
          <w:color w:val="auto"/>
        </w:rPr>
      </w:pPr>
      <w:r>
        <w:rPr>
          <w:rFonts w:ascii="Times New Roman" w:cs="Times New Roman" w:eastAsia="Times New Roman" w:hAnsi="Times New Roman"/>
          <w:sz w:val="8"/>
          <w:szCs w:val="8"/>
          <w:color w:val="auto"/>
        </w:rPr>
        <w:t>assets and liabilities, including loan receivables and loans payable, are primarily based on discounted cash flow analysis short time to maturity.</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8"/>
          <w:szCs w:val="8"/>
          <w:color w:val="auto"/>
        </w:rPr>
        <w:t>(level 2). The fair value is estimated to equal the carrying amount for short-term financial assets and financial liabilities due to limited credit risk and</w:t>
      </w:r>
    </w:p>
    <w:p>
      <w:pPr>
        <w:spacing w:after="0" w:line="100" w:lineRule="exact"/>
        <w:rPr>
          <w:sz w:val="20"/>
          <w:szCs w:val="20"/>
          <w:color w:val="auto"/>
        </w:rPr>
      </w:pPr>
    </w:p>
    <w:p>
      <w:pPr>
        <w:sectPr>
          <w:pgSz w:w="11900" w:h="16838" w:orient="portrait"/>
          <w:cols w:equalWidth="0" w:num="2">
            <w:col w:w="4080" w:space="440"/>
            <w:col w:w="5560"/>
          </w:cols>
          <w:pgMar w:left="960" w:top="410" w:right="859" w:bottom="1440" w:gutter="0" w:footer="0" w:header="0"/>
          <w:type w:val="continuous"/>
        </w:sectPr>
      </w:pPr>
    </w:p>
    <w:p>
      <w:pPr>
        <w:ind w:left="200" w:hanging="199"/>
        <w:spacing w:after="0"/>
        <w:tabs>
          <w:tab w:leader="none" w:pos="200" w:val="left"/>
        </w:tabs>
        <w:numPr>
          <w:ilvl w:val="0"/>
          <w:numId w:val="13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 financial instruments measured at fair value through other comprehensive income are categorized in fair value hierarchy level 1 or level 3.</w:t>
      </w:r>
    </w:p>
    <w:p>
      <w:pPr>
        <w:spacing w:after="0" w:line="5" w:lineRule="exact"/>
        <w:rPr>
          <w:sz w:val="20"/>
          <w:szCs w:val="20"/>
          <w:color w:val="auto"/>
        </w:rPr>
      </w:pPr>
    </w:p>
    <w:tbl>
      <w:tblPr>
        <w:tblLayout w:type="fixed"/>
        <w:tblInd w:w="0" w:type="dxa"/>
        <w:tblCellMar>
          <w:top w:w="0" w:type="dxa"/>
          <w:left w:w="0" w:type="dxa"/>
          <w:bottom w:w="0" w:type="dxa"/>
          <w:right w:w="0" w:type="dxa"/>
        </w:tblCellMar>
      </w:tblPr>
      <w:tr>
        <w:trPr>
          <w:trHeight w:val="92"/>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(3)</w:t>
            </w:r>
          </w:p>
        </w:tc>
        <w:tc>
          <w:tcPr>
            <w:tcW w:w="4220" w:type="dxa"/>
            <w:vAlign w:val="bottom"/>
            <w:gridSpan w:val="2"/>
          </w:tcPr>
          <w:p>
            <w:pPr>
              <w:ind w:left="60"/>
              <w:spacing w:after="0"/>
              <w:rPr>
                <w:sz w:val="20"/>
                <w:szCs w:val="20"/>
                <w:color w:val="auto"/>
              </w:rPr>
            </w:pPr>
            <w:r>
              <w:rPr>
                <w:rFonts w:ascii="Times New Roman" w:cs="Times New Roman" w:eastAsia="Times New Roman" w:hAnsi="Times New Roman"/>
                <w:sz w:val="8"/>
                <w:szCs w:val="8"/>
                <w:color w:val="auto"/>
              </w:rPr>
              <w:t>For further information on trade receivables, customer loans and discounts without performance obligation, refer to Note</w:t>
            </w:r>
          </w:p>
        </w:tc>
        <w:tc>
          <w:tcPr>
            <w:tcW w:w="2300" w:type="dxa"/>
            <w:vAlign w:val="bottom"/>
            <w:gridSpan w:val="2"/>
          </w:tcPr>
          <w:p>
            <w:pPr>
              <w:jc w:val="right"/>
              <w:ind w:right="80"/>
              <w:spacing w:after="0"/>
              <w:rPr>
                <w:sz w:val="20"/>
                <w:szCs w:val="20"/>
                <w:color w:val="auto"/>
              </w:rPr>
            </w:pPr>
            <w:r>
              <w:rPr>
                <w:rFonts w:ascii="Times New Roman" w:cs="Times New Roman" w:eastAsia="Times New Roman" w:hAnsi="Times New Roman"/>
                <w:sz w:val="8"/>
                <w:szCs w:val="8"/>
                <w:color w:val="auto"/>
              </w:rPr>
              <w:t>4.5. Trade receivables and other customer-related balances</w:t>
            </w:r>
          </w:p>
        </w:tc>
        <w:tc>
          <w:tcPr>
            <w:tcW w:w="160" w:type="dxa"/>
            <w:vAlign w:val="bottom"/>
          </w:tcPr>
          <w:p>
            <w:pPr>
              <w:jc w:val="right"/>
              <w:spacing w:after="0"/>
              <w:rPr>
                <w:sz w:val="20"/>
                <w:szCs w:val="20"/>
                <w:color w:val="auto"/>
              </w:rPr>
            </w:pPr>
            <w:r>
              <w:rPr>
                <w:rFonts w:ascii="Times New Roman" w:cs="Times New Roman" w:eastAsia="Times New Roman" w:hAnsi="Times New Roman"/>
                <w:sz w:val="8"/>
                <w:szCs w:val="8"/>
                <w:color w:val="auto"/>
              </w:rPr>
              <w:t>.</w:t>
            </w:r>
          </w:p>
        </w:tc>
      </w:tr>
      <w:tr>
        <w:trPr>
          <w:trHeight w:val="104"/>
        </w:trPr>
        <w:tc>
          <w:tcPr>
            <w:tcW w:w="140" w:type="dxa"/>
            <w:vAlign w:val="bottom"/>
          </w:tcPr>
          <w:p>
            <w:pPr>
              <w:jc w:val="right"/>
              <w:spacing w:after="0"/>
              <w:rPr>
                <w:sz w:val="20"/>
                <w:szCs w:val="20"/>
                <w:color w:val="auto"/>
              </w:rPr>
            </w:pPr>
            <w:r>
              <w:rPr>
                <w:rFonts w:ascii="Times New Roman" w:cs="Times New Roman" w:eastAsia="Times New Roman" w:hAnsi="Times New Roman"/>
                <w:sz w:val="8"/>
                <w:szCs w:val="8"/>
                <w:color w:val="auto"/>
                <w:w w:val="85"/>
              </w:rPr>
              <w:t>(4)</w:t>
            </w:r>
          </w:p>
        </w:tc>
        <w:tc>
          <w:tcPr>
            <w:tcW w:w="2520" w:type="dxa"/>
            <w:vAlign w:val="bottom"/>
          </w:tcPr>
          <w:p>
            <w:pPr>
              <w:ind w:left="60"/>
              <w:spacing w:after="0"/>
              <w:rPr>
                <w:sz w:val="20"/>
                <w:szCs w:val="20"/>
                <w:color w:val="auto"/>
              </w:rPr>
            </w:pPr>
            <w:r>
              <w:rPr>
                <w:rFonts w:ascii="Times New Roman" w:cs="Times New Roman" w:eastAsia="Times New Roman" w:hAnsi="Times New Roman"/>
                <w:sz w:val="8"/>
                <w:szCs w:val="8"/>
                <w:color w:val="auto"/>
              </w:rPr>
              <w:t>For further information on derivative assets and liabilities, refer to Note</w:t>
            </w:r>
          </w:p>
        </w:tc>
        <w:tc>
          <w:tcPr>
            <w:tcW w:w="2140" w:type="dxa"/>
            <w:vAlign w:val="bottom"/>
            <w:gridSpan w:val="2"/>
          </w:tcPr>
          <w:p>
            <w:pPr>
              <w:ind w:left="160"/>
              <w:spacing w:after="0"/>
              <w:rPr>
                <w:sz w:val="20"/>
                <w:szCs w:val="20"/>
                <w:color w:val="auto"/>
              </w:rPr>
            </w:pPr>
            <w:r>
              <w:rPr>
                <w:rFonts w:ascii="Times New Roman" w:cs="Times New Roman" w:eastAsia="Times New Roman" w:hAnsi="Times New Roman"/>
                <w:sz w:val="8"/>
                <w:szCs w:val="8"/>
                <w:color w:val="auto"/>
              </w:rPr>
              <w:t>5.3. Derivative and firm commitment assets and liabilities</w:t>
            </w:r>
          </w:p>
        </w:tc>
        <w:tc>
          <w:tcPr>
            <w:tcW w:w="1860" w:type="dxa"/>
            <w:vAlign w:val="bottom"/>
          </w:tcPr>
          <w:p>
            <w:pPr>
              <w:jc w:val="right"/>
              <w:ind w:right="1700"/>
              <w:spacing w:after="0"/>
              <w:rPr>
                <w:sz w:val="20"/>
                <w:szCs w:val="20"/>
                <w:color w:val="auto"/>
              </w:rPr>
            </w:pPr>
            <w:r>
              <w:rPr>
                <w:rFonts w:ascii="Times New Roman" w:cs="Times New Roman" w:eastAsia="Times New Roman" w:hAnsi="Times New Roman"/>
                <w:sz w:val="8"/>
                <w:szCs w:val="8"/>
                <w:color w:val="auto"/>
              </w:rPr>
              <w:t>.</w:t>
            </w:r>
          </w:p>
        </w:tc>
        <w:tc>
          <w:tcPr>
            <w:tcW w:w="160" w:type="dxa"/>
            <w:vAlign w:val="bottom"/>
          </w:tcPr>
          <w:p>
            <w:pPr>
              <w:spacing w:after="0"/>
              <w:rPr>
                <w:sz w:val="9"/>
                <w:szCs w:val="9"/>
                <w:color w:val="auto"/>
              </w:rPr>
            </w:pP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80"/>
          </w:cols>
          <w:pgMar w:left="960" w:top="410" w:right="859" w:bottom="1440" w:gutter="0" w:footer="0" w:header="0"/>
          <w:type w:val="continuous"/>
        </w:sectPr>
      </w:pPr>
    </w:p>
    <w:bookmarkStart w:id="194" w:name="page195"/>
    <w:bookmarkEnd w:id="194"/>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187</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09"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assets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Interest-bearing financial investments</w:t>
      </w:r>
    </w:p>
    <w:p>
      <w:pPr>
        <w:spacing w:after="0" w:line="24" w:lineRule="exact"/>
        <w:rPr>
          <w:sz w:val="20"/>
          <w:szCs w:val="20"/>
          <w:color w:val="auto"/>
        </w:rPr>
      </w:pPr>
    </w:p>
    <w:p>
      <w:pPr>
        <w:ind w:right="60"/>
        <w:spacing w:after="0" w:line="266" w:lineRule="auto"/>
        <w:rPr>
          <w:sz w:val="20"/>
          <w:szCs w:val="20"/>
          <w:color w:val="auto"/>
        </w:rPr>
      </w:pPr>
      <w:r>
        <w:rPr>
          <w:rFonts w:ascii="Times New Roman" w:cs="Times New Roman" w:eastAsia="Times New Roman" w:hAnsi="Times New Roman"/>
          <w:sz w:val="11"/>
          <w:szCs w:val="11"/>
          <w:color w:val="auto"/>
        </w:rPr>
        <w:t>Nokia invests a portion of the corporate cash needed to cover the projected cash outflows of its ongoing business operations in highly liquid, interest-bearing investments. Interest-bearing financial investments may include investments measured at amortized cost and investments measured at fair value through profit and loss.</w:t>
      </w:r>
    </w:p>
    <w:p>
      <w:pPr>
        <w:spacing w:after="0" w:line="63"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Non-current interest-bearing financial investments are investments in highly liquid corporate bonds that are long-term in nature based on their initial maturity and are measured at amortized cost using the effective interest method.</w:t>
      </w:r>
    </w:p>
    <w:p>
      <w:pPr>
        <w:spacing w:after="0" w:line="60" w:lineRule="exact"/>
        <w:rPr>
          <w:sz w:val="20"/>
          <w:szCs w:val="20"/>
          <w:color w:val="auto"/>
        </w:rPr>
      </w:pPr>
    </w:p>
    <w:p>
      <w:pPr>
        <w:ind w:right="20"/>
        <w:spacing w:after="0" w:line="265" w:lineRule="auto"/>
        <w:rPr>
          <w:sz w:val="20"/>
          <w:szCs w:val="20"/>
          <w:color w:val="auto"/>
        </w:rPr>
      </w:pPr>
      <w:r>
        <w:rPr>
          <w:rFonts w:ascii="Times New Roman" w:cs="Times New Roman" w:eastAsia="Times New Roman" w:hAnsi="Times New Roman"/>
          <w:sz w:val="11"/>
          <w:szCs w:val="11"/>
          <w:color w:val="auto"/>
        </w:rPr>
        <w:t>Current interest-bearing financial investments in bank deposits, as well as fixed income and money market securities with an initial maturity or put feature longer than three months, that have characteristics of solely payments of principal and interest and are not part of structured investments, are managed in a portfolio with a business model of holding investments to collect principal and interest and are measured at amortized cost using the effective interest method. These investments are executed with the main purpose of collecting contractual cash flows and principal repayments. However, investments are sold from time to time for liquidity management and market risk mitigation purposes.</w:t>
      </w:r>
    </w:p>
    <w:p>
      <w:pPr>
        <w:spacing w:after="0" w:line="53"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Current interest-bearing financial investments may also include money market funds that do not qualify as cash equivalents, investments acquired for trading purposes, investment structures consisting of securities traded in combination with derivatives with complementing and typically offsetting risk factors and other investments that have cash flows not being solely payments of principal and interest. These investments are executed for capital appreciation and other investment returns and can be sold at any time. These investments are classified as fair value through profit or loss, with fair value adjustments, foreign exchange gains and losses and realized gains and losses recognized in financial income and expenses in the income statement. The fair values of these investments are based on publicly available market information.</w:t>
      </w:r>
    </w:p>
    <w:p>
      <w:pPr>
        <w:spacing w:after="0" w:line="65" w:lineRule="exact"/>
        <w:rPr>
          <w:sz w:val="20"/>
          <w:szCs w:val="20"/>
          <w:color w:val="auto"/>
        </w:rPr>
      </w:pPr>
    </w:p>
    <w:p>
      <w:pPr>
        <w:ind w:right="40"/>
        <w:spacing w:after="0" w:line="279" w:lineRule="auto"/>
        <w:rPr>
          <w:sz w:val="20"/>
          <w:szCs w:val="20"/>
          <w:color w:val="auto"/>
        </w:rPr>
      </w:pPr>
      <w:r>
        <w:rPr>
          <w:rFonts w:ascii="Times New Roman" w:cs="Times New Roman" w:eastAsia="Times New Roman" w:hAnsi="Times New Roman"/>
          <w:sz w:val="11"/>
          <w:szCs w:val="11"/>
          <w:color w:val="auto"/>
        </w:rPr>
        <w:t>Corporate cash investments in bank deposits used as collateral for derivative transactions are measured at amortized cost using the effective interest method.</w:t>
      </w:r>
    </w:p>
    <w:p>
      <w:pPr>
        <w:spacing w:after="0" w:line="200" w:lineRule="exact"/>
        <w:rPr>
          <w:sz w:val="20"/>
          <w:szCs w:val="20"/>
          <w:color w:val="auto"/>
        </w:rPr>
      </w:pPr>
    </w:p>
    <w:p>
      <w:pPr>
        <w:spacing w:after="0" w:line="30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Other financial assets</w:t>
      </w:r>
    </w:p>
    <w:p>
      <w:pPr>
        <w:spacing w:after="0" w:line="24" w:lineRule="exact"/>
        <w:rPr>
          <w:sz w:val="20"/>
          <w:szCs w:val="20"/>
          <w:color w:val="auto"/>
        </w:rPr>
      </w:pPr>
    </w:p>
    <w:p>
      <w:pPr>
        <w:ind w:right="200"/>
        <w:spacing w:after="0" w:line="260" w:lineRule="auto"/>
        <w:rPr>
          <w:sz w:val="20"/>
          <w:szCs w:val="20"/>
          <w:color w:val="auto"/>
        </w:rPr>
      </w:pPr>
      <w:r>
        <w:rPr>
          <w:rFonts w:ascii="Times New Roman" w:cs="Times New Roman" w:eastAsia="Times New Roman" w:hAnsi="Times New Roman"/>
          <w:sz w:val="11"/>
          <w:szCs w:val="11"/>
          <w:color w:val="auto"/>
        </w:rPr>
        <w:t>Other non-current financial assets include unlisted private equity and unlisted venture fund investments, including investments managed by NGP Capital which specializes in growth-stage investing. These investments do not fulfill the criteria of being solely payments of principal and interest</w:t>
      </w:r>
    </w:p>
    <w:p>
      <w:pPr>
        <w:spacing w:after="0" w:line="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and they are classified as investments at fair value through</w:t>
      </w:r>
    </w:p>
    <w:p>
      <w:pPr>
        <w:spacing w:after="0" w:line="15" w:lineRule="exact"/>
        <w:rPr>
          <w:sz w:val="20"/>
          <w:szCs w:val="20"/>
          <w:color w:val="auto"/>
        </w:rPr>
      </w:pPr>
    </w:p>
    <w:p>
      <w:pPr>
        <w:spacing w:after="0"/>
        <w:tabs>
          <w:tab w:leader="none" w:pos="780" w:val="left"/>
          <w:tab w:leader="none" w:pos="2960" w:val="left"/>
        </w:tabs>
        <w:rPr>
          <w:sz w:val="20"/>
          <w:szCs w:val="20"/>
          <w:color w:val="auto"/>
        </w:rPr>
      </w:pPr>
      <w:r>
        <w:rPr>
          <w:rFonts w:ascii="Times New Roman" w:cs="Times New Roman" w:eastAsia="Times New Roman" w:hAnsi="Times New Roman"/>
          <w:sz w:val="11"/>
          <w:szCs w:val="11"/>
          <w:color w:val="auto"/>
        </w:rPr>
        <w:t>profit and loss.</w:t>
        <w:tab/>
        <w:t>The fair value of these level 3 investments</w:t>
      </w:r>
      <w:r>
        <w:rPr>
          <w:sz w:val="20"/>
          <w:szCs w:val="20"/>
          <w:color w:val="auto"/>
        </w:rPr>
        <w:tab/>
      </w:r>
      <w:r>
        <w:rPr>
          <w:rFonts w:ascii="Times New Roman" w:cs="Times New Roman" w:eastAsia="Times New Roman" w:hAnsi="Times New Roman"/>
          <w:sz w:val="11"/>
          <w:szCs w:val="11"/>
          <w:color w:val="auto"/>
        </w:rPr>
        <w:t>is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determined using one or more valuation techniques where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use of the market approach generally consists of using</w:t>
      </w:r>
    </w:p>
    <w:p>
      <w:pPr>
        <w:spacing w:after="0" w:line="10" w:lineRule="exact"/>
        <w:rPr>
          <w:sz w:val="20"/>
          <w:szCs w:val="20"/>
          <w:color w:val="auto"/>
        </w:rPr>
      </w:pPr>
    </w:p>
    <w:p>
      <w:pPr>
        <w:ind w:right="280"/>
        <w:spacing w:after="0" w:line="277" w:lineRule="auto"/>
        <w:rPr>
          <w:sz w:val="20"/>
          <w:szCs w:val="20"/>
          <w:color w:val="auto"/>
        </w:rPr>
      </w:pPr>
      <w:r>
        <w:rPr>
          <w:rFonts w:ascii="Times New Roman" w:cs="Times New Roman" w:eastAsia="Times New Roman" w:hAnsi="Times New Roman"/>
          <w:sz w:val="11"/>
          <w:szCs w:val="11"/>
          <w:color w:val="auto"/>
        </w:rPr>
        <w:t>comparable market transactions, while the use of the income approach generally consists of calculating the net present value of expected future cash flows.</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 unlisted funds, the selection of appropriate valuation</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techniques by the fund managing partner may depend on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availability and reliability of relevant inputs. In some cases,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one valuation technique may provide the best indication</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fair value while in other circumstances multiple valuation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techniques may be appropriate.</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Inputs generally considered include the original transaction</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price, recent transactions in the same or similar instruments,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completed or pending third-party transactions in the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underlying investment or comparable issuers, subsequent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rounds of financing, recapitalizations or other transactions</w:t>
      </w:r>
    </w:p>
    <w:p>
      <w:pPr>
        <w:spacing w:after="0" w:line="10" w:lineRule="exact"/>
        <w:rPr>
          <w:sz w:val="20"/>
          <w:szCs w:val="20"/>
          <w:color w:val="auto"/>
        </w:rPr>
      </w:pPr>
    </w:p>
    <w:p>
      <w:pPr>
        <w:ind w:right="160"/>
        <w:spacing w:after="0" w:line="260" w:lineRule="auto"/>
        <w:rPr>
          <w:sz w:val="20"/>
          <w:szCs w:val="20"/>
          <w:color w:val="auto"/>
        </w:rPr>
      </w:pPr>
      <w:r>
        <w:rPr>
          <w:rFonts w:ascii="Times New Roman" w:cs="Times New Roman" w:eastAsia="Times New Roman" w:hAnsi="Times New Roman"/>
          <w:sz w:val="11"/>
          <w:szCs w:val="11"/>
          <w:color w:val="auto"/>
        </w:rPr>
        <w:t>undertaken by the issuer, offerings in the equity or debt capital markets, and changes in financial ratios or cash flows, adjusted as appropriate for liquidity, credit, market and/or other risk factors. The fair value may be adjusted to reflect illiquidity and/or non-transferability, with the amount of such discount estimated by the managing partner in the absence of</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market information.</w:t>
      </w:r>
    </w:p>
    <w:p>
      <w:pPr>
        <w:spacing w:after="0" w:line="84" w:lineRule="exact"/>
        <w:rPr>
          <w:sz w:val="20"/>
          <w:szCs w:val="20"/>
          <w:color w:val="auto"/>
        </w:rPr>
      </w:pPr>
    </w:p>
    <w:p>
      <w:pPr>
        <w:ind w:right="160"/>
        <w:spacing w:after="0" w:line="264" w:lineRule="auto"/>
        <w:rPr>
          <w:sz w:val="20"/>
          <w:szCs w:val="20"/>
          <w:color w:val="auto"/>
        </w:rPr>
      </w:pPr>
      <w:r>
        <w:rPr>
          <w:rFonts w:ascii="Times New Roman" w:cs="Times New Roman" w:eastAsia="Times New Roman" w:hAnsi="Times New Roman"/>
          <w:sz w:val="11"/>
          <w:szCs w:val="11"/>
          <w:color w:val="auto"/>
        </w:rPr>
        <w:t>Level 3 investments are remeasured at each reporting date taking into consideration any changes in estimates, projections and assumptions, as well as any changes in economic and other relevant conditions. These investments include approximately</w:t>
      </w:r>
    </w:p>
    <w:p>
      <w:pPr>
        <w:spacing w:after="0" w:line="2" w:lineRule="exact"/>
        <w:rPr>
          <w:sz w:val="20"/>
          <w:szCs w:val="20"/>
          <w:color w:val="auto"/>
        </w:rPr>
      </w:pPr>
    </w:p>
    <w:p>
      <w:pPr>
        <w:ind w:right="160" w:firstLine="1"/>
        <w:spacing w:after="0" w:line="277" w:lineRule="auto"/>
        <w:tabs>
          <w:tab w:leader="none" w:pos="164" w:val="left"/>
        </w:tabs>
        <w:numPr>
          <w:ilvl w:val="0"/>
          <w:numId w:val="131"/>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separate venture funds investing in hundreds of individual companies in various sectors and geographies, focusing on 5G, digital health, software and enterprise sectors.</w:t>
      </w:r>
    </w:p>
    <w:p>
      <w:pPr>
        <w:spacing w:after="0" w:line="46" w:lineRule="exact"/>
        <w:rPr>
          <w:sz w:val="20"/>
          <w:szCs w:val="20"/>
          <w:color w:val="auto"/>
        </w:rPr>
      </w:pPr>
    </w:p>
    <w:p>
      <w:pPr>
        <w:ind w:right="240"/>
        <w:spacing w:after="0" w:line="274" w:lineRule="auto"/>
        <w:rPr>
          <w:sz w:val="20"/>
          <w:szCs w:val="20"/>
          <w:color w:val="auto"/>
        </w:rPr>
      </w:pPr>
      <w:r>
        <w:rPr>
          <w:rFonts w:ascii="Times New Roman" w:cs="Times New Roman" w:eastAsia="Times New Roman" w:hAnsi="Times New Roman"/>
          <w:sz w:val="11"/>
          <w:szCs w:val="11"/>
          <w:color w:val="auto"/>
        </w:rPr>
        <w:t>Hence, specific estimates and assumptions used by managing partners in the absence of observable inputs do impact the fair value of individual investments, but no individual input has a significant impact on the aggregated fair value of level 3 investments.</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ind w:right="500"/>
        <w:spacing w:after="0" w:line="275" w:lineRule="auto"/>
        <w:rPr>
          <w:sz w:val="20"/>
          <w:szCs w:val="20"/>
          <w:color w:val="auto"/>
        </w:rPr>
      </w:pPr>
      <w:r>
        <w:rPr>
          <w:rFonts w:ascii="Times New Roman" w:cs="Times New Roman" w:eastAsia="Times New Roman" w:hAnsi="Times New Roman"/>
          <w:sz w:val="11"/>
          <w:szCs w:val="11"/>
          <w:color w:val="auto"/>
        </w:rPr>
        <w:t>Fair value adjustments, foreign exchange gains and losses, and realized gains and losses from the disposal of these investments are recognized in other operating income and expenses in the income statement.</w:t>
      </w:r>
    </w:p>
    <w:p>
      <w:pPr>
        <w:spacing w:after="0" w:line="57" w:lineRule="exact"/>
        <w:rPr>
          <w:sz w:val="20"/>
          <w:szCs w:val="20"/>
          <w:color w:val="auto"/>
        </w:rPr>
      </w:pPr>
    </w:p>
    <w:p>
      <w:pPr>
        <w:ind w:right="280"/>
        <w:spacing w:after="0" w:line="269" w:lineRule="auto"/>
        <w:rPr>
          <w:sz w:val="20"/>
          <w:szCs w:val="20"/>
          <w:color w:val="auto"/>
        </w:rPr>
      </w:pPr>
      <w:r>
        <w:rPr>
          <w:rFonts w:ascii="Times New Roman" w:cs="Times New Roman" w:eastAsia="Times New Roman" w:hAnsi="Times New Roman"/>
          <w:sz w:val="11"/>
          <w:szCs w:val="11"/>
          <w:color w:val="auto"/>
        </w:rPr>
        <w:t>From time to time Nokia may have investments in listed equity shares classified as level 1 investments. These are exchange traded products with quoted prices readily and regularly available from an exchange representing actual and regularly occurring market transactions on an arm’s-length basis.</w:t>
      </w:r>
    </w:p>
    <w:p>
      <w:pPr>
        <w:spacing w:after="0" w:line="60" w:lineRule="exact"/>
        <w:rPr>
          <w:sz w:val="20"/>
          <w:szCs w:val="20"/>
          <w:color w:val="auto"/>
        </w:rPr>
      </w:pPr>
    </w:p>
    <w:p>
      <w:pPr>
        <w:ind w:right="400"/>
        <w:spacing w:after="0" w:line="265" w:lineRule="auto"/>
        <w:rPr>
          <w:sz w:val="20"/>
          <w:szCs w:val="20"/>
          <w:color w:val="auto"/>
        </w:rPr>
      </w:pPr>
      <w:r>
        <w:rPr>
          <w:rFonts w:ascii="Times New Roman" w:cs="Times New Roman" w:eastAsia="Times New Roman" w:hAnsi="Times New Roman"/>
          <w:sz w:val="11"/>
          <w:szCs w:val="11"/>
          <w:color w:val="auto"/>
        </w:rPr>
        <w:t>Other non-current financial assets also include restricted assets and other receivables, customer financing-related loan</w:t>
      </w:r>
    </w:p>
    <w:p>
      <w:pPr>
        <w:spacing w:after="0"/>
        <w:tabs>
          <w:tab w:leader="none" w:pos="1300" w:val="left"/>
        </w:tabs>
        <w:rPr>
          <w:sz w:val="20"/>
          <w:szCs w:val="20"/>
          <w:color w:val="auto"/>
        </w:rPr>
      </w:pPr>
      <w:r>
        <w:rPr>
          <w:rFonts w:ascii="Times New Roman" w:cs="Times New Roman" w:eastAsia="Times New Roman" w:hAnsi="Times New Roman"/>
          <w:sz w:val="11"/>
          <w:szCs w:val="11"/>
          <w:color w:val="auto"/>
        </w:rPr>
        <w:t>receivables (refer to note</w:t>
      </w:r>
      <w:r>
        <w:rPr>
          <w:sz w:val="20"/>
          <w:szCs w:val="20"/>
          <w:color w:val="auto"/>
        </w:rPr>
        <w:tab/>
      </w:r>
      <w:r>
        <w:rPr>
          <w:rFonts w:ascii="Times New Roman" w:cs="Times New Roman" w:eastAsia="Times New Roman" w:hAnsi="Times New Roman"/>
          <w:sz w:val="11"/>
          <w:szCs w:val="11"/>
          <w:color w:val="auto"/>
        </w:rPr>
        <w:t>4.5. Trade receivables and other</w:t>
      </w:r>
    </w:p>
    <w:p>
      <w:pPr>
        <w:spacing w:after="0" w:line="15" w:lineRule="exact"/>
        <w:rPr>
          <w:sz w:val="20"/>
          <w:szCs w:val="20"/>
          <w:color w:val="auto"/>
        </w:rPr>
      </w:pPr>
    </w:p>
    <w:p>
      <w:pPr>
        <w:spacing w:after="0"/>
        <w:tabs>
          <w:tab w:leader="none" w:pos="1360" w:val="left"/>
        </w:tabs>
        <w:rPr>
          <w:sz w:val="20"/>
          <w:szCs w:val="20"/>
          <w:color w:val="auto"/>
        </w:rPr>
      </w:pPr>
      <w:r>
        <w:rPr>
          <w:rFonts w:ascii="Times New Roman" w:cs="Times New Roman" w:eastAsia="Times New Roman" w:hAnsi="Times New Roman"/>
          <w:sz w:val="11"/>
          <w:szCs w:val="11"/>
          <w:color w:val="auto"/>
        </w:rPr>
        <w:t>customer-related balances</w:t>
      </w:r>
      <w:r>
        <w:rPr>
          <w:sz w:val="20"/>
          <w:szCs w:val="20"/>
          <w:color w:val="auto"/>
        </w:rPr>
        <w:tab/>
      </w:r>
      <w:r>
        <w:rPr>
          <w:rFonts w:ascii="Times New Roman" w:cs="Times New Roman" w:eastAsia="Times New Roman" w:hAnsi="Times New Roman"/>
          <w:sz w:val="11"/>
          <w:szCs w:val="11"/>
          <w:color w:val="auto"/>
        </w:rPr>
        <w:t>) and certain other financial assets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a long-term nature.</w:t>
      </w:r>
    </w:p>
    <w:p>
      <w:pPr>
        <w:spacing w:after="0" w:line="84" w:lineRule="exact"/>
        <w:rPr>
          <w:sz w:val="20"/>
          <w:szCs w:val="20"/>
          <w:color w:val="auto"/>
        </w:rPr>
      </w:pPr>
    </w:p>
    <w:p>
      <w:pPr>
        <w:ind w:right="280"/>
        <w:spacing w:after="0" w:line="275" w:lineRule="auto"/>
        <w:rPr>
          <w:sz w:val="20"/>
          <w:szCs w:val="20"/>
          <w:color w:val="auto"/>
        </w:rPr>
      </w:pPr>
      <w:r>
        <w:rPr>
          <w:rFonts w:ascii="Times New Roman" w:cs="Times New Roman" w:eastAsia="Times New Roman" w:hAnsi="Times New Roman"/>
          <w:sz w:val="11"/>
          <w:szCs w:val="11"/>
          <w:color w:val="auto"/>
        </w:rPr>
        <w:t>Restricted assets and other receivables include restricted bank deposits primarily related to employee benefits as well as other loan receivables measured at amortized cost using the effective interest method.</w:t>
      </w:r>
    </w:p>
    <w:p>
      <w:pPr>
        <w:spacing w:after="0" w:line="47" w:lineRule="exact"/>
        <w:rPr>
          <w:sz w:val="20"/>
          <w:szCs w:val="20"/>
          <w:color w:val="auto"/>
        </w:rPr>
      </w:pPr>
    </w:p>
    <w:p>
      <w:pPr>
        <w:ind w:right="340"/>
        <w:spacing w:after="0" w:line="266" w:lineRule="auto"/>
        <w:rPr>
          <w:sz w:val="20"/>
          <w:szCs w:val="20"/>
          <w:color w:val="auto"/>
        </w:rPr>
      </w:pPr>
      <w:r>
        <w:rPr>
          <w:rFonts w:ascii="Times New Roman" w:cs="Times New Roman" w:eastAsia="Times New Roman" w:hAnsi="Times New Roman"/>
          <w:sz w:val="11"/>
          <w:szCs w:val="11"/>
          <w:color w:val="auto"/>
        </w:rPr>
        <w:t>The cash flows of certain other financial assets of a long-term nature do not fulfill the criteria of being solely payments of principal and interest. These investments are measured at fair value using quoted market rates, discounted cash flow models or other appropriate valuation methods as of the reporting date. Fair value adjustments, foreign exchange gains and losses, and realized gains and losses from the disposal of these investments are mainly recognized in financial income and expenses in the income statement.</w:t>
      </w:r>
    </w:p>
    <w:p>
      <w:pPr>
        <w:spacing w:after="0" w:line="63" w:lineRule="exact"/>
        <w:rPr>
          <w:sz w:val="20"/>
          <w:szCs w:val="20"/>
          <w:color w:val="auto"/>
        </w:rPr>
      </w:pPr>
    </w:p>
    <w:p>
      <w:pPr>
        <w:ind w:right="440"/>
        <w:spacing w:after="0" w:line="269" w:lineRule="auto"/>
        <w:rPr>
          <w:sz w:val="20"/>
          <w:szCs w:val="20"/>
          <w:color w:val="auto"/>
        </w:rPr>
      </w:pPr>
      <w:r>
        <w:rPr>
          <w:rFonts w:ascii="Times New Roman" w:cs="Times New Roman" w:eastAsia="Times New Roman" w:hAnsi="Times New Roman"/>
          <w:sz w:val="11"/>
          <w:szCs w:val="11"/>
          <w:color w:val="auto"/>
        </w:rPr>
        <w:t>Other current financial assets include the current part of other non-current financial assets as well as short-term loan receivables measured at amortized cost using the effective interest method.</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Cash and cash equivalents</w:t>
      </w:r>
    </w:p>
    <w:p>
      <w:pPr>
        <w:spacing w:after="0" w:line="24" w:lineRule="exact"/>
        <w:rPr>
          <w:sz w:val="20"/>
          <w:szCs w:val="20"/>
          <w:color w:val="auto"/>
        </w:rPr>
      </w:pPr>
    </w:p>
    <w:p>
      <w:pPr>
        <w:ind w:right="260"/>
        <w:spacing w:after="0" w:line="260" w:lineRule="auto"/>
        <w:rPr>
          <w:sz w:val="20"/>
          <w:szCs w:val="20"/>
          <w:color w:val="auto"/>
        </w:rPr>
      </w:pPr>
      <w:r>
        <w:rPr>
          <w:rFonts w:ascii="Times New Roman" w:cs="Times New Roman" w:eastAsia="Times New Roman" w:hAnsi="Times New Roman"/>
          <w:sz w:val="11"/>
          <w:szCs w:val="11"/>
          <w:color w:val="auto"/>
        </w:rPr>
        <w:t>Cash and cash equivalents include cash at bank and in hand as well as highly liquid, fixed income and money market investments that are readily convertible to known amounts of cash with maturities at acquisition of three months or less, as well as bank deposits with maturities or contractual call periods at acquisition of three months or less. Due to the high credit quality and short-term nature of these investments, there is</w:t>
      </w:r>
    </w:p>
    <w:p>
      <w:pPr>
        <w:spacing w:after="0" w:line="2" w:lineRule="exact"/>
        <w:rPr>
          <w:sz w:val="20"/>
          <w:szCs w:val="20"/>
          <w:color w:val="auto"/>
        </w:rPr>
      </w:pPr>
    </w:p>
    <w:p>
      <w:pPr>
        <w:ind w:right="320"/>
        <w:spacing w:after="0" w:line="273" w:lineRule="auto"/>
        <w:rPr>
          <w:sz w:val="20"/>
          <w:szCs w:val="20"/>
          <w:color w:val="auto"/>
        </w:rPr>
      </w:pPr>
      <w:r>
        <w:rPr>
          <w:rFonts w:ascii="Times New Roman" w:cs="Times New Roman" w:eastAsia="Times New Roman" w:hAnsi="Times New Roman"/>
          <w:sz w:val="11"/>
          <w:szCs w:val="11"/>
          <w:color w:val="auto"/>
        </w:rPr>
        <w:t>an insignificant risk of change in value. Investments in money market funds that have a risk profile consistent with the aforementioned criteria are also classified as cash equivalents.</w:t>
      </w:r>
    </w:p>
    <w:p>
      <w:pPr>
        <w:sectPr>
          <w:pgSz w:w="11900" w:h="16838" w:orient="portrait"/>
          <w:cols w:equalWidth="0" w:num="3">
            <w:col w:w="2900" w:space="500"/>
            <w:col w:w="3060" w:space="340"/>
            <w:col w:w="3180"/>
          </w:cols>
          <w:pgMar w:left="960" w:top="409" w:right="959" w:bottom="1440" w:gutter="0" w:footer="0" w:header="0"/>
          <w:type w:val="continuous"/>
        </w:sectPr>
      </w:pPr>
    </w:p>
    <w:bookmarkStart w:id="195" w:name="page196"/>
    <w:bookmarkEnd w:id="195"/>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188</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80"/>
          </w:cols>
          <w:pgMar w:left="960" w:top="410" w:right="8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ind w:right="120"/>
        <w:spacing w:after="0" w:line="269" w:lineRule="auto"/>
        <w:rPr>
          <w:sz w:val="20"/>
          <w:szCs w:val="20"/>
          <w:color w:val="auto"/>
        </w:rPr>
      </w:pPr>
      <w:r>
        <w:rPr>
          <w:rFonts w:ascii="Times New Roman" w:cs="Times New Roman" w:eastAsia="Times New Roman" w:hAnsi="Times New Roman"/>
          <w:sz w:val="11"/>
          <w:szCs w:val="11"/>
          <w:color w:val="auto"/>
        </w:rPr>
        <w:t>Investments that have cash flows that are solely payments of principal and interest are measured at amortized cost using the effective interest method whereas all other investments are classified as fair value through profit and loss, with fair value adjustments and foreign exchange gains and losses recognized in financial income and expenses in the income statement. The fair values of these investments are based on publicly available market information.</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liabilities</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Interest-bearing liabilities</w:t>
      </w:r>
    </w:p>
    <w:p>
      <w:pPr>
        <w:spacing w:after="0" w:line="24" w:lineRule="exact"/>
        <w:rPr>
          <w:sz w:val="20"/>
          <w:szCs w:val="20"/>
          <w:color w:val="auto"/>
        </w:rPr>
      </w:pPr>
    </w:p>
    <w:p>
      <w:pPr>
        <w:ind w:right="180"/>
        <w:spacing w:after="0" w:line="264" w:lineRule="auto"/>
        <w:rPr>
          <w:sz w:val="20"/>
          <w:szCs w:val="20"/>
          <w:color w:val="auto"/>
        </w:rPr>
      </w:pPr>
      <w:r>
        <w:rPr>
          <w:rFonts w:ascii="Times New Roman" w:cs="Times New Roman" w:eastAsia="Times New Roman" w:hAnsi="Times New Roman"/>
          <w:sz w:val="11"/>
          <w:szCs w:val="11"/>
          <w:color w:val="auto"/>
        </w:rPr>
        <w:t>Long-term and short-term interest-bearing liabilities are measured at amortized cost using the effective interest method. Long-term and short-term interest-bearing liabilities include issued bonds and other borrowings. Short-term interest-bearing liabilities also include the current portion of long-term interest-bearing liabilities and collaterals for derivative transactions.</w:t>
      </w:r>
    </w:p>
    <w:p>
      <w:pPr>
        <w:spacing w:after="0" w:line="19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Other financial liabilities</w:t>
      </w:r>
    </w:p>
    <w:p>
      <w:pPr>
        <w:spacing w:after="0" w:line="24"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Other financial liabilities mainly include a conditional obligation to China Huaxin as part of the Nokia Shanghai Bell (NSB) definitive agreements where China Huaxin obtained the right to fully transfer its ownership interest in NSB to Nokia in exchange for a future cash settlement. The financial liability related to the conditional obligation is measured based on the expected future cash settlement with any changes recorded</w:t>
      </w:r>
    </w:p>
    <w:p>
      <w:pPr>
        <w:spacing w:after="0" w:line="2" w:lineRule="exact"/>
        <w:rPr>
          <w:sz w:val="20"/>
          <w:szCs w:val="20"/>
          <w:color w:val="auto"/>
        </w:rPr>
      </w:pPr>
    </w:p>
    <w:p>
      <w:pPr>
        <w:ind w:right="20"/>
        <w:spacing w:after="0" w:line="266" w:lineRule="auto"/>
        <w:rPr>
          <w:sz w:val="20"/>
          <w:szCs w:val="20"/>
          <w:color w:val="auto"/>
        </w:rPr>
      </w:pPr>
      <w:r>
        <w:rPr>
          <w:rFonts w:ascii="Times New Roman" w:cs="Times New Roman" w:eastAsia="Times New Roman" w:hAnsi="Times New Roman"/>
          <w:sz w:val="11"/>
          <w:szCs w:val="11"/>
          <w:color w:val="auto"/>
        </w:rPr>
        <w:t>in financial income and expenses in the income statement. The measurement of this level 3 financial liability involves estimation of the option exercise price and the distribution of excess cash balances upon exercise. Unobservable valuation inputs include certain financial performance metrics of NSB. No individual input has a significant impact on the total fair value.</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Trade payables</w:t>
      </w:r>
    </w:p>
    <w:p>
      <w:pPr>
        <w:spacing w:after="0" w:line="24" w:lineRule="exact"/>
        <w:rPr>
          <w:sz w:val="20"/>
          <w:szCs w:val="20"/>
          <w:color w:val="auto"/>
        </w:rPr>
      </w:pPr>
    </w:p>
    <w:p>
      <w:pPr>
        <w:ind w:right="80"/>
        <w:spacing w:after="0" w:line="263" w:lineRule="auto"/>
        <w:rPr>
          <w:sz w:val="20"/>
          <w:szCs w:val="20"/>
          <w:color w:val="auto"/>
        </w:rPr>
      </w:pPr>
      <w:r>
        <w:rPr>
          <w:rFonts w:ascii="Times New Roman" w:cs="Times New Roman" w:eastAsia="Times New Roman" w:hAnsi="Times New Roman"/>
          <w:sz w:val="11"/>
          <w:szCs w:val="11"/>
          <w:color w:val="auto"/>
        </w:rPr>
        <w:t>Trade payables are carried at invoiced amount in the statement of financial position. Trade payables includes balances payable to suppliers under reverse factoring arrangements with financial institutions. These balances are classified as trade payables and the related payments as cash flows from operating activities, since the payments are made to the banks on very similar terms as to suppliers. Possible extensions to payment terms beyond the due dates agreed with suppliers are insignificant and there are no special guarantees securing the payments to be made.</w:t>
      </w:r>
    </w:p>
    <w:p>
      <w:pPr>
        <w:spacing w:after="0" w:line="200" w:lineRule="exact"/>
        <w:rPr>
          <w:sz w:val="20"/>
          <w:szCs w:val="20"/>
          <w:color w:val="auto"/>
        </w:rPr>
      </w:pPr>
    </w:p>
    <w:p>
      <w:pPr>
        <w:spacing w:after="0" w:line="200" w:lineRule="exact"/>
        <w:rPr>
          <w:sz w:val="20"/>
          <w:szCs w:val="20"/>
          <w:color w:val="auto"/>
        </w:rPr>
      </w:pPr>
    </w:p>
    <w:p>
      <w:pPr>
        <w:spacing w:after="0" w:line="20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2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color w:val="auto"/>
        </w:rPr>
        <w:t>Interest-bearing loans and other borrowings</w:t>
      </w:r>
    </w:p>
    <w:p>
      <w:pPr>
        <w:spacing w:after="0" w:line="3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All borrowings presented in the table below are senior unsecured and have no financial covenants.</w:t>
      </w:r>
    </w:p>
    <w:p>
      <w:pPr>
        <w:spacing w:after="0" w:line="66" w:lineRule="exact"/>
        <w:rPr>
          <w:sz w:val="20"/>
          <w:szCs w:val="20"/>
          <w:color w:val="auto"/>
        </w:rPr>
      </w:pPr>
    </w:p>
    <w:p>
      <w:pPr>
        <w:ind w:left="5640"/>
        <w:spacing w:after="0"/>
        <w:rPr>
          <w:sz w:val="20"/>
          <w:szCs w:val="20"/>
          <w:color w:val="auto"/>
        </w:rPr>
      </w:pPr>
      <w:r>
        <w:rPr>
          <w:rFonts w:ascii="Times New Roman" w:cs="Times New Roman" w:eastAsia="Times New Roman" w:hAnsi="Times New Roman"/>
          <w:sz w:val="8"/>
          <w:szCs w:val="8"/>
          <w:b w:val="1"/>
          <w:bCs w:val="1"/>
          <w:color w:val="005AFF"/>
        </w:rPr>
        <w:t>Carrying amount EURm</w:t>
      </w:r>
      <w:r>
        <w:rPr>
          <w:rFonts w:ascii="Times New Roman" w:cs="Times New Roman" w:eastAsia="Times New Roman" w:hAnsi="Times New Roman"/>
          <w:sz w:val="10"/>
          <w:szCs w:val="10"/>
          <w:b w:val="1"/>
          <w:bCs w:val="1"/>
          <w:color w:val="005AFF"/>
          <w:vertAlign w:val="superscript"/>
        </w:rPr>
        <w:t>(1)</w:t>
      </w:r>
    </w:p>
    <w:p>
      <w:pPr>
        <w:spacing w:after="0" w:line="38"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Issuer/borrower</w:t>
            </w:r>
          </w:p>
        </w:tc>
        <w:tc>
          <w:tcPr>
            <w:tcW w:w="860" w:type="dxa"/>
            <w:vAlign w:val="bottom"/>
            <w:tcBorders>
              <w:bottom w:val="single" w:sz="8" w:color="005AFF"/>
            </w:tcBorders>
          </w:tcPr>
          <w:p>
            <w:pPr>
              <w:spacing w:after="0"/>
              <w:rPr>
                <w:sz w:val="9"/>
                <w:szCs w:val="9"/>
                <w:color w:val="auto"/>
              </w:rPr>
            </w:pPr>
          </w:p>
        </w:tc>
        <w:tc>
          <w:tcPr>
            <w:tcW w:w="600" w:type="dxa"/>
            <w:vAlign w:val="bottom"/>
            <w:tcBorders>
              <w:bottom w:val="single" w:sz="8" w:color="005AFF"/>
            </w:tcBorders>
            <w:gridSpan w:val="2"/>
          </w:tcPr>
          <w:p>
            <w:pPr>
              <w:ind w:left="160"/>
              <w:spacing w:after="0"/>
              <w:rPr>
                <w:sz w:val="20"/>
                <w:szCs w:val="20"/>
                <w:color w:val="auto"/>
              </w:rPr>
            </w:pPr>
            <w:r>
              <w:rPr>
                <w:rFonts w:ascii="Times New Roman" w:cs="Times New Roman" w:eastAsia="Times New Roman" w:hAnsi="Times New Roman"/>
                <w:sz w:val="8"/>
                <w:szCs w:val="8"/>
                <w:b w:val="1"/>
                <w:bCs w:val="1"/>
                <w:color w:val="005AFF"/>
              </w:rPr>
              <w:t>Instrument</w:t>
            </w:r>
          </w:p>
        </w:tc>
        <w:tc>
          <w:tcPr>
            <w:tcW w:w="460" w:type="dxa"/>
            <w:vAlign w:val="bottom"/>
            <w:tcBorders>
              <w:bottom w:val="single" w:sz="8" w:color="005AFF"/>
            </w:tcBorders>
          </w:tcPr>
          <w:p>
            <w:pPr>
              <w:spacing w:after="0"/>
              <w:rPr>
                <w:sz w:val="9"/>
                <w:szCs w:val="9"/>
                <w:color w:val="auto"/>
              </w:rPr>
            </w:pPr>
          </w:p>
        </w:tc>
        <w:tc>
          <w:tcPr>
            <w:tcW w:w="260" w:type="dxa"/>
            <w:vAlign w:val="bottom"/>
            <w:tcBorders>
              <w:bottom w:val="single" w:sz="8" w:color="005AFF"/>
            </w:tcBorders>
          </w:tcPr>
          <w:p>
            <w:pPr>
              <w:spacing w:after="0"/>
              <w:rPr>
                <w:sz w:val="9"/>
                <w:szCs w:val="9"/>
                <w:color w:val="auto"/>
              </w:rPr>
            </w:pPr>
          </w:p>
        </w:tc>
        <w:tc>
          <w:tcPr>
            <w:tcW w:w="60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8"/>
                <w:szCs w:val="8"/>
                <w:b w:val="1"/>
                <w:bCs w:val="1"/>
                <w:color w:val="005AFF"/>
              </w:rPr>
              <w:t>Currency</w:t>
            </w:r>
          </w:p>
        </w:tc>
        <w:tc>
          <w:tcPr>
            <w:tcW w:w="840" w:type="dxa"/>
            <w:vAlign w:val="bottom"/>
            <w:tcBorders>
              <w:bottom w:val="single" w:sz="8" w:color="005AFF"/>
            </w:tcBorders>
            <w:gridSpan w:val="2"/>
          </w:tcPr>
          <w:p>
            <w:pPr>
              <w:jc w:val="right"/>
              <w:ind w:right="173"/>
              <w:spacing w:after="0"/>
              <w:rPr>
                <w:sz w:val="20"/>
                <w:szCs w:val="20"/>
                <w:color w:val="auto"/>
              </w:rPr>
            </w:pPr>
            <w:r>
              <w:rPr>
                <w:rFonts w:ascii="Times New Roman" w:cs="Times New Roman" w:eastAsia="Times New Roman" w:hAnsi="Times New Roman"/>
                <w:sz w:val="8"/>
                <w:szCs w:val="8"/>
                <w:b w:val="1"/>
                <w:bCs w:val="1"/>
                <w:color w:val="005AFF"/>
                <w:w w:val="98"/>
              </w:rPr>
              <w:t>Nominal (million)</w:t>
            </w:r>
          </w:p>
        </w:tc>
        <w:tc>
          <w:tcPr>
            <w:tcW w:w="820" w:type="dxa"/>
            <w:vAlign w:val="bottom"/>
            <w:tcBorders>
              <w:bottom w:val="single" w:sz="8" w:color="005AFF"/>
            </w:tcBorders>
            <w:gridSpan w:val="2"/>
          </w:tcPr>
          <w:p>
            <w:pPr>
              <w:ind w:left="100"/>
              <w:spacing w:after="0"/>
              <w:rPr>
                <w:sz w:val="20"/>
                <w:szCs w:val="20"/>
                <w:color w:val="auto"/>
              </w:rPr>
            </w:pPr>
            <w:r>
              <w:rPr>
                <w:rFonts w:ascii="Times New Roman" w:cs="Times New Roman" w:eastAsia="Times New Roman" w:hAnsi="Times New Roman"/>
                <w:sz w:val="8"/>
                <w:szCs w:val="8"/>
                <w:b w:val="1"/>
                <w:bCs w:val="1"/>
                <w:color w:val="005AFF"/>
              </w:rPr>
              <w:t>Final maturity</w:t>
            </w:r>
          </w:p>
        </w:tc>
        <w:tc>
          <w:tcPr>
            <w:tcW w:w="38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2023</w:t>
            </w:r>
          </w:p>
        </w:tc>
        <w:tc>
          <w:tcPr>
            <w:tcW w:w="140" w:type="dxa"/>
            <w:vAlign w:val="bottom"/>
            <w:tcBorders>
              <w:bottom w:val="single" w:sz="8" w:color="005AFF"/>
            </w:tcBorders>
          </w:tcPr>
          <w:p>
            <w:pPr>
              <w:spacing w:after="0"/>
              <w:rPr>
                <w:sz w:val="9"/>
                <w:szCs w:val="9"/>
                <w:color w:val="auto"/>
              </w:rPr>
            </w:pPr>
          </w:p>
        </w:tc>
        <w:tc>
          <w:tcPr>
            <w:tcW w:w="40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66"/>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2.00%</w:t>
            </w:r>
          </w:p>
        </w:tc>
        <w:tc>
          <w:tcPr>
            <w:tcW w:w="860" w:type="dxa"/>
            <w:vAlign w:val="bottom"/>
            <w:gridSpan w:val="3"/>
          </w:tcPr>
          <w:p>
            <w:pPr>
              <w:jc w:val="center"/>
              <w:ind w:right="127"/>
              <w:spacing w:after="0"/>
              <w:rPr>
                <w:sz w:val="20"/>
                <w:szCs w:val="20"/>
                <w:color w:val="auto"/>
              </w:rPr>
            </w:pPr>
            <w:r>
              <w:rPr>
                <w:rFonts w:ascii="Times New Roman" w:cs="Times New Roman" w:eastAsia="Times New Roman" w:hAnsi="Times New Roman"/>
                <w:sz w:val="10"/>
                <w:szCs w:val="10"/>
                <w:color w:val="0D0D0D"/>
              </w:rPr>
              <w:t xml:space="preserve">Senior Notes </w:t>
            </w:r>
            <w:r>
              <w:rPr>
                <w:rFonts w:ascii="Times New Roman" w:cs="Times New Roman" w:eastAsia="Times New Roman" w:hAnsi="Times New Roman"/>
                <w:sz w:val="13"/>
                <w:szCs w:val="13"/>
                <w:color w:val="0D0D0D"/>
                <w:vertAlign w:val="superscript"/>
              </w:rPr>
              <w:t>(2)</w:t>
            </w: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378</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3/2024</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375</w:t>
            </w:r>
          </w:p>
        </w:tc>
        <w:tc>
          <w:tcPr>
            <w:tcW w:w="140" w:type="dxa"/>
            <w:vAlign w:val="bottom"/>
          </w:tcPr>
          <w:p>
            <w:pPr>
              <w:spacing w:after="0"/>
              <w:rPr>
                <w:sz w:val="14"/>
                <w:szCs w:val="14"/>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736</w:t>
            </w:r>
          </w:p>
        </w:tc>
      </w:tr>
      <w:tr>
        <w:trPr>
          <w:trHeight w:val="130"/>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1"/>
                <w:szCs w:val="11"/>
                <w:color w:val="auto"/>
              </w:rPr>
            </w:pPr>
          </w:p>
        </w:tc>
        <w:tc>
          <w:tcPr>
            <w:tcW w:w="1060" w:type="dxa"/>
            <w:vAlign w:val="bottom"/>
            <w:gridSpan w:val="3"/>
          </w:tcPr>
          <w:p>
            <w:pPr>
              <w:ind w:left="160"/>
              <w:spacing w:after="0"/>
              <w:rPr>
                <w:sz w:val="20"/>
                <w:szCs w:val="20"/>
                <w:color w:val="auto"/>
              </w:rPr>
            </w:pPr>
            <w:r>
              <w:rPr>
                <w:rFonts w:ascii="Times New Roman" w:cs="Times New Roman" w:eastAsia="Times New Roman" w:hAnsi="Times New Roman"/>
                <w:sz w:val="10"/>
                <w:szCs w:val="10"/>
                <w:color w:val="0D0D0D"/>
              </w:rPr>
              <w:t>EIB R&amp;D Loan</w:t>
            </w:r>
          </w:p>
        </w:tc>
        <w:tc>
          <w:tcPr>
            <w:tcW w:w="260" w:type="dxa"/>
            <w:vAlign w:val="bottom"/>
          </w:tcPr>
          <w:p>
            <w:pPr>
              <w:spacing w:after="0"/>
              <w:rPr>
                <w:sz w:val="11"/>
                <w:szCs w:val="11"/>
                <w:color w:val="auto"/>
              </w:rPr>
            </w:pP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1"/>
                <w:szCs w:val="11"/>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500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2/2025</w:t>
            </w:r>
          </w:p>
        </w:tc>
        <w:tc>
          <w:tcPr>
            <w:tcW w:w="160" w:type="dxa"/>
            <w:vAlign w:val="bottom"/>
            <w:shd w:val="clear" w:color="auto" w:fill="F0F5FF"/>
          </w:tcPr>
          <w:p>
            <w:pPr>
              <w:spacing w:after="0"/>
              <w:rPr>
                <w:sz w:val="11"/>
                <w:szCs w:val="11"/>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500</w:t>
            </w:r>
          </w:p>
        </w:tc>
        <w:tc>
          <w:tcPr>
            <w:tcW w:w="140" w:type="dxa"/>
            <w:vAlign w:val="bottom"/>
          </w:tcPr>
          <w:p>
            <w:pPr>
              <w:spacing w:after="0"/>
              <w:rPr>
                <w:sz w:val="11"/>
                <w:szCs w:val="11"/>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500</w:t>
            </w:r>
          </w:p>
        </w:tc>
      </w:tr>
      <w:tr>
        <w:trPr>
          <w:trHeight w:val="43"/>
        </w:trPr>
        <w:tc>
          <w:tcPr>
            <w:tcW w:w="1280" w:type="dxa"/>
            <w:vAlign w:val="bottom"/>
          </w:tcPr>
          <w:p>
            <w:pPr>
              <w:ind w:left="40"/>
              <w:spacing w:after="0" w:line="43" w:lineRule="exact"/>
              <w:rPr>
                <w:sz w:val="20"/>
                <w:szCs w:val="20"/>
                <w:color w:val="auto"/>
              </w:rPr>
            </w:pPr>
            <w:r>
              <w:rPr>
                <w:rFonts w:ascii="Times New Roman" w:cs="Times New Roman" w:eastAsia="Times New Roman" w:hAnsi="Times New Roman"/>
                <w:sz w:val="4"/>
                <w:szCs w:val="4"/>
                <w:color w:val="0D0D0D"/>
              </w:rPr>
              <w:t>Nokia Corporation</w:t>
            </w:r>
          </w:p>
        </w:tc>
        <w:tc>
          <w:tcPr>
            <w:tcW w:w="860" w:type="dxa"/>
            <w:vAlign w:val="bottom"/>
          </w:tcPr>
          <w:p>
            <w:pPr>
              <w:spacing w:after="0"/>
              <w:rPr>
                <w:sz w:val="3"/>
                <w:szCs w:val="3"/>
                <w:color w:val="auto"/>
              </w:rPr>
            </w:pPr>
          </w:p>
        </w:tc>
        <w:tc>
          <w:tcPr>
            <w:tcW w:w="1060" w:type="dxa"/>
            <w:vAlign w:val="bottom"/>
            <w:gridSpan w:val="3"/>
          </w:tcPr>
          <w:p>
            <w:pPr>
              <w:ind w:left="160"/>
              <w:spacing w:after="0" w:line="43" w:lineRule="exact"/>
              <w:rPr>
                <w:sz w:val="20"/>
                <w:szCs w:val="20"/>
                <w:color w:val="auto"/>
              </w:rPr>
            </w:pPr>
            <w:r>
              <w:rPr>
                <w:rFonts w:ascii="Times New Roman" w:cs="Times New Roman" w:eastAsia="Times New Roman" w:hAnsi="Times New Roman"/>
                <w:sz w:val="4"/>
                <w:szCs w:val="4"/>
                <w:color w:val="0D0D0D"/>
              </w:rPr>
              <w:t>NIB R&amp;D Loan</w:t>
            </w:r>
          </w:p>
        </w:tc>
        <w:tc>
          <w:tcPr>
            <w:tcW w:w="260" w:type="dxa"/>
            <w:vAlign w:val="bottom"/>
          </w:tcPr>
          <w:p>
            <w:pPr>
              <w:spacing w:after="0"/>
              <w:rPr>
                <w:sz w:val="3"/>
                <w:szCs w:val="3"/>
                <w:color w:val="auto"/>
              </w:rPr>
            </w:pPr>
          </w:p>
        </w:tc>
        <w:tc>
          <w:tcPr>
            <w:tcW w:w="600" w:type="dxa"/>
            <w:vAlign w:val="bottom"/>
          </w:tcPr>
          <w:p>
            <w:pPr>
              <w:jc w:val="center"/>
              <w:ind w:left="193"/>
              <w:spacing w:after="0" w:line="43" w:lineRule="exact"/>
              <w:rPr>
                <w:sz w:val="20"/>
                <w:szCs w:val="20"/>
                <w:color w:val="auto"/>
              </w:rPr>
            </w:pPr>
            <w:r>
              <w:rPr>
                <w:rFonts w:ascii="Times New Roman" w:cs="Times New Roman" w:eastAsia="Times New Roman" w:hAnsi="Times New Roman"/>
                <w:sz w:val="4"/>
                <w:szCs w:val="4"/>
                <w:color w:val="0D0D0D"/>
              </w:rPr>
              <w:t>EUR</w:t>
            </w:r>
          </w:p>
        </w:tc>
        <w:tc>
          <w:tcPr>
            <w:tcW w:w="360" w:type="dxa"/>
            <w:vAlign w:val="bottom"/>
          </w:tcPr>
          <w:p>
            <w:pPr>
              <w:spacing w:after="0"/>
              <w:rPr>
                <w:sz w:val="3"/>
                <w:szCs w:val="3"/>
                <w:color w:val="auto"/>
              </w:rPr>
            </w:pPr>
          </w:p>
        </w:tc>
        <w:tc>
          <w:tcPr>
            <w:tcW w:w="480" w:type="dxa"/>
            <w:vAlign w:val="bottom"/>
          </w:tcPr>
          <w:p>
            <w:pPr>
              <w:jc w:val="right"/>
              <w:ind w:right="193"/>
              <w:spacing w:after="0" w:line="43" w:lineRule="exact"/>
              <w:rPr>
                <w:sz w:val="20"/>
                <w:szCs w:val="20"/>
                <w:color w:val="auto"/>
              </w:rPr>
            </w:pPr>
            <w:r>
              <w:rPr>
                <w:rFonts w:ascii="Times New Roman" w:cs="Times New Roman" w:eastAsia="Times New Roman" w:hAnsi="Times New Roman"/>
                <w:sz w:val="4"/>
                <w:szCs w:val="4"/>
                <w:color w:val="0D0D0D"/>
              </w:rPr>
              <w:t>167</w:t>
            </w:r>
          </w:p>
        </w:tc>
        <w:tc>
          <w:tcPr>
            <w:tcW w:w="660" w:type="dxa"/>
            <w:vAlign w:val="bottom"/>
          </w:tcPr>
          <w:p>
            <w:pPr>
              <w:jc w:val="right"/>
              <w:ind w:right="13"/>
              <w:spacing w:after="0" w:line="43" w:lineRule="exact"/>
              <w:rPr>
                <w:sz w:val="20"/>
                <w:szCs w:val="20"/>
                <w:color w:val="auto"/>
              </w:rPr>
            </w:pPr>
            <w:r>
              <w:rPr>
                <w:rFonts w:ascii="Times New Roman" w:cs="Times New Roman" w:eastAsia="Times New Roman" w:hAnsi="Times New Roman"/>
                <w:sz w:val="4"/>
                <w:szCs w:val="4"/>
                <w:color w:val="0D0D0D"/>
              </w:rPr>
              <w:t>5/2025</w:t>
            </w:r>
          </w:p>
        </w:tc>
        <w:tc>
          <w:tcPr>
            <w:tcW w:w="160" w:type="dxa"/>
            <w:vAlign w:val="bottom"/>
            <w:shd w:val="clear" w:color="auto" w:fill="F0F5FF"/>
          </w:tcPr>
          <w:p>
            <w:pPr>
              <w:spacing w:after="0"/>
              <w:rPr>
                <w:sz w:val="3"/>
                <w:szCs w:val="3"/>
                <w:color w:val="auto"/>
              </w:rPr>
            </w:pPr>
          </w:p>
        </w:tc>
        <w:tc>
          <w:tcPr>
            <w:tcW w:w="380" w:type="dxa"/>
            <w:vAlign w:val="bottom"/>
            <w:shd w:val="clear" w:color="auto" w:fill="F0F5FF"/>
          </w:tcPr>
          <w:p>
            <w:pPr>
              <w:jc w:val="right"/>
              <w:ind w:right="13"/>
              <w:spacing w:after="0" w:line="43" w:lineRule="exact"/>
              <w:rPr>
                <w:sz w:val="20"/>
                <w:szCs w:val="20"/>
                <w:color w:val="auto"/>
              </w:rPr>
            </w:pPr>
            <w:r>
              <w:rPr>
                <w:rFonts w:ascii="Times New Roman" w:cs="Times New Roman" w:eastAsia="Times New Roman" w:hAnsi="Times New Roman"/>
                <w:sz w:val="4"/>
                <w:szCs w:val="4"/>
                <w:color w:val="005AFF"/>
              </w:rPr>
              <w:t>167</w:t>
            </w:r>
          </w:p>
        </w:tc>
        <w:tc>
          <w:tcPr>
            <w:tcW w:w="140" w:type="dxa"/>
            <w:vAlign w:val="bottom"/>
          </w:tcPr>
          <w:p>
            <w:pPr>
              <w:spacing w:after="0"/>
              <w:rPr>
                <w:sz w:val="3"/>
                <w:szCs w:val="3"/>
                <w:color w:val="auto"/>
              </w:rPr>
            </w:pPr>
          </w:p>
        </w:tc>
        <w:tc>
          <w:tcPr>
            <w:tcW w:w="400" w:type="dxa"/>
            <w:vAlign w:val="bottom"/>
          </w:tcPr>
          <w:p>
            <w:pPr>
              <w:jc w:val="right"/>
              <w:ind w:right="33"/>
              <w:spacing w:after="0" w:line="43" w:lineRule="exact"/>
              <w:rPr>
                <w:sz w:val="20"/>
                <w:szCs w:val="20"/>
                <w:color w:val="auto"/>
              </w:rPr>
            </w:pPr>
            <w:r>
              <w:rPr>
                <w:rFonts w:ascii="Times New Roman" w:cs="Times New Roman" w:eastAsia="Times New Roman" w:hAnsi="Times New Roman"/>
                <w:sz w:val="4"/>
                <w:szCs w:val="4"/>
                <w:color w:val="0D0D0D"/>
              </w:rPr>
              <w:t>250</w:t>
            </w:r>
          </w:p>
        </w:tc>
      </w:tr>
      <w:tr>
        <w:trPr>
          <w:trHeight w:val="85"/>
        </w:trPr>
        <w:tc>
          <w:tcPr>
            <w:tcW w:w="1280" w:type="dxa"/>
            <w:vAlign w:val="bottom"/>
          </w:tcPr>
          <w:p>
            <w:pPr>
              <w:spacing w:after="0"/>
              <w:rPr>
                <w:sz w:val="7"/>
                <w:szCs w:val="7"/>
                <w:color w:val="auto"/>
              </w:rPr>
            </w:pPr>
          </w:p>
        </w:tc>
        <w:tc>
          <w:tcPr>
            <w:tcW w:w="860" w:type="dxa"/>
            <w:vAlign w:val="bottom"/>
          </w:tcPr>
          <w:p>
            <w:pPr>
              <w:spacing w:after="0"/>
              <w:rPr>
                <w:sz w:val="7"/>
                <w:szCs w:val="7"/>
                <w:color w:val="auto"/>
              </w:rPr>
            </w:pPr>
          </w:p>
        </w:tc>
        <w:tc>
          <w:tcPr>
            <w:tcW w:w="460" w:type="dxa"/>
            <w:vAlign w:val="bottom"/>
          </w:tcPr>
          <w:p>
            <w:pPr>
              <w:spacing w:after="0"/>
              <w:rPr>
                <w:sz w:val="7"/>
                <w:szCs w:val="7"/>
                <w:color w:val="auto"/>
              </w:rPr>
            </w:pPr>
          </w:p>
        </w:tc>
        <w:tc>
          <w:tcPr>
            <w:tcW w:w="140" w:type="dxa"/>
            <w:vAlign w:val="bottom"/>
          </w:tcPr>
          <w:p>
            <w:pPr>
              <w:spacing w:after="0"/>
              <w:rPr>
                <w:sz w:val="7"/>
                <w:szCs w:val="7"/>
                <w:color w:val="auto"/>
              </w:rPr>
            </w:pPr>
          </w:p>
        </w:tc>
        <w:tc>
          <w:tcPr>
            <w:tcW w:w="460" w:type="dxa"/>
            <w:vAlign w:val="bottom"/>
          </w:tcPr>
          <w:p>
            <w:pPr>
              <w:jc w:val="center"/>
              <w:ind w:right="2"/>
              <w:spacing w:after="0"/>
              <w:rPr>
                <w:sz w:val="20"/>
                <w:szCs w:val="20"/>
                <w:color w:val="auto"/>
              </w:rPr>
            </w:pPr>
            <w:r>
              <w:rPr>
                <w:rFonts w:ascii="Times New Roman" w:cs="Times New Roman" w:eastAsia="Times New Roman" w:hAnsi="Times New Roman"/>
                <w:sz w:val="7"/>
                <w:szCs w:val="7"/>
                <w:color w:val="0D0D0D"/>
                <w:w w:val="72"/>
              </w:rPr>
              <w:t>(3)</w:t>
            </w:r>
          </w:p>
        </w:tc>
        <w:tc>
          <w:tcPr>
            <w:tcW w:w="260" w:type="dxa"/>
            <w:vAlign w:val="bottom"/>
          </w:tcPr>
          <w:p>
            <w:pPr>
              <w:spacing w:after="0"/>
              <w:rPr>
                <w:sz w:val="7"/>
                <w:szCs w:val="7"/>
                <w:color w:val="auto"/>
              </w:rPr>
            </w:pPr>
          </w:p>
        </w:tc>
        <w:tc>
          <w:tcPr>
            <w:tcW w:w="600" w:type="dxa"/>
            <w:vAlign w:val="bottom"/>
          </w:tcPr>
          <w:p>
            <w:pPr>
              <w:spacing w:after="0"/>
              <w:rPr>
                <w:sz w:val="7"/>
                <w:szCs w:val="7"/>
                <w:color w:val="auto"/>
              </w:rPr>
            </w:pPr>
          </w:p>
        </w:tc>
        <w:tc>
          <w:tcPr>
            <w:tcW w:w="360" w:type="dxa"/>
            <w:vAlign w:val="bottom"/>
          </w:tcPr>
          <w:p>
            <w:pPr>
              <w:spacing w:after="0"/>
              <w:rPr>
                <w:sz w:val="7"/>
                <w:szCs w:val="7"/>
                <w:color w:val="auto"/>
              </w:rPr>
            </w:pPr>
          </w:p>
        </w:tc>
        <w:tc>
          <w:tcPr>
            <w:tcW w:w="480" w:type="dxa"/>
            <w:vAlign w:val="bottom"/>
          </w:tcPr>
          <w:p>
            <w:pPr>
              <w:spacing w:after="0"/>
              <w:rPr>
                <w:sz w:val="7"/>
                <w:szCs w:val="7"/>
                <w:color w:val="auto"/>
              </w:rPr>
            </w:pPr>
          </w:p>
        </w:tc>
        <w:tc>
          <w:tcPr>
            <w:tcW w:w="660" w:type="dxa"/>
            <w:vAlign w:val="bottom"/>
          </w:tcPr>
          <w:p>
            <w:pPr>
              <w:spacing w:after="0"/>
              <w:rPr>
                <w:sz w:val="7"/>
                <w:szCs w:val="7"/>
                <w:color w:val="auto"/>
              </w:rPr>
            </w:pPr>
          </w:p>
        </w:tc>
        <w:tc>
          <w:tcPr>
            <w:tcW w:w="160" w:type="dxa"/>
            <w:vAlign w:val="bottom"/>
            <w:shd w:val="clear" w:color="auto" w:fill="F0F5FF"/>
          </w:tcPr>
          <w:p>
            <w:pPr>
              <w:spacing w:after="0"/>
              <w:rPr>
                <w:sz w:val="7"/>
                <w:szCs w:val="7"/>
                <w:color w:val="auto"/>
              </w:rPr>
            </w:pPr>
          </w:p>
        </w:tc>
        <w:tc>
          <w:tcPr>
            <w:tcW w:w="380" w:type="dxa"/>
            <w:vAlign w:val="bottom"/>
            <w:shd w:val="clear" w:color="auto" w:fill="F0F5FF"/>
          </w:tcPr>
          <w:p>
            <w:pPr>
              <w:spacing w:after="0"/>
              <w:rPr>
                <w:sz w:val="7"/>
                <w:szCs w:val="7"/>
                <w:color w:val="auto"/>
              </w:rPr>
            </w:pPr>
          </w:p>
        </w:tc>
        <w:tc>
          <w:tcPr>
            <w:tcW w:w="140" w:type="dxa"/>
            <w:vAlign w:val="bottom"/>
          </w:tcPr>
          <w:p>
            <w:pPr>
              <w:spacing w:after="0"/>
              <w:rPr>
                <w:sz w:val="7"/>
                <w:szCs w:val="7"/>
                <w:color w:val="auto"/>
              </w:rPr>
            </w:pPr>
          </w:p>
        </w:tc>
        <w:tc>
          <w:tcPr>
            <w:tcW w:w="400" w:type="dxa"/>
            <w:vAlign w:val="bottom"/>
          </w:tcPr>
          <w:p>
            <w:pPr>
              <w:spacing w:after="0"/>
              <w:rPr>
                <w:sz w:val="7"/>
                <w:szCs w:val="7"/>
                <w:color w:val="auto"/>
              </w:rPr>
            </w:pPr>
          </w:p>
        </w:tc>
      </w:tr>
      <w:tr>
        <w:trPr>
          <w:trHeight w:val="196"/>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7"/>
                <w:szCs w:val="17"/>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0"/>
              </w:rPr>
              <w:t>2.375%</w:t>
            </w:r>
          </w:p>
        </w:tc>
        <w:tc>
          <w:tcPr>
            <w:tcW w:w="600" w:type="dxa"/>
            <w:vAlign w:val="bottom"/>
            <w:gridSpan w:val="2"/>
          </w:tcPr>
          <w:p>
            <w:pPr>
              <w:jc w:val="center"/>
              <w:ind w:left="3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jc w:val="right"/>
              <w:ind w:right="87"/>
              <w:spacing w:after="0"/>
              <w:rPr>
                <w:sz w:val="20"/>
                <w:szCs w:val="20"/>
                <w:color w:val="auto"/>
              </w:rPr>
            </w:pPr>
            <w:r>
              <w:rPr>
                <w:rFonts w:ascii="Times New Roman" w:cs="Times New Roman" w:eastAsia="Times New Roman" w:hAnsi="Times New Roman"/>
                <w:sz w:val="7"/>
                <w:szCs w:val="7"/>
                <w:color w:val="0D0D0D"/>
              </w:rPr>
              <w:t>(2)</w:t>
            </w: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7"/>
                <w:szCs w:val="17"/>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292</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5/2025</w:t>
            </w:r>
          </w:p>
        </w:tc>
        <w:tc>
          <w:tcPr>
            <w:tcW w:w="160" w:type="dxa"/>
            <w:vAlign w:val="bottom"/>
            <w:shd w:val="clear" w:color="auto" w:fill="F0F5FF"/>
          </w:tcPr>
          <w:p>
            <w:pPr>
              <w:spacing w:after="0"/>
              <w:rPr>
                <w:sz w:val="17"/>
                <w:szCs w:val="17"/>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289</w:t>
            </w:r>
          </w:p>
        </w:tc>
        <w:tc>
          <w:tcPr>
            <w:tcW w:w="140" w:type="dxa"/>
            <w:vAlign w:val="bottom"/>
          </w:tcPr>
          <w:p>
            <w:pPr>
              <w:spacing w:after="0"/>
              <w:rPr>
                <w:sz w:val="17"/>
                <w:szCs w:val="17"/>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478</w:t>
            </w: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2.00%</w:t>
            </w:r>
          </w:p>
        </w:tc>
        <w:tc>
          <w:tcPr>
            <w:tcW w:w="6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jc w:val="right"/>
              <w:ind w:right="127"/>
              <w:spacing w:after="0"/>
              <w:rPr>
                <w:sz w:val="20"/>
                <w:szCs w:val="20"/>
                <w:color w:val="auto"/>
              </w:rPr>
            </w:pPr>
            <w:r>
              <w:rPr>
                <w:rFonts w:ascii="Times New Roman" w:cs="Times New Roman" w:eastAsia="Times New Roman" w:hAnsi="Times New Roman"/>
                <w:sz w:val="7"/>
                <w:szCs w:val="7"/>
                <w:color w:val="0D0D0D"/>
                <w:w w:val="97"/>
              </w:rPr>
              <w:t>(2)</w:t>
            </w: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630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3/2026</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614</w:t>
            </w:r>
          </w:p>
        </w:tc>
        <w:tc>
          <w:tcPr>
            <w:tcW w:w="140" w:type="dxa"/>
            <w:vAlign w:val="bottom"/>
          </w:tcPr>
          <w:p>
            <w:pPr>
              <w:spacing w:after="0"/>
              <w:rPr>
                <w:sz w:val="14"/>
                <w:szCs w:val="14"/>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716</w:t>
            </w: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0"/>
              </w:rPr>
              <w:t>4.375%</w:t>
            </w:r>
          </w:p>
        </w:tc>
        <w:tc>
          <w:tcPr>
            <w:tcW w:w="600" w:type="dxa"/>
            <w:vAlign w:val="bottom"/>
            <w:gridSpan w:val="2"/>
          </w:tcPr>
          <w:p>
            <w:pPr>
              <w:jc w:val="center"/>
              <w:ind w:left="3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spacing w:after="0"/>
              <w:rPr>
                <w:sz w:val="14"/>
                <w:szCs w:val="14"/>
                <w:color w:val="auto"/>
              </w:rPr>
            </w:pPr>
          </w:p>
        </w:tc>
        <w:tc>
          <w:tcPr>
            <w:tcW w:w="600" w:type="dxa"/>
            <w:vAlign w:val="bottom"/>
          </w:tcPr>
          <w:p>
            <w:pPr>
              <w:jc w:val="center"/>
              <w:ind w:left="153"/>
              <w:spacing w:after="0"/>
              <w:rPr>
                <w:sz w:val="20"/>
                <w:szCs w:val="20"/>
                <w:color w:val="auto"/>
              </w:rPr>
            </w:pPr>
            <w:r>
              <w:rPr>
                <w:rFonts w:ascii="Times New Roman" w:cs="Times New Roman" w:eastAsia="Times New Roman" w:hAnsi="Times New Roman"/>
                <w:sz w:val="10"/>
                <w:szCs w:val="10"/>
                <w:color w:val="0D0D0D"/>
                <w:w w:val="99"/>
              </w:rPr>
              <w:t>USD</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500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6/2027</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430</w:t>
            </w:r>
          </w:p>
        </w:tc>
        <w:tc>
          <w:tcPr>
            <w:tcW w:w="140" w:type="dxa"/>
            <w:vAlign w:val="bottom"/>
          </w:tcPr>
          <w:p>
            <w:pPr>
              <w:spacing w:after="0"/>
              <w:rPr>
                <w:sz w:val="14"/>
                <w:szCs w:val="14"/>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436</w:t>
            </w: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Nokia of America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6.50%</w:t>
            </w:r>
          </w:p>
        </w:tc>
        <w:tc>
          <w:tcPr>
            <w:tcW w:w="600" w:type="dxa"/>
            <w:vAlign w:val="bottom"/>
            <w:gridSpan w:val="2"/>
          </w:tcPr>
          <w:p>
            <w:pPr>
              <w:ind w:left="2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spacing w:after="0"/>
              <w:rPr>
                <w:sz w:val="14"/>
                <w:szCs w:val="14"/>
                <w:color w:val="auto"/>
              </w:rPr>
            </w:pPr>
          </w:p>
        </w:tc>
        <w:tc>
          <w:tcPr>
            <w:tcW w:w="600" w:type="dxa"/>
            <w:vAlign w:val="bottom"/>
          </w:tcPr>
          <w:p>
            <w:pPr>
              <w:jc w:val="center"/>
              <w:ind w:left="153"/>
              <w:spacing w:after="0"/>
              <w:rPr>
                <w:sz w:val="20"/>
                <w:szCs w:val="20"/>
                <w:color w:val="auto"/>
              </w:rPr>
            </w:pPr>
            <w:r>
              <w:rPr>
                <w:rFonts w:ascii="Times New Roman" w:cs="Times New Roman" w:eastAsia="Times New Roman" w:hAnsi="Times New Roman"/>
                <w:sz w:val="10"/>
                <w:szCs w:val="10"/>
                <w:color w:val="0D0D0D"/>
                <w:w w:val="99"/>
              </w:rPr>
              <w:t>USD</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74</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1/2028</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67</w:t>
            </w:r>
          </w:p>
        </w:tc>
        <w:tc>
          <w:tcPr>
            <w:tcW w:w="140" w:type="dxa"/>
            <w:vAlign w:val="bottom"/>
          </w:tcPr>
          <w:p>
            <w:pPr>
              <w:spacing w:after="0"/>
              <w:rPr>
                <w:sz w:val="14"/>
                <w:szCs w:val="14"/>
                <w:color w:val="auto"/>
              </w:rPr>
            </w:pPr>
          </w:p>
        </w:tc>
        <w:tc>
          <w:tcPr>
            <w:tcW w:w="40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70</w:t>
            </w: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0"/>
              </w:rPr>
              <w:t>3.125%</w:t>
            </w:r>
          </w:p>
        </w:tc>
        <w:tc>
          <w:tcPr>
            <w:tcW w:w="600" w:type="dxa"/>
            <w:vAlign w:val="bottom"/>
            <w:gridSpan w:val="2"/>
          </w:tcPr>
          <w:p>
            <w:pPr>
              <w:jc w:val="center"/>
              <w:ind w:left="3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spacing w:after="0"/>
              <w:rPr>
                <w:sz w:val="14"/>
                <w:szCs w:val="14"/>
                <w:color w:val="auto"/>
              </w:rPr>
            </w:pP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500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5/2028</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479</w:t>
            </w:r>
          </w:p>
        </w:tc>
        <w:tc>
          <w:tcPr>
            <w:tcW w:w="140" w:type="dxa"/>
            <w:vAlign w:val="bottom"/>
          </w:tcPr>
          <w:p>
            <w:pPr>
              <w:spacing w:after="0"/>
              <w:rPr>
                <w:sz w:val="14"/>
                <w:szCs w:val="14"/>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457</w:t>
            </w: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9"/>
              </w:rPr>
              <w:t>Nokia of America Corporation</w:t>
            </w:r>
          </w:p>
        </w:tc>
        <w:tc>
          <w:tcPr>
            <w:tcW w:w="860" w:type="dxa"/>
            <w:vAlign w:val="bottom"/>
          </w:tcPr>
          <w:p>
            <w:pPr>
              <w:spacing w:after="0"/>
              <w:rPr>
                <w:sz w:val="14"/>
                <w:szCs w:val="14"/>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rPr>
              <w:t>6.45%</w:t>
            </w:r>
          </w:p>
        </w:tc>
        <w:tc>
          <w:tcPr>
            <w:tcW w:w="600" w:type="dxa"/>
            <w:vAlign w:val="bottom"/>
            <w:gridSpan w:val="2"/>
          </w:tcPr>
          <w:p>
            <w:pPr>
              <w:ind w:left="2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spacing w:after="0"/>
              <w:rPr>
                <w:sz w:val="14"/>
                <w:szCs w:val="14"/>
                <w:color w:val="auto"/>
              </w:rPr>
            </w:pPr>
          </w:p>
        </w:tc>
        <w:tc>
          <w:tcPr>
            <w:tcW w:w="600" w:type="dxa"/>
            <w:vAlign w:val="bottom"/>
          </w:tcPr>
          <w:p>
            <w:pPr>
              <w:jc w:val="center"/>
              <w:ind w:left="153"/>
              <w:spacing w:after="0"/>
              <w:rPr>
                <w:sz w:val="20"/>
                <w:szCs w:val="20"/>
                <w:color w:val="auto"/>
              </w:rPr>
            </w:pPr>
            <w:r>
              <w:rPr>
                <w:rFonts w:ascii="Times New Roman" w:cs="Times New Roman" w:eastAsia="Times New Roman" w:hAnsi="Times New Roman"/>
                <w:sz w:val="10"/>
                <w:szCs w:val="10"/>
                <w:color w:val="0D0D0D"/>
                <w:w w:val="99"/>
              </w:rPr>
              <w:t>USD</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206</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3/2029</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187</w:t>
            </w:r>
          </w:p>
        </w:tc>
        <w:tc>
          <w:tcPr>
            <w:tcW w:w="140" w:type="dxa"/>
            <w:vAlign w:val="bottom"/>
          </w:tcPr>
          <w:p>
            <w:pPr>
              <w:spacing w:after="0"/>
              <w:rPr>
                <w:sz w:val="14"/>
                <w:szCs w:val="14"/>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194</w:t>
            </w:r>
          </w:p>
        </w:tc>
      </w:tr>
      <w:tr>
        <w:trPr>
          <w:trHeight w:val="153"/>
        </w:trPr>
        <w:tc>
          <w:tcPr>
            <w:tcW w:w="1280" w:type="dxa"/>
            <w:vAlign w:val="bottom"/>
          </w:tcPr>
          <w:p>
            <w:pPr>
              <w:spacing w:after="0"/>
              <w:rPr>
                <w:sz w:val="13"/>
                <w:szCs w:val="13"/>
                <w:color w:val="auto"/>
              </w:rPr>
            </w:pPr>
          </w:p>
        </w:tc>
        <w:tc>
          <w:tcPr>
            <w:tcW w:w="860" w:type="dxa"/>
            <w:vAlign w:val="bottom"/>
          </w:tcPr>
          <w:p>
            <w:pPr>
              <w:spacing w:after="0"/>
              <w:rPr>
                <w:sz w:val="13"/>
                <w:szCs w:val="13"/>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0"/>
              </w:rPr>
              <w:t>4.375%</w:t>
            </w:r>
          </w:p>
        </w:tc>
        <w:tc>
          <w:tcPr>
            <w:tcW w:w="860" w:type="dxa"/>
            <w:vAlign w:val="bottom"/>
            <w:gridSpan w:val="3"/>
          </w:tcPr>
          <w:p>
            <w:pPr>
              <w:ind w:left="80"/>
              <w:spacing w:after="0"/>
              <w:rPr>
                <w:sz w:val="20"/>
                <w:szCs w:val="20"/>
                <w:color w:val="auto"/>
              </w:rPr>
            </w:pPr>
            <w:r>
              <w:rPr>
                <w:rFonts w:ascii="Times New Roman" w:cs="Times New Roman" w:eastAsia="Times New Roman" w:hAnsi="Times New Roman"/>
                <w:sz w:val="10"/>
                <w:szCs w:val="10"/>
                <w:color w:val="0D0D0D"/>
              </w:rPr>
              <w:t>Sustainability-</w:t>
            </w:r>
          </w:p>
        </w:tc>
        <w:tc>
          <w:tcPr>
            <w:tcW w:w="600" w:type="dxa"/>
            <w:vAlign w:val="bottom"/>
          </w:tcPr>
          <w:p>
            <w:pPr>
              <w:spacing w:after="0"/>
              <w:rPr>
                <w:sz w:val="13"/>
                <w:szCs w:val="13"/>
                <w:color w:val="auto"/>
              </w:rPr>
            </w:pPr>
          </w:p>
        </w:tc>
        <w:tc>
          <w:tcPr>
            <w:tcW w:w="360" w:type="dxa"/>
            <w:vAlign w:val="bottom"/>
          </w:tcPr>
          <w:p>
            <w:pPr>
              <w:spacing w:after="0"/>
              <w:rPr>
                <w:sz w:val="13"/>
                <w:szCs w:val="13"/>
                <w:color w:val="auto"/>
              </w:rPr>
            </w:pPr>
          </w:p>
        </w:tc>
        <w:tc>
          <w:tcPr>
            <w:tcW w:w="48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160" w:type="dxa"/>
            <w:vAlign w:val="bottom"/>
            <w:shd w:val="clear" w:color="auto" w:fill="F0F5FF"/>
          </w:tcPr>
          <w:p>
            <w:pPr>
              <w:spacing w:after="0"/>
              <w:rPr>
                <w:sz w:val="13"/>
                <w:szCs w:val="13"/>
                <w:color w:val="auto"/>
              </w:rPr>
            </w:pPr>
          </w:p>
        </w:tc>
        <w:tc>
          <w:tcPr>
            <w:tcW w:w="380" w:type="dxa"/>
            <w:vAlign w:val="bottom"/>
            <w:shd w:val="clear" w:color="auto" w:fill="F0F5FF"/>
          </w:tcPr>
          <w:p>
            <w:pPr>
              <w:spacing w:after="0"/>
              <w:rPr>
                <w:sz w:val="13"/>
                <w:szCs w:val="13"/>
                <w:color w:val="auto"/>
              </w:rPr>
            </w:pPr>
          </w:p>
        </w:tc>
        <w:tc>
          <w:tcPr>
            <w:tcW w:w="140" w:type="dxa"/>
            <w:vAlign w:val="bottom"/>
          </w:tcPr>
          <w:p>
            <w:pPr>
              <w:spacing w:after="0"/>
              <w:rPr>
                <w:sz w:val="13"/>
                <w:szCs w:val="13"/>
                <w:color w:val="auto"/>
              </w:rPr>
            </w:pPr>
          </w:p>
        </w:tc>
        <w:tc>
          <w:tcPr>
            <w:tcW w:w="400" w:type="dxa"/>
            <w:vAlign w:val="bottom"/>
          </w:tcPr>
          <w:p>
            <w:pPr>
              <w:spacing w:after="0"/>
              <w:rPr>
                <w:sz w:val="13"/>
                <w:szCs w:val="13"/>
                <w:color w:val="auto"/>
              </w:rPr>
            </w:pPr>
          </w:p>
        </w:tc>
      </w:tr>
      <w:tr>
        <w:trPr>
          <w:trHeight w:val="162"/>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4"/>
                <w:szCs w:val="14"/>
                <w:color w:val="auto"/>
              </w:rPr>
            </w:pPr>
          </w:p>
        </w:tc>
        <w:tc>
          <w:tcPr>
            <w:tcW w:w="1320" w:type="dxa"/>
            <w:vAlign w:val="bottom"/>
            <w:gridSpan w:val="4"/>
          </w:tcPr>
          <w:p>
            <w:pPr>
              <w:ind w:left="160"/>
              <w:spacing w:after="0"/>
              <w:rPr>
                <w:sz w:val="20"/>
                <w:szCs w:val="20"/>
                <w:color w:val="auto"/>
              </w:rPr>
            </w:pPr>
            <w:r>
              <w:rPr>
                <w:rFonts w:ascii="Times New Roman" w:cs="Times New Roman" w:eastAsia="Times New Roman" w:hAnsi="Times New Roman"/>
                <w:sz w:val="10"/>
                <w:szCs w:val="10"/>
                <w:color w:val="0D0D0D"/>
              </w:rPr>
              <w:t xml:space="preserve">linked Senior Notes </w:t>
            </w:r>
            <w:r>
              <w:rPr>
                <w:rFonts w:ascii="Times New Roman" w:cs="Times New Roman" w:eastAsia="Times New Roman" w:hAnsi="Times New Roman"/>
                <w:sz w:val="13"/>
                <w:szCs w:val="13"/>
                <w:color w:val="0D0D0D"/>
                <w:vertAlign w:val="superscript"/>
              </w:rPr>
              <w:t>(4)</w:t>
            </w:r>
          </w:p>
        </w:tc>
        <w:tc>
          <w:tcPr>
            <w:tcW w:w="600" w:type="dxa"/>
            <w:vAlign w:val="bottom"/>
          </w:tcPr>
          <w:p>
            <w:pPr>
              <w:jc w:val="center"/>
              <w:ind w:left="193"/>
              <w:spacing w:after="0"/>
              <w:rPr>
                <w:sz w:val="20"/>
                <w:szCs w:val="20"/>
                <w:color w:val="auto"/>
              </w:rPr>
            </w:pPr>
            <w:r>
              <w:rPr>
                <w:rFonts w:ascii="Times New Roman" w:cs="Times New Roman" w:eastAsia="Times New Roman" w:hAnsi="Times New Roman"/>
                <w:sz w:val="10"/>
                <w:szCs w:val="10"/>
                <w:color w:val="0D0D0D"/>
                <w:w w:val="99"/>
              </w:rPr>
              <w:t>EUR</w:t>
            </w:r>
          </w:p>
        </w:tc>
        <w:tc>
          <w:tcPr>
            <w:tcW w:w="360" w:type="dxa"/>
            <w:vAlign w:val="bottom"/>
          </w:tcPr>
          <w:p>
            <w:pPr>
              <w:spacing w:after="0"/>
              <w:rPr>
                <w:sz w:val="14"/>
                <w:szCs w:val="14"/>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500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8/2031</w:t>
            </w:r>
          </w:p>
        </w:tc>
        <w:tc>
          <w:tcPr>
            <w:tcW w:w="160" w:type="dxa"/>
            <w:vAlign w:val="bottom"/>
            <w:shd w:val="clear" w:color="auto" w:fill="F0F5FF"/>
          </w:tcPr>
          <w:p>
            <w:pPr>
              <w:spacing w:after="0"/>
              <w:rPr>
                <w:sz w:val="14"/>
                <w:szCs w:val="14"/>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510</w:t>
            </w:r>
          </w:p>
        </w:tc>
        <w:tc>
          <w:tcPr>
            <w:tcW w:w="140" w:type="dxa"/>
            <w:vAlign w:val="bottom"/>
          </w:tcPr>
          <w:p>
            <w:pPr>
              <w:spacing w:after="0"/>
              <w:rPr>
                <w:sz w:val="14"/>
                <w:szCs w:val="14"/>
                <w:color w:val="auto"/>
              </w:rPr>
            </w:pP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30"/>
        </w:trPr>
        <w:tc>
          <w:tcPr>
            <w:tcW w:w="12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Corporation</w:t>
            </w:r>
          </w:p>
        </w:tc>
        <w:tc>
          <w:tcPr>
            <w:tcW w:w="860" w:type="dxa"/>
            <w:vAlign w:val="bottom"/>
          </w:tcPr>
          <w:p>
            <w:pPr>
              <w:spacing w:after="0"/>
              <w:rPr>
                <w:sz w:val="11"/>
                <w:szCs w:val="11"/>
                <w:color w:val="auto"/>
              </w:rPr>
            </w:pPr>
          </w:p>
        </w:tc>
        <w:tc>
          <w:tcPr>
            <w:tcW w:w="460" w:type="dxa"/>
            <w:vAlign w:val="bottom"/>
          </w:tcPr>
          <w:p>
            <w:pPr>
              <w:ind w:left="160"/>
              <w:spacing w:after="0"/>
              <w:rPr>
                <w:sz w:val="20"/>
                <w:szCs w:val="20"/>
                <w:color w:val="auto"/>
              </w:rPr>
            </w:pPr>
            <w:r>
              <w:rPr>
                <w:rFonts w:ascii="Times New Roman" w:cs="Times New Roman" w:eastAsia="Times New Roman" w:hAnsi="Times New Roman"/>
                <w:sz w:val="10"/>
                <w:szCs w:val="10"/>
                <w:color w:val="0D0D0D"/>
                <w:w w:val="90"/>
              </w:rPr>
              <w:t>6.625%</w:t>
            </w:r>
          </w:p>
        </w:tc>
        <w:tc>
          <w:tcPr>
            <w:tcW w:w="600" w:type="dxa"/>
            <w:vAlign w:val="bottom"/>
            <w:gridSpan w:val="2"/>
          </w:tcPr>
          <w:p>
            <w:pPr>
              <w:jc w:val="center"/>
              <w:ind w:left="30"/>
              <w:spacing w:after="0"/>
              <w:rPr>
                <w:sz w:val="20"/>
                <w:szCs w:val="20"/>
                <w:color w:val="auto"/>
              </w:rPr>
            </w:pPr>
            <w:r>
              <w:rPr>
                <w:rFonts w:ascii="Times New Roman" w:cs="Times New Roman" w:eastAsia="Times New Roman" w:hAnsi="Times New Roman"/>
                <w:sz w:val="10"/>
                <w:szCs w:val="10"/>
                <w:color w:val="0D0D0D"/>
              </w:rPr>
              <w:t>Senior Notes</w:t>
            </w:r>
          </w:p>
        </w:tc>
        <w:tc>
          <w:tcPr>
            <w:tcW w:w="260" w:type="dxa"/>
            <w:vAlign w:val="bottom"/>
          </w:tcPr>
          <w:p>
            <w:pPr>
              <w:spacing w:after="0"/>
              <w:rPr>
                <w:sz w:val="11"/>
                <w:szCs w:val="11"/>
                <w:color w:val="auto"/>
              </w:rPr>
            </w:pPr>
          </w:p>
        </w:tc>
        <w:tc>
          <w:tcPr>
            <w:tcW w:w="600" w:type="dxa"/>
            <w:vAlign w:val="bottom"/>
          </w:tcPr>
          <w:p>
            <w:pPr>
              <w:jc w:val="center"/>
              <w:ind w:left="153"/>
              <w:spacing w:after="0"/>
              <w:rPr>
                <w:sz w:val="20"/>
                <w:szCs w:val="20"/>
                <w:color w:val="auto"/>
              </w:rPr>
            </w:pPr>
            <w:r>
              <w:rPr>
                <w:rFonts w:ascii="Times New Roman" w:cs="Times New Roman" w:eastAsia="Times New Roman" w:hAnsi="Times New Roman"/>
                <w:sz w:val="10"/>
                <w:szCs w:val="10"/>
                <w:color w:val="0D0D0D"/>
                <w:w w:val="99"/>
              </w:rPr>
              <w:t>USD</w:t>
            </w:r>
          </w:p>
        </w:tc>
        <w:tc>
          <w:tcPr>
            <w:tcW w:w="360" w:type="dxa"/>
            <w:vAlign w:val="bottom"/>
          </w:tcPr>
          <w:p>
            <w:pPr>
              <w:spacing w:after="0"/>
              <w:rPr>
                <w:sz w:val="11"/>
                <w:szCs w:val="11"/>
                <w:color w:val="auto"/>
              </w:rPr>
            </w:pPr>
          </w:p>
        </w:tc>
        <w:tc>
          <w:tcPr>
            <w:tcW w:w="480" w:type="dxa"/>
            <w:vAlign w:val="bottom"/>
          </w:tcPr>
          <w:p>
            <w:pPr>
              <w:jc w:val="right"/>
              <w:ind w:right="193"/>
              <w:spacing w:after="0"/>
              <w:rPr>
                <w:sz w:val="20"/>
                <w:szCs w:val="20"/>
                <w:color w:val="auto"/>
              </w:rPr>
            </w:pPr>
            <w:r>
              <w:rPr>
                <w:rFonts w:ascii="Times New Roman" w:cs="Times New Roman" w:eastAsia="Times New Roman" w:hAnsi="Times New Roman"/>
                <w:sz w:val="10"/>
                <w:szCs w:val="10"/>
                <w:color w:val="0D0D0D"/>
              </w:rPr>
              <w:t>500</w:t>
            </w:r>
          </w:p>
        </w:tc>
        <w:tc>
          <w:tcPr>
            <w:tcW w:w="66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5/2039</w:t>
            </w:r>
          </w:p>
        </w:tc>
        <w:tc>
          <w:tcPr>
            <w:tcW w:w="160" w:type="dxa"/>
            <w:vAlign w:val="bottom"/>
            <w:shd w:val="clear" w:color="auto" w:fill="F0F5FF"/>
          </w:tcPr>
          <w:p>
            <w:pPr>
              <w:spacing w:after="0"/>
              <w:rPr>
                <w:sz w:val="11"/>
                <w:szCs w:val="11"/>
                <w:color w:val="auto"/>
              </w:rPr>
            </w:pPr>
          </w:p>
        </w:tc>
        <w:tc>
          <w:tcPr>
            <w:tcW w:w="380" w:type="dxa"/>
            <w:vAlign w:val="bottom"/>
            <w:shd w:val="clear" w:color="auto" w:fill="F0F5FF"/>
          </w:tcPr>
          <w:p>
            <w:pPr>
              <w:jc w:val="right"/>
              <w:ind w:right="13"/>
              <w:spacing w:after="0"/>
              <w:rPr>
                <w:sz w:val="20"/>
                <w:szCs w:val="20"/>
                <w:color w:val="auto"/>
              </w:rPr>
            </w:pPr>
            <w:r>
              <w:rPr>
                <w:rFonts w:ascii="Times New Roman" w:cs="Times New Roman" w:eastAsia="Times New Roman" w:hAnsi="Times New Roman"/>
                <w:sz w:val="10"/>
                <w:szCs w:val="10"/>
                <w:color w:val="005AFF"/>
              </w:rPr>
              <w:t>463</w:t>
            </w:r>
          </w:p>
        </w:tc>
        <w:tc>
          <w:tcPr>
            <w:tcW w:w="140" w:type="dxa"/>
            <w:vAlign w:val="bottom"/>
          </w:tcPr>
          <w:p>
            <w:pPr>
              <w:spacing w:after="0"/>
              <w:rPr>
                <w:sz w:val="11"/>
                <w:szCs w:val="11"/>
                <w:color w:val="auto"/>
              </w:rPr>
            </w:pPr>
          </w:p>
        </w:tc>
        <w:tc>
          <w:tcPr>
            <w:tcW w:w="40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478</w:t>
            </w:r>
          </w:p>
        </w:tc>
      </w:tr>
      <w:tr>
        <w:trPr>
          <w:trHeight w:val="167"/>
        </w:trPr>
        <w:tc>
          <w:tcPr>
            <w:tcW w:w="214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Nokia Corporation and various subsidiaries</w:t>
            </w:r>
          </w:p>
        </w:tc>
        <w:tc>
          <w:tcPr>
            <w:tcW w:w="1060" w:type="dxa"/>
            <w:vAlign w:val="bottom"/>
            <w:tcBorders>
              <w:bottom w:val="single" w:sz="8" w:color="005AFF"/>
            </w:tcBorders>
            <w:gridSpan w:val="3"/>
          </w:tcPr>
          <w:p>
            <w:pPr>
              <w:ind w:left="160"/>
              <w:spacing w:after="0"/>
              <w:rPr>
                <w:sz w:val="20"/>
                <w:szCs w:val="20"/>
                <w:color w:val="auto"/>
              </w:rPr>
            </w:pPr>
            <w:r>
              <w:rPr>
                <w:rFonts w:ascii="Times New Roman" w:cs="Times New Roman" w:eastAsia="Times New Roman" w:hAnsi="Times New Roman"/>
                <w:sz w:val="10"/>
                <w:szCs w:val="10"/>
                <w:color w:val="0D0D0D"/>
              </w:rPr>
              <w:t>Other borrowings</w:t>
            </w:r>
          </w:p>
        </w:tc>
        <w:tc>
          <w:tcPr>
            <w:tcW w:w="260" w:type="dxa"/>
            <w:vAlign w:val="bottom"/>
            <w:tcBorders>
              <w:bottom w:val="single" w:sz="8" w:color="005AFF"/>
            </w:tcBorders>
          </w:tcPr>
          <w:p>
            <w:pPr>
              <w:spacing w:after="0"/>
              <w:rPr>
                <w:sz w:val="14"/>
                <w:szCs w:val="14"/>
                <w:color w:val="auto"/>
              </w:rPr>
            </w:pPr>
          </w:p>
        </w:tc>
        <w:tc>
          <w:tcPr>
            <w:tcW w:w="600" w:type="dxa"/>
            <w:vAlign w:val="bottom"/>
            <w:tcBorders>
              <w:bottom w:val="single" w:sz="8" w:color="005AFF"/>
            </w:tcBorders>
          </w:tcPr>
          <w:p>
            <w:pPr>
              <w:spacing w:after="0"/>
              <w:rPr>
                <w:sz w:val="14"/>
                <w:szCs w:val="14"/>
                <w:color w:val="auto"/>
              </w:rPr>
            </w:pPr>
          </w:p>
        </w:tc>
        <w:tc>
          <w:tcPr>
            <w:tcW w:w="360" w:type="dxa"/>
            <w:vAlign w:val="bottom"/>
            <w:tcBorders>
              <w:bottom w:val="single" w:sz="8" w:color="005AFF"/>
            </w:tcBorders>
          </w:tcPr>
          <w:p>
            <w:pPr>
              <w:spacing w:after="0"/>
              <w:rPr>
                <w:sz w:val="14"/>
                <w:szCs w:val="14"/>
                <w:color w:val="auto"/>
              </w:rPr>
            </w:pPr>
          </w:p>
        </w:tc>
        <w:tc>
          <w:tcPr>
            <w:tcW w:w="480" w:type="dxa"/>
            <w:vAlign w:val="bottom"/>
            <w:tcBorders>
              <w:bottom w:val="single" w:sz="8" w:color="005AFF"/>
            </w:tcBorders>
          </w:tcPr>
          <w:p>
            <w:pPr>
              <w:spacing w:after="0"/>
              <w:rPr>
                <w:sz w:val="14"/>
                <w:szCs w:val="14"/>
                <w:color w:val="auto"/>
              </w:rPr>
            </w:pPr>
          </w:p>
        </w:tc>
        <w:tc>
          <w:tcPr>
            <w:tcW w:w="660" w:type="dxa"/>
            <w:vAlign w:val="bottom"/>
            <w:tcBorders>
              <w:bottom w:val="single" w:sz="8" w:color="005AFF"/>
            </w:tcBorders>
          </w:tcPr>
          <w:p>
            <w:pPr>
              <w:spacing w:after="0"/>
              <w:rPr>
                <w:sz w:val="14"/>
                <w:szCs w:val="14"/>
                <w:color w:val="auto"/>
              </w:rPr>
            </w:pPr>
          </w:p>
        </w:tc>
        <w:tc>
          <w:tcPr>
            <w:tcW w:w="160" w:type="dxa"/>
            <w:vAlign w:val="bottom"/>
            <w:tcBorders>
              <w:bottom w:val="single" w:sz="8" w:color="005AFF"/>
            </w:tcBorders>
            <w:shd w:val="clear" w:color="auto" w:fill="F0F5FF"/>
          </w:tcPr>
          <w:p>
            <w:pPr>
              <w:spacing w:after="0"/>
              <w:rPr>
                <w:sz w:val="14"/>
                <w:szCs w:val="14"/>
                <w:color w:val="auto"/>
              </w:rPr>
            </w:pPr>
          </w:p>
        </w:tc>
        <w:tc>
          <w:tcPr>
            <w:tcW w:w="380" w:type="dxa"/>
            <w:vAlign w:val="bottom"/>
            <w:tcBorders>
              <w:bottom w:val="single" w:sz="8" w:color="005AFF"/>
            </w:tcBorders>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color w:val="005AFF"/>
              </w:rPr>
              <w:t>110</w:t>
            </w:r>
          </w:p>
        </w:tc>
        <w:tc>
          <w:tcPr>
            <w:tcW w:w="140" w:type="dxa"/>
            <w:vAlign w:val="bottom"/>
            <w:tcBorders>
              <w:bottom w:val="single" w:sz="8" w:color="005AFF"/>
            </w:tcBorders>
          </w:tcPr>
          <w:p>
            <w:pPr>
              <w:spacing w:after="0"/>
              <w:rPr>
                <w:sz w:val="14"/>
                <w:szCs w:val="14"/>
                <w:color w:val="auto"/>
              </w:rPr>
            </w:pPr>
          </w:p>
        </w:tc>
        <w:tc>
          <w:tcPr>
            <w:tcW w:w="400" w:type="dxa"/>
            <w:vAlign w:val="bottom"/>
            <w:tcBorders>
              <w:bottom w:val="single" w:sz="8" w:color="005AFF"/>
            </w:tcBorders>
          </w:tcPr>
          <w:p>
            <w:pPr>
              <w:jc w:val="right"/>
              <w:ind w:right="33"/>
              <w:spacing w:after="0"/>
              <w:rPr>
                <w:sz w:val="20"/>
                <w:szCs w:val="20"/>
                <w:color w:val="auto"/>
              </w:rPr>
            </w:pPr>
            <w:r>
              <w:rPr>
                <w:rFonts w:ascii="Times New Roman" w:cs="Times New Roman" w:eastAsia="Times New Roman" w:hAnsi="Times New Roman"/>
                <w:sz w:val="10"/>
                <w:szCs w:val="10"/>
                <w:color w:val="0D0D0D"/>
              </w:rPr>
              <w:t>162</w:t>
            </w:r>
          </w:p>
        </w:tc>
      </w:tr>
      <w:tr>
        <w:trPr>
          <w:trHeight w:val="142"/>
        </w:trPr>
        <w:tc>
          <w:tcPr>
            <w:tcW w:w="12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860" w:type="dxa"/>
            <w:vAlign w:val="bottom"/>
            <w:tcBorders>
              <w:bottom w:val="single" w:sz="8" w:color="005AFF"/>
            </w:tcBorders>
          </w:tcPr>
          <w:p>
            <w:pPr>
              <w:spacing w:after="0"/>
              <w:rPr>
                <w:sz w:val="12"/>
                <w:szCs w:val="12"/>
                <w:color w:val="auto"/>
              </w:rPr>
            </w:pPr>
          </w:p>
        </w:tc>
        <w:tc>
          <w:tcPr>
            <w:tcW w:w="460" w:type="dxa"/>
            <w:vAlign w:val="bottom"/>
            <w:tcBorders>
              <w:bottom w:val="single" w:sz="8" w:color="005AFF"/>
            </w:tcBorders>
          </w:tcPr>
          <w:p>
            <w:pPr>
              <w:spacing w:after="0"/>
              <w:rPr>
                <w:sz w:val="12"/>
                <w:szCs w:val="12"/>
                <w:color w:val="auto"/>
              </w:rPr>
            </w:pPr>
          </w:p>
        </w:tc>
        <w:tc>
          <w:tcPr>
            <w:tcW w:w="140" w:type="dxa"/>
            <w:vAlign w:val="bottom"/>
            <w:tcBorders>
              <w:bottom w:val="single" w:sz="8" w:color="005AFF"/>
            </w:tcBorders>
          </w:tcPr>
          <w:p>
            <w:pPr>
              <w:spacing w:after="0"/>
              <w:rPr>
                <w:sz w:val="12"/>
                <w:szCs w:val="12"/>
                <w:color w:val="auto"/>
              </w:rPr>
            </w:pPr>
          </w:p>
        </w:tc>
        <w:tc>
          <w:tcPr>
            <w:tcW w:w="460" w:type="dxa"/>
            <w:vAlign w:val="bottom"/>
            <w:tcBorders>
              <w:bottom w:val="single" w:sz="8" w:color="005AFF"/>
            </w:tcBorders>
          </w:tcPr>
          <w:p>
            <w:pPr>
              <w:spacing w:after="0"/>
              <w:rPr>
                <w:sz w:val="12"/>
                <w:szCs w:val="12"/>
                <w:color w:val="auto"/>
              </w:rPr>
            </w:pPr>
          </w:p>
        </w:tc>
        <w:tc>
          <w:tcPr>
            <w:tcW w:w="260" w:type="dxa"/>
            <w:vAlign w:val="bottom"/>
            <w:tcBorders>
              <w:bottom w:val="single" w:sz="8" w:color="005AFF"/>
            </w:tcBorders>
          </w:tcPr>
          <w:p>
            <w:pPr>
              <w:spacing w:after="0"/>
              <w:rPr>
                <w:sz w:val="12"/>
                <w:szCs w:val="12"/>
                <w:color w:val="auto"/>
              </w:rPr>
            </w:pPr>
          </w:p>
        </w:tc>
        <w:tc>
          <w:tcPr>
            <w:tcW w:w="600" w:type="dxa"/>
            <w:vAlign w:val="bottom"/>
            <w:tcBorders>
              <w:bottom w:val="single" w:sz="8" w:color="005AFF"/>
            </w:tcBorders>
          </w:tcPr>
          <w:p>
            <w:pPr>
              <w:spacing w:after="0"/>
              <w:rPr>
                <w:sz w:val="12"/>
                <w:szCs w:val="12"/>
                <w:color w:val="auto"/>
              </w:rPr>
            </w:pPr>
          </w:p>
        </w:tc>
        <w:tc>
          <w:tcPr>
            <w:tcW w:w="360" w:type="dxa"/>
            <w:vAlign w:val="bottom"/>
            <w:tcBorders>
              <w:bottom w:val="single" w:sz="8" w:color="005AFF"/>
            </w:tcBorders>
          </w:tcPr>
          <w:p>
            <w:pPr>
              <w:spacing w:after="0"/>
              <w:rPr>
                <w:sz w:val="12"/>
                <w:szCs w:val="12"/>
                <w:color w:val="auto"/>
              </w:rPr>
            </w:pPr>
          </w:p>
        </w:tc>
        <w:tc>
          <w:tcPr>
            <w:tcW w:w="480" w:type="dxa"/>
            <w:vAlign w:val="bottom"/>
            <w:tcBorders>
              <w:bottom w:val="single" w:sz="8" w:color="005AFF"/>
            </w:tcBorders>
          </w:tcPr>
          <w:p>
            <w:pPr>
              <w:spacing w:after="0"/>
              <w:rPr>
                <w:sz w:val="12"/>
                <w:szCs w:val="12"/>
                <w:color w:val="auto"/>
              </w:rPr>
            </w:pPr>
          </w:p>
        </w:tc>
        <w:tc>
          <w:tcPr>
            <w:tcW w:w="660" w:type="dxa"/>
            <w:vAlign w:val="bottom"/>
            <w:tcBorders>
              <w:bottom w:val="single" w:sz="8" w:color="005AFF"/>
            </w:tcBorders>
          </w:tcPr>
          <w:p>
            <w:pPr>
              <w:spacing w:after="0"/>
              <w:rPr>
                <w:sz w:val="12"/>
                <w:szCs w:val="12"/>
                <w:color w:val="auto"/>
              </w:rPr>
            </w:pPr>
          </w:p>
        </w:tc>
        <w:tc>
          <w:tcPr>
            <w:tcW w:w="160" w:type="dxa"/>
            <w:vAlign w:val="bottom"/>
            <w:tcBorders>
              <w:bottom w:val="single" w:sz="8" w:color="005AFF"/>
            </w:tcBorders>
            <w:shd w:val="clear" w:color="auto" w:fill="F0F5FF"/>
          </w:tcPr>
          <w:p>
            <w:pPr>
              <w:spacing w:after="0"/>
              <w:rPr>
                <w:sz w:val="12"/>
                <w:szCs w:val="12"/>
                <w:color w:val="auto"/>
              </w:rPr>
            </w:pPr>
          </w:p>
        </w:tc>
        <w:tc>
          <w:tcPr>
            <w:tcW w:w="380" w:type="dxa"/>
            <w:vAlign w:val="bottom"/>
            <w:tcBorders>
              <w:bottom w:val="single" w:sz="8" w:color="005AFF"/>
            </w:tcBorders>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b w:val="1"/>
                <w:bCs w:val="1"/>
                <w:color w:val="005AFF"/>
              </w:rPr>
              <w:t>4 191</w:t>
            </w:r>
          </w:p>
        </w:tc>
        <w:tc>
          <w:tcPr>
            <w:tcW w:w="140" w:type="dxa"/>
            <w:vAlign w:val="bottom"/>
            <w:tcBorders>
              <w:bottom w:val="single" w:sz="8" w:color="005AFF"/>
            </w:tcBorders>
          </w:tcPr>
          <w:p>
            <w:pPr>
              <w:spacing w:after="0"/>
              <w:rPr>
                <w:sz w:val="12"/>
                <w:szCs w:val="12"/>
                <w:color w:val="auto"/>
              </w:rPr>
            </w:pPr>
          </w:p>
        </w:tc>
        <w:tc>
          <w:tcPr>
            <w:tcW w:w="400" w:type="dxa"/>
            <w:vAlign w:val="bottom"/>
            <w:tcBorders>
              <w:bottom w:val="single" w:sz="8" w:color="005AFF"/>
            </w:tcBorders>
          </w:tcPr>
          <w:p>
            <w:pPr>
              <w:jc w:val="right"/>
              <w:ind w:right="33"/>
              <w:spacing w:after="0"/>
              <w:rPr>
                <w:sz w:val="20"/>
                <w:szCs w:val="20"/>
                <w:color w:val="auto"/>
              </w:rPr>
            </w:pPr>
            <w:r>
              <w:rPr>
                <w:rFonts w:ascii="Times New Roman" w:cs="Times New Roman" w:eastAsia="Times New Roman" w:hAnsi="Times New Roman"/>
                <w:sz w:val="10"/>
                <w:szCs w:val="10"/>
                <w:b w:val="1"/>
                <w:bCs w:val="1"/>
                <w:color w:val="auto"/>
              </w:rPr>
              <w:t>4 477</w:t>
            </w:r>
          </w:p>
        </w:tc>
      </w:tr>
      <w:tr>
        <w:trPr>
          <w:trHeight w:val="138"/>
        </w:trPr>
        <w:tc>
          <w:tcPr>
            <w:tcW w:w="1280" w:type="dxa"/>
            <w:vAlign w:val="bottom"/>
          </w:tcPr>
          <w:p>
            <w:pPr>
              <w:ind w:left="40"/>
              <w:spacing w:after="0"/>
              <w:rPr>
                <w:sz w:val="20"/>
                <w:szCs w:val="20"/>
                <w:color w:val="auto"/>
              </w:rPr>
            </w:pPr>
            <w:r>
              <w:rPr>
                <w:rFonts w:ascii="Times New Roman" w:cs="Times New Roman" w:eastAsia="Times New Roman" w:hAnsi="Times New Roman"/>
                <w:sz w:val="8"/>
                <w:szCs w:val="8"/>
                <w:color w:val="auto"/>
              </w:rPr>
              <w:t>(1)   Carrying amount includes EUR</w:t>
            </w:r>
          </w:p>
        </w:tc>
        <w:tc>
          <w:tcPr>
            <w:tcW w:w="1460" w:type="dxa"/>
            <w:vAlign w:val="bottom"/>
            <w:gridSpan w:val="3"/>
          </w:tcPr>
          <w:p>
            <w:pPr>
              <w:ind w:left="60"/>
              <w:spacing w:after="0"/>
              <w:rPr>
                <w:sz w:val="20"/>
                <w:szCs w:val="20"/>
                <w:color w:val="auto"/>
              </w:rPr>
            </w:pPr>
            <w:r>
              <w:rPr>
                <w:rFonts w:ascii="Times New Roman" w:cs="Times New Roman" w:eastAsia="Times New Roman" w:hAnsi="Times New Roman"/>
                <w:sz w:val="8"/>
                <w:szCs w:val="8"/>
                <w:color w:val="auto"/>
              </w:rPr>
              <w:t>31 million of fair value losses (EUR  120</w:t>
            </w:r>
          </w:p>
        </w:tc>
        <w:tc>
          <w:tcPr>
            <w:tcW w:w="2980" w:type="dxa"/>
            <w:vAlign w:val="bottom"/>
            <w:gridSpan w:val="7"/>
          </w:tcPr>
          <w:p>
            <w:pPr>
              <w:ind w:left="20"/>
              <w:spacing w:after="0"/>
              <w:rPr>
                <w:sz w:val="20"/>
                <w:szCs w:val="20"/>
                <w:color w:val="auto"/>
              </w:rPr>
            </w:pPr>
            <w:r>
              <w:rPr>
                <w:rFonts w:ascii="Times New Roman" w:cs="Times New Roman" w:eastAsia="Times New Roman" w:hAnsi="Times New Roman"/>
                <w:sz w:val="8"/>
                <w:szCs w:val="8"/>
                <w:color w:val="auto"/>
              </w:rPr>
              <w:t>million in 2022 ) related to fair value hedge accounting relationships, including EUR</w:t>
            </w:r>
          </w:p>
        </w:tc>
        <w:tc>
          <w:tcPr>
            <w:tcW w:w="920" w:type="dxa"/>
            <w:vAlign w:val="bottom"/>
            <w:gridSpan w:val="3"/>
          </w:tcPr>
          <w:p>
            <w:pPr>
              <w:jc w:val="right"/>
              <w:ind w:right="213"/>
              <w:spacing w:after="0"/>
              <w:rPr>
                <w:sz w:val="20"/>
                <w:szCs w:val="20"/>
                <w:color w:val="auto"/>
              </w:rPr>
            </w:pPr>
            <w:r>
              <w:rPr>
                <w:rFonts w:ascii="Times New Roman" w:cs="Times New Roman" w:eastAsia="Times New Roman" w:hAnsi="Times New Roman"/>
                <w:sz w:val="8"/>
                <w:szCs w:val="8"/>
                <w:color w:val="auto"/>
              </w:rPr>
              <w:t>156 million of fair</w:t>
            </w:r>
          </w:p>
        </w:tc>
      </w:tr>
      <w:tr>
        <w:trPr>
          <w:trHeight w:val="101"/>
        </w:trPr>
        <w:tc>
          <w:tcPr>
            <w:tcW w:w="5720" w:type="dxa"/>
            <w:vAlign w:val="bottom"/>
            <w:gridSpan w:val="11"/>
          </w:tcPr>
          <w:p>
            <w:pPr>
              <w:ind w:left="220"/>
              <w:spacing w:after="0"/>
              <w:rPr>
                <w:sz w:val="20"/>
                <w:szCs w:val="20"/>
                <w:color w:val="auto"/>
              </w:rPr>
            </w:pPr>
            <w:r>
              <w:rPr>
                <w:rFonts w:ascii="Times New Roman" w:cs="Times New Roman" w:eastAsia="Times New Roman" w:hAnsi="Times New Roman"/>
                <w:sz w:val="8"/>
                <w:szCs w:val="8"/>
                <w:color w:val="auto"/>
              </w:rPr>
              <w:t>value gains (EUR 180 million in 2022 ) related to discontinued fair value hedge accounting relationships that are amortized over the life of the respective senior notes.</w:t>
            </w:r>
          </w:p>
        </w:tc>
        <w:tc>
          <w:tcPr>
            <w:tcW w:w="380" w:type="dxa"/>
            <w:vAlign w:val="bottom"/>
          </w:tcPr>
          <w:p>
            <w:pPr>
              <w:spacing w:after="0"/>
              <w:rPr>
                <w:sz w:val="8"/>
                <w:szCs w:val="8"/>
                <w:color w:val="auto"/>
              </w:rPr>
            </w:pPr>
          </w:p>
        </w:tc>
        <w:tc>
          <w:tcPr>
            <w:tcW w:w="140" w:type="dxa"/>
            <w:vAlign w:val="bottom"/>
          </w:tcPr>
          <w:p>
            <w:pPr>
              <w:spacing w:after="0"/>
              <w:rPr>
                <w:sz w:val="8"/>
                <w:szCs w:val="8"/>
                <w:color w:val="auto"/>
              </w:rPr>
            </w:pPr>
          </w:p>
        </w:tc>
        <w:tc>
          <w:tcPr>
            <w:tcW w:w="400" w:type="dxa"/>
            <w:vAlign w:val="bottom"/>
          </w:tcPr>
          <w:p>
            <w:pPr>
              <w:spacing w:after="0"/>
              <w:rPr>
                <w:sz w:val="8"/>
                <w:szCs w:val="8"/>
                <w:color w:val="auto"/>
              </w:rPr>
            </w:pPr>
          </w:p>
        </w:tc>
      </w:tr>
      <w:tr>
        <w:trPr>
          <w:trHeight w:val="91"/>
        </w:trPr>
        <w:tc>
          <w:tcPr>
            <w:tcW w:w="2140" w:type="dxa"/>
            <w:vAlign w:val="bottom"/>
            <w:gridSpan w:val="2"/>
          </w:tcPr>
          <w:p>
            <w:pPr>
              <w:ind w:left="40"/>
              <w:spacing w:after="0"/>
              <w:rPr>
                <w:sz w:val="20"/>
                <w:szCs w:val="20"/>
                <w:color w:val="auto"/>
              </w:rPr>
            </w:pPr>
            <w:r>
              <w:rPr>
                <w:rFonts w:ascii="Times New Roman" w:cs="Times New Roman" w:eastAsia="Times New Roman" w:hAnsi="Times New Roman"/>
                <w:sz w:val="8"/>
                <w:szCs w:val="8"/>
                <w:color w:val="auto"/>
              </w:rPr>
              <w:t>(2)   In February 2023 Nokia purchased in a tender offer EUR</w:t>
            </w:r>
          </w:p>
        </w:tc>
        <w:tc>
          <w:tcPr>
            <w:tcW w:w="2280" w:type="dxa"/>
            <w:vAlign w:val="bottom"/>
            <w:gridSpan w:val="6"/>
          </w:tcPr>
          <w:p>
            <w:pPr>
              <w:jc w:val="center"/>
              <w:spacing w:after="0"/>
              <w:rPr>
                <w:sz w:val="20"/>
                <w:szCs w:val="20"/>
                <w:color w:val="auto"/>
              </w:rPr>
            </w:pPr>
            <w:r>
              <w:rPr>
                <w:rFonts w:ascii="Times New Roman" w:cs="Times New Roman" w:eastAsia="Times New Roman" w:hAnsi="Times New Roman"/>
                <w:sz w:val="8"/>
                <w:szCs w:val="8"/>
                <w:color w:val="auto"/>
              </w:rPr>
              <w:t>372 million (49.66%  of the nominal amount) of the notes due</w:t>
            </w:r>
          </w:p>
        </w:tc>
        <w:tc>
          <w:tcPr>
            <w:tcW w:w="2220" w:type="dxa"/>
            <w:vAlign w:val="bottom"/>
            <w:gridSpan w:val="6"/>
          </w:tcPr>
          <w:p>
            <w:pPr>
              <w:jc w:val="right"/>
              <w:ind w:right="93"/>
              <w:spacing w:after="0"/>
              <w:rPr>
                <w:sz w:val="20"/>
                <w:szCs w:val="20"/>
                <w:color w:val="auto"/>
              </w:rPr>
            </w:pPr>
            <w:r>
              <w:rPr>
                <w:rFonts w:ascii="Times New Roman" w:cs="Times New Roman" w:eastAsia="Times New Roman" w:hAnsi="Times New Roman"/>
                <w:sz w:val="8"/>
                <w:szCs w:val="8"/>
                <w:color w:val="auto"/>
              </w:rPr>
              <w:t>15 March 2024 , EUR 208 million (41.57%  of the nominal</w:t>
            </w:r>
          </w:p>
        </w:tc>
      </w:tr>
      <w:tr>
        <w:trPr>
          <w:trHeight w:val="101"/>
        </w:trPr>
        <w:tc>
          <w:tcPr>
            <w:tcW w:w="2140" w:type="dxa"/>
            <w:vAlign w:val="bottom"/>
            <w:gridSpan w:val="2"/>
          </w:tcPr>
          <w:p>
            <w:pPr>
              <w:ind w:left="220"/>
              <w:spacing w:after="0"/>
              <w:rPr>
                <w:sz w:val="20"/>
                <w:szCs w:val="20"/>
                <w:color w:val="auto"/>
              </w:rPr>
            </w:pPr>
            <w:r>
              <w:rPr>
                <w:rFonts w:ascii="Times New Roman" w:cs="Times New Roman" w:eastAsia="Times New Roman" w:hAnsi="Times New Roman"/>
                <w:sz w:val="8"/>
                <w:szCs w:val="8"/>
                <w:color w:val="auto"/>
              </w:rPr>
              <w:t>amount) of the notes due    15 May 2025 and EUR 120</w:t>
            </w:r>
          </w:p>
        </w:tc>
        <w:tc>
          <w:tcPr>
            <w:tcW w:w="1920" w:type="dxa"/>
            <w:vAlign w:val="bottom"/>
            <w:gridSpan w:val="5"/>
          </w:tcPr>
          <w:p>
            <w:pPr>
              <w:ind w:left="20"/>
              <w:spacing w:after="0"/>
              <w:rPr>
                <w:sz w:val="20"/>
                <w:szCs w:val="20"/>
                <w:color w:val="auto"/>
              </w:rPr>
            </w:pPr>
            <w:r>
              <w:rPr>
                <w:rFonts w:ascii="Times New Roman" w:cs="Times New Roman" w:eastAsia="Times New Roman" w:hAnsi="Times New Roman"/>
                <w:sz w:val="8"/>
                <w:szCs w:val="8"/>
                <w:color w:val="auto"/>
              </w:rPr>
              <w:t>million (15.96%  of the nominal amount) of the notes due</w:t>
            </w:r>
          </w:p>
        </w:tc>
        <w:tc>
          <w:tcPr>
            <w:tcW w:w="840" w:type="dxa"/>
            <w:vAlign w:val="bottom"/>
            <w:gridSpan w:val="2"/>
          </w:tcPr>
          <w:p>
            <w:pPr>
              <w:jc w:val="right"/>
              <w:ind w:right="53"/>
              <w:spacing w:after="0"/>
              <w:rPr>
                <w:sz w:val="20"/>
                <w:szCs w:val="20"/>
                <w:color w:val="auto"/>
              </w:rPr>
            </w:pPr>
            <w:r>
              <w:rPr>
                <w:rFonts w:ascii="Times New Roman" w:cs="Times New Roman" w:eastAsia="Times New Roman" w:hAnsi="Times New Roman"/>
                <w:sz w:val="8"/>
                <w:szCs w:val="8"/>
                <w:color w:val="auto"/>
              </w:rPr>
              <w:t>11 March 2026 .</w:t>
            </w:r>
          </w:p>
        </w:tc>
        <w:tc>
          <w:tcPr>
            <w:tcW w:w="660" w:type="dxa"/>
            <w:vAlign w:val="bottom"/>
          </w:tcPr>
          <w:p>
            <w:pPr>
              <w:spacing w:after="0"/>
              <w:rPr>
                <w:sz w:val="8"/>
                <w:szCs w:val="8"/>
                <w:color w:val="auto"/>
              </w:rPr>
            </w:pPr>
          </w:p>
        </w:tc>
        <w:tc>
          <w:tcPr>
            <w:tcW w:w="160" w:type="dxa"/>
            <w:vAlign w:val="bottom"/>
          </w:tcPr>
          <w:p>
            <w:pPr>
              <w:spacing w:after="0"/>
              <w:rPr>
                <w:sz w:val="8"/>
                <w:szCs w:val="8"/>
                <w:color w:val="auto"/>
              </w:rPr>
            </w:pPr>
          </w:p>
        </w:tc>
        <w:tc>
          <w:tcPr>
            <w:tcW w:w="380" w:type="dxa"/>
            <w:vAlign w:val="bottom"/>
          </w:tcPr>
          <w:p>
            <w:pPr>
              <w:spacing w:after="0"/>
              <w:rPr>
                <w:sz w:val="8"/>
                <w:szCs w:val="8"/>
                <w:color w:val="auto"/>
              </w:rPr>
            </w:pPr>
          </w:p>
        </w:tc>
        <w:tc>
          <w:tcPr>
            <w:tcW w:w="140" w:type="dxa"/>
            <w:vAlign w:val="bottom"/>
          </w:tcPr>
          <w:p>
            <w:pPr>
              <w:spacing w:after="0"/>
              <w:rPr>
                <w:sz w:val="8"/>
                <w:szCs w:val="8"/>
                <w:color w:val="auto"/>
              </w:rPr>
            </w:pPr>
          </w:p>
        </w:tc>
        <w:tc>
          <w:tcPr>
            <w:tcW w:w="400" w:type="dxa"/>
            <w:vAlign w:val="bottom"/>
          </w:tcPr>
          <w:p>
            <w:pPr>
              <w:spacing w:after="0"/>
              <w:rPr>
                <w:sz w:val="8"/>
                <w:szCs w:val="8"/>
                <w:color w:val="auto"/>
              </w:rPr>
            </w:pPr>
          </w:p>
        </w:tc>
      </w:tr>
      <w:tr>
        <w:trPr>
          <w:trHeight w:val="91"/>
        </w:trPr>
        <w:tc>
          <w:tcPr>
            <w:tcW w:w="2740" w:type="dxa"/>
            <w:vAlign w:val="bottom"/>
            <w:gridSpan w:val="4"/>
          </w:tcPr>
          <w:p>
            <w:pPr>
              <w:ind w:left="40"/>
              <w:spacing w:after="0"/>
              <w:rPr>
                <w:sz w:val="20"/>
                <w:szCs w:val="20"/>
                <w:color w:val="auto"/>
              </w:rPr>
            </w:pPr>
            <w:r>
              <w:rPr>
                <w:rFonts w:ascii="Times New Roman" w:cs="Times New Roman" w:eastAsia="Times New Roman" w:hAnsi="Times New Roman"/>
                <w:sz w:val="8"/>
                <w:szCs w:val="8"/>
                <w:color w:val="auto"/>
              </w:rPr>
              <w:t>(3)   The remaining loan from the Nordic Investment Bank (NIB) is repayable in</w:t>
            </w:r>
          </w:p>
        </w:tc>
        <w:tc>
          <w:tcPr>
            <w:tcW w:w="1320" w:type="dxa"/>
            <w:vAlign w:val="bottom"/>
            <w:gridSpan w:val="3"/>
          </w:tcPr>
          <w:p>
            <w:pPr>
              <w:ind w:left="160"/>
              <w:spacing w:after="0"/>
              <w:rPr>
                <w:sz w:val="20"/>
                <w:szCs w:val="20"/>
                <w:color w:val="auto"/>
              </w:rPr>
            </w:pPr>
            <w:r>
              <w:rPr>
                <w:rFonts w:ascii="Times New Roman" w:cs="Times New Roman" w:eastAsia="Times New Roman" w:hAnsi="Times New Roman"/>
                <w:sz w:val="8"/>
                <w:szCs w:val="8"/>
                <w:color w:val="auto"/>
              </w:rPr>
              <w:t>two equal annual installments in</w:t>
            </w:r>
          </w:p>
        </w:tc>
        <w:tc>
          <w:tcPr>
            <w:tcW w:w="840" w:type="dxa"/>
            <w:vAlign w:val="bottom"/>
            <w:gridSpan w:val="2"/>
          </w:tcPr>
          <w:p>
            <w:pPr>
              <w:jc w:val="right"/>
              <w:ind w:right="193"/>
              <w:spacing w:after="0"/>
              <w:rPr>
                <w:sz w:val="20"/>
                <w:szCs w:val="20"/>
                <w:color w:val="auto"/>
              </w:rPr>
            </w:pPr>
            <w:r>
              <w:rPr>
                <w:rFonts w:ascii="Times New Roman" w:cs="Times New Roman" w:eastAsia="Times New Roman" w:hAnsi="Times New Roman"/>
                <w:sz w:val="8"/>
                <w:szCs w:val="8"/>
                <w:color w:val="auto"/>
              </w:rPr>
              <w:t>2024 and 2025 .</w:t>
            </w:r>
          </w:p>
        </w:tc>
        <w:tc>
          <w:tcPr>
            <w:tcW w:w="660" w:type="dxa"/>
            <w:vAlign w:val="bottom"/>
          </w:tcPr>
          <w:p>
            <w:pPr>
              <w:spacing w:after="0"/>
              <w:rPr>
                <w:sz w:val="7"/>
                <w:szCs w:val="7"/>
                <w:color w:val="auto"/>
              </w:rPr>
            </w:pPr>
          </w:p>
        </w:tc>
        <w:tc>
          <w:tcPr>
            <w:tcW w:w="160" w:type="dxa"/>
            <w:vAlign w:val="bottom"/>
          </w:tcPr>
          <w:p>
            <w:pPr>
              <w:spacing w:after="0"/>
              <w:rPr>
                <w:sz w:val="7"/>
                <w:szCs w:val="7"/>
                <w:color w:val="auto"/>
              </w:rPr>
            </w:pPr>
          </w:p>
        </w:tc>
        <w:tc>
          <w:tcPr>
            <w:tcW w:w="380" w:type="dxa"/>
            <w:vAlign w:val="bottom"/>
          </w:tcPr>
          <w:p>
            <w:pPr>
              <w:spacing w:after="0"/>
              <w:rPr>
                <w:sz w:val="7"/>
                <w:szCs w:val="7"/>
                <w:color w:val="auto"/>
              </w:rPr>
            </w:pPr>
          </w:p>
        </w:tc>
        <w:tc>
          <w:tcPr>
            <w:tcW w:w="140" w:type="dxa"/>
            <w:vAlign w:val="bottom"/>
          </w:tcPr>
          <w:p>
            <w:pPr>
              <w:spacing w:after="0"/>
              <w:rPr>
                <w:sz w:val="7"/>
                <w:szCs w:val="7"/>
                <w:color w:val="auto"/>
              </w:rPr>
            </w:pPr>
          </w:p>
        </w:tc>
        <w:tc>
          <w:tcPr>
            <w:tcW w:w="400" w:type="dxa"/>
            <w:vAlign w:val="bottom"/>
          </w:tcPr>
          <w:p>
            <w:pPr>
              <w:spacing w:after="0"/>
              <w:rPr>
                <w:sz w:val="7"/>
                <w:szCs w:val="7"/>
                <w:color w:val="auto"/>
              </w:rPr>
            </w:pPr>
          </w:p>
        </w:tc>
      </w:tr>
      <w:tr>
        <w:trPr>
          <w:trHeight w:val="101"/>
        </w:trPr>
        <w:tc>
          <w:tcPr>
            <w:tcW w:w="2600" w:type="dxa"/>
            <w:vAlign w:val="bottom"/>
            <w:gridSpan w:val="3"/>
          </w:tcPr>
          <w:p>
            <w:pPr>
              <w:ind w:left="40"/>
              <w:spacing w:after="0"/>
              <w:rPr>
                <w:sz w:val="20"/>
                <w:szCs w:val="20"/>
                <w:color w:val="auto"/>
              </w:rPr>
            </w:pPr>
            <w:r>
              <w:rPr>
                <w:rFonts w:ascii="Times New Roman" w:cs="Times New Roman" w:eastAsia="Times New Roman" w:hAnsi="Times New Roman"/>
                <w:sz w:val="8"/>
                <w:szCs w:val="8"/>
                <w:color w:val="auto"/>
              </w:rPr>
              <w:t>(4)   The bond has a one-time redemption premium at maturity of EUR</w:t>
            </w:r>
          </w:p>
        </w:tc>
        <w:tc>
          <w:tcPr>
            <w:tcW w:w="3640" w:type="dxa"/>
            <w:vAlign w:val="bottom"/>
            <w:gridSpan w:val="10"/>
          </w:tcPr>
          <w:p>
            <w:pPr>
              <w:ind w:left="40"/>
              <w:spacing w:after="0"/>
              <w:rPr>
                <w:sz w:val="20"/>
                <w:szCs w:val="20"/>
                <w:color w:val="auto"/>
              </w:rPr>
            </w:pPr>
            <w:r>
              <w:rPr>
                <w:rFonts w:ascii="Times New Roman" w:cs="Times New Roman" w:eastAsia="Times New Roman" w:hAnsi="Times New Roman"/>
                <w:sz w:val="8"/>
                <w:szCs w:val="8"/>
                <w:color w:val="auto"/>
              </w:rPr>
              <w:t>4 million in case Nokia does not meet its commitment to reduce its greenhouse gas emissions (in tCO</w:t>
            </w:r>
          </w:p>
        </w:tc>
        <w:tc>
          <w:tcPr>
            <w:tcW w:w="400" w:type="dxa"/>
            <w:vAlign w:val="bottom"/>
          </w:tcPr>
          <w:p>
            <w:pPr>
              <w:jc w:val="right"/>
              <w:ind w:right="193"/>
              <w:spacing w:after="0" w:line="102" w:lineRule="exact"/>
              <w:rPr>
                <w:sz w:val="20"/>
                <w:szCs w:val="20"/>
                <w:color w:val="auto"/>
              </w:rPr>
            </w:pPr>
            <w:r>
              <w:rPr>
                <w:rFonts w:ascii="Times New Roman" w:cs="Times New Roman" w:eastAsia="Times New Roman" w:hAnsi="Times New Roman"/>
                <w:sz w:val="10"/>
                <w:szCs w:val="10"/>
                <w:color w:val="auto"/>
                <w:vertAlign w:val="subscript"/>
              </w:rPr>
              <w:t>2</w:t>
            </w:r>
            <w:r>
              <w:rPr>
                <w:rFonts w:ascii="Times New Roman" w:cs="Times New Roman" w:eastAsia="Times New Roman" w:hAnsi="Times New Roman"/>
                <w:sz w:val="8"/>
                <w:szCs w:val="8"/>
                <w:color w:val="auto"/>
              </w:rPr>
              <w:t>e)</w:t>
            </w:r>
          </w:p>
        </w:tc>
      </w:tr>
      <w:tr>
        <w:trPr>
          <w:trHeight w:val="104"/>
        </w:trPr>
        <w:tc>
          <w:tcPr>
            <w:tcW w:w="1280" w:type="dxa"/>
            <w:vAlign w:val="bottom"/>
          </w:tcPr>
          <w:p>
            <w:pPr>
              <w:ind w:left="220"/>
              <w:spacing w:after="0"/>
              <w:rPr>
                <w:sz w:val="20"/>
                <w:szCs w:val="20"/>
                <w:color w:val="auto"/>
              </w:rPr>
            </w:pPr>
            <w:r>
              <w:rPr>
                <w:rFonts w:ascii="Times New Roman" w:cs="Times New Roman" w:eastAsia="Times New Roman" w:hAnsi="Times New Roman"/>
                <w:sz w:val="8"/>
                <w:szCs w:val="8"/>
                <w:color w:val="auto"/>
              </w:rPr>
              <w:t>across its value chain (Scope</w:t>
            </w:r>
          </w:p>
        </w:tc>
        <w:tc>
          <w:tcPr>
            <w:tcW w:w="4960" w:type="dxa"/>
            <w:vAlign w:val="bottom"/>
            <w:gridSpan w:val="12"/>
          </w:tcPr>
          <w:p>
            <w:pPr>
              <w:spacing w:after="0"/>
              <w:rPr>
                <w:sz w:val="20"/>
                <w:szCs w:val="20"/>
                <w:color w:val="auto"/>
              </w:rPr>
            </w:pPr>
            <w:r>
              <w:rPr>
                <w:rFonts w:ascii="Times New Roman" w:cs="Times New Roman" w:eastAsia="Times New Roman" w:hAnsi="Times New Roman"/>
                <w:sz w:val="8"/>
                <w:szCs w:val="8"/>
                <w:color w:val="auto"/>
              </w:rPr>
              <w:t>1, 2, and 3) by 50% between  2019 and 2030 . This target is one of Nokia’s key sustainability targets and has been selected to be the Sustainability</w:t>
            </w:r>
          </w:p>
        </w:tc>
        <w:tc>
          <w:tcPr>
            <w:tcW w:w="400" w:type="dxa"/>
            <w:vAlign w:val="bottom"/>
          </w:tcPr>
          <w:p>
            <w:pPr>
              <w:spacing w:after="0"/>
              <w:rPr>
                <w:sz w:val="9"/>
                <w:szCs w:val="9"/>
                <w:color w:val="auto"/>
              </w:rPr>
            </w:pPr>
          </w:p>
        </w:tc>
      </w:tr>
    </w:tbl>
    <w:p>
      <w:pPr>
        <w:ind w:left="220"/>
        <w:spacing w:after="0"/>
        <w:rPr>
          <w:sz w:val="20"/>
          <w:szCs w:val="20"/>
          <w:color w:val="auto"/>
        </w:rPr>
      </w:pPr>
      <w:r>
        <w:rPr>
          <w:rFonts w:ascii="Times New Roman" w:cs="Times New Roman" w:eastAsia="Times New Roman" w:hAnsi="Times New Roman"/>
          <w:sz w:val="8"/>
          <w:szCs w:val="8"/>
          <w:color w:val="auto"/>
        </w:rPr>
        <w:t>Performance Target in Nokia’s Sustainable Finance Framework that enables the issuance of sustainability-linked financing instruments.</w:t>
      </w:r>
    </w:p>
    <w:p>
      <w:pPr>
        <w:spacing w:after="0" w:line="104"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3"/>
          <w:szCs w:val="13"/>
          <w:color w:val="auto"/>
        </w:rPr>
        <w:t>Changes in level 3 financial assets and liabilities measured at fair value</w:t>
      </w:r>
    </w:p>
    <w:p>
      <w:pPr>
        <w:spacing w:after="0" w:line="54"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140" w:type="dxa"/>
            <w:vAlign w:val="bottom"/>
          </w:tcPr>
          <w:p>
            <w:pPr>
              <w:spacing w:after="0"/>
              <w:rPr>
                <w:sz w:val="9"/>
                <w:szCs w:val="9"/>
                <w:color w:val="auto"/>
              </w:rPr>
            </w:pPr>
          </w:p>
        </w:tc>
        <w:tc>
          <w:tcPr>
            <w:tcW w:w="1360" w:type="dxa"/>
            <w:vAlign w:val="bottom"/>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2023</w:t>
            </w:r>
          </w:p>
        </w:tc>
        <w:tc>
          <w:tcPr>
            <w:tcW w:w="880" w:type="dxa"/>
            <w:vAlign w:val="bottom"/>
          </w:tcPr>
          <w:p>
            <w:pPr>
              <w:spacing w:after="0"/>
              <w:rPr>
                <w:sz w:val="9"/>
                <w:szCs w:val="9"/>
                <w:color w:val="auto"/>
              </w:rPr>
            </w:pPr>
          </w:p>
        </w:tc>
        <w:tc>
          <w:tcPr>
            <w:tcW w:w="1400" w:type="dxa"/>
            <w:vAlign w:val="bottom"/>
            <w:gridSpan w:val="2"/>
          </w:tcPr>
          <w:p>
            <w:pPr>
              <w:jc w:val="right"/>
              <w:ind w:right="140"/>
              <w:spacing w:after="0"/>
              <w:rPr>
                <w:sz w:val="20"/>
                <w:szCs w:val="20"/>
                <w:color w:val="auto"/>
              </w:rPr>
            </w:pPr>
            <w:r>
              <w:rPr>
                <w:rFonts w:ascii="Times New Roman" w:cs="Times New Roman" w:eastAsia="Times New Roman" w:hAnsi="Times New Roman"/>
                <w:sz w:val="8"/>
                <w:szCs w:val="8"/>
                <w:b w:val="1"/>
                <w:bCs w:val="1"/>
                <w:color w:val="005AFF"/>
              </w:rPr>
              <w:t>2022</w:t>
            </w:r>
          </w:p>
        </w:tc>
        <w:tc>
          <w:tcPr>
            <w:tcW w:w="900" w:type="dxa"/>
            <w:vAlign w:val="bottom"/>
          </w:tcPr>
          <w:p>
            <w:pPr>
              <w:spacing w:after="0"/>
              <w:rPr>
                <w:sz w:val="9"/>
                <w:szCs w:val="9"/>
                <w:color w:val="auto"/>
              </w:rPr>
            </w:pPr>
          </w:p>
        </w:tc>
      </w:tr>
      <w:tr>
        <w:trPr>
          <w:trHeight w:val="132"/>
        </w:trPr>
        <w:tc>
          <w:tcPr>
            <w:tcW w:w="2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360" w:type="dxa"/>
            <w:vAlign w:val="bottom"/>
            <w:tcBorders>
              <w:top w:val="single" w:sz="8" w:color="005AFF"/>
              <w:bottom w:val="single" w:sz="8" w:color="005AFF"/>
            </w:tcBorders>
          </w:tcPr>
          <w:p>
            <w:pPr>
              <w:jc w:val="right"/>
              <w:ind w:right="272"/>
              <w:spacing w:after="0"/>
              <w:rPr>
                <w:sz w:val="20"/>
                <w:szCs w:val="20"/>
                <w:color w:val="auto"/>
              </w:rPr>
            </w:pPr>
            <w:r>
              <w:rPr>
                <w:rFonts w:ascii="Times New Roman" w:cs="Times New Roman" w:eastAsia="Times New Roman" w:hAnsi="Times New Roman"/>
                <w:sz w:val="8"/>
                <w:szCs w:val="8"/>
                <w:b w:val="1"/>
                <w:bCs w:val="1"/>
                <w:color w:val="005AFF"/>
              </w:rPr>
              <w:t>Financial assets</w:t>
            </w:r>
          </w:p>
        </w:tc>
        <w:tc>
          <w:tcPr>
            <w:tcW w:w="880" w:type="dxa"/>
            <w:vAlign w:val="bottom"/>
            <w:tcBorders>
              <w:top w:val="single" w:sz="8" w:color="005AFF"/>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Financial liabilities</w:t>
            </w:r>
          </w:p>
        </w:tc>
        <w:tc>
          <w:tcPr>
            <w:tcW w:w="40" w:type="dxa"/>
            <w:vAlign w:val="bottom"/>
            <w:tcBorders>
              <w:bottom w:val="single" w:sz="8" w:color="005AFF"/>
            </w:tcBorders>
          </w:tcPr>
          <w:p>
            <w:pPr>
              <w:spacing w:after="0"/>
              <w:rPr>
                <w:sz w:val="11"/>
                <w:szCs w:val="11"/>
                <w:color w:val="auto"/>
              </w:rPr>
            </w:pPr>
          </w:p>
        </w:tc>
        <w:tc>
          <w:tcPr>
            <w:tcW w:w="1360" w:type="dxa"/>
            <w:vAlign w:val="bottom"/>
            <w:tcBorders>
              <w:top w:val="single" w:sz="8" w:color="005AFF"/>
              <w:bottom w:val="single" w:sz="8" w:color="005AFF"/>
            </w:tcBorders>
          </w:tcPr>
          <w:p>
            <w:pPr>
              <w:jc w:val="right"/>
              <w:ind w:right="280"/>
              <w:spacing w:after="0"/>
              <w:rPr>
                <w:sz w:val="20"/>
                <w:szCs w:val="20"/>
                <w:color w:val="auto"/>
              </w:rPr>
            </w:pPr>
            <w:r>
              <w:rPr>
                <w:rFonts w:ascii="Times New Roman" w:cs="Times New Roman" w:eastAsia="Times New Roman" w:hAnsi="Times New Roman"/>
                <w:sz w:val="8"/>
                <w:szCs w:val="8"/>
                <w:b w:val="1"/>
                <w:bCs w:val="1"/>
                <w:color w:val="005AFF"/>
              </w:rPr>
              <w:t>Financial assets</w:t>
            </w:r>
          </w:p>
        </w:tc>
        <w:tc>
          <w:tcPr>
            <w:tcW w:w="900" w:type="dxa"/>
            <w:vAlign w:val="bottom"/>
            <w:tcBorders>
              <w:top w:val="single" w:sz="8" w:color="005AFF"/>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Financial liabilities</w:t>
            </w:r>
          </w:p>
        </w:tc>
      </w:tr>
      <w:tr>
        <w:trPr>
          <w:trHeight w:val="145"/>
        </w:trPr>
        <w:tc>
          <w:tcPr>
            <w:tcW w:w="2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w:t>
            </w:r>
          </w:p>
        </w:tc>
        <w:tc>
          <w:tcPr>
            <w:tcW w:w="1360" w:type="dxa"/>
            <w:vAlign w:val="bottom"/>
            <w:tcBorders>
              <w:bottom w:val="single" w:sz="8" w:color="005AFF"/>
            </w:tcBorders>
            <w:shd w:val="clear" w:color="auto" w:fill="F0F5FF"/>
          </w:tcPr>
          <w:p>
            <w:pPr>
              <w:jc w:val="right"/>
              <w:ind w:right="232"/>
              <w:spacing w:after="0"/>
              <w:rPr>
                <w:sz w:val="20"/>
                <w:szCs w:val="20"/>
                <w:color w:val="auto"/>
              </w:rPr>
            </w:pPr>
            <w:r>
              <w:rPr>
                <w:rFonts w:ascii="Times New Roman" w:cs="Times New Roman" w:eastAsia="Times New Roman" w:hAnsi="Times New Roman"/>
                <w:sz w:val="10"/>
                <w:szCs w:val="10"/>
                <w:b w:val="1"/>
                <w:bCs w:val="1"/>
                <w:color w:val="005AFF"/>
              </w:rPr>
              <w:t>823</w:t>
            </w:r>
          </w:p>
        </w:tc>
        <w:tc>
          <w:tcPr>
            <w:tcW w:w="8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(550)</w:t>
            </w:r>
          </w:p>
        </w:tc>
        <w:tc>
          <w:tcPr>
            <w:tcW w:w="1400" w:type="dxa"/>
            <w:vAlign w:val="bottom"/>
            <w:tcBorders>
              <w:bottom w:val="single" w:sz="8" w:color="005AFF"/>
            </w:tcBorders>
            <w:gridSpan w:val="2"/>
          </w:tcPr>
          <w:p>
            <w:pPr>
              <w:jc w:val="right"/>
              <w:ind w:right="260"/>
              <w:spacing w:after="0"/>
              <w:rPr>
                <w:sz w:val="20"/>
                <w:szCs w:val="20"/>
                <w:color w:val="auto"/>
              </w:rPr>
            </w:pPr>
            <w:r>
              <w:rPr>
                <w:rFonts w:ascii="Times New Roman" w:cs="Times New Roman" w:eastAsia="Times New Roman" w:hAnsi="Times New Roman"/>
                <w:sz w:val="10"/>
                <w:szCs w:val="10"/>
                <w:b w:val="1"/>
                <w:bCs w:val="1"/>
                <w:color w:val="auto"/>
              </w:rPr>
              <w:t>750</w:t>
            </w:r>
          </w:p>
        </w:tc>
        <w:tc>
          <w:tcPr>
            <w:tcW w:w="9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(590)</w:t>
            </w:r>
          </w:p>
        </w:tc>
      </w:tr>
      <w:tr>
        <w:trPr>
          <w:trHeight w:val="137"/>
        </w:trPr>
        <w:tc>
          <w:tcPr>
            <w:tcW w:w="2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(losses)/gains in income statement</w:t>
            </w:r>
          </w:p>
        </w:tc>
        <w:tc>
          <w:tcPr>
            <w:tcW w:w="1360" w:type="dxa"/>
            <w:vAlign w:val="bottom"/>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color w:val="005AFF"/>
              </w:rPr>
              <w:t>(76)</w:t>
            </w:r>
          </w:p>
        </w:tc>
        <w:tc>
          <w:tcPr>
            <w:tcW w:w="8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31</w:t>
            </w:r>
          </w:p>
        </w:tc>
        <w:tc>
          <w:tcPr>
            <w:tcW w:w="1400" w:type="dxa"/>
            <w:vAlign w:val="bottom"/>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13</w:t>
            </w:r>
          </w:p>
        </w:tc>
        <w:tc>
          <w:tcPr>
            <w:tcW w:w="9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24</w:t>
            </w:r>
          </w:p>
        </w:tc>
      </w:tr>
      <w:tr>
        <w:trPr>
          <w:trHeight w:val="189"/>
        </w:trPr>
        <w:tc>
          <w:tcPr>
            <w:tcW w:w="2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Additions </w:t>
            </w:r>
            <w:r>
              <w:rPr>
                <w:rFonts w:ascii="Times New Roman" w:cs="Times New Roman" w:eastAsia="Times New Roman" w:hAnsi="Times New Roman"/>
                <w:sz w:val="13"/>
                <w:szCs w:val="13"/>
                <w:color w:val="0D0D0D"/>
                <w:vertAlign w:val="superscript"/>
              </w:rPr>
              <w:t>(1)</w:t>
            </w:r>
          </w:p>
        </w:tc>
        <w:tc>
          <w:tcPr>
            <w:tcW w:w="1360" w:type="dxa"/>
            <w:vAlign w:val="bottom"/>
            <w:shd w:val="clear" w:color="auto" w:fill="F0F5FF"/>
          </w:tcPr>
          <w:p>
            <w:pPr>
              <w:jc w:val="right"/>
              <w:ind w:right="252"/>
              <w:spacing w:after="0"/>
              <w:rPr>
                <w:sz w:val="20"/>
                <w:szCs w:val="20"/>
                <w:color w:val="auto"/>
              </w:rPr>
            </w:pPr>
            <w:r>
              <w:rPr>
                <w:rFonts w:ascii="Times New Roman" w:cs="Times New Roman" w:eastAsia="Times New Roman" w:hAnsi="Times New Roman"/>
                <w:sz w:val="10"/>
                <w:szCs w:val="10"/>
                <w:color w:val="005AFF"/>
              </w:rPr>
              <w:t>56</w:t>
            </w:r>
          </w:p>
        </w:tc>
        <w:tc>
          <w:tcPr>
            <w:tcW w:w="880" w:type="dxa"/>
            <w:vAlign w:val="bottom"/>
            <w:shd w:val="clear" w:color="auto" w:fill="F0F5FF"/>
          </w:tcPr>
          <w:p>
            <w:pPr>
              <w:jc w:val="center"/>
              <w:ind w:left="691"/>
              <w:spacing w:after="0"/>
              <w:rPr>
                <w:sz w:val="20"/>
                <w:szCs w:val="20"/>
                <w:color w:val="auto"/>
              </w:rPr>
            </w:pPr>
            <w:r>
              <w:rPr>
                <w:rFonts w:ascii="Times New Roman" w:cs="Times New Roman" w:eastAsia="Times New Roman" w:hAnsi="Times New Roman"/>
                <w:sz w:val="10"/>
                <w:szCs w:val="10"/>
                <w:color w:val="005AFF"/>
                <w:w w:val="99"/>
              </w:rPr>
              <w:t>—</w:t>
            </w:r>
          </w:p>
        </w:tc>
        <w:tc>
          <w:tcPr>
            <w:tcW w:w="1400" w:type="dxa"/>
            <w:vAlign w:val="bottom"/>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101</w:t>
            </w:r>
          </w:p>
        </w:tc>
        <w:tc>
          <w:tcPr>
            <w:tcW w:w="900" w:type="dxa"/>
            <w:vAlign w:val="bottom"/>
          </w:tcPr>
          <w:p>
            <w:pPr>
              <w:ind w:left="760"/>
              <w:spacing w:after="0"/>
              <w:rPr>
                <w:sz w:val="20"/>
                <w:szCs w:val="20"/>
                <w:color w:val="auto"/>
              </w:rPr>
            </w:pPr>
            <w:r>
              <w:rPr>
                <w:rFonts w:ascii="Times New Roman" w:cs="Times New Roman" w:eastAsia="Times New Roman" w:hAnsi="Times New Roman"/>
                <w:sz w:val="10"/>
                <w:szCs w:val="10"/>
                <w:color w:val="0D0D0D"/>
              </w:rPr>
              <w:t>—</w:t>
            </w:r>
          </w:p>
        </w:tc>
      </w:tr>
      <w:tr>
        <w:trPr>
          <w:trHeight w:val="167"/>
        </w:trPr>
        <w:tc>
          <w:tcPr>
            <w:tcW w:w="2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Deductions </w:t>
            </w:r>
            <w:r>
              <w:rPr>
                <w:rFonts w:ascii="Times New Roman" w:cs="Times New Roman" w:eastAsia="Times New Roman" w:hAnsi="Times New Roman"/>
                <w:sz w:val="13"/>
                <w:szCs w:val="13"/>
                <w:color w:val="0D0D0D"/>
                <w:vertAlign w:val="superscript"/>
              </w:rPr>
              <w:t>(1)</w:t>
            </w:r>
          </w:p>
        </w:tc>
        <w:tc>
          <w:tcPr>
            <w:tcW w:w="1360" w:type="dxa"/>
            <w:vAlign w:val="bottom"/>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color w:val="005AFF"/>
              </w:rPr>
              <w:t>(24)</w:t>
            </w:r>
          </w:p>
        </w:tc>
        <w:tc>
          <w:tcPr>
            <w:tcW w:w="8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19</w:t>
            </w:r>
          </w:p>
        </w:tc>
        <w:tc>
          <w:tcPr>
            <w:tcW w:w="1400" w:type="dxa"/>
            <w:vAlign w:val="bottom"/>
            <w:gridSpan w:val="2"/>
          </w:tcPr>
          <w:p>
            <w:pPr>
              <w:jc w:val="right"/>
              <w:ind w:right="220"/>
              <w:spacing w:after="0"/>
              <w:rPr>
                <w:sz w:val="20"/>
                <w:szCs w:val="20"/>
                <w:color w:val="auto"/>
              </w:rPr>
            </w:pPr>
            <w:r>
              <w:rPr>
                <w:rFonts w:ascii="Times New Roman" w:cs="Times New Roman" w:eastAsia="Times New Roman" w:hAnsi="Times New Roman"/>
                <w:sz w:val="10"/>
                <w:szCs w:val="10"/>
                <w:color w:val="0D0D0D"/>
              </w:rPr>
              <w:t>(39)</w:t>
            </w:r>
          </w:p>
        </w:tc>
        <w:tc>
          <w:tcPr>
            <w:tcW w:w="90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w:t>
            </w:r>
          </w:p>
        </w:tc>
      </w:tr>
      <w:tr>
        <w:trPr>
          <w:trHeight w:val="130"/>
        </w:trPr>
        <w:tc>
          <w:tcPr>
            <w:tcW w:w="21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Transfers out of level 3</w:t>
            </w:r>
          </w:p>
        </w:tc>
        <w:tc>
          <w:tcPr>
            <w:tcW w:w="1360" w:type="dxa"/>
            <w:vAlign w:val="bottom"/>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color w:val="005AFF"/>
              </w:rPr>
              <w:t>—</w:t>
            </w:r>
          </w:p>
        </w:tc>
        <w:tc>
          <w:tcPr>
            <w:tcW w:w="880" w:type="dxa"/>
            <w:vAlign w:val="bottom"/>
            <w:shd w:val="clear" w:color="auto" w:fill="F0F5FF"/>
          </w:tcPr>
          <w:p>
            <w:pPr>
              <w:jc w:val="center"/>
              <w:ind w:left="691"/>
              <w:spacing w:after="0"/>
              <w:rPr>
                <w:sz w:val="20"/>
                <w:szCs w:val="20"/>
                <w:color w:val="auto"/>
              </w:rPr>
            </w:pPr>
            <w:r>
              <w:rPr>
                <w:rFonts w:ascii="Times New Roman" w:cs="Times New Roman" w:eastAsia="Times New Roman" w:hAnsi="Times New Roman"/>
                <w:sz w:val="10"/>
                <w:szCs w:val="10"/>
                <w:color w:val="005AFF"/>
                <w:w w:val="99"/>
              </w:rPr>
              <w:t>—</w:t>
            </w:r>
          </w:p>
        </w:tc>
        <w:tc>
          <w:tcPr>
            <w:tcW w:w="1400" w:type="dxa"/>
            <w:vAlign w:val="bottom"/>
            <w:gridSpan w:val="2"/>
          </w:tcPr>
          <w:p>
            <w:pPr>
              <w:jc w:val="right"/>
              <w:ind w:right="200"/>
              <w:spacing w:after="0"/>
              <w:rPr>
                <w:sz w:val="20"/>
                <w:szCs w:val="20"/>
                <w:color w:val="auto"/>
              </w:rPr>
            </w:pPr>
            <w:r>
              <w:rPr>
                <w:rFonts w:ascii="Times New Roman" w:cs="Times New Roman" w:eastAsia="Times New Roman" w:hAnsi="Times New Roman"/>
                <w:sz w:val="10"/>
                <w:szCs w:val="10"/>
                <w:color w:val="0D0D0D"/>
              </w:rPr>
              <w:t>(4)</w:t>
            </w:r>
          </w:p>
        </w:tc>
        <w:tc>
          <w:tcPr>
            <w:tcW w:w="900" w:type="dxa"/>
            <w:vAlign w:val="bottom"/>
          </w:tcPr>
          <w:p>
            <w:pPr>
              <w:ind w:left="760"/>
              <w:spacing w:after="0"/>
              <w:rPr>
                <w:sz w:val="20"/>
                <w:szCs w:val="20"/>
                <w:color w:val="auto"/>
              </w:rPr>
            </w:pPr>
            <w:r>
              <w:rPr>
                <w:rFonts w:ascii="Times New Roman" w:cs="Times New Roman" w:eastAsia="Times New Roman" w:hAnsi="Times New Roman"/>
                <w:sz w:val="10"/>
                <w:szCs w:val="10"/>
                <w:color w:val="0D0D0D"/>
              </w:rPr>
              <w:t>—</w:t>
            </w:r>
          </w:p>
        </w:tc>
      </w:tr>
      <w:tr>
        <w:trPr>
          <w:trHeight w:val="167"/>
        </w:trPr>
        <w:tc>
          <w:tcPr>
            <w:tcW w:w="2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movements</w:t>
            </w:r>
          </w:p>
        </w:tc>
        <w:tc>
          <w:tcPr>
            <w:tcW w:w="1360" w:type="dxa"/>
            <w:vAlign w:val="bottom"/>
            <w:tcBorders>
              <w:bottom w:val="single" w:sz="8" w:color="005AFF"/>
            </w:tcBorders>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color w:val="005AFF"/>
              </w:rPr>
              <w:t>—</w:t>
            </w:r>
          </w:p>
        </w:tc>
        <w:tc>
          <w:tcPr>
            <w:tcW w:w="880" w:type="dxa"/>
            <w:vAlign w:val="bottom"/>
            <w:tcBorders>
              <w:bottom w:val="single" w:sz="8" w:color="005AFF"/>
            </w:tcBorders>
            <w:shd w:val="clear" w:color="auto" w:fill="F0F5FF"/>
          </w:tcPr>
          <w:p>
            <w:pPr>
              <w:jc w:val="center"/>
              <w:ind w:left="691"/>
              <w:spacing w:after="0"/>
              <w:rPr>
                <w:sz w:val="20"/>
                <w:szCs w:val="20"/>
                <w:color w:val="auto"/>
              </w:rPr>
            </w:pPr>
            <w:r>
              <w:rPr>
                <w:rFonts w:ascii="Times New Roman" w:cs="Times New Roman" w:eastAsia="Times New Roman" w:hAnsi="Times New Roman"/>
                <w:sz w:val="10"/>
                <w:szCs w:val="10"/>
                <w:color w:val="005AFF"/>
              </w:rPr>
              <w:t>1</w:t>
            </w:r>
          </w:p>
        </w:tc>
        <w:tc>
          <w:tcPr>
            <w:tcW w:w="1400" w:type="dxa"/>
            <w:vAlign w:val="bottom"/>
            <w:tcBorders>
              <w:bottom w:val="single" w:sz="8" w:color="005AFF"/>
            </w:tcBorders>
            <w:gridSpan w:val="2"/>
          </w:tcPr>
          <w:p>
            <w:pPr>
              <w:jc w:val="right"/>
              <w:ind w:right="240"/>
              <w:spacing w:after="0"/>
              <w:rPr>
                <w:sz w:val="20"/>
                <w:szCs w:val="20"/>
                <w:color w:val="auto"/>
              </w:rPr>
            </w:pPr>
            <w:r>
              <w:rPr>
                <w:rFonts w:ascii="Times New Roman" w:cs="Times New Roman" w:eastAsia="Times New Roman" w:hAnsi="Times New Roman"/>
                <w:sz w:val="10"/>
                <w:szCs w:val="10"/>
                <w:color w:val="0D0D0D"/>
              </w:rPr>
              <w:t>2</w:t>
            </w:r>
          </w:p>
        </w:tc>
        <w:tc>
          <w:tcPr>
            <w:tcW w:w="900" w:type="dxa"/>
            <w:vAlign w:val="bottom"/>
            <w:tcBorders>
              <w:bottom w:val="single" w:sz="8" w:color="005AFF"/>
            </w:tcBorders>
          </w:tcPr>
          <w:p>
            <w:pPr>
              <w:ind w:left="760"/>
              <w:spacing w:after="0"/>
              <w:rPr>
                <w:sz w:val="20"/>
                <w:szCs w:val="20"/>
                <w:color w:val="auto"/>
              </w:rPr>
            </w:pPr>
            <w:r>
              <w:rPr>
                <w:rFonts w:ascii="Times New Roman" w:cs="Times New Roman" w:eastAsia="Times New Roman" w:hAnsi="Times New Roman"/>
                <w:sz w:val="10"/>
                <w:szCs w:val="10"/>
                <w:color w:val="0D0D0D"/>
              </w:rPr>
              <w:t>(4)</w:t>
            </w:r>
          </w:p>
        </w:tc>
      </w:tr>
      <w:tr>
        <w:trPr>
          <w:trHeight w:val="142"/>
        </w:trPr>
        <w:tc>
          <w:tcPr>
            <w:tcW w:w="21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w:t>
            </w:r>
          </w:p>
        </w:tc>
        <w:tc>
          <w:tcPr>
            <w:tcW w:w="1360" w:type="dxa"/>
            <w:vAlign w:val="bottom"/>
            <w:tcBorders>
              <w:bottom w:val="single" w:sz="8" w:color="005AFF"/>
            </w:tcBorders>
            <w:shd w:val="clear" w:color="auto" w:fill="F0F5FF"/>
          </w:tcPr>
          <w:p>
            <w:pPr>
              <w:jc w:val="right"/>
              <w:ind w:right="272"/>
              <w:spacing w:after="0"/>
              <w:rPr>
                <w:sz w:val="20"/>
                <w:szCs w:val="20"/>
                <w:color w:val="auto"/>
              </w:rPr>
            </w:pPr>
            <w:r>
              <w:rPr>
                <w:rFonts w:ascii="Times New Roman" w:cs="Times New Roman" w:eastAsia="Times New Roman" w:hAnsi="Times New Roman"/>
                <w:sz w:val="10"/>
                <w:szCs w:val="10"/>
                <w:b w:val="1"/>
                <w:bCs w:val="1"/>
                <w:color w:val="005AFF"/>
              </w:rPr>
              <w:t>779</w:t>
            </w:r>
          </w:p>
        </w:tc>
        <w:tc>
          <w:tcPr>
            <w:tcW w:w="8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(499)</w:t>
            </w:r>
          </w:p>
        </w:tc>
        <w:tc>
          <w:tcPr>
            <w:tcW w:w="1400" w:type="dxa"/>
            <w:vAlign w:val="bottom"/>
            <w:tcBorders>
              <w:bottom w:val="single" w:sz="8" w:color="005AFF"/>
            </w:tcBorders>
            <w:gridSpan w:val="2"/>
          </w:tcPr>
          <w:p>
            <w:pPr>
              <w:jc w:val="right"/>
              <w:ind w:right="260"/>
              <w:spacing w:after="0"/>
              <w:rPr>
                <w:sz w:val="20"/>
                <w:szCs w:val="20"/>
                <w:color w:val="auto"/>
              </w:rPr>
            </w:pPr>
            <w:r>
              <w:rPr>
                <w:rFonts w:ascii="Times New Roman" w:cs="Times New Roman" w:eastAsia="Times New Roman" w:hAnsi="Times New Roman"/>
                <w:sz w:val="10"/>
                <w:szCs w:val="10"/>
                <w:b w:val="1"/>
                <w:bCs w:val="1"/>
                <w:color w:val="auto"/>
              </w:rPr>
              <w:t>823</w:t>
            </w:r>
          </w:p>
        </w:tc>
        <w:tc>
          <w:tcPr>
            <w:tcW w:w="9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(550)</w:t>
            </w:r>
          </w:p>
        </w:tc>
      </w:tr>
    </w:tbl>
    <w:p>
      <w:pPr>
        <w:spacing w:after="0" w:line="21" w:lineRule="exact"/>
        <w:rPr>
          <w:sz w:val="20"/>
          <w:szCs w:val="20"/>
          <w:color w:val="auto"/>
        </w:rPr>
      </w:pPr>
    </w:p>
    <w:p>
      <w:pPr>
        <w:ind w:left="220" w:hanging="183"/>
        <w:spacing w:after="0"/>
        <w:tabs>
          <w:tab w:leader="none" w:pos="220" w:val="left"/>
        </w:tabs>
        <w:numPr>
          <w:ilvl w:val="0"/>
          <w:numId w:val="13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For level 3 financial assets, additions mainly include capital contributions to venture funds and deductions mainly include distributions from venture funds.</w:t>
      </w:r>
    </w:p>
    <w:p>
      <w:pPr>
        <w:spacing w:after="0" w:line="107" w:lineRule="exact"/>
        <w:rPr>
          <w:sz w:val="20"/>
          <w:szCs w:val="20"/>
          <w:color w:val="auto"/>
        </w:rPr>
      </w:pPr>
    </w:p>
    <w:p>
      <w:pPr>
        <w:ind w:left="40"/>
        <w:spacing w:after="0"/>
        <w:tabs>
          <w:tab w:leader="none" w:pos="5620" w:val="left"/>
          <w:tab w:leader="none" w:pos="6340" w:val="left"/>
        </w:tabs>
        <w:rPr>
          <w:sz w:val="20"/>
          <w:szCs w:val="20"/>
          <w:color w:val="auto"/>
        </w:rPr>
      </w:pPr>
      <w:r>
        <w:rPr>
          <w:rFonts w:ascii="Times New Roman" w:cs="Times New Roman" w:eastAsia="Times New Roman" w:hAnsi="Times New Roman"/>
          <w:sz w:val="11"/>
          <w:szCs w:val="11"/>
          <w:color w:val="auto"/>
        </w:rPr>
        <w:t>A net loss of EUR 42 million (net gain of EUR 23 million in 2022 ) related to level 3 financial instruments held at</w:t>
      </w:r>
      <w:r>
        <w:rPr>
          <w:sz w:val="20"/>
          <w:szCs w:val="20"/>
          <w:color w:val="auto"/>
        </w:rPr>
        <w:tab/>
      </w:r>
      <w:r>
        <w:rPr>
          <w:rFonts w:ascii="Times New Roman" w:cs="Times New Roman" w:eastAsia="Times New Roman" w:hAnsi="Times New Roman"/>
          <w:sz w:val="11"/>
          <w:szCs w:val="11"/>
          <w:color w:val="auto"/>
        </w:rPr>
        <w:t>31 December</w:t>
        <w:tab/>
        <w:t>was</w:t>
      </w:r>
    </w:p>
    <w:p>
      <w:pPr>
        <w:spacing w:after="0" w:line="22" w:lineRule="exact"/>
        <w:rPr>
          <w:sz w:val="20"/>
          <w:szCs w:val="20"/>
          <w:color w:val="auto"/>
        </w:rPr>
      </w:pPr>
    </w:p>
    <w:p>
      <w:pPr>
        <w:ind w:left="40"/>
        <w:spacing w:after="0"/>
        <w:tabs>
          <w:tab w:leader="none" w:pos="1920" w:val="left"/>
        </w:tabs>
        <w:rPr>
          <w:sz w:val="20"/>
          <w:szCs w:val="20"/>
          <w:color w:val="auto"/>
        </w:rPr>
      </w:pPr>
      <w:r>
        <w:rPr>
          <w:rFonts w:ascii="Times New Roman" w:cs="Times New Roman" w:eastAsia="Times New Roman" w:hAnsi="Times New Roman"/>
          <w:sz w:val="11"/>
          <w:szCs w:val="11"/>
          <w:color w:val="auto"/>
        </w:rPr>
        <w:t>included in the profit and loss during</w:t>
      </w:r>
      <w:r>
        <w:rPr>
          <w:sz w:val="20"/>
          <w:szCs w:val="20"/>
          <w:color w:val="auto"/>
        </w:rPr>
        <w:tab/>
      </w:r>
      <w:r>
        <w:rPr>
          <w:rFonts w:ascii="Times New Roman" w:cs="Times New Roman" w:eastAsia="Times New Roman" w:hAnsi="Times New Roman"/>
          <w:sz w:val="11"/>
          <w:szCs w:val="11"/>
          <w:color w:val="auto"/>
        </w:rPr>
        <w:t>2023 .</w:t>
      </w:r>
    </w:p>
    <w:p>
      <w:pPr>
        <w:sectPr>
          <w:pgSz w:w="11900" w:h="16838" w:orient="portrait"/>
          <w:cols w:equalWidth="0" w:num="2">
            <w:col w:w="2980" w:space="420"/>
            <w:col w:w="6680"/>
          </w:cols>
          <w:pgMar w:left="960" w:top="410" w:right="859" w:bottom="1440" w:gutter="0" w:footer="0" w:header="0"/>
          <w:type w:val="continuous"/>
        </w:sectPr>
      </w:pPr>
    </w:p>
    <w:bookmarkStart w:id="196" w:name="page197"/>
    <w:bookmarkEnd w:id="196"/>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189</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3"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6"/>
          <w:szCs w:val="16"/>
          <w:color w:val="005AFF"/>
        </w:rPr>
        <w:t>5.3. Derivative and firm commitment assets and liabilities</w:t>
      </w:r>
    </w:p>
    <w:p>
      <w:pPr>
        <w:sectPr>
          <w:pgSz w:w="11900" w:h="16838" w:orient="portrait"/>
          <w:cols w:equalWidth="0" w:num="1">
            <w:col w:w="9980"/>
          </w:cols>
          <w:pgMar w:left="960" w:top="409" w:right="959" w:bottom="1440" w:gutter="0" w:footer="0" w:header="0"/>
        </w:sectPr>
      </w:pPr>
    </w:p>
    <w:p>
      <w:pPr>
        <w:spacing w:after="0" w:line="228"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Fair value</w:t>
      </w:r>
    </w:p>
    <w:p>
      <w:pPr>
        <w:spacing w:after="0" w:line="19" w:lineRule="exact"/>
        <w:rPr>
          <w:sz w:val="20"/>
          <w:szCs w:val="20"/>
          <w:color w:val="auto"/>
        </w:rPr>
      </w:pPr>
    </w:p>
    <w:p>
      <w:pPr>
        <w:ind w:left="160" w:right="240"/>
        <w:spacing w:after="0" w:line="260" w:lineRule="auto"/>
        <w:rPr>
          <w:sz w:val="20"/>
          <w:szCs w:val="20"/>
          <w:color w:val="auto"/>
        </w:rPr>
      </w:pPr>
      <w:r>
        <w:rPr>
          <w:rFonts w:ascii="Times New Roman" w:cs="Times New Roman" w:eastAsia="Times New Roman" w:hAnsi="Times New Roman"/>
          <w:sz w:val="11"/>
          <w:szCs w:val="11"/>
          <w:color w:val="auto"/>
        </w:rPr>
        <w:t>All derivatives are recognized initially at fair value on the date a derivative contract is entered into and subsequently remeasured at fair value. The method of recognizing the resulting gain or loss varies according to whether the derivatives are designated and qualify under</w:t>
      </w:r>
    </w:p>
    <w:p>
      <w:pPr>
        <w:spacing w:after="0" w:line="3"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hedge accounting.</w:t>
      </w:r>
    </w:p>
    <w:p>
      <w:pPr>
        <w:spacing w:after="0" w:line="84"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Foreign exchange forward contracts are valued at market-</w:t>
      </w:r>
    </w:p>
    <w:p>
      <w:pPr>
        <w:spacing w:after="0" w:line="17"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forward exchange rates. Changes in fair value are measured</w:t>
      </w:r>
    </w:p>
    <w:p>
      <w:pPr>
        <w:spacing w:after="0" w:line="1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by comparing these rates with the original contract-forward</w:t>
      </w:r>
    </w:p>
    <w:p>
      <w:pPr>
        <w:spacing w:after="0" w:line="1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rate. Currency options are valued at each reporting date</w:t>
      </w:r>
    </w:p>
    <w:p>
      <w:pPr>
        <w:spacing w:after="0" w:line="1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by using the Garman &amp; Kohlhagen option valuation model.</w:t>
      </w:r>
    </w:p>
    <w:p>
      <w:pPr>
        <w:spacing w:after="0" w:line="1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Interest rate swaps and cross-currency swaps are valued</w:t>
      </w:r>
    </w:p>
    <w:p>
      <w:pPr>
        <w:spacing w:after="0" w:line="10"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using the discounted cash flow method.</w:t>
      </w:r>
    </w:p>
    <w:p>
      <w:pPr>
        <w:spacing w:after="0" w:line="82"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Hedge accounting</w:t>
      </w:r>
    </w:p>
    <w:p>
      <w:pPr>
        <w:spacing w:after="0" w:line="24" w:lineRule="exact"/>
        <w:rPr>
          <w:sz w:val="20"/>
          <w:szCs w:val="20"/>
          <w:color w:val="auto"/>
        </w:rPr>
      </w:pPr>
    </w:p>
    <w:p>
      <w:pPr>
        <w:ind w:left="160" w:right="120"/>
        <w:spacing w:after="0" w:line="264" w:lineRule="auto"/>
        <w:rPr>
          <w:sz w:val="20"/>
          <w:szCs w:val="20"/>
          <w:color w:val="auto"/>
        </w:rPr>
      </w:pPr>
      <w:r>
        <w:rPr>
          <w:rFonts w:ascii="Times New Roman" w:cs="Times New Roman" w:eastAsia="Times New Roman" w:hAnsi="Times New Roman"/>
          <w:sz w:val="11"/>
          <w:szCs w:val="11"/>
          <w:color w:val="auto"/>
        </w:rPr>
        <w:t>Nokia applies hedge accounting on certain foreign exchange forward contracts, options or option strategies, and interest rate derivatives. Qualifying options and option strategies have zero net premium, or a net premium paid. For option structures, the critical terms of the purchased and written options are the same and the notional amount of the written option component is not greater than that of the purchased option.</w:t>
      </w:r>
    </w:p>
    <w:p>
      <w:pPr>
        <w:spacing w:after="0" w:line="53"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color w:val="auto"/>
        </w:rPr>
        <w:t>In the fair valuation of foreign exchange forward contracts,</w:t>
      </w:r>
    </w:p>
    <w:p>
      <w:pPr>
        <w:spacing w:after="0" w:line="22" w:lineRule="exact"/>
        <w:rPr>
          <w:sz w:val="20"/>
          <w:szCs w:val="20"/>
          <w:color w:val="auto"/>
        </w:rPr>
      </w:pPr>
    </w:p>
    <w:p>
      <w:pPr>
        <w:ind w:left="160"/>
        <w:spacing w:after="0" w:line="264" w:lineRule="auto"/>
        <w:rPr>
          <w:sz w:val="20"/>
          <w:szCs w:val="20"/>
          <w:color w:val="auto"/>
        </w:rPr>
      </w:pPr>
      <w:r>
        <w:rPr>
          <w:rFonts w:ascii="Times New Roman" w:cs="Times New Roman" w:eastAsia="Times New Roman" w:hAnsi="Times New Roman"/>
          <w:sz w:val="11"/>
          <w:szCs w:val="11"/>
          <w:color w:val="auto"/>
        </w:rPr>
        <w:t>Nokia separates the forward element and considers it to be the cost of hedging for foreign exchange forward contracts.</w:t>
      </w:r>
    </w:p>
    <w:p>
      <w:pPr>
        <w:ind w:left="160" w:right="180"/>
        <w:spacing w:after="0" w:line="264" w:lineRule="auto"/>
        <w:rPr>
          <w:sz w:val="20"/>
          <w:szCs w:val="20"/>
          <w:color w:val="auto"/>
        </w:rPr>
      </w:pPr>
      <w:r>
        <w:rPr>
          <w:rFonts w:ascii="Times New Roman" w:cs="Times New Roman" w:eastAsia="Times New Roman" w:hAnsi="Times New Roman"/>
          <w:sz w:val="11"/>
          <w:szCs w:val="11"/>
          <w:color w:val="auto"/>
        </w:rPr>
        <w:t>In the fair valuation of foreign exchange option contracts, Nokia separates the time value and considers it to be the cost of hedging for foreign exchange option contracts. In the fair valuation of cross-currency swaps, Nokia separates the foreign currency basis spread and considers it to be the cost of hedging for cross-currency swaps.</w:t>
      </w:r>
    </w:p>
    <w:p>
      <w:pPr>
        <w:spacing w:after="0" w:line="63" w:lineRule="exact"/>
        <w:rPr>
          <w:sz w:val="20"/>
          <w:szCs w:val="20"/>
          <w:color w:val="auto"/>
        </w:rPr>
      </w:pPr>
    </w:p>
    <w:p>
      <w:pPr>
        <w:ind w:left="160" w:right="60"/>
        <w:spacing w:after="0" w:line="269" w:lineRule="auto"/>
        <w:rPr>
          <w:sz w:val="20"/>
          <w:szCs w:val="20"/>
          <w:color w:val="auto"/>
        </w:rPr>
      </w:pPr>
      <w:r>
        <w:rPr>
          <w:rFonts w:ascii="Times New Roman" w:cs="Times New Roman" w:eastAsia="Times New Roman" w:hAnsi="Times New Roman"/>
          <w:sz w:val="11"/>
          <w:szCs w:val="11"/>
          <w:color w:val="auto"/>
        </w:rPr>
        <w:t>Hedge effectiveness is assessed at inception and subsequently on a quarterly basis during the hedge relationship to ensure that an economic relationship exists. As Nokia only enters in hedge relationships where the critical terms match, the assessment of effectiveness is done on a qualitative basis with no significant ineffectiveness expected.</w:t>
      </w:r>
    </w:p>
    <w:p>
      <w:pPr>
        <w:spacing w:after="0" w:line="20" w:lineRule="exact"/>
        <w:rPr>
          <w:sz w:val="20"/>
          <w:szCs w:val="20"/>
          <w:color w:val="auto"/>
        </w:rPr>
      </w:pPr>
      <w:r>
        <w:rPr>
          <w:sz w:val="20"/>
          <w:szCs w:val="20"/>
          <w:color w:val="auto"/>
        </w:rPr>
        <w:br w:type="column"/>
      </w:r>
    </w:p>
    <w:p>
      <w:pPr>
        <w:spacing w:after="0" w:line="38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Presentation in the statement of cash flows</w:t>
      </w:r>
    </w:p>
    <w:p>
      <w:pPr>
        <w:spacing w:after="0" w:line="19" w:lineRule="exact"/>
        <w:rPr>
          <w:sz w:val="20"/>
          <w:szCs w:val="20"/>
          <w:color w:val="auto"/>
        </w:rPr>
      </w:pPr>
    </w:p>
    <w:p>
      <w:pPr>
        <w:ind w:right="280"/>
        <w:spacing w:after="0" w:line="263" w:lineRule="auto"/>
        <w:rPr>
          <w:sz w:val="20"/>
          <w:szCs w:val="20"/>
          <w:color w:val="auto"/>
        </w:rPr>
      </w:pPr>
      <w:r>
        <w:rPr>
          <w:rFonts w:ascii="Times New Roman" w:cs="Times New Roman" w:eastAsia="Times New Roman" w:hAnsi="Times New Roman"/>
          <w:sz w:val="11"/>
          <w:szCs w:val="11"/>
          <w:color w:val="auto"/>
        </w:rPr>
        <w:t>The cash flows of a hedge are classified as cash flows from operating activities in cases where the underlying hedged items relate to Nokia’s operating activities. When a derivative contract is accounted for as a hedge of an identifiable position relating to financing or investing activities, the cash flows of the contract are classified in the same way as the cash flows of the position being hedged. Cash flows of derivatives used in hedging the foreign exchange risk of Nokia’s cash position are presented in cash flows from investing activities.</w:t>
      </w:r>
    </w:p>
    <w:p>
      <w:pPr>
        <w:spacing w:after="0" w:line="63" w:lineRule="exact"/>
        <w:rPr>
          <w:sz w:val="20"/>
          <w:szCs w:val="20"/>
          <w:color w:val="auto"/>
        </w:rPr>
      </w:pPr>
    </w:p>
    <w:p>
      <w:pPr>
        <w:ind w:right="500"/>
        <w:spacing w:after="0" w:line="267" w:lineRule="auto"/>
        <w:rPr>
          <w:sz w:val="20"/>
          <w:szCs w:val="20"/>
          <w:color w:val="auto"/>
        </w:rPr>
      </w:pPr>
      <w:r>
        <w:rPr>
          <w:rFonts w:ascii="Times New Roman" w:cs="Times New Roman" w:eastAsia="Times New Roman" w:hAnsi="Times New Roman"/>
          <w:sz w:val="11"/>
          <w:szCs w:val="11"/>
          <w:b w:val="1"/>
          <w:bCs w:val="1"/>
          <w:color w:val="auto"/>
        </w:rPr>
        <w:t>Cash flow hedges: hedging of forecast foreign currency denominated sales and purchases</w:t>
      </w:r>
    </w:p>
    <w:p>
      <w:pPr>
        <w:ind w:right="300"/>
        <w:spacing w:after="0" w:line="259" w:lineRule="auto"/>
        <w:rPr>
          <w:sz w:val="20"/>
          <w:szCs w:val="20"/>
          <w:color w:val="auto"/>
        </w:rPr>
      </w:pPr>
      <w:r>
        <w:rPr>
          <w:rFonts w:ascii="Times New Roman" w:cs="Times New Roman" w:eastAsia="Times New Roman" w:hAnsi="Times New Roman"/>
          <w:sz w:val="11"/>
          <w:szCs w:val="11"/>
          <w:color w:val="auto"/>
        </w:rPr>
        <w:t>Nokia applies cash flow hedge accounting primarily to foreign exchange exposure that arises from highly probable forecast</w:t>
      </w:r>
    </w:p>
    <w:p>
      <w:pPr>
        <w:spacing w:after="0" w:line="264" w:lineRule="auto"/>
        <w:rPr>
          <w:sz w:val="20"/>
          <w:szCs w:val="20"/>
          <w:color w:val="auto"/>
        </w:rPr>
      </w:pPr>
      <w:r>
        <w:rPr>
          <w:rFonts w:ascii="Times New Roman" w:cs="Times New Roman" w:eastAsia="Times New Roman" w:hAnsi="Times New Roman"/>
          <w:sz w:val="11"/>
          <w:szCs w:val="11"/>
          <w:color w:val="auto"/>
        </w:rPr>
        <w:t>operative business transactions. The risk management strategy is to hedge material net exposures (identified standard net</w:t>
      </w:r>
    </w:p>
    <w:p>
      <w:pPr>
        <w:ind w:right="260"/>
        <w:spacing w:after="0" w:line="264" w:lineRule="auto"/>
        <w:rPr>
          <w:sz w:val="20"/>
          <w:szCs w:val="20"/>
          <w:color w:val="auto"/>
        </w:rPr>
      </w:pPr>
      <w:r>
        <w:rPr>
          <w:rFonts w:ascii="Times New Roman" w:cs="Times New Roman" w:eastAsia="Times New Roman" w:hAnsi="Times New Roman"/>
          <w:sz w:val="11"/>
          <w:szCs w:val="11"/>
          <w:color w:val="auto"/>
        </w:rPr>
        <w:t>sales exposure minus identified standard costs exposure) by using foreign exchange forwards and foreign exchange options in a layered hedging style that follows defined hedging level ranges and hedge maturities in quarterly time buckets. The hedged item must be highly probable and present an exposure to variations in cash flows that could ultimately affect profit or loss.</w:t>
      </w:r>
    </w:p>
    <w:p>
      <w:pPr>
        <w:spacing w:after="0" w:line="63" w:lineRule="exact"/>
        <w:rPr>
          <w:sz w:val="20"/>
          <w:szCs w:val="20"/>
          <w:color w:val="auto"/>
        </w:rPr>
      </w:pPr>
    </w:p>
    <w:p>
      <w:pPr>
        <w:ind w:right="240"/>
        <w:spacing w:after="0" w:line="264" w:lineRule="auto"/>
        <w:rPr>
          <w:sz w:val="20"/>
          <w:szCs w:val="20"/>
          <w:color w:val="auto"/>
        </w:rPr>
      </w:pPr>
      <w:r>
        <w:rPr>
          <w:rFonts w:ascii="Times New Roman" w:cs="Times New Roman" w:eastAsia="Times New Roman" w:hAnsi="Times New Roman"/>
          <w:sz w:val="11"/>
          <w:szCs w:val="11"/>
          <w:color w:val="auto"/>
        </w:rPr>
        <w:t>For qualifying foreign exchange forwards and foreign exchange options, the change in fair value that reflects the change in spot exchange rates on a discounted basis is recognized in hedging reserve through other comprehensive income (refer to Note 5.1. Equity ). The changes in the forward element of the foreign exchange forwards and the time value of the options that relate to hedged items are deferred in the cost of hedging reserve through other comprehensive income (refer to Note 5.1. Equity ) and are subsequently accounted for in the same way as the spot element or intrinsic value.</w:t>
      </w:r>
    </w:p>
    <w:p>
      <w:pPr>
        <w:spacing w:after="0" w:line="65" w:lineRule="exact"/>
        <w:rPr>
          <w:sz w:val="20"/>
          <w:szCs w:val="20"/>
          <w:color w:val="auto"/>
        </w:rPr>
      </w:pPr>
    </w:p>
    <w:p>
      <w:pPr>
        <w:ind w:right="500"/>
        <w:spacing w:after="0" w:line="265" w:lineRule="auto"/>
        <w:rPr>
          <w:sz w:val="20"/>
          <w:szCs w:val="20"/>
          <w:color w:val="auto"/>
        </w:rPr>
      </w:pPr>
      <w:r>
        <w:rPr>
          <w:rFonts w:ascii="Times New Roman" w:cs="Times New Roman" w:eastAsia="Times New Roman" w:hAnsi="Times New Roman"/>
          <w:sz w:val="11"/>
          <w:szCs w:val="11"/>
          <w:color w:val="auto"/>
        </w:rPr>
        <w:t>In each quarter, Nokia evaluates whether the forecast sales and purchases are still expected to occur. If a portion of the hedged cash flow is no longer expected to occur, the hedge accounting criteria are no longer met and all related deferred gains or losses are derecognized from fair value and other reserves and recognized in other operating income and expenses in the income statement.</w:t>
      </w:r>
    </w:p>
    <w:p>
      <w:pPr>
        <w:spacing w:after="0" w:line="20" w:lineRule="exact"/>
        <w:rPr>
          <w:sz w:val="20"/>
          <w:szCs w:val="20"/>
          <w:color w:val="auto"/>
        </w:rPr>
      </w:pPr>
      <w:r>
        <w:rPr>
          <w:sz w:val="20"/>
          <w:szCs w:val="20"/>
          <w:color w:val="auto"/>
        </w:rPr>
        <w:br w:type="column"/>
      </w:r>
    </w:p>
    <w:p>
      <w:pPr>
        <w:spacing w:after="0" w:line="390" w:lineRule="exact"/>
        <w:rPr>
          <w:sz w:val="20"/>
          <w:szCs w:val="20"/>
          <w:color w:val="auto"/>
        </w:rPr>
      </w:pPr>
    </w:p>
    <w:p>
      <w:pPr>
        <w:ind w:right="420"/>
        <w:spacing w:after="0" w:line="269" w:lineRule="auto"/>
        <w:rPr>
          <w:sz w:val="20"/>
          <w:szCs w:val="20"/>
          <w:color w:val="auto"/>
        </w:rPr>
      </w:pPr>
      <w:r>
        <w:rPr>
          <w:rFonts w:ascii="Times New Roman" w:cs="Times New Roman" w:eastAsia="Times New Roman" w:hAnsi="Times New Roman"/>
          <w:sz w:val="11"/>
          <w:szCs w:val="11"/>
          <w:color w:val="auto"/>
        </w:rPr>
        <w:t>If the hedged cash flow ceases to be highly probable, but is still expected to occur, accumulated gains and losses remain in fair value and other reserves until the hedged cash flow affects profit or loss.</w:t>
      </w:r>
    </w:p>
    <w:p>
      <w:pPr>
        <w:spacing w:after="0" w:line="60" w:lineRule="exact"/>
        <w:rPr>
          <w:sz w:val="20"/>
          <w:szCs w:val="20"/>
          <w:color w:val="auto"/>
        </w:rPr>
      </w:pPr>
    </w:p>
    <w:p>
      <w:pPr>
        <w:ind w:right="420"/>
        <w:spacing w:after="0" w:line="263" w:lineRule="auto"/>
        <w:rPr>
          <w:sz w:val="20"/>
          <w:szCs w:val="20"/>
          <w:color w:val="auto"/>
        </w:rPr>
      </w:pPr>
      <w:r>
        <w:rPr>
          <w:rFonts w:ascii="Times New Roman" w:cs="Times New Roman" w:eastAsia="Times New Roman" w:hAnsi="Times New Roman"/>
          <w:sz w:val="11"/>
          <w:szCs w:val="11"/>
          <w:color w:val="auto"/>
        </w:rPr>
        <w:t>Nokia’s risk management objective is to hedge forecast cash flows until the related revenue has been recognized. Each hedge relationship is discontinued during the quarter when the hedge matures, which is also the quarter that it had been designated to hedge. At this point, the accumulated gain or loss of cash flow hedges is reclassified to other operating income and expenses in the income statement.</w:t>
      </w:r>
    </w:p>
    <w:p>
      <w:pPr>
        <w:spacing w:after="0" w:line="2" w:lineRule="exact"/>
        <w:rPr>
          <w:sz w:val="20"/>
          <w:szCs w:val="20"/>
          <w:color w:val="auto"/>
        </w:rPr>
      </w:pPr>
    </w:p>
    <w:p>
      <w:pPr>
        <w:ind w:right="500"/>
        <w:spacing w:after="0" w:line="268" w:lineRule="auto"/>
        <w:rPr>
          <w:sz w:val="20"/>
          <w:szCs w:val="20"/>
          <w:color w:val="auto"/>
        </w:rPr>
      </w:pPr>
      <w:r>
        <w:rPr>
          <w:rFonts w:ascii="Times New Roman" w:cs="Times New Roman" w:eastAsia="Times New Roman" w:hAnsi="Times New Roman"/>
          <w:sz w:val="11"/>
          <w:szCs w:val="11"/>
          <w:color w:val="auto"/>
        </w:rPr>
        <w:t>In cases where the forecast amount of revenue is not recognized during a quarter, the full accumulated gain or loss of cash flow hedges designated for said quarter is still reclassified and the portion related to forecast revenue that was not recognized is disclosed as hedge ineffectiveness.</w:t>
      </w:r>
    </w:p>
    <w:p>
      <w:pPr>
        <w:spacing w:after="0" w:line="50"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As cash flow hedges primarily mature in the same quarter as the hedged item, there is no significant ineffectiveness resulting from the time value of money. Nokia will validate the magnitude of the impact of discounting related to the amount of gain or loss recognized in fair value and other reserves on a quarterly basis.</w:t>
      </w:r>
    </w:p>
    <w:p>
      <w:pPr>
        <w:spacing w:after="0" w:line="58" w:lineRule="exact"/>
        <w:rPr>
          <w:sz w:val="20"/>
          <w:szCs w:val="20"/>
          <w:color w:val="auto"/>
        </w:rPr>
      </w:pPr>
    </w:p>
    <w:p>
      <w:pPr>
        <w:ind w:right="660"/>
        <w:spacing w:after="0" w:line="267" w:lineRule="auto"/>
        <w:rPr>
          <w:sz w:val="20"/>
          <w:szCs w:val="20"/>
          <w:color w:val="auto"/>
        </w:rPr>
      </w:pPr>
      <w:r>
        <w:rPr>
          <w:rFonts w:ascii="Times New Roman" w:cs="Times New Roman" w:eastAsia="Times New Roman" w:hAnsi="Times New Roman"/>
          <w:sz w:val="11"/>
          <w:szCs w:val="11"/>
          <w:b w:val="1"/>
          <w:bCs w:val="1"/>
          <w:color w:val="auto"/>
        </w:rPr>
        <w:t>Cash flow and fair value hedges: hedging of foreign exchange risk of future interest cash flows</w:t>
      </w:r>
    </w:p>
    <w:p>
      <w:pPr>
        <w:ind w:right="400"/>
        <w:spacing w:after="0" w:line="262" w:lineRule="auto"/>
        <w:rPr>
          <w:sz w:val="20"/>
          <w:szCs w:val="20"/>
          <w:color w:val="auto"/>
        </w:rPr>
      </w:pPr>
      <w:r>
        <w:rPr>
          <w:rFonts w:ascii="Times New Roman" w:cs="Times New Roman" w:eastAsia="Times New Roman" w:hAnsi="Times New Roman"/>
          <w:sz w:val="11"/>
          <w:szCs w:val="11"/>
          <w:color w:val="auto"/>
        </w:rPr>
        <w:t>Nokia also applies cash flow hedging to future interest cash flows in foreign currency related to issued bonds. These future interest cash flows are hedged with cross-currency swaps that have been bifurcated and designated partly as fair value hedges (see Fair value hedges: hedging of interest rate exposure below) to hedge both the foreign exchange and interest rate benchmark risk component of the issued bond, and partly as cash flow hedges to hedge the foreign exchange risk related to the remaining portion of interest cash flows on the issued bond. The accumulated gain or loss for the part of these cross-currency swaps designated as cash flow hedges is initially recorded in hedging reserve through other comprehensive income and reclassified to profit or loss at the time when the related interest cash flows are settled.</w:t>
      </w:r>
    </w:p>
    <w:p>
      <w:pPr>
        <w:spacing w:after="0" w:line="340" w:lineRule="exact"/>
        <w:rPr>
          <w:sz w:val="20"/>
          <w:szCs w:val="20"/>
          <w:color w:val="auto"/>
        </w:rPr>
      </w:pPr>
    </w:p>
    <w:p>
      <w:pPr>
        <w:sectPr>
          <w:pgSz w:w="11900" w:h="16838" w:orient="portrait"/>
          <w:cols w:equalWidth="0" w:num="3">
            <w:col w:w="3040" w:space="360"/>
            <w:col w:w="3180" w:space="220"/>
            <w:col w:w="3180"/>
          </w:cols>
          <w:pgMar w:left="960" w:top="409" w:right="959" w:bottom="1440" w:gutter="0" w:footer="0" w:header="0"/>
          <w:type w:val="continuous"/>
        </w:sectPr>
      </w:pPr>
    </w:p>
    <w:p>
      <w:pPr>
        <w:spacing w:after="0" w:line="1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09" w:right="959" w:bottom="1440" w:gutter="0" w:footer="0" w:header="0"/>
          <w:type w:val="continuous"/>
        </w:sectPr>
      </w:pPr>
    </w:p>
    <w:bookmarkStart w:id="197" w:name="page198"/>
    <w:bookmarkEnd w:id="197"/>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190</w:t>
      </w:r>
    </w:p>
    <w:p>
      <w:pPr>
        <w:spacing w:after="0" w:line="265" w:lineRule="exact"/>
        <w:rPr>
          <w:sz w:val="20"/>
          <w:szCs w:val="20"/>
          <w:color w:val="auto"/>
        </w:rPr>
      </w:pPr>
    </w:p>
    <w:p>
      <w:pPr>
        <w:sectPr>
          <w:pgSz w:w="11900" w:h="16838" w:orient="portrait"/>
          <w:cols w:equalWidth="0" w:num="2">
            <w:col w:w="9080" w:space="720"/>
            <w:col w:w="180"/>
          </w:cols>
          <w:pgMar w:left="960" w:top="410" w:right="959" w:bottom="1440" w:gutter="0" w:footer="0" w:header="0"/>
        </w:sect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0" w:lineRule="exact"/>
        <w:rPr>
          <w:sz w:val="20"/>
          <w:szCs w:val="20"/>
          <w:color w:val="auto"/>
        </w:rPr>
      </w:pPr>
    </w:p>
    <w:p>
      <w:pPr>
        <w:spacing w:after="0" w:line="22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1"/>
          <w:szCs w:val="11"/>
          <w:b w:val="1"/>
          <w:bCs w:val="1"/>
          <w:color w:val="auto"/>
        </w:rPr>
        <w:t>Fair value hedges: hedging of interest rate exposure</w:t>
      </w:r>
    </w:p>
    <w:p>
      <w:pPr>
        <w:spacing w:after="0" w:line="24" w:lineRule="exact"/>
        <w:rPr>
          <w:sz w:val="20"/>
          <w:szCs w:val="20"/>
          <w:color w:val="auto"/>
        </w:rPr>
      </w:pPr>
    </w:p>
    <w:p>
      <w:pPr>
        <w:ind w:left="160" w:right="360"/>
        <w:spacing w:after="0" w:line="266" w:lineRule="auto"/>
        <w:rPr>
          <w:sz w:val="20"/>
          <w:szCs w:val="20"/>
          <w:color w:val="auto"/>
        </w:rPr>
      </w:pPr>
      <w:r>
        <w:rPr>
          <w:rFonts w:ascii="Times New Roman" w:cs="Times New Roman" w:eastAsia="Times New Roman" w:hAnsi="Times New Roman"/>
          <w:sz w:val="11"/>
          <w:szCs w:val="11"/>
          <w:color w:val="auto"/>
        </w:rPr>
        <w:t>Nokia applies fair value hedge accounting to reduce exposure to fair value fluctuations of interest-bearing liabilities due to changes in interest rates and foreign exchange rates. Nokia uses interest rate swaps and cross-currency swaps aligned with the hedged items to hedge interest rate risk and associated foreign exchange risk.</w:t>
      </w:r>
    </w:p>
    <w:p>
      <w:pPr>
        <w:spacing w:after="0" w:line="63" w:lineRule="exact"/>
        <w:rPr>
          <w:sz w:val="20"/>
          <w:szCs w:val="20"/>
          <w:color w:val="auto"/>
        </w:rPr>
      </w:pPr>
    </w:p>
    <w:p>
      <w:pPr>
        <w:ind w:left="160" w:right="180"/>
        <w:spacing w:after="0" w:line="263" w:lineRule="auto"/>
        <w:rPr>
          <w:sz w:val="20"/>
          <w:szCs w:val="20"/>
          <w:color w:val="auto"/>
        </w:rPr>
      </w:pPr>
      <w:r>
        <w:rPr>
          <w:rFonts w:ascii="Times New Roman" w:cs="Times New Roman" w:eastAsia="Times New Roman" w:hAnsi="Times New Roman"/>
          <w:sz w:val="11"/>
          <w:szCs w:val="11"/>
          <w:color w:val="auto"/>
        </w:rPr>
        <w:t>Nokia has entered into long-term borrowings mainly at fixed rates and has swapped most of them into floating rates in line with a defined target interest profile. Nokia aims to mitigate the adverse impacts from interest rate fluctuations by continuously managing net interest exposure resulting from financial assets and liabilities by setting appropriate risk management benchmarks and risk limits. The hedged item is identified as a proportion of the outstanding loans up to the notional amount of the swaps as appropriate to achieve the risk management objective. Nokia enters into interest rate swaps that have similar critical terms to the hedged item, such as reference rate, reset dates, payment dates, maturities and notional amount and hence Nokia expects that there will be no significant ineffectiveness. Nokia has not entered into interest rate swaps where it would be paying fixed rates.</w:t>
      </w:r>
    </w:p>
    <w:p>
      <w:pPr>
        <w:spacing w:after="0" w:line="196" w:lineRule="exact"/>
        <w:rPr>
          <w:sz w:val="20"/>
          <w:szCs w:val="20"/>
          <w:color w:val="auto"/>
        </w:rPr>
      </w:pPr>
    </w:p>
    <w:p>
      <w:pPr>
        <w:ind w:left="160" w:right="180"/>
        <w:spacing w:after="0" w:line="262" w:lineRule="auto"/>
        <w:rPr>
          <w:sz w:val="20"/>
          <w:szCs w:val="20"/>
          <w:color w:val="auto"/>
        </w:rPr>
      </w:pPr>
      <w:r>
        <w:rPr>
          <w:rFonts w:ascii="Times New Roman" w:cs="Times New Roman" w:eastAsia="Times New Roman" w:hAnsi="Times New Roman"/>
          <w:sz w:val="11"/>
          <w:szCs w:val="11"/>
          <w:color w:val="auto"/>
        </w:rPr>
        <w:t>Nokia’s borrowings are carried at amortized cost. Changes in the fair value of derivatives designated and qualifying as fair value hedges, together with any changes in the fair value of hedged liabilities attributable to the hedged risk, are recorded in financial income and expenses in the income statement. Nokia separates the foreign currency basis spread from cross-currency swaps and excludes it from the hedged risk as cost of hedging that is initially recognized and subsequently measured at fair value and recorded in the cost of hedging reserve through other comprehensive income. If a hedge relationship no longer meets the criteria for hedge accounting, hedge accounting ceases, the cost</w:t>
      </w:r>
    </w:p>
    <w:p>
      <w:pPr>
        <w:spacing w:after="0" w:line="3" w:lineRule="exact"/>
        <w:rPr>
          <w:sz w:val="20"/>
          <w:szCs w:val="20"/>
          <w:color w:val="auto"/>
        </w:rPr>
      </w:pPr>
    </w:p>
    <w:p>
      <w:pPr>
        <w:ind w:left="160" w:right="260"/>
        <w:spacing w:after="0" w:line="264" w:lineRule="auto"/>
        <w:rPr>
          <w:sz w:val="20"/>
          <w:szCs w:val="20"/>
          <w:color w:val="auto"/>
        </w:rPr>
      </w:pPr>
      <w:r>
        <w:rPr>
          <w:rFonts w:ascii="Times New Roman" w:cs="Times New Roman" w:eastAsia="Times New Roman" w:hAnsi="Times New Roman"/>
          <w:sz w:val="11"/>
          <w:szCs w:val="11"/>
          <w:color w:val="auto"/>
        </w:rPr>
        <w:t>of hedging recorded in the cost of hedging reserve is immediately expensed and any fair value adjustments made to the carrying amount of the hedged item while the hedge was effective are recognized in financial income and expenses in the income statement based on the effective interest method.</w:t>
      </w:r>
    </w:p>
    <w:p>
      <w:pPr>
        <w:spacing w:after="0" w:line="200" w:lineRule="exact"/>
        <w:rPr>
          <w:sz w:val="20"/>
          <w:szCs w:val="20"/>
          <w:color w:val="auto"/>
        </w:rPr>
      </w:pPr>
    </w:p>
    <w:p>
      <w:pPr>
        <w:spacing w:after="0" w:line="200" w:lineRule="exact"/>
        <w:rPr>
          <w:sz w:val="20"/>
          <w:szCs w:val="20"/>
          <w:color w:val="auto"/>
        </w:rPr>
      </w:pPr>
    </w:p>
    <w:p>
      <w:pPr>
        <w:spacing w:after="0" w:line="2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35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Fair value hedges: hedging of foreign exchange exposure</w:t>
      </w:r>
    </w:p>
    <w:p>
      <w:pPr>
        <w:spacing w:after="0" w:line="24"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In certain cases, mainly related to long-term construction projects, Nokia applies fair value hedge accounting for foreign exchange risk with the objective to reduce the exposure to fluctuations in the fair value of firm commitments due to changes in foreign exchange rates. The change in fair value that reflects the change in spot exchange rates of the foreign exchange forwards designated and qualifying as fair value hedges, together with any changes in the fair value of the hedged firm commitments attributable to the hedged risk, are recorded in financial income and expenses in the income statement.</w:t>
      </w:r>
    </w:p>
    <w:p>
      <w:pPr>
        <w:spacing w:after="0" w:line="200"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At the end of the hedge relationship the accumulated changes in the spot element of qualifying fair value hedges are recorded as adjustments to net sales or cost of sales in the income statement according to the hedge designation. The changes</w:t>
      </w:r>
    </w:p>
    <w:p>
      <w:pPr>
        <w:ind w:right="80"/>
        <w:spacing w:after="0" w:line="266" w:lineRule="auto"/>
        <w:rPr>
          <w:sz w:val="20"/>
          <w:szCs w:val="20"/>
          <w:color w:val="auto"/>
        </w:rPr>
      </w:pPr>
      <w:r>
        <w:rPr>
          <w:rFonts w:ascii="Times New Roman" w:cs="Times New Roman" w:eastAsia="Times New Roman" w:hAnsi="Times New Roman"/>
          <w:sz w:val="11"/>
          <w:szCs w:val="11"/>
          <w:color w:val="auto"/>
        </w:rPr>
        <w:t>in the forward element of the foreign exchange forwards that relate to hedged items are deferred in the cost of hedging reserve through other comprehensive income and reclassified to other operating income and expenses in the income statement at the end of the hedge relationship.</w:t>
      </w:r>
    </w:p>
    <w:p>
      <w:pPr>
        <w:spacing w:after="0" w:line="5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Hedges of net investments in foreign operations</w:t>
      </w:r>
    </w:p>
    <w:p>
      <w:pPr>
        <w:spacing w:after="0" w:line="24" w:lineRule="exact"/>
        <w:rPr>
          <w:sz w:val="20"/>
          <w:szCs w:val="20"/>
          <w:color w:val="auto"/>
        </w:rPr>
      </w:pPr>
    </w:p>
    <w:p>
      <w:pPr>
        <w:ind w:right="80"/>
        <w:spacing w:after="0" w:line="264" w:lineRule="auto"/>
        <w:rPr>
          <w:sz w:val="20"/>
          <w:szCs w:val="20"/>
          <w:color w:val="auto"/>
        </w:rPr>
      </w:pPr>
      <w:r>
        <w:rPr>
          <w:rFonts w:ascii="Times New Roman" w:cs="Times New Roman" w:eastAsia="Times New Roman" w:hAnsi="Times New Roman"/>
          <w:sz w:val="11"/>
          <w:szCs w:val="11"/>
          <w:color w:val="auto"/>
        </w:rPr>
        <w:t>Nokia applies hedge accounting for its foreign currency hedging of selected net investments. The hedged item can be an amount equal to or less than the carrying amount of the net assets of the foreign operation in the statement of financial position. The risk management strategy is to protect the euro counter value of the portion of this exposure expected to materialize as non-euro cash repatriation in the foreseeable future.</w:t>
      </w:r>
    </w:p>
    <w:p>
      <w:pPr>
        <w:spacing w:after="0" w:line="53" w:lineRule="exact"/>
        <w:rPr>
          <w:sz w:val="20"/>
          <w:szCs w:val="20"/>
          <w:color w:val="auto"/>
        </w:rPr>
      </w:pPr>
    </w:p>
    <w:p>
      <w:pPr>
        <w:ind w:right="140"/>
        <w:spacing w:after="0" w:line="266" w:lineRule="auto"/>
        <w:rPr>
          <w:sz w:val="20"/>
          <w:szCs w:val="20"/>
          <w:color w:val="auto"/>
        </w:rPr>
      </w:pPr>
      <w:r>
        <w:rPr>
          <w:rFonts w:ascii="Times New Roman" w:cs="Times New Roman" w:eastAsia="Times New Roman" w:hAnsi="Times New Roman"/>
          <w:sz w:val="11"/>
          <w:szCs w:val="11"/>
          <w:color w:val="auto"/>
        </w:rPr>
        <w:t>For qualifying foreign exchange forwards, foreign exchange options and option strategies, the change in fair value that reflects the change in spot exchange rates is recognized in translation differences in shareholders’ equity (refer to Note</w:t>
      </w:r>
    </w:p>
    <w:p>
      <w:pPr>
        <w:spacing w:after="0" w:line="2" w:lineRule="exact"/>
        <w:rPr>
          <w:sz w:val="20"/>
          <w:szCs w:val="20"/>
          <w:color w:val="auto"/>
        </w:rPr>
      </w:pPr>
    </w:p>
    <w:p>
      <w:pPr>
        <w:ind w:right="20"/>
        <w:spacing w:after="0" w:line="263" w:lineRule="auto"/>
        <w:rPr>
          <w:sz w:val="20"/>
          <w:szCs w:val="20"/>
          <w:color w:val="auto"/>
        </w:rPr>
      </w:pPr>
      <w:r>
        <w:rPr>
          <w:rFonts w:ascii="Times New Roman" w:cs="Times New Roman" w:eastAsia="Times New Roman" w:hAnsi="Times New Roman"/>
          <w:sz w:val="11"/>
          <w:szCs w:val="11"/>
          <w:color w:val="auto"/>
        </w:rPr>
        <w:t>5.1. Equity ). The changes in the forward element of foreign exchange forwards as well as the changes in the time value of options (collectively known as the “cost of hedging”) is recognized in the cost of hedging reserve through other comprehensive income. The cost of hedging at the date of designation of the foreign exchange forward or option contract as a hedging instrument is amortized to financial income and expenses in the income statement over the duration of the contract. Hence, in each reporting period, the change in fair value of the forward element of the foreign exchange forward</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356" w:lineRule="exact"/>
        <w:rPr>
          <w:sz w:val="20"/>
          <w:szCs w:val="20"/>
          <w:color w:val="auto"/>
        </w:rPr>
      </w:pPr>
    </w:p>
    <w:p>
      <w:pPr>
        <w:ind w:right="460"/>
        <w:spacing w:after="0" w:line="274" w:lineRule="auto"/>
        <w:rPr>
          <w:sz w:val="20"/>
          <w:szCs w:val="20"/>
          <w:color w:val="auto"/>
        </w:rPr>
      </w:pPr>
      <w:r>
        <w:rPr>
          <w:rFonts w:ascii="Times New Roman" w:cs="Times New Roman" w:eastAsia="Times New Roman" w:hAnsi="Times New Roman"/>
          <w:sz w:val="11"/>
          <w:szCs w:val="11"/>
          <w:color w:val="auto"/>
        </w:rPr>
        <w:t>contract or the time value of the option contract is recorded in the cost of hedging reserve through other comprehensive</w:t>
      </w:r>
    </w:p>
    <w:p>
      <w:pPr>
        <w:spacing w:after="0" w:line="1" w:lineRule="exact"/>
        <w:rPr>
          <w:sz w:val="20"/>
          <w:szCs w:val="20"/>
          <w:color w:val="auto"/>
        </w:rPr>
      </w:pPr>
    </w:p>
    <w:p>
      <w:pPr>
        <w:spacing w:after="0"/>
        <w:tabs>
          <w:tab w:leader="none" w:pos="2120" w:val="left"/>
        </w:tabs>
        <w:rPr>
          <w:sz w:val="20"/>
          <w:szCs w:val="20"/>
          <w:color w:val="auto"/>
        </w:rPr>
      </w:pPr>
      <w:r>
        <w:rPr>
          <w:rFonts w:ascii="Times New Roman" w:cs="Times New Roman" w:eastAsia="Times New Roman" w:hAnsi="Times New Roman"/>
          <w:sz w:val="11"/>
          <w:szCs w:val="11"/>
          <w:color w:val="auto"/>
        </w:rPr>
        <w:t>income, while the amortization amount is</w:t>
      </w:r>
      <w:r>
        <w:rPr>
          <w:sz w:val="20"/>
          <w:szCs w:val="20"/>
          <w:color w:val="auto"/>
        </w:rPr>
        <w:tab/>
      </w:r>
      <w:r>
        <w:rPr>
          <w:rFonts w:ascii="Times New Roman" w:cs="Times New Roman" w:eastAsia="Times New Roman" w:hAnsi="Times New Roman"/>
          <w:sz w:val="11"/>
          <w:szCs w:val="11"/>
          <w:color w:val="auto"/>
        </w:rPr>
        <w:t>reclassified  from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cost of hedging reserve to profit or loss.</w:t>
      </w:r>
    </w:p>
    <w:p>
      <w:pPr>
        <w:spacing w:after="0" w:line="84" w:lineRule="exact"/>
        <w:rPr>
          <w:sz w:val="20"/>
          <w:szCs w:val="20"/>
          <w:color w:val="auto"/>
        </w:rPr>
      </w:pPr>
    </w:p>
    <w:p>
      <w:pPr>
        <w:ind w:right="420"/>
        <w:spacing w:after="0" w:line="275" w:lineRule="auto"/>
        <w:rPr>
          <w:sz w:val="20"/>
          <w:szCs w:val="20"/>
          <w:color w:val="auto"/>
        </w:rPr>
      </w:pPr>
      <w:r>
        <w:rPr>
          <w:rFonts w:ascii="Times New Roman" w:cs="Times New Roman" w:eastAsia="Times New Roman" w:hAnsi="Times New Roman"/>
          <w:sz w:val="11"/>
          <w:szCs w:val="11"/>
          <w:color w:val="auto"/>
        </w:rPr>
        <w:t>The cumulative amount or proportionate share of changes in the fair value of qualifying hedges deferred in translation differences is recognized as gain or loss on disposal of all or part of a foreign subsidiary.</w:t>
      </w:r>
    </w:p>
    <w:p>
      <w:pPr>
        <w:spacing w:after="0" w:line="45" w:lineRule="exact"/>
        <w:rPr>
          <w:sz w:val="20"/>
          <w:szCs w:val="20"/>
          <w:color w:val="auto"/>
        </w:rPr>
      </w:pPr>
    </w:p>
    <w:p>
      <w:pPr>
        <w:ind w:right="400"/>
        <w:spacing w:after="0" w:line="267" w:lineRule="auto"/>
        <w:rPr>
          <w:sz w:val="20"/>
          <w:szCs w:val="20"/>
          <w:color w:val="auto"/>
        </w:rPr>
      </w:pPr>
      <w:r>
        <w:rPr>
          <w:rFonts w:ascii="Times New Roman" w:cs="Times New Roman" w:eastAsia="Times New Roman" w:hAnsi="Times New Roman"/>
          <w:sz w:val="11"/>
          <w:szCs w:val="11"/>
          <w:b w:val="1"/>
          <w:bCs w:val="1"/>
          <w:color w:val="auto"/>
        </w:rPr>
        <w:t xml:space="preserve">Derivatives not designated in hedge accounting relationships carried at fair value through profit and loss </w:t>
      </w:r>
      <w:r>
        <w:rPr>
          <w:rFonts w:ascii="Times New Roman" w:cs="Times New Roman" w:eastAsia="Times New Roman" w:hAnsi="Times New Roman"/>
          <w:sz w:val="11"/>
          <w:szCs w:val="11"/>
          <w:color w:val="auto"/>
        </w:rPr>
        <w:t>For derivatives not designated under hedge accounting, but</w:t>
      </w:r>
    </w:p>
    <w:p>
      <w:pPr>
        <w:spacing w:after="0" w:line="1" w:lineRule="exact"/>
        <w:rPr>
          <w:sz w:val="20"/>
          <w:szCs w:val="20"/>
          <w:color w:val="auto"/>
        </w:rPr>
      </w:pPr>
    </w:p>
    <w:p>
      <w:pPr>
        <w:ind w:right="400"/>
        <w:spacing w:after="0" w:line="266" w:lineRule="auto"/>
        <w:rPr>
          <w:sz w:val="20"/>
          <w:szCs w:val="20"/>
          <w:color w:val="auto"/>
        </w:rPr>
      </w:pPr>
      <w:r>
        <w:rPr>
          <w:rFonts w:ascii="Times New Roman" w:cs="Times New Roman" w:eastAsia="Times New Roman" w:hAnsi="Times New Roman"/>
          <w:sz w:val="11"/>
          <w:szCs w:val="11"/>
          <w:color w:val="auto"/>
        </w:rPr>
        <w:t>hedging identifiable forecast exposures such as anticipated foreign currency denominated sales and purchases, the gains and losses are recognized in other operating income and expenses in the income statement. The gains and losses on all other derivatives not designated under hedge accounting are recognized in financial income and expenses.</w:t>
      </w:r>
    </w:p>
    <w:p>
      <w:pPr>
        <w:spacing w:after="0" w:line="63" w:lineRule="exact"/>
        <w:rPr>
          <w:sz w:val="20"/>
          <w:szCs w:val="20"/>
          <w:color w:val="auto"/>
        </w:rPr>
      </w:pPr>
    </w:p>
    <w:p>
      <w:pPr>
        <w:ind w:right="480"/>
        <w:spacing w:after="0" w:line="265" w:lineRule="auto"/>
        <w:rPr>
          <w:sz w:val="20"/>
          <w:szCs w:val="20"/>
          <w:color w:val="auto"/>
        </w:rPr>
      </w:pPr>
      <w:r>
        <w:rPr>
          <w:rFonts w:ascii="Times New Roman" w:cs="Times New Roman" w:eastAsia="Times New Roman" w:hAnsi="Times New Roman"/>
          <w:sz w:val="11"/>
          <w:szCs w:val="11"/>
          <w:color w:val="auto"/>
        </w:rPr>
        <w:t>Embedded derivatives included in contracts are identified and monitored by Nokia. For host contracts that are not financial assets containing embedded derivatives that are not closely related, the embedded derivatives are separated and measured at fair value at each reporting date with changes in fair value recognized in financial income and expenses in the income statement. For host contracts that are financial assets containing embedded derivatives, the whole contract is measured at fair value at each reporting date with changes in fair value recognized in financial income and expenses in the income statement.</w:t>
      </w:r>
    </w:p>
    <w:p>
      <w:pPr>
        <w:sectPr>
          <w:pgSz w:w="11900" w:h="16838" w:orient="portrait"/>
          <w:cols w:equalWidth="0" w:num="3">
            <w:col w:w="3120" w:space="280"/>
            <w:col w:w="2900" w:space="500"/>
            <w:col w:w="3180"/>
          </w:cols>
          <w:pgMar w:left="960" w:top="410" w:right="959" w:bottom="1440" w:gutter="0" w:footer="0" w:header="0"/>
          <w:type w:val="continuous"/>
        </w:sectPr>
      </w:pPr>
    </w:p>
    <w:bookmarkStart w:id="198" w:name="page199"/>
    <w:bookmarkEnd w:id="198"/>
    <w:tbl>
      <w:tblPr>
        <w:tblLayout w:type="fixed"/>
        <w:tblInd w:w="0" w:type="dxa"/>
        <w:tblCellMar>
          <w:top w:w="0" w:type="dxa"/>
          <w:left w:w="0" w:type="dxa"/>
          <w:bottom w:w="0" w:type="dxa"/>
          <w:right w:w="0" w:type="dxa"/>
        </w:tblCellMar>
      </w:tblPr>
      <w:tr>
        <w:trPr>
          <w:trHeight w:val="111"/>
        </w:trPr>
        <w:tc>
          <w:tcPr>
            <w:tcW w:w="92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580" w:type="dxa"/>
            <w:vAlign w:val="bottom"/>
          </w:tcPr>
          <w:p>
            <w:pPr>
              <w:spacing w:after="0"/>
              <w:rPr>
                <w:sz w:val="20"/>
                <w:szCs w:val="20"/>
                <w:color w:val="auto"/>
              </w:rPr>
            </w:pPr>
            <w:r>
              <w:rPr>
                <w:rFonts w:ascii="Times New Roman" w:cs="Times New Roman" w:eastAsia="Times New Roman" w:hAnsi="Times New Roman"/>
                <w:sz w:val="9"/>
                <w:szCs w:val="9"/>
                <w:color w:val="auto"/>
              </w:rPr>
              <w:t>Corporate</w:t>
            </w:r>
          </w:p>
        </w:tc>
        <w:tc>
          <w:tcPr>
            <w:tcW w:w="1760" w:type="dxa"/>
            <w:vAlign w:val="bottom"/>
            <w:gridSpan w:val="2"/>
          </w:tcPr>
          <w:p>
            <w:pPr>
              <w:ind w:left="44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7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460" w:type="dxa"/>
            <w:vAlign w:val="bottom"/>
          </w:tcPr>
          <w:p>
            <w:pPr>
              <w:spacing w:after="0"/>
              <w:rPr>
                <w:sz w:val="9"/>
                <w:szCs w:val="9"/>
                <w:color w:val="auto"/>
              </w:rPr>
            </w:pPr>
          </w:p>
        </w:tc>
        <w:tc>
          <w:tcPr>
            <w:tcW w:w="40" w:type="dxa"/>
            <w:vAlign w:val="bottom"/>
          </w:tcPr>
          <w:p>
            <w:pPr>
              <w:spacing w:after="0"/>
              <w:rPr>
                <w:sz w:val="9"/>
                <w:szCs w:val="9"/>
                <w:color w:val="auto"/>
              </w:rPr>
            </w:pPr>
          </w:p>
        </w:tc>
        <w:tc>
          <w:tcPr>
            <w:tcW w:w="100" w:type="dxa"/>
            <w:vAlign w:val="bottom"/>
          </w:tcPr>
          <w:p>
            <w:pPr>
              <w:spacing w:after="0"/>
              <w:rPr>
                <w:sz w:val="9"/>
                <w:szCs w:val="9"/>
                <w:color w:val="auto"/>
              </w:rPr>
            </w:pPr>
          </w:p>
        </w:tc>
        <w:tc>
          <w:tcPr>
            <w:tcW w:w="700" w:type="dxa"/>
            <w:vAlign w:val="bottom"/>
          </w:tcPr>
          <w:p>
            <w:pPr>
              <w:spacing w:after="0"/>
              <w:rPr>
                <w:sz w:val="9"/>
                <w:szCs w:val="9"/>
                <w:color w:val="auto"/>
              </w:rPr>
            </w:pPr>
          </w:p>
        </w:tc>
        <w:tc>
          <w:tcPr>
            <w:tcW w:w="440" w:type="dxa"/>
            <w:vAlign w:val="bottom"/>
          </w:tcPr>
          <w:p>
            <w:pPr>
              <w:spacing w:after="0"/>
              <w:rPr>
                <w:sz w:val="9"/>
                <w:szCs w:val="9"/>
                <w:color w:val="auto"/>
              </w:rPr>
            </w:pPr>
          </w:p>
        </w:tc>
        <w:tc>
          <w:tcPr>
            <w:tcW w:w="40" w:type="dxa"/>
            <w:vAlign w:val="bottom"/>
          </w:tcPr>
          <w:p>
            <w:pPr>
              <w:spacing w:after="0"/>
              <w:rPr>
                <w:sz w:val="9"/>
                <w:szCs w:val="9"/>
                <w:color w:val="auto"/>
              </w:rPr>
            </w:pPr>
          </w:p>
        </w:tc>
        <w:tc>
          <w:tcPr>
            <w:tcW w:w="760" w:type="dxa"/>
            <w:vAlign w:val="bottom"/>
          </w:tcPr>
          <w:p>
            <w:pPr>
              <w:spacing w:after="0"/>
              <w:rPr>
                <w:sz w:val="9"/>
                <w:szCs w:val="9"/>
                <w:color w:val="auto"/>
              </w:rPr>
            </w:pPr>
          </w:p>
        </w:tc>
        <w:tc>
          <w:tcPr>
            <w:tcW w:w="460" w:type="dxa"/>
            <w:vAlign w:val="bottom"/>
          </w:tcPr>
          <w:p>
            <w:pPr>
              <w:spacing w:after="0"/>
              <w:rPr>
                <w:sz w:val="9"/>
                <w:szCs w:val="9"/>
                <w:color w:val="auto"/>
              </w:rPr>
            </w:pPr>
          </w:p>
        </w:tc>
        <w:tc>
          <w:tcPr>
            <w:tcW w:w="40" w:type="dxa"/>
            <w:vAlign w:val="bottom"/>
          </w:tcPr>
          <w:p>
            <w:pPr>
              <w:spacing w:after="0"/>
              <w:rPr>
                <w:sz w:val="9"/>
                <w:szCs w:val="9"/>
                <w:color w:val="auto"/>
              </w:rPr>
            </w:pPr>
          </w:p>
        </w:tc>
        <w:tc>
          <w:tcPr>
            <w:tcW w:w="120" w:type="dxa"/>
            <w:vAlign w:val="bottom"/>
          </w:tcPr>
          <w:p>
            <w:pPr>
              <w:spacing w:after="0"/>
              <w:rPr>
                <w:sz w:val="9"/>
                <w:szCs w:val="9"/>
                <w:color w:val="auto"/>
              </w:rPr>
            </w:pPr>
          </w:p>
        </w:tc>
        <w:tc>
          <w:tcPr>
            <w:tcW w:w="700" w:type="dxa"/>
            <w:vAlign w:val="bottom"/>
          </w:tcPr>
          <w:p>
            <w:pPr>
              <w:spacing w:after="0"/>
              <w:rPr>
                <w:sz w:val="9"/>
                <w:szCs w:val="9"/>
                <w:color w:val="auto"/>
              </w:rPr>
            </w:pPr>
          </w:p>
        </w:tc>
        <w:tc>
          <w:tcPr>
            <w:tcW w:w="420" w:type="dxa"/>
            <w:vAlign w:val="bottom"/>
            <w:vMerge w:val="restart"/>
          </w:tcPr>
          <w:p>
            <w:pPr>
              <w:jc w:val="right"/>
              <w:ind w:right="9"/>
              <w:spacing w:after="0"/>
              <w:rPr>
                <w:sz w:val="20"/>
                <w:szCs w:val="20"/>
                <w:color w:val="auto"/>
              </w:rPr>
            </w:pPr>
            <w:r>
              <w:rPr>
                <w:rFonts w:ascii="Times New Roman" w:cs="Times New Roman" w:eastAsia="Times New Roman" w:hAnsi="Times New Roman"/>
                <w:sz w:val="12"/>
                <w:szCs w:val="12"/>
                <w:color w:val="auto"/>
              </w:rPr>
              <w:t>191</w:t>
            </w:r>
          </w:p>
        </w:tc>
        <w:tc>
          <w:tcPr>
            <w:tcW w:w="0" w:type="dxa"/>
            <w:vAlign w:val="bottom"/>
          </w:tcPr>
          <w:p>
            <w:pPr>
              <w:spacing w:after="0"/>
              <w:rPr>
                <w:sz w:val="1"/>
                <w:szCs w:val="1"/>
                <w:color w:val="auto"/>
              </w:rPr>
            </w:pPr>
          </w:p>
        </w:tc>
      </w:tr>
      <w:tr>
        <w:trPr>
          <w:trHeight w:val="130"/>
        </w:trPr>
        <w:tc>
          <w:tcPr>
            <w:tcW w:w="92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580" w:type="dxa"/>
            <w:vAlign w:val="bottom"/>
          </w:tcPr>
          <w:p>
            <w:pPr>
              <w:spacing w:after="0"/>
              <w:rPr>
                <w:sz w:val="20"/>
                <w:szCs w:val="20"/>
                <w:color w:val="auto"/>
              </w:rPr>
            </w:pPr>
            <w:r>
              <w:rPr>
                <w:rFonts w:ascii="Times New Roman" w:cs="Times New Roman" w:eastAsia="Times New Roman" w:hAnsi="Times New Roman"/>
                <w:sz w:val="9"/>
                <w:szCs w:val="9"/>
                <w:color w:val="auto"/>
              </w:rPr>
              <w:t>governance</w:t>
            </w:r>
          </w:p>
        </w:tc>
        <w:tc>
          <w:tcPr>
            <w:tcW w:w="1760" w:type="dxa"/>
            <w:vAlign w:val="bottom"/>
            <w:gridSpan w:val="2"/>
          </w:tcPr>
          <w:p>
            <w:pPr>
              <w:ind w:left="44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1360" w:type="dxa"/>
            <w:vAlign w:val="bottom"/>
            <w:gridSpan w:val="4"/>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700" w:type="dxa"/>
            <w:vAlign w:val="bottom"/>
          </w:tcPr>
          <w:p>
            <w:pPr>
              <w:spacing w:after="0"/>
              <w:rPr>
                <w:sz w:val="11"/>
                <w:szCs w:val="11"/>
                <w:color w:val="auto"/>
              </w:rPr>
            </w:pPr>
          </w:p>
        </w:tc>
        <w:tc>
          <w:tcPr>
            <w:tcW w:w="44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76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700" w:type="dxa"/>
            <w:vAlign w:val="bottom"/>
          </w:tcPr>
          <w:p>
            <w:pPr>
              <w:spacing w:after="0"/>
              <w:rPr>
                <w:sz w:val="11"/>
                <w:szCs w:val="11"/>
                <w:color w:val="auto"/>
              </w:rPr>
            </w:pPr>
          </w:p>
        </w:tc>
        <w:tc>
          <w:tcPr>
            <w:tcW w:w="4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760" w:type="dxa"/>
            <w:vAlign w:val="bottom"/>
          </w:tcPr>
          <w:p>
            <w:pPr>
              <w:spacing w:after="0"/>
              <w:rPr>
                <w:sz w:val="3"/>
                <w:szCs w:val="3"/>
                <w:color w:val="auto"/>
              </w:rPr>
            </w:pPr>
          </w:p>
        </w:tc>
        <w:tc>
          <w:tcPr>
            <w:tcW w:w="460" w:type="dxa"/>
            <w:vAlign w:val="bottom"/>
          </w:tcPr>
          <w:p>
            <w:pPr>
              <w:spacing w:after="0"/>
              <w:rPr>
                <w:sz w:val="3"/>
                <w:szCs w:val="3"/>
                <w:color w:val="auto"/>
              </w:rPr>
            </w:pPr>
          </w:p>
        </w:tc>
        <w:tc>
          <w:tcPr>
            <w:tcW w:w="40" w:type="dxa"/>
            <w:vAlign w:val="bottom"/>
          </w:tcPr>
          <w:p>
            <w:pPr>
              <w:spacing w:after="0"/>
              <w:rPr>
                <w:sz w:val="3"/>
                <w:szCs w:val="3"/>
                <w:color w:val="auto"/>
              </w:rPr>
            </w:pPr>
          </w:p>
        </w:tc>
        <w:tc>
          <w:tcPr>
            <w:tcW w:w="100" w:type="dxa"/>
            <w:vAlign w:val="bottom"/>
          </w:tcPr>
          <w:p>
            <w:pPr>
              <w:spacing w:after="0"/>
              <w:rPr>
                <w:sz w:val="3"/>
                <w:szCs w:val="3"/>
                <w:color w:val="auto"/>
              </w:rPr>
            </w:pPr>
          </w:p>
        </w:tc>
        <w:tc>
          <w:tcPr>
            <w:tcW w:w="700" w:type="dxa"/>
            <w:vAlign w:val="bottom"/>
          </w:tcPr>
          <w:p>
            <w:pPr>
              <w:spacing w:after="0"/>
              <w:rPr>
                <w:sz w:val="3"/>
                <w:szCs w:val="3"/>
                <w:color w:val="auto"/>
              </w:rPr>
            </w:pPr>
          </w:p>
        </w:tc>
        <w:tc>
          <w:tcPr>
            <w:tcW w:w="440" w:type="dxa"/>
            <w:vAlign w:val="bottom"/>
          </w:tcPr>
          <w:p>
            <w:pPr>
              <w:spacing w:after="0"/>
              <w:rPr>
                <w:sz w:val="3"/>
                <w:szCs w:val="3"/>
                <w:color w:val="auto"/>
              </w:rPr>
            </w:pPr>
          </w:p>
        </w:tc>
        <w:tc>
          <w:tcPr>
            <w:tcW w:w="40" w:type="dxa"/>
            <w:vAlign w:val="bottom"/>
          </w:tcPr>
          <w:p>
            <w:pPr>
              <w:spacing w:after="0"/>
              <w:rPr>
                <w:sz w:val="3"/>
                <w:szCs w:val="3"/>
                <w:color w:val="auto"/>
              </w:rPr>
            </w:pPr>
          </w:p>
        </w:tc>
        <w:tc>
          <w:tcPr>
            <w:tcW w:w="760" w:type="dxa"/>
            <w:vAlign w:val="bottom"/>
          </w:tcPr>
          <w:p>
            <w:pPr>
              <w:spacing w:after="0"/>
              <w:rPr>
                <w:sz w:val="3"/>
                <w:szCs w:val="3"/>
                <w:color w:val="auto"/>
              </w:rPr>
            </w:pPr>
          </w:p>
        </w:tc>
        <w:tc>
          <w:tcPr>
            <w:tcW w:w="460" w:type="dxa"/>
            <w:vAlign w:val="bottom"/>
          </w:tcPr>
          <w:p>
            <w:pPr>
              <w:spacing w:after="0"/>
              <w:rPr>
                <w:sz w:val="3"/>
                <w:szCs w:val="3"/>
                <w:color w:val="auto"/>
              </w:rPr>
            </w:pPr>
          </w:p>
        </w:tc>
        <w:tc>
          <w:tcPr>
            <w:tcW w:w="40" w:type="dxa"/>
            <w:vAlign w:val="bottom"/>
          </w:tcPr>
          <w:p>
            <w:pPr>
              <w:spacing w:after="0"/>
              <w:rPr>
                <w:sz w:val="3"/>
                <w:szCs w:val="3"/>
                <w:color w:val="auto"/>
              </w:rPr>
            </w:pPr>
          </w:p>
        </w:tc>
        <w:tc>
          <w:tcPr>
            <w:tcW w:w="120" w:type="dxa"/>
            <w:vAlign w:val="bottom"/>
          </w:tcPr>
          <w:p>
            <w:pPr>
              <w:spacing w:after="0"/>
              <w:rPr>
                <w:sz w:val="3"/>
                <w:szCs w:val="3"/>
                <w:color w:val="auto"/>
              </w:rPr>
            </w:pPr>
          </w:p>
        </w:tc>
        <w:tc>
          <w:tcPr>
            <w:tcW w:w="700" w:type="dxa"/>
            <w:vAlign w:val="bottom"/>
          </w:tcPr>
          <w:p>
            <w:pPr>
              <w:spacing w:after="0"/>
              <w:rPr>
                <w:sz w:val="3"/>
                <w:szCs w:val="3"/>
                <w:color w:val="auto"/>
              </w:rPr>
            </w:pPr>
          </w:p>
        </w:tc>
        <w:tc>
          <w:tcPr>
            <w:tcW w:w="4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76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70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76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70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475"/>
        </w:trPr>
        <w:tc>
          <w:tcPr>
            <w:tcW w:w="2520" w:type="dxa"/>
            <w:vAlign w:val="bottom"/>
            <w:gridSpan w:val="3"/>
          </w:tcPr>
          <w:p>
            <w:pPr>
              <w:spacing w:after="0"/>
              <w:rPr>
                <w:sz w:val="20"/>
                <w:szCs w:val="20"/>
                <w:color w:val="auto"/>
              </w:rPr>
            </w:pPr>
            <w:r>
              <w:rPr>
                <w:rFonts w:ascii="Times New Roman" w:cs="Times New Roman" w:eastAsia="Times New Roman" w:hAnsi="Times New Roman"/>
                <w:sz w:val="13"/>
                <w:szCs w:val="13"/>
                <w:color w:val="auto"/>
              </w:rPr>
              <w:t>Derivatives and firm commitments</w:t>
            </w:r>
          </w:p>
        </w:tc>
        <w:tc>
          <w:tcPr>
            <w:tcW w:w="740" w:type="dxa"/>
            <w:vAlign w:val="bottom"/>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76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100" w:type="dxa"/>
            <w:vAlign w:val="bottom"/>
          </w:tcPr>
          <w:p>
            <w:pPr>
              <w:spacing w:after="0"/>
              <w:rPr>
                <w:sz w:val="24"/>
                <w:szCs w:val="24"/>
                <w:color w:val="auto"/>
              </w:rPr>
            </w:pPr>
          </w:p>
        </w:tc>
        <w:tc>
          <w:tcPr>
            <w:tcW w:w="700" w:type="dxa"/>
            <w:vAlign w:val="bottom"/>
          </w:tcPr>
          <w:p>
            <w:pPr>
              <w:spacing w:after="0"/>
              <w:rPr>
                <w:sz w:val="24"/>
                <w:szCs w:val="24"/>
                <w:color w:val="auto"/>
              </w:rPr>
            </w:pPr>
          </w:p>
        </w:tc>
        <w:tc>
          <w:tcPr>
            <w:tcW w:w="44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760" w:type="dxa"/>
            <w:vAlign w:val="bottom"/>
          </w:tcPr>
          <w:p>
            <w:pPr>
              <w:spacing w:after="0"/>
              <w:rPr>
                <w:sz w:val="24"/>
                <w:szCs w:val="24"/>
                <w:color w:val="auto"/>
              </w:rPr>
            </w:pPr>
          </w:p>
        </w:tc>
        <w:tc>
          <w:tcPr>
            <w:tcW w:w="460" w:type="dxa"/>
            <w:vAlign w:val="bottom"/>
          </w:tcPr>
          <w:p>
            <w:pPr>
              <w:spacing w:after="0"/>
              <w:rPr>
                <w:sz w:val="24"/>
                <w:szCs w:val="24"/>
                <w:color w:val="auto"/>
              </w:rPr>
            </w:pPr>
          </w:p>
        </w:tc>
        <w:tc>
          <w:tcPr>
            <w:tcW w:w="40" w:type="dxa"/>
            <w:vAlign w:val="bottom"/>
          </w:tcPr>
          <w:p>
            <w:pPr>
              <w:spacing w:after="0"/>
              <w:rPr>
                <w:sz w:val="24"/>
                <w:szCs w:val="24"/>
                <w:color w:val="auto"/>
              </w:rPr>
            </w:pPr>
          </w:p>
        </w:tc>
        <w:tc>
          <w:tcPr>
            <w:tcW w:w="120" w:type="dxa"/>
            <w:vAlign w:val="bottom"/>
          </w:tcPr>
          <w:p>
            <w:pPr>
              <w:spacing w:after="0"/>
              <w:rPr>
                <w:sz w:val="24"/>
                <w:szCs w:val="24"/>
                <w:color w:val="auto"/>
              </w:rPr>
            </w:pPr>
          </w:p>
        </w:tc>
        <w:tc>
          <w:tcPr>
            <w:tcW w:w="700" w:type="dxa"/>
            <w:vAlign w:val="bottom"/>
          </w:tcPr>
          <w:p>
            <w:pPr>
              <w:spacing w:after="0"/>
              <w:rPr>
                <w:sz w:val="24"/>
                <w:szCs w:val="24"/>
                <w:color w:val="auto"/>
              </w:rPr>
            </w:pPr>
          </w:p>
        </w:tc>
        <w:tc>
          <w:tcPr>
            <w:tcW w:w="420" w:type="dxa"/>
            <w:vAlign w:val="bottom"/>
          </w:tcPr>
          <w:p>
            <w:pPr>
              <w:spacing w:after="0"/>
              <w:rPr>
                <w:sz w:val="24"/>
                <w:szCs w:val="24"/>
                <w:color w:val="auto"/>
              </w:rPr>
            </w:pPr>
          </w:p>
        </w:tc>
        <w:tc>
          <w:tcPr>
            <w:tcW w:w="0" w:type="dxa"/>
            <w:vAlign w:val="bottom"/>
          </w:tcPr>
          <w:p>
            <w:pPr>
              <w:spacing w:after="0"/>
              <w:rPr>
                <w:sz w:val="1"/>
                <w:szCs w:val="1"/>
                <w:color w:val="auto"/>
              </w:rPr>
            </w:pPr>
          </w:p>
        </w:tc>
      </w:tr>
      <w:tr>
        <w:trPr>
          <w:trHeight w:val="179"/>
        </w:trPr>
        <w:tc>
          <w:tcPr>
            <w:tcW w:w="920" w:type="dxa"/>
            <w:vAlign w:val="bottom"/>
          </w:tcPr>
          <w:p>
            <w:pPr>
              <w:spacing w:after="0"/>
              <w:rPr>
                <w:sz w:val="15"/>
                <w:szCs w:val="15"/>
                <w:color w:val="auto"/>
              </w:rPr>
            </w:pPr>
          </w:p>
        </w:tc>
        <w:tc>
          <w:tcPr>
            <w:tcW w:w="580" w:type="dxa"/>
            <w:vAlign w:val="bottom"/>
          </w:tcPr>
          <w:p>
            <w:pPr>
              <w:spacing w:after="0"/>
              <w:rPr>
                <w:sz w:val="15"/>
                <w:szCs w:val="15"/>
                <w:color w:val="auto"/>
              </w:rPr>
            </w:pPr>
          </w:p>
        </w:tc>
        <w:tc>
          <w:tcPr>
            <w:tcW w:w="1020" w:type="dxa"/>
            <w:vAlign w:val="bottom"/>
          </w:tcPr>
          <w:p>
            <w:pPr>
              <w:spacing w:after="0"/>
              <w:rPr>
                <w:sz w:val="15"/>
                <w:szCs w:val="15"/>
                <w:color w:val="auto"/>
              </w:rPr>
            </w:pPr>
          </w:p>
        </w:tc>
        <w:tc>
          <w:tcPr>
            <w:tcW w:w="740" w:type="dxa"/>
            <w:vAlign w:val="bottom"/>
          </w:tcPr>
          <w:p>
            <w:pPr>
              <w:spacing w:after="0"/>
              <w:rPr>
                <w:sz w:val="15"/>
                <w:szCs w:val="15"/>
                <w:color w:val="auto"/>
              </w:rPr>
            </w:pPr>
          </w:p>
        </w:tc>
        <w:tc>
          <w:tcPr>
            <w:tcW w:w="1200" w:type="dxa"/>
            <w:vAlign w:val="bottom"/>
          </w:tcPr>
          <w:p>
            <w:pPr>
              <w:spacing w:after="0"/>
              <w:rPr>
                <w:sz w:val="15"/>
                <w:szCs w:val="15"/>
                <w:color w:val="auto"/>
              </w:rPr>
            </w:pPr>
          </w:p>
        </w:tc>
        <w:tc>
          <w:tcPr>
            <w:tcW w:w="540" w:type="dxa"/>
            <w:vAlign w:val="bottom"/>
          </w:tcPr>
          <w:p>
            <w:pPr>
              <w:spacing w:after="0"/>
              <w:rPr>
                <w:sz w:val="15"/>
                <w:szCs w:val="15"/>
                <w:color w:val="auto"/>
              </w:rPr>
            </w:pPr>
          </w:p>
        </w:tc>
        <w:tc>
          <w:tcPr>
            <w:tcW w:w="760" w:type="dxa"/>
            <w:vAlign w:val="bottom"/>
            <w:tcBorders>
              <w:bottom w:val="single" w:sz="8" w:color="005AFF"/>
            </w:tcBorders>
          </w:tcPr>
          <w:p>
            <w:pPr>
              <w:spacing w:after="0"/>
              <w:rPr>
                <w:sz w:val="15"/>
                <w:szCs w:val="15"/>
                <w:color w:val="auto"/>
              </w:rPr>
            </w:pPr>
          </w:p>
        </w:tc>
        <w:tc>
          <w:tcPr>
            <w:tcW w:w="600" w:type="dxa"/>
            <w:vAlign w:val="bottom"/>
            <w:tcBorders>
              <w:bottom w:val="single" w:sz="8" w:color="005AFF"/>
            </w:tcBorders>
            <w:gridSpan w:val="3"/>
          </w:tcPr>
          <w:p>
            <w:pPr>
              <w:ind w:left="380"/>
              <w:spacing w:after="0"/>
              <w:rPr>
                <w:sz w:val="20"/>
                <w:szCs w:val="20"/>
                <w:color w:val="auto"/>
              </w:rPr>
            </w:pPr>
            <w:r>
              <w:rPr>
                <w:rFonts w:ascii="Times New Roman" w:cs="Times New Roman" w:eastAsia="Times New Roman" w:hAnsi="Times New Roman"/>
                <w:sz w:val="8"/>
                <w:szCs w:val="8"/>
                <w:b w:val="1"/>
                <w:bCs w:val="1"/>
                <w:color w:val="005AFF"/>
              </w:rPr>
              <w:t>2023</w:t>
            </w:r>
          </w:p>
        </w:tc>
        <w:tc>
          <w:tcPr>
            <w:tcW w:w="700" w:type="dxa"/>
            <w:vAlign w:val="bottom"/>
            <w:tcBorders>
              <w:bottom w:val="single" w:sz="8" w:color="005AFF"/>
            </w:tcBorders>
          </w:tcPr>
          <w:p>
            <w:pPr>
              <w:spacing w:after="0"/>
              <w:rPr>
                <w:sz w:val="15"/>
                <w:szCs w:val="15"/>
                <w:color w:val="auto"/>
              </w:rPr>
            </w:pPr>
          </w:p>
        </w:tc>
        <w:tc>
          <w:tcPr>
            <w:tcW w:w="440" w:type="dxa"/>
            <w:vAlign w:val="bottom"/>
            <w:tcBorders>
              <w:bottom w:val="single" w:sz="8" w:color="005AFF"/>
            </w:tcBorders>
          </w:tcPr>
          <w:p>
            <w:pPr>
              <w:spacing w:after="0"/>
              <w:rPr>
                <w:sz w:val="15"/>
                <w:szCs w:val="15"/>
                <w:color w:val="auto"/>
              </w:rPr>
            </w:pPr>
          </w:p>
        </w:tc>
        <w:tc>
          <w:tcPr>
            <w:tcW w:w="40" w:type="dxa"/>
            <w:vAlign w:val="bottom"/>
          </w:tcPr>
          <w:p>
            <w:pPr>
              <w:spacing w:after="0"/>
              <w:rPr>
                <w:sz w:val="15"/>
                <w:szCs w:val="15"/>
                <w:color w:val="auto"/>
              </w:rPr>
            </w:pPr>
          </w:p>
        </w:tc>
        <w:tc>
          <w:tcPr>
            <w:tcW w:w="760" w:type="dxa"/>
            <w:vAlign w:val="bottom"/>
            <w:tcBorders>
              <w:bottom w:val="single" w:sz="8" w:color="005AFF"/>
            </w:tcBorders>
          </w:tcPr>
          <w:p>
            <w:pPr>
              <w:spacing w:after="0"/>
              <w:rPr>
                <w:sz w:val="15"/>
                <w:szCs w:val="15"/>
                <w:color w:val="auto"/>
              </w:rPr>
            </w:pPr>
          </w:p>
        </w:tc>
        <w:tc>
          <w:tcPr>
            <w:tcW w:w="620" w:type="dxa"/>
            <w:vAlign w:val="bottom"/>
            <w:tcBorders>
              <w:bottom w:val="single" w:sz="8" w:color="005AFF"/>
            </w:tcBorders>
            <w:gridSpan w:val="3"/>
          </w:tcPr>
          <w:p>
            <w:pPr>
              <w:jc w:val="right"/>
              <w:ind w:right="60"/>
              <w:spacing w:after="0"/>
              <w:rPr>
                <w:sz w:val="20"/>
                <w:szCs w:val="20"/>
                <w:color w:val="auto"/>
              </w:rPr>
            </w:pPr>
            <w:r>
              <w:rPr>
                <w:rFonts w:ascii="Times New Roman" w:cs="Times New Roman" w:eastAsia="Times New Roman" w:hAnsi="Times New Roman"/>
                <w:sz w:val="8"/>
                <w:szCs w:val="8"/>
                <w:b w:val="1"/>
                <w:bCs w:val="1"/>
                <w:color w:val="005AFF"/>
              </w:rPr>
              <w:t>2022</w:t>
            </w:r>
          </w:p>
        </w:tc>
        <w:tc>
          <w:tcPr>
            <w:tcW w:w="700" w:type="dxa"/>
            <w:vAlign w:val="bottom"/>
            <w:tcBorders>
              <w:bottom w:val="single" w:sz="8" w:color="005AFF"/>
            </w:tcBorders>
          </w:tcPr>
          <w:p>
            <w:pPr>
              <w:spacing w:after="0"/>
              <w:rPr>
                <w:sz w:val="15"/>
                <w:szCs w:val="15"/>
                <w:color w:val="auto"/>
              </w:rPr>
            </w:pPr>
          </w:p>
        </w:tc>
        <w:tc>
          <w:tcPr>
            <w:tcW w:w="420" w:type="dxa"/>
            <w:vAlign w:val="bottom"/>
            <w:tcBorders>
              <w:bottom w:val="single" w:sz="8" w:color="005AFF"/>
            </w:tcBorders>
          </w:tcPr>
          <w:p>
            <w:pPr>
              <w:spacing w:after="0"/>
              <w:rPr>
                <w:sz w:val="15"/>
                <w:szCs w:val="15"/>
                <w:color w:val="auto"/>
              </w:rPr>
            </w:pPr>
          </w:p>
        </w:tc>
        <w:tc>
          <w:tcPr>
            <w:tcW w:w="0" w:type="dxa"/>
            <w:vAlign w:val="bottom"/>
          </w:tcPr>
          <w:p>
            <w:pPr>
              <w:spacing w:after="0"/>
              <w:rPr>
                <w:sz w:val="1"/>
                <w:szCs w:val="1"/>
                <w:color w:val="auto"/>
              </w:rPr>
            </w:pPr>
          </w:p>
        </w:tc>
      </w:tr>
      <w:tr>
        <w:trPr>
          <w:trHeight w:val="132"/>
        </w:trPr>
        <w:tc>
          <w:tcPr>
            <w:tcW w:w="92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102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200" w:type="dxa"/>
            <w:vAlign w:val="bottom"/>
          </w:tcPr>
          <w:p>
            <w:pPr>
              <w:spacing w:after="0"/>
              <w:rPr>
                <w:sz w:val="11"/>
                <w:szCs w:val="11"/>
                <w:color w:val="auto"/>
              </w:rPr>
            </w:pPr>
          </w:p>
        </w:tc>
        <w:tc>
          <w:tcPr>
            <w:tcW w:w="540" w:type="dxa"/>
            <w:vAlign w:val="bottom"/>
          </w:tcPr>
          <w:p>
            <w:pPr>
              <w:spacing w:after="0"/>
              <w:rPr>
                <w:sz w:val="11"/>
                <w:szCs w:val="11"/>
                <w:color w:val="auto"/>
              </w:rPr>
            </w:pPr>
          </w:p>
        </w:tc>
        <w:tc>
          <w:tcPr>
            <w:tcW w:w="76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Assets</w:t>
            </w:r>
          </w:p>
        </w:tc>
        <w:tc>
          <w:tcPr>
            <w:tcW w:w="460" w:type="dxa"/>
            <w:vAlign w:val="bottom"/>
            <w:tcBorders>
              <w:bottom w:val="single" w:sz="8" w:color="005AFF"/>
            </w:tcBorders>
          </w:tcPr>
          <w:p>
            <w:pPr>
              <w:spacing w:after="0"/>
              <w:rPr>
                <w:sz w:val="11"/>
                <w:szCs w:val="11"/>
                <w:color w:val="auto"/>
              </w:rPr>
            </w:pPr>
          </w:p>
        </w:tc>
        <w:tc>
          <w:tcPr>
            <w:tcW w:w="40" w:type="dxa"/>
            <w:vAlign w:val="bottom"/>
          </w:tcPr>
          <w:p>
            <w:pPr>
              <w:spacing w:after="0"/>
              <w:rPr>
                <w:sz w:val="11"/>
                <w:szCs w:val="11"/>
                <w:color w:val="auto"/>
              </w:rPr>
            </w:pPr>
          </w:p>
        </w:tc>
        <w:tc>
          <w:tcPr>
            <w:tcW w:w="100" w:type="dxa"/>
            <w:vAlign w:val="bottom"/>
            <w:tcBorders>
              <w:bottom w:val="single" w:sz="8" w:color="005AFF"/>
            </w:tcBorders>
          </w:tcPr>
          <w:p>
            <w:pPr>
              <w:spacing w:after="0"/>
              <w:rPr>
                <w:sz w:val="11"/>
                <w:szCs w:val="11"/>
                <w:color w:val="auto"/>
              </w:rPr>
            </w:pP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Liabilities</w:t>
            </w:r>
          </w:p>
        </w:tc>
        <w:tc>
          <w:tcPr>
            <w:tcW w:w="440" w:type="dxa"/>
            <w:vAlign w:val="bottom"/>
            <w:tcBorders>
              <w:bottom w:val="single" w:sz="8" w:color="005AFF"/>
            </w:tcBorders>
          </w:tcPr>
          <w:p>
            <w:pPr>
              <w:spacing w:after="0"/>
              <w:rPr>
                <w:sz w:val="11"/>
                <w:szCs w:val="11"/>
                <w:color w:val="auto"/>
              </w:rPr>
            </w:pPr>
          </w:p>
        </w:tc>
        <w:tc>
          <w:tcPr>
            <w:tcW w:w="40" w:type="dxa"/>
            <w:vAlign w:val="bottom"/>
          </w:tcPr>
          <w:p>
            <w:pPr>
              <w:spacing w:after="0"/>
              <w:rPr>
                <w:sz w:val="11"/>
                <w:szCs w:val="11"/>
                <w:color w:val="auto"/>
              </w:rPr>
            </w:pPr>
          </w:p>
        </w:tc>
        <w:tc>
          <w:tcPr>
            <w:tcW w:w="7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Assets</w:t>
            </w:r>
          </w:p>
        </w:tc>
        <w:tc>
          <w:tcPr>
            <w:tcW w:w="460" w:type="dxa"/>
            <w:vAlign w:val="bottom"/>
            <w:tcBorders>
              <w:bottom w:val="single" w:sz="8" w:color="005AFF"/>
            </w:tcBorders>
          </w:tcPr>
          <w:p>
            <w:pPr>
              <w:spacing w:after="0"/>
              <w:rPr>
                <w:sz w:val="11"/>
                <w:szCs w:val="11"/>
                <w:color w:val="auto"/>
              </w:rPr>
            </w:pPr>
          </w:p>
        </w:tc>
        <w:tc>
          <w:tcPr>
            <w:tcW w:w="40" w:type="dxa"/>
            <w:vAlign w:val="bottom"/>
          </w:tcPr>
          <w:p>
            <w:pPr>
              <w:spacing w:after="0"/>
              <w:rPr>
                <w:sz w:val="11"/>
                <w:szCs w:val="11"/>
                <w:color w:val="auto"/>
              </w:rPr>
            </w:pPr>
          </w:p>
        </w:tc>
        <w:tc>
          <w:tcPr>
            <w:tcW w:w="120" w:type="dxa"/>
            <w:vAlign w:val="bottom"/>
            <w:tcBorders>
              <w:bottom w:val="single" w:sz="8" w:color="005AFF"/>
            </w:tcBorders>
          </w:tcPr>
          <w:p>
            <w:pPr>
              <w:spacing w:after="0"/>
              <w:rPr>
                <w:sz w:val="11"/>
                <w:szCs w:val="11"/>
                <w:color w:val="auto"/>
              </w:rPr>
            </w:pPr>
          </w:p>
        </w:tc>
        <w:tc>
          <w:tcPr>
            <w:tcW w:w="7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Liabilities</w:t>
            </w:r>
          </w:p>
        </w:tc>
        <w:tc>
          <w:tcPr>
            <w:tcW w:w="420" w:type="dxa"/>
            <w:vAlign w:val="bottom"/>
            <w:tcBorders>
              <w:bottom w:val="single" w:sz="8" w:color="005AFF"/>
            </w:tcBorders>
          </w:tcPr>
          <w:p>
            <w:pPr>
              <w:spacing w:after="0"/>
              <w:rPr>
                <w:sz w:val="11"/>
                <w:szCs w:val="11"/>
                <w:color w:val="auto"/>
              </w:rPr>
            </w:pPr>
          </w:p>
        </w:tc>
        <w:tc>
          <w:tcPr>
            <w:tcW w:w="0" w:type="dxa"/>
            <w:vAlign w:val="bottom"/>
          </w:tcPr>
          <w:p>
            <w:pPr>
              <w:spacing w:after="0"/>
              <w:rPr>
                <w:sz w:val="1"/>
                <w:szCs w:val="1"/>
                <w:color w:val="auto"/>
              </w:rPr>
            </w:pPr>
          </w:p>
        </w:tc>
      </w:tr>
      <w:tr>
        <w:trPr>
          <w:trHeight w:val="135"/>
        </w:trPr>
        <w:tc>
          <w:tcPr>
            <w:tcW w:w="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80" w:type="dxa"/>
            <w:vAlign w:val="bottom"/>
            <w:tcBorders>
              <w:bottom w:val="single" w:sz="8" w:color="005AFF"/>
            </w:tcBorders>
          </w:tcPr>
          <w:p>
            <w:pPr>
              <w:spacing w:after="0"/>
              <w:rPr>
                <w:sz w:val="11"/>
                <w:szCs w:val="11"/>
                <w:color w:val="auto"/>
              </w:rPr>
            </w:pPr>
          </w:p>
        </w:tc>
        <w:tc>
          <w:tcPr>
            <w:tcW w:w="102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60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8"/>
                <w:szCs w:val="8"/>
                <w:b w:val="1"/>
                <w:bCs w:val="1"/>
                <w:color w:val="005AFF"/>
              </w:rPr>
              <w:t xml:space="preserve">Notional </w:t>
            </w:r>
            <w:r>
              <w:rPr>
                <w:rFonts w:ascii="Times New Roman" w:cs="Times New Roman" w:eastAsia="Times New Roman" w:hAnsi="Times New Roman"/>
                <w:sz w:val="10"/>
                <w:szCs w:val="10"/>
                <w:b w:val="1"/>
                <w:bCs w:val="1"/>
                <w:color w:val="005AFF"/>
                <w:vertAlign w:val="superscript"/>
              </w:rPr>
              <w:t>(2)</w:t>
            </w:r>
          </w:p>
        </w:tc>
        <w:tc>
          <w:tcPr>
            <w:tcW w:w="70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4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w w:val="97"/>
              </w:rPr>
              <w:t xml:space="preserve">Notional </w:t>
            </w:r>
            <w:r>
              <w:rPr>
                <w:rFonts w:ascii="Times New Roman" w:cs="Times New Roman" w:eastAsia="Times New Roman" w:hAnsi="Times New Roman"/>
                <w:sz w:val="10"/>
                <w:szCs w:val="10"/>
                <w:b w:val="1"/>
                <w:bCs w:val="1"/>
                <w:color w:val="005AFF"/>
                <w:w w:val="97"/>
                <w:vertAlign w:val="superscript"/>
              </w:rPr>
              <w:t>(2)</w:t>
            </w:r>
          </w:p>
        </w:tc>
        <w:tc>
          <w:tcPr>
            <w:tcW w:w="40" w:type="dxa"/>
            <w:vAlign w:val="bottom"/>
            <w:tcBorders>
              <w:bottom w:val="single" w:sz="8" w:color="005AFF"/>
            </w:tcBorders>
          </w:tcPr>
          <w:p>
            <w:pPr>
              <w:spacing w:after="0"/>
              <w:rPr>
                <w:sz w:val="11"/>
                <w:szCs w:val="11"/>
                <w:color w:val="auto"/>
              </w:rPr>
            </w:pPr>
          </w:p>
        </w:tc>
        <w:tc>
          <w:tcPr>
            <w:tcW w:w="760" w:type="dxa"/>
            <w:vAlign w:val="bottom"/>
            <w:tcBorders>
              <w:bottom w:val="single" w:sz="8" w:color="005AFF"/>
            </w:tcBorders>
          </w:tcPr>
          <w:p>
            <w:pPr>
              <w:jc w:val="right"/>
              <w:ind w:right="132"/>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620" w:type="dxa"/>
            <w:vAlign w:val="bottom"/>
            <w:tcBorders>
              <w:bottom w:val="single" w:sz="8" w:color="005AFF"/>
            </w:tcBorders>
            <w:gridSpan w:val="3"/>
          </w:tcPr>
          <w:p>
            <w:pPr>
              <w:jc w:val="right"/>
              <w:ind w:right="180"/>
              <w:spacing w:after="0"/>
              <w:rPr>
                <w:sz w:val="20"/>
                <w:szCs w:val="20"/>
                <w:color w:val="auto"/>
              </w:rPr>
            </w:pPr>
            <w:r>
              <w:rPr>
                <w:rFonts w:ascii="Times New Roman" w:cs="Times New Roman" w:eastAsia="Times New Roman" w:hAnsi="Times New Roman"/>
                <w:sz w:val="8"/>
                <w:szCs w:val="8"/>
                <w:b w:val="1"/>
                <w:bCs w:val="1"/>
                <w:color w:val="005AFF"/>
              </w:rPr>
              <w:t xml:space="preserve">Notional </w:t>
            </w:r>
            <w:r>
              <w:rPr>
                <w:rFonts w:ascii="Times New Roman" w:cs="Times New Roman" w:eastAsia="Times New Roman" w:hAnsi="Times New Roman"/>
                <w:sz w:val="10"/>
                <w:szCs w:val="10"/>
                <w:b w:val="1"/>
                <w:bCs w:val="1"/>
                <w:color w:val="005AFF"/>
                <w:vertAlign w:val="superscript"/>
              </w:rPr>
              <w:t>(2)</w:t>
            </w:r>
          </w:p>
        </w:tc>
        <w:tc>
          <w:tcPr>
            <w:tcW w:w="70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Fair value</w:t>
            </w:r>
            <w:r>
              <w:rPr>
                <w:rFonts w:ascii="Times New Roman" w:cs="Times New Roman" w:eastAsia="Times New Roman" w:hAnsi="Times New Roman"/>
                <w:sz w:val="10"/>
                <w:szCs w:val="10"/>
                <w:b w:val="1"/>
                <w:bCs w:val="1"/>
                <w:color w:val="005AFF"/>
                <w:vertAlign w:val="superscript"/>
              </w:rPr>
              <w:t>(1)</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w w:val="91"/>
              </w:rPr>
              <w:t xml:space="preserve">Notional </w:t>
            </w:r>
            <w:r>
              <w:rPr>
                <w:rFonts w:ascii="Times New Roman" w:cs="Times New Roman" w:eastAsia="Times New Roman" w:hAnsi="Times New Roman"/>
                <w:sz w:val="10"/>
                <w:szCs w:val="10"/>
                <w:b w:val="1"/>
                <w:bCs w:val="1"/>
                <w:color w:val="005AFF"/>
                <w:w w:val="91"/>
                <w:vertAlign w:val="superscript"/>
              </w:rPr>
              <w:t>(2)</w:t>
            </w:r>
          </w:p>
        </w:tc>
        <w:tc>
          <w:tcPr>
            <w:tcW w:w="0" w:type="dxa"/>
            <w:vAlign w:val="bottom"/>
          </w:tcPr>
          <w:p>
            <w:pPr>
              <w:spacing w:after="0"/>
              <w:rPr>
                <w:sz w:val="1"/>
                <w:szCs w:val="1"/>
                <w:color w:val="auto"/>
              </w:rPr>
            </w:pPr>
          </w:p>
        </w:tc>
      </w:tr>
      <w:tr>
        <w:trPr>
          <w:trHeight w:val="131"/>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Cash flow hedges</w:t>
            </w:r>
          </w:p>
        </w:tc>
        <w:tc>
          <w:tcPr>
            <w:tcW w:w="580" w:type="dxa"/>
            <w:vAlign w:val="bottom"/>
          </w:tcPr>
          <w:p>
            <w:pPr>
              <w:spacing w:after="0"/>
              <w:rPr>
                <w:sz w:val="11"/>
                <w:szCs w:val="11"/>
                <w:color w:val="auto"/>
              </w:rPr>
            </w:pPr>
          </w:p>
        </w:tc>
        <w:tc>
          <w:tcPr>
            <w:tcW w:w="102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200" w:type="dxa"/>
            <w:vAlign w:val="bottom"/>
          </w:tcPr>
          <w:p>
            <w:pPr>
              <w:spacing w:after="0"/>
              <w:rPr>
                <w:sz w:val="11"/>
                <w:szCs w:val="11"/>
                <w:color w:val="auto"/>
              </w:rPr>
            </w:pPr>
          </w:p>
        </w:tc>
        <w:tc>
          <w:tcPr>
            <w:tcW w:w="540" w:type="dxa"/>
            <w:vAlign w:val="bottom"/>
            <w:tcBorders>
              <w:right w:val="single" w:sz="8" w:color="F0F5FF"/>
            </w:tcBorders>
          </w:tcPr>
          <w:p>
            <w:pPr>
              <w:spacing w:after="0"/>
              <w:rPr>
                <w:sz w:val="11"/>
                <w:szCs w:val="11"/>
                <w:color w:val="auto"/>
              </w:rPr>
            </w:pPr>
          </w:p>
        </w:tc>
        <w:tc>
          <w:tcPr>
            <w:tcW w:w="760" w:type="dxa"/>
            <w:vAlign w:val="bottom"/>
            <w:shd w:val="clear" w:color="auto" w:fill="F0F5FF"/>
          </w:tcPr>
          <w:p>
            <w:pPr>
              <w:spacing w:after="0"/>
              <w:rPr>
                <w:sz w:val="11"/>
                <w:szCs w:val="11"/>
                <w:color w:val="auto"/>
              </w:rPr>
            </w:pPr>
          </w:p>
        </w:tc>
        <w:tc>
          <w:tcPr>
            <w:tcW w:w="46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100" w:type="dxa"/>
            <w:vAlign w:val="bottom"/>
            <w:shd w:val="clear" w:color="auto" w:fill="F0F5FF"/>
          </w:tcPr>
          <w:p>
            <w:pPr>
              <w:spacing w:after="0"/>
              <w:rPr>
                <w:sz w:val="11"/>
                <w:szCs w:val="11"/>
                <w:color w:val="auto"/>
              </w:rPr>
            </w:pPr>
          </w:p>
        </w:tc>
        <w:tc>
          <w:tcPr>
            <w:tcW w:w="700" w:type="dxa"/>
            <w:vAlign w:val="bottom"/>
            <w:shd w:val="clear" w:color="auto" w:fill="F0F5FF"/>
          </w:tcPr>
          <w:p>
            <w:pPr>
              <w:spacing w:after="0"/>
              <w:rPr>
                <w:sz w:val="11"/>
                <w:szCs w:val="11"/>
                <w:color w:val="auto"/>
              </w:rPr>
            </w:pPr>
          </w:p>
        </w:tc>
        <w:tc>
          <w:tcPr>
            <w:tcW w:w="44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76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70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w w:val="99"/>
              </w:rPr>
              <w:t>Foreign exchange forward contracts</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26</w:t>
            </w:r>
          </w:p>
        </w:tc>
        <w:tc>
          <w:tcPr>
            <w:tcW w:w="46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1 206</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(19)</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1 039</w:t>
            </w:r>
          </w:p>
        </w:tc>
        <w:tc>
          <w:tcPr>
            <w:tcW w:w="800" w:type="dxa"/>
            <w:vAlign w:val="bottom"/>
            <w:gridSpan w:val="2"/>
          </w:tcPr>
          <w:p>
            <w:pPr>
              <w:jc w:val="right"/>
              <w:ind w:right="152"/>
              <w:spacing w:after="0"/>
              <w:rPr>
                <w:sz w:val="20"/>
                <w:szCs w:val="20"/>
                <w:color w:val="auto"/>
              </w:rPr>
            </w:pPr>
            <w:r>
              <w:rPr>
                <w:rFonts w:ascii="Times New Roman" w:cs="Times New Roman" w:eastAsia="Times New Roman" w:hAnsi="Times New Roman"/>
                <w:sz w:val="10"/>
                <w:szCs w:val="10"/>
                <w:color w:val="0D0D0D"/>
              </w:rPr>
              <w:t>77</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1 775</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(30)</w:t>
            </w:r>
          </w:p>
        </w:tc>
        <w:tc>
          <w:tcPr>
            <w:tcW w:w="4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1 034</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Currency options bought</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rPr>
              <w:t>3</w:t>
            </w:r>
          </w:p>
        </w:tc>
        <w:tc>
          <w:tcPr>
            <w:tcW w:w="4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466</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gridSpan w:val="2"/>
          </w:tcPr>
          <w:p>
            <w:pPr>
              <w:jc w:val="center"/>
              <w:ind w:left="309"/>
              <w:spacing w:after="0"/>
              <w:rPr>
                <w:sz w:val="20"/>
                <w:szCs w:val="20"/>
                <w:color w:val="auto"/>
              </w:rPr>
            </w:pPr>
            <w:r>
              <w:rPr>
                <w:rFonts w:ascii="Times New Roman" w:cs="Times New Roman" w:eastAsia="Times New Roman" w:hAnsi="Times New Roman"/>
                <w:sz w:val="10"/>
                <w:szCs w:val="10"/>
                <w:color w:val="0D0D0D"/>
                <w:w w:val="79"/>
              </w:rPr>
              <w:t>2</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173</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Currency options sold</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9"/>
              </w:rPr>
              <w:t>—</w:t>
            </w:r>
          </w:p>
        </w:tc>
        <w:tc>
          <w:tcPr>
            <w:tcW w:w="460" w:type="dxa"/>
            <w:vAlign w:val="bottom"/>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23</w:t>
            </w:r>
          </w:p>
        </w:tc>
        <w:tc>
          <w:tcPr>
            <w:tcW w:w="40" w:type="dxa"/>
            <w:vAlign w:val="bottom"/>
          </w:tcPr>
          <w:p>
            <w:pPr>
              <w:spacing w:after="0"/>
              <w:rPr>
                <w:sz w:val="14"/>
                <w:szCs w:val="14"/>
                <w:color w:val="auto"/>
              </w:rPr>
            </w:pPr>
          </w:p>
        </w:tc>
        <w:tc>
          <w:tcPr>
            <w:tcW w:w="760" w:type="dxa"/>
            <w:vAlign w:val="bottom"/>
          </w:tcPr>
          <w:p>
            <w:pPr>
              <w:jc w:val="center"/>
              <w:ind w:left="252"/>
              <w:spacing w:after="0"/>
              <w:rPr>
                <w:sz w:val="20"/>
                <w:szCs w:val="20"/>
                <w:color w:val="auto"/>
              </w:rPr>
            </w:pPr>
            <w:r>
              <w:rPr>
                <w:rFonts w:ascii="Times New Roman" w:cs="Times New Roman" w:eastAsia="Times New Roman" w:hAnsi="Times New Roman"/>
                <w:sz w:val="10"/>
                <w:szCs w:val="10"/>
                <w:color w:val="0D0D0D"/>
                <w:w w:val="99"/>
              </w:rPr>
              <w:t>—</w:t>
            </w:r>
          </w:p>
        </w:tc>
        <w:tc>
          <w:tcPr>
            <w:tcW w:w="620" w:type="dxa"/>
            <w:vAlign w:val="bottom"/>
            <w:gridSpan w:val="3"/>
          </w:tcPr>
          <w:p>
            <w:pPr>
              <w:jc w:val="center"/>
              <w:ind w:left="11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6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Fuel hedges</w:t>
            </w:r>
          </w:p>
        </w:tc>
        <w:tc>
          <w:tcPr>
            <w:tcW w:w="580" w:type="dxa"/>
            <w:vAlign w:val="bottom"/>
          </w:tcPr>
          <w:p>
            <w:pPr>
              <w:spacing w:after="0"/>
              <w:rPr>
                <w:sz w:val="14"/>
                <w:szCs w:val="14"/>
                <w:color w:val="auto"/>
              </w:rPr>
            </w:pP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9"/>
              </w:rPr>
              <w:t>—</w:t>
            </w:r>
          </w:p>
        </w:tc>
        <w:tc>
          <w:tcPr>
            <w:tcW w:w="460" w:type="dxa"/>
            <w:vAlign w:val="bottom"/>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(1)</w:t>
            </w:r>
          </w:p>
        </w:tc>
        <w:tc>
          <w:tcPr>
            <w:tcW w:w="4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50</w:t>
            </w:r>
          </w:p>
        </w:tc>
        <w:tc>
          <w:tcPr>
            <w:tcW w:w="800" w:type="dxa"/>
            <w:vAlign w:val="bottom"/>
            <w:gridSpan w:val="2"/>
          </w:tcPr>
          <w:p>
            <w:pPr>
              <w:jc w:val="center"/>
              <w:ind w:left="309"/>
              <w:spacing w:after="0"/>
              <w:rPr>
                <w:sz w:val="20"/>
                <w:szCs w:val="20"/>
                <w:color w:val="auto"/>
              </w:rPr>
            </w:pPr>
            <w:r>
              <w:rPr>
                <w:rFonts w:ascii="Times New Roman" w:cs="Times New Roman" w:eastAsia="Times New Roman" w:hAnsi="Times New Roman"/>
                <w:sz w:val="10"/>
                <w:szCs w:val="10"/>
                <w:color w:val="0D0D0D"/>
                <w:w w:val="79"/>
              </w:rPr>
              <w:t>2</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33</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Cash flow and fair value hedges</w:t>
            </w:r>
          </w:p>
        </w:tc>
        <w:tc>
          <w:tcPr>
            <w:tcW w:w="1020" w:type="dxa"/>
            <w:vAlign w:val="bottom"/>
          </w:tcPr>
          <w:p>
            <w:pPr>
              <w:jc w:val="right"/>
              <w:ind w:right="898"/>
              <w:spacing w:after="0"/>
              <w:rPr>
                <w:sz w:val="20"/>
                <w:szCs w:val="20"/>
                <w:color w:val="auto"/>
              </w:rPr>
            </w:pPr>
            <w:r>
              <w:rPr>
                <w:rFonts w:ascii="Times New Roman" w:cs="Times New Roman" w:eastAsia="Times New Roman" w:hAnsi="Times New Roman"/>
                <w:sz w:val="7"/>
                <w:szCs w:val="7"/>
                <w:b w:val="1"/>
                <w:bCs w:val="1"/>
                <w:color w:val="005AFF"/>
                <w:w w:val="72"/>
              </w:rPr>
              <w:t>(3)</w:t>
            </w: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spacing w:after="0"/>
              <w:rPr>
                <w:sz w:val="14"/>
                <w:szCs w:val="14"/>
                <w:color w:val="auto"/>
              </w:rPr>
            </w:pPr>
          </w:p>
        </w:tc>
        <w:tc>
          <w:tcPr>
            <w:tcW w:w="46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5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color w:val="0D0D0D"/>
                <w:w w:val="97"/>
              </w:rPr>
              <w:t>Cross-currency swaps</w:t>
            </w:r>
          </w:p>
        </w:tc>
        <w:tc>
          <w:tcPr>
            <w:tcW w:w="580" w:type="dxa"/>
            <w:vAlign w:val="bottom"/>
          </w:tcPr>
          <w:p>
            <w:pPr>
              <w:spacing w:after="0"/>
              <w:rPr>
                <w:sz w:val="13"/>
                <w:szCs w:val="13"/>
                <w:color w:val="auto"/>
              </w:rPr>
            </w:pPr>
          </w:p>
        </w:tc>
        <w:tc>
          <w:tcPr>
            <w:tcW w:w="1020" w:type="dxa"/>
            <w:vAlign w:val="bottom"/>
          </w:tcPr>
          <w:p>
            <w:pPr>
              <w:spacing w:after="0"/>
              <w:rPr>
                <w:sz w:val="13"/>
                <w:szCs w:val="13"/>
                <w:color w:val="auto"/>
              </w:rPr>
            </w:pPr>
          </w:p>
        </w:tc>
        <w:tc>
          <w:tcPr>
            <w:tcW w:w="740" w:type="dxa"/>
            <w:vAlign w:val="bottom"/>
          </w:tcPr>
          <w:p>
            <w:pPr>
              <w:spacing w:after="0"/>
              <w:rPr>
                <w:sz w:val="13"/>
                <w:szCs w:val="13"/>
                <w:color w:val="auto"/>
              </w:rPr>
            </w:pPr>
          </w:p>
        </w:tc>
        <w:tc>
          <w:tcPr>
            <w:tcW w:w="1200" w:type="dxa"/>
            <w:vAlign w:val="bottom"/>
          </w:tcPr>
          <w:p>
            <w:pPr>
              <w:spacing w:after="0"/>
              <w:rPr>
                <w:sz w:val="13"/>
                <w:szCs w:val="13"/>
                <w:color w:val="auto"/>
              </w:rPr>
            </w:pPr>
          </w:p>
        </w:tc>
        <w:tc>
          <w:tcPr>
            <w:tcW w:w="540" w:type="dxa"/>
            <w:vAlign w:val="bottom"/>
            <w:tcBorders>
              <w:right w:val="single" w:sz="8" w:color="F0F5FF"/>
            </w:tcBorders>
          </w:tcPr>
          <w:p>
            <w:pPr>
              <w:spacing w:after="0"/>
              <w:rPr>
                <w:sz w:val="13"/>
                <w:szCs w:val="13"/>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9"/>
              </w:rPr>
              <w:t>—</w:t>
            </w:r>
          </w:p>
        </w:tc>
        <w:tc>
          <w:tcPr>
            <w:tcW w:w="460" w:type="dxa"/>
            <w:vAlign w:val="bottom"/>
            <w:shd w:val="clear" w:color="auto" w:fill="F0F5FF"/>
          </w:tcPr>
          <w:p>
            <w:pPr>
              <w:ind w:left="340"/>
              <w:spacing w:after="0"/>
              <w:rPr>
                <w:sz w:val="20"/>
                <w:szCs w:val="20"/>
                <w:color w:val="auto"/>
              </w:rPr>
            </w:pPr>
            <w:r>
              <w:rPr>
                <w:rFonts w:ascii="Times New Roman" w:cs="Times New Roman" w:eastAsia="Times New Roman" w:hAnsi="Times New Roman"/>
                <w:sz w:val="10"/>
                <w:szCs w:val="10"/>
                <w:color w:val="005AFF"/>
                <w:w w:val="99"/>
              </w:rPr>
              <w:t>—</w:t>
            </w:r>
          </w:p>
        </w:tc>
        <w:tc>
          <w:tcPr>
            <w:tcW w:w="40" w:type="dxa"/>
            <w:vAlign w:val="bottom"/>
            <w:shd w:val="clear" w:color="auto" w:fill="F0F5FF"/>
          </w:tcPr>
          <w:p>
            <w:pPr>
              <w:spacing w:after="0"/>
              <w:rPr>
                <w:sz w:val="13"/>
                <w:szCs w:val="13"/>
                <w:color w:val="auto"/>
              </w:rPr>
            </w:pPr>
          </w:p>
        </w:tc>
        <w:tc>
          <w:tcPr>
            <w:tcW w:w="100" w:type="dxa"/>
            <w:vAlign w:val="bottom"/>
            <w:shd w:val="clear" w:color="auto" w:fill="F0F5FF"/>
          </w:tcPr>
          <w:p>
            <w:pPr>
              <w:spacing w:after="0"/>
              <w:rPr>
                <w:sz w:val="13"/>
                <w:szCs w:val="13"/>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(144)</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905</w:t>
            </w:r>
          </w:p>
        </w:tc>
        <w:tc>
          <w:tcPr>
            <w:tcW w:w="40" w:type="dxa"/>
            <w:vAlign w:val="bottom"/>
          </w:tcPr>
          <w:p>
            <w:pPr>
              <w:spacing w:after="0"/>
              <w:rPr>
                <w:sz w:val="13"/>
                <w:szCs w:val="13"/>
                <w:color w:val="auto"/>
              </w:rPr>
            </w:pPr>
          </w:p>
        </w:tc>
        <w:tc>
          <w:tcPr>
            <w:tcW w:w="760" w:type="dxa"/>
            <w:vAlign w:val="bottom"/>
          </w:tcPr>
          <w:p>
            <w:pPr>
              <w:jc w:val="center"/>
              <w:ind w:left="252"/>
              <w:spacing w:after="0"/>
              <w:rPr>
                <w:sz w:val="20"/>
                <w:szCs w:val="20"/>
                <w:color w:val="auto"/>
              </w:rPr>
            </w:pPr>
            <w:r>
              <w:rPr>
                <w:rFonts w:ascii="Times New Roman" w:cs="Times New Roman" w:eastAsia="Times New Roman" w:hAnsi="Times New Roman"/>
                <w:sz w:val="10"/>
                <w:szCs w:val="10"/>
                <w:color w:val="0D0D0D"/>
                <w:w w:val="99"/>
              </w:rPr>
              <w:t>—</w:t>
            </w:r>
          </w:p>
        </w:tc>
        <w:tc>
          <w:tcPr>
            <w:tcW w:w="620" w:type="dxa"/>
            <w:vAlign w:val="bottom"/>
            <w:gridSpan w:val="3"/>
          </w:tcPr>
          <w:p>
            <w:pPr>
              <w:jc w:val="center"/>
              <w:ind w:left="11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(123)</w:t>
            </w:r>
          </w:p>
        </w:tc>
        <w:tc>
          <w:tcPr>
            <w:tcW w:w="4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938</w:t>
            </w:r>
          </w:p>
        </w:tc>
        <w:tc>
          <w:tcPr>
            <w:tcW w:w="0" w:type="dxa"/>
            <w:vAlign w:val="bottom"/>
          </w:tcPr>
          <w:p>
            <w:pPr>
              <w:spacing w:after="0"/>
              <w:rPr>
                <w:sz w:val="1"/>
                <w:szCs w:val="1"/>
                <w:color w:val="auto"/>
              </w:rPr>
            </w:pPr>
          </w:p>
        </w:tc>
      </w:tr>
      <w:tr>
        <w:trPr>
          <w:trHeight w:val="16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Fair value hedges</w:t>
            </w:r>
          </w:p>
        </w:tc>
        <w:tc>
          <w:tcPr>
            <w:tcW w:w="580" w:type="dxa"/>
            <w:vAlign w:val="bottom"/>
          </w:tcPr>
          <w:p>
            <w:pPr>
              <w:spacing w:after="0"/>
              <w:rPr>
                <w:sz w:val="14"/>
                <w:szCs w:val="14"/>
                <w:color w:val="auto"/>
              </w:rPr>
            </w:pP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spacing w:after="0"/>
              <w:rPr>
                <w:sz w:val="14"/>
                <w:szCs w:val="14"/>
                <w:color w:val="auto"/>
              </w:rPr>
            </w:pPr>
          </w:p>
        </w:tc>
        <w:tc>
          <w:tcPr>
            <w:tcW w:w="46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 rate swaps</w:t>
            </w:r>
          </w:p>
        </w:tc>
        <w:tc>
          <w:tcPr>
            <w:tcW w:w="580" w:type="dxa"/>
            <w:vAlign w:val="bottom"/>
          </w:tcPr>
          <w:p>
            <w:pPr>
              <w:spacing w:after="0"/>
              <w:rPr>
                <w:sz w:val="14"/>
                <w:szCs w:val="14"/>
                <w:color w:val="auto"/>
              </w:rPr>
            </w:pP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24</w:t>
            </w:r>
          </w:p>
        </w:tc>
        <w:tc>
          <w:tcPr>
            <w:tcW w:w="46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1 195</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(28)</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1 105</w:t>
            </w:r>
          </w:p>
        </w:tc>
        <w:tc>
          <w:tcPr>
            <w:tcW w:w="40" w:type="dxa"/>
            <w:vAlign w:val="bottom"/>
          </w:tcPr>
          <w:p>
            <w:pPr>
              <w:spacing w:after="0"/>
              <w:rPr>
                <w:sz w:val="14"/>
                <w:szCs w:val="14"/>
                <w:color w:val="auto"/>
              </w:rPr>
            </w:pPr>
          </w:p>
        </w:tc>
        <w:tc>
          <w:tcPr>
            <w:tcW w:w="760" w:type="dxa"/>
            <w:vAlign w:val="bottom"/>
          </w:tcPr>
          <w:p>
            <w:pPr>
              <w:jc w:val="center"/>
              <w:ind w:left="252"/>
              <w:spacing w:after="0"/>
              <w:rPr>
                <w:sz w:val="20"/>
                <w:szCs w:val="20"/>
                <w:color w:val="auto"/>
              </w:rPr>
            </w:pPr>
            <w:r>
              <w:rPr>
                <w:rFonts w:ascii="Times New Roman" w:cs="Times New Roman" w:eastAsia="Times New Roman" w:hAnsi="Times New Roman"/>
                <w:sz w:val="10"/>
                <w:szCs w:val="10"/>
                <w:color w:val="0D0D0D"/>
                <w:w w:val="99"/>
              </w:rPr>
              <w:t>—</w:t>
            </w:r>
          </w:p>
        </w:tc>
        <w:tc>
          <w:tcPr>
            <w:tcW w:w="620" w:type="dxa"/>
            <w:vAlign w:val="bottom"/>
            <w:gridSpan w:val="3"/>
          </w:tcPr>
          <w:p>
            <w:pPr>
              <w:jc w:val="center"/>
              <w:ind w:left="111"/>
              <w:spacing w:after="0"/>
              <w:rPr>
                <w:sz w:val="20"/>
                <w:szCs w:val="20"/>
                <w:color w:val="auto"/>
              </w:rPr>
            </w:pPr>
            <w:r>
              <w:rPr>
                <w:rFonts w:ascii="Times New Roman" w:cs="Times New Roman" w:eastAsia="Times New Roman" w:hAnsi="Times New Roman"/>
                <w:sz w:val="10"/>
                <w:szCs w:val="10"/>
                <w:color w:val="0D0D0D"/>
                <w:w w:val="99"/>
              </w:rPr>
              <w:t>—</w:t>
            </w: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(99)</w:t>
            </w:r>
          </w:p>
        </w:tc>
        <w:tc>
          <w:tcPr>
            <w:tcW w:w="4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2 500</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w w:val="99"/>
              </w:rPr>
              <w:t>Foreign exchange forward contracts</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14</w:t>
            </w:r>
          </w:p>
        </w:tc>
        <w:tc>
          <w:tcPr>
            <w:tcW w:w="4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627</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(59)</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1 337</w:t>
            </w:r>
          </w:p>
        </w:tc>
        <w:tc>
          <w:tcPr>
            <w:tcW w:w="800" w:type="dxa"/>
            <w:vAlign w:val="bottom"/>
            <w:gridSpan w:val="2"/>
          </w:tcPr>
          <w:p>
            <w:pPr>
              <w:jc w:val="right"/>
              <w:ind w:right="152"/>
              <w:spacing w:after="0"/>
              <w:rPr>
                <w:sz w:val="20"/>
                <w:szCs w:val="20"/>
                <w:color w:val="auto"/>
              </w:rPr>
            </w:pPr>
            <w:r>
              <w:rPr>
                <w:rFonts w:ascii="Times New Roman" w:cs="Times New Roman" w:eastAsia="Times New Roman" w:hAnsi="Times New Roman"/>
                <w:sz w:val="10"/>
                <w:szCs w:val="10"/>
                <w:color w:val="0D0D0D"/>
              </w:rPr>
              <w:t>19</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393</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(163)</w:t>
            </w:r>
          </w:p>
        </w:tc>
        <w:tc>
          <w:tcPr>
            <w:tcW w:w="4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1 981</w:t>
            </w:r>
          </w:p>
        </w:tc>
        <w:tc>
          <w:tcPr>
            <w:tcW w:w="0" w:type="dxa"/>
            <w:vAlign w:val="bottom"/>
          </w:tcPr>
          <w:p>
            <w:pPr>
              <w:spacing w:after="0"/>
              <w:rPr>
                <w:sz w:val="1"/>
                <w:szCs w:val="1"/>
                <w:color w:val="auto"/>
              </w:rPr>
            </w:pPr>
          </w:p>
        </w:tc>
      </w:tr>
      <w:tr>
        <w:trPr>
          <w:trHeight w:val="16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Firm commitments</w:t>
            </w:r>
          </w:p>
        </w:tc>
        <w:tc>
          <w:tcPr>
            <w:tcW w:w="580" w:type="dxa"/>
            <w:vAlign w:val="bottom"/>
          </w:tcPr>
          <w:p>
            <w:pPr>
              <w:spacing w:after="0"/>
              <w:rPr>
                <w:sz w:val="14"/>
                <w:szCs w:val="14"/>
                <w:color w:val="auto"/>
              </w:rPr>
            </w:pP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22</w:t>
            </w:r>
          </w:p>
        </w:tc>
        <w:tc>
          <w:tcPr>
            <w:tcW w:w="46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1 788</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(9)</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434</w:t>
            </w:r>
          </w:p>
        </w:tc>
        <w:tc>
          <w:tcPr>
            <w:tcW w:w="800" w:type="dxa"/>
            <w:vAlign w:val="bottom"/>
            <w:gridSpan w:val="2"/>
          </w:tcPr>
          <w:p>
            <w:pPr>
              <w:jc w:val="right"/>
              <w:ind w:right="172"/>
              <w:spacing w:after="0"/>
              <w:rPr>
                <w:sz w:val="20"/>
                <w:szCs w:val="20"/>
                <w:color w:val="auto"/>
              </w:rPr>
            </w:pPr>
            <w:r>
              <w:rPr>
                <w:rFonts w:ascii="Times New Roman" w:cs="Times New Roman" w:eastAsia="Times New Roman" w:hAnsi="Times New Roman"/>
                <w:sz w:val="10"/>
                <w:szCs w:val="10"/>
                <w:color w:val="0D0D0D"/>
              </w:rPr>
              <w:t>117</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1 842</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(28)</w:t>
            </w:r>
          </w:p>
        </w:tc>
        <w:tc>
          <w:tcPr>
            <w:tcW w:w="42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384</w:t>
            </w:r>
          </w:p>
        </w:tc>
        <w:tc>
          <w:tcPr>
            <w:tcW w:w="0" w:type="dxa"/>
            <w:vAlign w:val="bottom"/>
          </w:tcPr>
          <w:p>
            <w:pPr>
              <w:spacing w:after="0"/>
              <w:rPr>
                <w:sz w:val="1"/>
                <w:szCs w:val="1"/>
                <w:color w:val="auto"/>
              </w:rPr>
            </w:pPr>
          </w:p>
        </w:tc>
      </w:tr>
      <w:tr>
        <w:trPr>
          <w:trHeight w:val="162"/>
        </w:trPr>
        <w:tc>
          <w:tcPr>
            <w:tcW w:w="2520" w:type="dxa"/>
            <w:vAlign w:val="bottom"/>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Hedges on net investment in foreign subsidiaries</w:t>
            </w: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spacing w:after="0"/>
              <w:rPr>
                <w:sz w:val="14"/>
                <w:szCs w:val="14"/>
                <w:color w:val="auto"/>
              </w:rPr>
            </w:pPr>
          </w:p>
        </w:tc>
        <w:tc>
          <w:tcPr>
            <w:tcW w:w="46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w w:val="99"/>
              </w:rPr>
              <w:t>Foreign exchange forward contracts</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rPr>
              <w:t>6</w:t>
            </w:r>
          </w:p>
        </w:tc>
        <w:tc>
          <w:tcPr>
            <w:tcW w:w="46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1 111</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81</w:t>
            </w:r>
          </w:p>
        </w:tc>
        <w:tc>
          <w:tcPr>
            <w:tcW w:w="40" w:type="dxa"/>
            <w:vAlign w:val="bottom"/>
          </w:tcPr>
          <w:p>
            <w:pPr>
              <w:spacing w:after="0"/>
              <w:rPr>
                <w:sz w:val="14"/>
                <w:szCs w:val="14"/>
                <w:color w:val="auto"/>
              </w:rPr>
            </w:pPr>
          </w:p>
        </w:tc>
        <w:tc>
          <w:tcPr>
            <w:tcW w:w="760" w:type="dxa"/>
            <w:vAlign w:val="bottom"/>
          </w:tcPr>
          <w:p>
            <w:pPr>
              <w:jc w:val="center"/>
              <w:ind w:left="252"/>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3 509</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51"/>
              <w:spacing w:after="0"/>
              <w:rPr>
                <w:sz w:val="20"/>
                <w:szCs w:val="20"/>
                <w:color w:val="auto"/>
              </w:rPr>
            </w:pPr>
            <w:r>
              <w:rPr>
                <w:rFonts w:ascii="Times New Roman" w:cs="Times New Roman" w:eastAsia="Times New Roman" w:hAnsi="Times New Roman"/>
                <w:sz w:val="10"/>
                <w:szCs w:val="10"/>
                <w:color w:val="0D0D0D"/>
              </w:rPr>
              <w:t>(9)</w:t>
            </w:r>
          </w:p>
        </w:tc>
        <w:tc>
          <w:tcPr>
            <w:tcW w:w="4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1 103</w:t>
            </w:r>
          </w:p>
        </w:tc>
        <w:tc>
          <w:tcPr>
            <w:tcW w:w="0" w:type="dxa"/>
            <w:vAlign w:val="bottom"/>
          </w:tcPr>
          <w:p>
            <w:pPr>
              <w:spacing w:after="0"/>
              <w:rPr>
                <w:sz w:val="1"/>
                <w:szCs w:val="1"/>
                <w:color w:val="auto"/>
              </w:rPr>
            </w:pPr>
          </w:p>
        </w:tc>
      </w:tr>
      <w:tr>
        <w:trPr>
          <w:trHeight w:val="162"/>
        </w:trPr>
        <w:tc>
          <w:tcPr>
            <w:tcW w:w="5000" w:type="dxa"/>
            <w:vAlign w:val="bottom"/>
            <w:tcBorders>
              <w:right w:val="single" w:sz="8" w:color="F0F5FF"/>
            </w:tcBorders>
            <w:gridSpan w:val="6"/>
          </w:tcPr>
          <w:p>
            <w:pPr>
              <w:ind w:left="40"/>
              <w:spacing w:after="0"/>
              <w:rPr>
                <w:sz w:val="20"/>
                <w:szCs w:val="20"/>
                <w:color w:val="auto"/>
              </w:rPr>
            </w:pPr>
            <w:r>
              <w:rPr>
                <w:rFonts w:ascii="Times New Roman" w:cs="Times New Roman" w:eastAsia="Times New Roman" w:hAnsi="Times New Roman"/>
                <w:sz w:val="10"/>
                <w:szCs w:val="10"/>
                <w:b w:val="1"/>
                <w:bCs w:val="1"/>
                <w:color w:val="005AFF"/>
              </w:rPr>
              <w:t>Derivatives not designated in hedge accounting relationships carried at fair value through profit and loss</w:t>
            </w:r>
          </w:p>
        </w:tc>
        <w:tc>
          <w:tcPr>
            <w:tcW w:w="760" w:type="dxa"/>
            <w:vAlign w:val="bottom"/>
            <w:shd w:val="clear" w:color="auto" w:fill="F0F5FF"/>
          </w:tcPr>
          <w:p>
            <w:pPr>
              <w:spacing w:after="0"/>
              <w:rPr>
                <w:sz w:val="14"/>
                <w:szCs w:val="14"/>
                <w:color w:val="auto"/>
              </w:rPr>
            </w:pPr>
          </w:p>
        </w:tc>
        <w:tc>
          <w:tcPr>
            <w:tcW w:w="460" w:type="dxa"/>
            <w:vAlign w:val="bottom"/>
            <w:shd w:val="clear" w:color="auto" w:fill="F0F5FF"/>
          </w:tcPr>
          <w:p>
            <w:pPr>
              <w:spacing w:after="0"/>
              <w:rPr>
                <w:sz w:val="14"/>
                <w:szCs w:val="14"/>
                <w:color w:val="auto"/>
              </w:rPr>
            </w:pP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spacing w:after="0"/>
              <w:rPr>
                <w:sz w:val="14"/>
                <w:szCs w:val="14"/>
                <w:color w:val="auto"/>
              </w:rPr>
            </w:pPr>
          </w:p>
        </w:tc>
        <w:tc>
          <w:tcPr>
            <w:tcW w:w="440" w:type="dxa"/>
            <w:vAlign w:val="bottom"/>
            <w:shd w:val="clear" w:color="auto" w:fill="F0F5FF"/>
          </w:tcPr>
          <w:p>
            <w:pPr>
              <w:spacing w:after="0"/>
              <w:rPr>
                <w:sz w:val="14"/>
                <w:szCs w:val="14"/>
                <w:color w:val="auto"/>
              </w:rPr>
            </w:pPr>
          </w:p>
        </w:tc>
        <w:tc>
          <w:tcPr>
            <w:tcW w:w="40" w:type="dxa"/>
            <w:vAlign w:val="bottom"/>
          </w:tcPr>
          <w:p>
            <w:pPr>
              <w:spacing w:after="0"/>
              <w:rPr>
                <w:sz w:val="14"/>
                <w:szCs w:val="14"/>
                <w:color w:val="auto"/>
              </w:rPr>
            </w:pPr>
          </w:p>
        </w:tc>
        <w:tc>
          <w:tcPr>
            <w:tcW w:w="760" w:type="dxa"/>
            <w:vAlign w:val="bottom"/>
          </w:tcPr>
          <w:p>
            <w:pPr>
              <w:spacing w:after="0"/>
              <w:rPr>
                <w:sz w:val="14"/>
                <w:szCs w:val="14"/>
                <w:color w:val="auto"/>
              </w:rPr>
            </w:pPr>
          </w:p>
        </w:tc>
        <w:tc>
          <w:tcPr>
            <w:tcW w:w="460" w:type="dxa"/>
            <w:vAlign w:val="bottom"/>
          </w:tcPr>
          <w:p>
            <w:pPr>
              <w:spacing w:after="0"/>
              <w:rPr>
                <w:sz w:val="14"/>
                <w:szCs w:val="14"/>
                <w:color w:val="auto"/>
              </w:rPr>
            </w:pP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spacing w:after="0"/>
              <w:rPr>
                <w:sz w:val="14"/>
                <w:szCs w:val="14"/>
                <w:color w:val="auto"/>
              </w:rPr>
            </w:pPr>
          </w:p>
        </w:tc>
        <w:tc>
          <w:tcPr>
            <w:tcW w:w="420" w:type="dxa"/>
            <w:vAlign w:val="bottom"/>
          </w:tcPr>
          <w:p>
            <w:pPr>
              <w:spacing w:after="0"/>
              <w:rPr>
                <w:sz w:val="14"/>
                <w:szCs w:val="14"/>
                <w:color w:val="auto"/>
              </w:rPr>
            </w:pP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w w:val="99"/>
              </w:rPr>
              <w:t>Foreign exchange forward contracts</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color w:val="005AFF"/>
              </w:rPr>
              <w:t>58</w:t>
            </w:r>
          </w:p>
        </w:tc>
        <w:tc>
          <w:tcPr>
            <w:tcW w:w="460" w:type="dxa"/>
            <w:vAlign w:val="bottom"/>
            <w:shd w:val="clear" w:color="auto" w:fill="F0F5FF"/>
          </w:tcPr>
          <w:p>
            <w:pPr>
              <w:ind w:left="160"/>
              <w:spacing w:after="0"/>
              <w:rPr>
                <w:sz w:val="20"/>
                <w:szCs w:val="20"/>
                <w:color w:val="auto"/>
              </w:rPr>
            </w:pPr>
            <w:r>
              <w:rPr>
                <w:rFonts w:ascii="Times New Roman" w:cs="Times New Roman" w:eastAsia="Times New Roman" w:hAnsi="Times New Roman"/>
                <w:sz w:val="10"/>
                <w:szCs w:val="10"/>
                <w:color w:val="005AFF"/>
              </w:rPr>
              <w:t>6 889</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(35)</w:t>
            </w:r>
          </w:p>
        </w:tc>
        <w:tc>
          <w:tcPr>
            <w:tcW w:w="4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6 012</w:t>
            </w:r>
          </w:p>
        </w:tc>
        <w:tc>
          <w:tcPr>
            <w:tcW w:w="800" w:type="dxa"/>
            <w:vAlign w:val="bottom"/>
            <w:gridSpan w:val="2"/>
          </w:tcPr>
          <w:p>
            <w:pPr>
              <w:jc w:val="right"/>
              <w:ind w:right="152"/>
              <w:spacing w:after="0"/>
              <w:rPr>
                <w:sz w:val="20"/>
                <w:szCs w:val="20"/>
                <w:color w:val="auto"/>
              </w:rPr>
            </w:pPr>
            <w:r>
              <w:rPr>
                <w:rFonts w:ascii="Times New Roman" w:cs="Times New Roman" w:eastAsia="Times New Roman" w:hAnsi="Times New Roman"/>
                <w:sz w:val="10"/>
                <w:szCs w:val="10"/>
                <w:color w:val="0D0D0D"/>
              </w:rPr>
              <w:t>86</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5 625</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(72)</w:t>
            </w:r>
          </w:p>
        </w:tc>
        <w:tc>
          <w:tcPr>
            <w:tcW w:w="420" w:type="dxa"/>
            <w:vAlign w:val="bottom"/>
          </w:tcPr>
          <w:p>
            <w:pPr>
              <w:jc w:val="right"/>
              <w:ind w:right="29"/>
              <w:spacing w:after="0"/>
              <w:rPr>
                <w:sz w:val="20"/>
                <w:szCs w:val="20"/>
                <w:color w:val="auto"/>
              </w:rPr>
            </w:pPr>
            <w:r>
              <w:rPr>
                <w:rFonts w:ascii="Times New Roman" w:cs="Times New Roman" w:eastAsia="Times New Roman" w:hAnsi="Times New Roman"/>
                <w:sz w:val="10"/>
                <w:szCs w:val="10"/>
                <w:color w:val="0D0D0D"/>
              </w:rPr>
              <w:t>6 968</w:t>
            </w:r>
          </w:p>
        </w:tc>
        <w:tc>
          <w:tcPr>
            <w:tcW w:w="0" w:type="dxa"/>
            <w:vAlign w:val="bottom"/>
          </w:tcPr>
          <w:p>
            <w:pPr>
              <w:spacing w:after="0"/>
              <w:rPr>
                <w:sz w:val="1"/>
                <w:szCs w:val="1"/>
                <w:color w:val="auto"/>
              </w:rPr>
            </w:pPr>
          </w:p>
        </w:tc>
      </w:tr>
      <w:tr>
        <w:trPr>
          <w:trHeight w:val="162"/>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Currency options bought</w:t>
            </w:r>
          </w:p>
        </w:tc>
        <w:tc>
          <w:tcPr>
            <w:tcW w:w="102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1200" w:type="dxa"/>
            <w:vAlign w:val="bottom"/>
          </w:tcPr>
          <w:p>
            <w:pPr>
              <w:spacing w:after="0"/>
              <w:rPr>
                <w:sz w:val="14"/>
                <w:szCs w:val="14"/>
                <w:color w:val="auto"/>
              </w:rPr>
            </w:pPr>
          </w:p>
        </w:tc>
        <w:tc>
          <w:tcPr>
            <w:tcW w:w="540" w:type="dxa"/>
            <w:vAlign w:val="bottom"/>
            <w:tcBorders>
              <w:right w:val="single" w:sz="8" w:color="F0F5FF"/>
            </w:tcBorders>
          </w:tcPr>
          <w:p>
            <w:pPr>
              <w:spacing w:after="0"/>
              <w:rPr>
                <w:sz w:val="14"/>
                <w:szCs w:val="14"/>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9"/>
              </w:rPr>
              <w:t>—</w:t>
            </w:r>
          </w:p>
        </w:tc>
        <w:tc>
          <w:tcPr>
            <w:tcW w:w="4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10</w:t>
            </w:r>
          </w:p>
        </w:tc>
        <w:tc>
          <w:tcPr>
            <w:tcW w:w="40" w:type="dxa"/>
            <w:vAlign w:val="bottom"/>
            <w:shd w:val="clear" w:color="auto" w:fill="F0F5FF"/>
          </w:tcPr>
          <w:p>
            <w:pPr>
              <w:spacing w:after="0"/>
              <w:rPr>
                <w:sz w:val="14"/>
                <w:szCs w:val="14"/>
                <w:color w:val="auto"/>
              </w:rPr>
            </w:pPr>
          </w:p>
        </w:tc>
        <w:tc>
          <w:tcPr>
            <w:tcW w:w="100" w:type="dxa"/>
            <w:vAlign w:val="bottom"/>
            <w:shd w:val="clear" w:color="auto" w:fill="F0F5FF"/>
          </w:tcPr>
          <w:p>
            <w:pPr>
              <w:spacing w:after="0"/>
              <w:rPr>
                <w:sz w:val="14"/>
                <w:szCs w:val="14"/>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tcPr>
          <w:p>
            <w:pPr>
              <w:spacing w:after="0"/>
              <w:rPr>
                <w:sz w:val="14"/>
                <w:szCs w:val="14"/>
                <w:color w:val="auto"/>
              </w:rPr>
            </w:pPr>
          </w:p>
        </w:tc>
        <w:tc>
          <w:tcPr>
            <w:tcW w:w="760" w:type="dxa"/>
            <w:vAlign w:val="bottom"/>
          </w:tcPr>
          <w:p>
            <w:pPr>
              <w:jc w:val="center"/>
              <w:ind w:left="252"/>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18</w:t>
            </w:r>
          </w:p>
        </w:tc>
        <w:tc>
          <w:tcPr>
            <w:tcW w:w="40" w:type="dxa"/>
            <w:vAlign w:val="bottom"/>
          </w:tcPr>
          <w:p>
            <w:pPr>
              <w:spacing w:after="0"/>
              <w:rPr>
                <w:sz w:val="14"/>
                <w:szCs w:val="14"/>
                <w:color w:val="auto"/>
              </w:rPr>
            </w:pPr>
          </w:p>
        </w:tc>
        <w:tc>
          <w:tcPr>
            <w:tcW w:w="120" w:type="dxa"/>
            <w:vAlign w:val="bottom"/>
          </w:tcPr>
          <w:p>
            <w:pPr>
              <w:spacing w:after="0"/>
              <w:rPr>
                <w:sz w:val="14"/>
                <w:szCs w:val="14"/>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94"/>
        </w:trPr>
        <w:tc>
          <w:tcPr>
            <w:tcW w:w="150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 xml:space="preserve">Embedded derivatives  </w:t>
            </w:r>
            <w:r>
              <w:rPr>
                <w:rFonts w:ascii="Times New Roman" w:cs="Times New Roman" w:eastAsia="Times New Roman" w:hAnsi="Times New Roman"/>
                <w:sz w:val="13"/>
                <w:szCs w:val="13"/>
                <w:color w:val="0D0D0D"/>
                <w:vertAlign w:val="superscript"/>
              </w:rPr>
              <w:t>(4)</w:t>
            </w:r>
          </w:p>
        </w:tc>
        <w:tc>
          <w:tcPr>
            <w:tcW w:w="1020" w:type="dxa"/>
            <w:vAlign w:val="bottom"/>
          </w:tcPr>
          <w:p>
            <w:pPr>
              <w:spacing w:after="0"/>
              <w:rPr>
                <w:sz w:val="16"/>
                <w:szCs w:val="16"/>
                <w:color w:val="auto"/>
              </w:rPr>
            </w:pPr>
          </w:p>
        </w:tc>
        <w:tc>
          <w:tcPr>
            <w:tcW w:w="740" w:type="dxa"/>
            <w:vAlign w:val="bottom"/>
          </w:tcPr>
          <w:p>
            <w:pPr>
              <w:spacing w:after="0"/>
              <w:rPr>
                <w:sz w:val="16"/>
                <w:szCs w:val="16"/>
                <w:color w:val="auto"/>
              </w:rPr>
            </w:pPr>
          </w:p>
        </w:tc>
        <w:tc>
          <w:tcPr>
            <w:tcW w:w="1200" w:type="dxa"/>
            <w:vAlign w:val="bottom"/>
          </w:tcPr>
          <w:p>
            <w:pPr>
              <w:spacing w:after="0"/>
              <w:rPr>
                <w:sz w:val="16"/>
                <w:szCs w:val="16"/>
                <w:color w:val="auto"/>
              </w:rPr>
            </w:pPr>
          </w:p>
        </w:tc>
        <w:tc>
          <w:tcPr>
            <w:tcW w:w="540" w:type="dxa"/>
            <w:vAlign w:val="bottom"/>
            <w:tcBorders>
              <w:right w:val="single" w:sz="8" w:color="F0F5FF"/>
            </w:tcBorders>
          </w:tcPr>
          <w:p>
            <w:pPr>
              <w:spacing w:after="0"/>
              <w:rPr>
                <w:sz w:val="16"/>
                <w:szCs w:val="16"/>
                <w:color w:val="auto"/>
              </w:rPr>
            </w:pPr>
          </w:p>
        </w:tc>
        <w:tc>
          <w:tcPr>
            <w:tcW w:w="760" w:type="dxa"/>
            <w:vAlign w:val="bottom"/>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rPr>
              <w:t>3</w:t>
            </w:r>
          </w:p>
        </w:tc>
        <w:tc>
          <w:tcPr>
            <w:tcW w:w="4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620</w:t>
            </w:r>
          </w:p>
        </w:tc>
        <w:tc>
          <w:tcPr>
            <w:tcW w:w="40" w:type="dxa"/>
            <w:vAlign w:val="bottom"/>
            <w:shd w:val="clear" w:color="auto" w:fill="F0F5FF"/>
          </w:tcPr>
          <w:p>
            <w:pPr>
              <w:spacing w:after="0"/>
              <w:rPr>
                <w:sz w:val="16"/>
                <w:szCs w:val="16"/>
                <w:color w:val="auto"/>
              </w:rPr>
            </w:pPr>
          </w:p>
        </w:tc>
        <w:tc>
          <w:tcPr>
            <w:tcW w:w="100" w:type="dxa"/>
            <w:vAlign w:val="bottom"/>
            <w:shd w:val="clear" w:color="auto" w:fill="F0F5FF"/>
          </w:tcPr>
          <w:p>
            <w:pPr>
              <w:spacing w:after="0"/>
              <w:rPr>
                <w:sz w:val="16"/>
                <w:szCs w:val="16"/>
                <w:color w:val="auto"/>
              </w:rPr>
            </w:pPr>
          </w:p>
        </w:tc>
        <w:tc>
          <w:tcPr>
            <w:tcW w:w="700" w:type="dxa"/>
            <w:vAlign w:val="bottom"/>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gridSpan w:val="2"/>
          </w:tcPr>
          <w:p>
            <w:pPr>
              <w:jc w:val="right"/>
              <w:ind w:right="152"/>
              <w:spacing w:after="0"/>
              <w:rPr>
                <w:sz w:val="20"/>
                <w:szCs w:val="20"/>
                <w:color w:val="auto"/>
              </w:rPr>
            </w:pPr>
            <w:r>
              <w:rPr>
                <w:rFonts w:ascii="Times New Roman" w:cs="Times New Roman" w:eastAsia="Times New Roman" w:hAnsi="Times New Roman"/>
                <w:sz w:val="10"/>
                <w:szCs w:val="10"/>
                <w:color w:val="0D0D0D"/>
              </w:rPr>
              <w:t>51</w:t>
            </w:r>
          </w:p>
        </w:tc>
        <w:tc>
          <w:tcPr>
            <w:tcW w:w="46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2 495</w:t>
            </w:r>
          </w:p>
        </w:tc>
        <w:tc>
          <w:tcPr>
            <w:tcW w:w="40" w:type="dxa"/>
            <w:vAlign w:val="bottom"/>
          </w:tcPr>
          <w:p>
            <w:pPr>
              <w:spacing w:after="0"/>
              <w:rPr>
                <w:sz w:val="16"/>
                <w:szCs w:val="16"/>
                <w:color w:val="auto"/>
              </w:rPr>
            </w:pPr>
          </w:p>
        </w:tc>
        <w:tc>
          <w:tcPr>
            <w:tcW w:w="120" w:type="dxa"/>
            <w:vAlign w:val="bottom"/>
          </w:tcPr>
          <w:p>
            <w:pPr>
              <w:spacing w:after="0"/>
              <w:rPr>
                <w:sz w:val="16"/>
                <w:szCs w:val="16"/>
                <w:color w:val="auto"/>
              </w:rPr>
            </w:pPr>
          </w:p>
        </w:tc>
        <w:tc>
          <w:tcPr>
            <w:tcW w:w="700" w:type="dxa"/>
            <w:vAlign w:val="bottom"/>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35"/>
        </w:trPr>
        <w:tc>
          <w:tcPr>
            <w:tcW w:w="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Other derivatives</w:t>
            </w:r>
          </w:p>
        </w:tc>
        <w:tc>
          <w:tcPr>
            <w:tcW w:w="580" w:type="dxa"/>
            <w:vAlign w:val="bottom"/>
            <w:tcBorders>
              <w:bottom w:val="single" w:sz="8" w:color="005AFF"/>
            </w:tcBorders>
          </w:tcPr>
          <w:p>
            <w:pPr>
              <w:spacing w:after="0"/>
              <w:rPr>
                <w:sz w:val="11"/>
                <w:szCs w:val="11"/>
                <w:color w:val="auto"/>
              </w:rPr>
            </w:pPr>
          </w:p>
        </w:tc>
        <w:tc>
          <w:tcPr>
            <w:tcW w:w="102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tcPr>
          <w:p>
            <w:pPr>
              <w:spacing w:after="0"/>
              <w:rPr>
                <w:sz w:val="11"/>
                <w:szCs w:val="11"/>
                <w:color w:val="auto"/>
              </w:rPr>
            </w:pPr>
          </w:p>
        </w:tc>
        <w:tc>
          <w:tcPr>
            <w:tcW w:w="120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right w:val="single" w:sz="8" w:color="F0F5FF"/>
            </w:tcBorders>
          </w:tcPr>
          <w:p>
            <w:pPr>
              <w:spacing w:after="0"/>
              <w:rPr>
                <w:sz w:val="11"/>
                <w:szCs w:val="11"/>
                <w:color w:val="auto"/>
              </w:rPr>
            </w:pPr>
          </w:p>
        </w:tc>
        <w:tc>
          <w:tcPr>
            <w:tcW w:w="760" w:type="dxa"/>
            <w:vAlign w:val="bottom"/>
            <w:tcBorders>
              <w:bottom w:val="single" w:sz="8" w:color="005AFF"/>
            </w:tcBorders>
            <w:shd w:val="clear" w:color="auto" w:fill="F0F5FF"/>
          </w:tcPr>
          <w:p>
            <w:pPr>
              <w:jc w:val="center"/>
              <w:ind w:left="251"/>
              <w:spacing w:after="0"/>
              <w:rPr>
                <w:sz w:val="20"/>
                <w:szCs w:val="20"/>
                <w:color w:val="auto"/>
              </w:rPr>
            </w:pPr>
            <w:r>
              <w:rPr>
                <w:rFonts w:ascii="Times New Roman" w:cs="Times New Roman" w:eastAsia="Times New Roman" w:hAnsi="Times New Roman"/>
                <w:sz w:val="10"/>
                <w:szCs w:val="10"/>
                <w:color w:val="005AFF"/>
                <w:w w:val="99"/>
              </w:rPr>
              <w:t>—</w:t>
            </w:r>
          </w:p>
        </w:tc>
        <w:tc>
          <w:tcPr>
            <w:tcW w:w="46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12</w:t>
            </w:r>
          </w:p>
        </w:tc>
        <w:tc>
          <w:tcPr>
            <w:tcW w:w="40" w:type="dxa"/>
            <w:vAlign w:val="bottom"/>
            <w:tcBorders>
              <w:bottom w:val="single" w:sz="8" w:color="005AFF"/>
            </w:tcBorders>
            <w:shd w:val="clear" w:color="auto" w:fill="F0F5FF"/>
          </w:tcPr>
          <w:p>
            <w:pPr>
              <w:spacing w:after="0"/>
              <w:rPr>
                <w:sz w:val="11"/>
                <w:szCs w:val="11"/>
                <w:color w:val="auto"/>
              </w:rPr>
            </w:pPr>
          </w:p>
        </w:tc>
        <w:tc>
          <w:tcPr>
            <w:tcW w:w="100" w:type="dxa"/>
            <w:vAlign w:val="bottom"/>
            <w:tcBorders>
              <w:bottom w:val="single" w:sz="8" w:color="005AFF"/>
            </w:tcBorders>
            <w:shd w:val="clear" w:color="auto" w:fill="F0F5FF"/>
          </w:tcPr>
          <w:p>
            <w:pPr>
              <w:spacing w:after="0"/>
              <w:rPr>
                <w:sz w:val="11"/>
                <w:szCs w:val="11"/>
                <w:color w:val="auto"/>
              </w:rPr>
            </w:pPr>
          </w:p>
        </w:tc>
        <w:tc>
          <w:tcPr>
            <w:tcW w:w="700" w:type="dxa"/>
            <w:vAlign w:val="bottom"/>
            <w:tcBorders>
              <w:bottom w:val="single" w:sz="8" w:color="005AFF"/>
            </w:tcBorders>
            <w:shd w:val="clear" w:color="auto" w:fill="F0F5FF"/>
          </w:tcPr>
          <w:p>
            <w:pPr>
              <w:jc w:val="right"/>
              <w:ind w:right="151"/>
              <w:spacing w:after="0"/>
              <w:rPr>
                <w:sz w:val="20"/>
                <w:szCs w:val="20"/>
                <w:color w:val="auto"/>
              </w:rPr>
            </w:pPr>
            <w:r>
              <w:rPr>
                <w:rFonts w:ascii="Times New Roman" w:cs="Times New Roman" w:eastAsia="Times New Roman" w:hAnsi="Times New Roman"/>
                <w:sz w:val="10"/>
                <w:szCs w:val="10"/>
                <w:color w:val="005AFF"/>
              </w:rPr>
              <w:t>—</w:t>
            </w:r>
          </w:p>
        </w:tc>
        <w:tc>
          <w:tcPr>
            <w:tcW w:w="4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00" w:type="dxa"/>
            <w:vAlign w:val="bottom"/>
            <w:tcBorders>
              <w:bottom w:val="single" w:sz="8" w:color="005AFF"/>
            </w:tcBorders>
            <w:gridSpan w:val="2"/>
          </w:tcPr>
          <w:p>
            <w:pPr>
              <w:jc w:val="center"/>
              <w:ind w:left="309"/>
              <w:spacing w:after="0"/>
              <w:rPr>
                <w:sz w:val="20"/>
                <w:szCs w:val="20"/>
                <w:color w:val="auto"/>
              </w:rPr>
            </w:pPr>
            <w:r>
              <w:rPr>
                <w:rFonts w:ascii="Times New Roman" w:cs="Times New Roman" w:eastAsia="Times New Roman" w:hAnsi="Times New Roman"/>
                <w:sz w:val="10"/>
                <w:szCs w:val="10"/>
                <w:color w:val="0D0D0D"/>
                <w:w w:val="79"/>
              </w:rPr>
              <w:t>2</w:t>
            </w:r>
          </w:p>
        </w:tc>
        <w:tc>
          <w:tcPr>
            <w:tcW w:w="460" w:type="dxa"/>
            <w:vAlign w:val="bottom"/>
            <w:tcBorders>
              <w:bottom w:val="single" w:sz="8" w:color="005AFF"/>
            </w:tcBorders>
          </w:tcPr>
          <w:p>
            <w:pPr>
              <w:jc w:val="center"/>
              <w:ind w:left="271"/>
              <w:spacing w:after="0"/>
              <w:rPr>
                <w:sz w:val="20"/>
                <w:szCs w:val="20"/>
                <w:color w:val="auto"/>
              </w:rPr>
            </w:pPr>
            <w:r>
              <w:rPr>
                <w:rFonts w:ascii="Times New Roman" w:cs="Times New Roman" w:eastAsia="Times New Roman" w:hAnsi="Times New Roman"/>
                <w:sz w:val="10"/>
                <w:szCs w:val="10"/>
                <w:color w:val="0D0D0D"/>
              </w:rPr>
              <w:t>5</w:t>
            </w:r>
          </w:p>
        </w:tc>
        <w:tc>
          <w:tcPr>
            <w:tcW w:w="40" w:type="dxa"/>
            <w:vAlign w:val="bottom"/>
            <w:tcBorders>
              <w:bottom w:val="single" w:sz="8" w:color="005AFF"/>
            </w:tcBorders>
          </w:tcPr>
          <w:p>
            <w:pPr>
              <w:spacing w:after="0"/>
              <w:rPr>
                <w:sz w:val="11"/>
                <w:szCs w:val="11"/>
                <w:color w:val="auto"/>
              </w:rPr>
            </w:pPr>
          </w:p>
        </w:tc>
        <w:tc>
          <w:tcPr>
            <w:tcW w:w="120" w:type="dxa"/>
            <w:vAlign w:val="bottom"/>
            <w:tcBorders>
              <w:bottom w:val="single" w:sz="8" w:color="005AFF"/>
            </w:tcBorders>
          </w:tcPr>
          <w:p>
            <w:pPr>
              <w:spacing w:after="0"/>
              <w:rPr>
                <w:sz w:val="11"/>
                <w:szCs w:val="11"/>
                <w:color w:val="auto"/>
              </w:rPr>
            </w:pPr>
          </w:p>
        </w:tc>
        <w:tc>
          <w:tcPr>
            <w:tcW w:w="70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color w:val="0D0D0D"/>
              </w:rPr>
              <w:t>—</w:t>
            </w:r>
          </w:p>
        </w:tc>
        <w:tc>
          <w:tcPr>
            <w:tcW w:w="4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142"/>
        </w:trPr>
        <w:tc>
          <w:tcPr>
            <w:tcW w:w="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580" w:type="dxa"/>
            <w:vAlign w:val="bottom"/>
            <w:tcBorders>
              <w:bottom w:val="single" w:sz="8" w:color="005AFF"/>
            </w:tcBorders>
          </w:tcPr>
          <w:p>
            <w:pPr>
              <w:spacing w:after="0"/>
              <w:rPr>
                <w:sz w:val="12"/>
                <w:szCs w:val="12"/>
                <w:color w:val="auto"/>
              </w:rPr>
            </w:pPr>
          </w:p>
        </w:tc>
        <w:tc>
          <w:tcPr>
            <w:tcW w:w="102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spacing w:after="0"/>
              <w:rPr>
                <w:sz w:val="12"/>
                <w:szCs w:val="12"/>
                <w:color w:val="auto"/>
              </w:rPr>
            </w:pPr>
          </w:p>
        </w:tc>
        <w:tc>
          <w:tcPr>
            <w:tcW w:w="1200" w:type="dxa"/>
            <w:vAlign w:val="bottom"/>
            <w:tcBorders>
              <w:bottom w:val="single" w:sz="8" w:color="005AFF"/>
            </w:tcBorders>
          </w:tcPr>
          <w:p>
            <w:pPr>
              <w:spacing w:after="0"/>
              <w:rPr>
                <w:sz w:val="12"/>
                <w:szCs w:val="12"/>
                <w:color w:val="auto"/>
              </w:rPr>
            </w:pPr>
          </w:p>
        </w:tc>
        <w:tc>
          <w:tcPr>
            <w:tcW w:w="540" w:type="dxa"/>
            <w:vAlign w:val="bottom"/>
            <w:tcBorders>
              <w:bottom w:val="single" w:sz="8" w:color="005AFF"/>
              <w:right w:val="single" w:sz="8" w:color="F0F5FF"/>
            </w:tcBorders>
          </w:tcPr>
          <w:p>
            <w:pPr>
              <w:spacing w:after="0"/>
              <w:rPr>
                <w:sz w:val="12"/>
                <w:szCs w:val="12"/>
                <w:color w:val="auto"/>
              </w:rPr>
            </w:pPr>
          </w:p>
        </w:tc>
        <w:tc>
          <w:tcPr>
            <w:tcW w:w="760" w:type="dxa"/>
            <w:vAlign w:val="bottom"/>
            <w:tcBorders>
              <w:bottom w:val="single" w:sz="8" w:color="005AFF"/>
            </w:tcBorders>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b w:val="1"/>
                <w:bCs w:val="1"/>
                <w:color w:val="005AFF"/>
              </w:rPr>
              <w:t>156</w:t>
            </w:r>
          </w:p>
        </w:tc>
        <w:tc>
          <w:tcPr>
            <w:tcW w:w="460" w:type="dxa"/>
            <w:vAlign w:val="bottom"/>
            <w:tcBorders>
              <w:bottom w:val="single" w:sz="8" w:color="005AFF"/>
            </w:tcBorders>
            <w:shd w:val="clear" w:color="auto" w:fill="F0F5FF"/>
          </w:tcPr>
          <w:p>
            <w:pPr>
              <w:ind w:left="100"/>
              <w:spacing w:after="0"/>
              <w:rPr>
                <w:sz w:val="20"/>
                <w:szCs w:val="20"/>
                <w:color w:val="auto"/>
              </w:rPr>
            </w:pPr>
            <w:r>
              <w:rPr>
                <w:rFonts w:ascii="Times New Roman" w:cs="Times New Roman" w:eastAsia="Times New Roman" w:hAnsi="Times New Roman"/>
                <w:sz w:val="10"/>
                <w:szCs w:val="10"/>
                <w:b w:val="1"/>
                <w:bCs w:val="1"/>
                <w:color w:val="005AFF"/>
              </w:rPr>
              <w:t>13 924</w:t>
            </w:r>
          </w:p>
        </w:tc>
        <w:tc>
          <w:tcPr>
            <w:tcW w:w="40" w:type="dxa"/>
            <w:vAlign w:val="bottom"/>
            <w:tcBorders>
              <w:bottom w:val="single" w:sz="8" w:color="005AFF"/>
            </w:tcBorders>
            <w:shd w:val="clear" w:color="auto" w:fill="F0F5FF"/>
          </w:tcPr>
          <w:p>
            <w:pPr>
              <w:spacing w:after="0"/>
              <w:rPr>
                <w:sz w:val="12"/>
                <w:szCs w:val="12"/>
                <w:color w:val="auto"/>
              </w:rPr>
            </w:pPr>
          </w:p>
        </w:tc>
        <w:tc>
          <w:tcPr>
            <w:tcW w:w="100" w:type="dxa"/>
            <w:vAlign w:val="bottom"/>
            <w:tcBorders>
              <w:bottom w:val="single" w:sz="8" w:color="005AFF"/>
            </w:tcBorders>
            <w:shd w:val="clear" w:color="auto" w:fill="F0F5FF"/>
          </w:tcPr>
          <w:p>
            <w:pPr>
              <w:spacing w:after="0"/>
              <w:rPr>
                <w:sz w:val="12"/>
                <w:szCs w:val="12"/>
                <w:color w:val="auto"/>
              </w:rPr>
            </w:pPr>
          </w:p>
        </w:tc>
        <w:tc>
          <w:tcPr>
            <w:tcW w:w="700" w:type="dxa"/>
            <w:vAlign w:val="bottom"/>
            <w:tcBorders>
              <w:bottom w:val="single" w:sz="8" w:color="005AFF"/>
            </w:tcBorders>
            <w:shd w:val="clear" w:color="auto" w:fill="F0F5FF"/>
          </w:tcPr>
          <w:p>
            <w:pPr>
              <w:jc w:val="right"/>
              <w:ind w:right="171"/>
              <w:spacing w:after="0"/>
              <w:rPr>
                <w:sz w:val="20"/>
                <w:szCs w:val="20"/>
                <w:color w:val="auto"/>
              </w:rPr>
            </w:pPr>
            <w:r>
              <w:rPr>
                <w:rFonts w:ascii="Times New Roman" w:cs="Times New Roman" w:eastAsia="Times New Roman" w:hAnsi="Times New Roman"/>
                <w:sz w:val="10"/>
                <w:szCs w:val="10"/>
                <w:b w:val="1"/>
                <w:bCs w:val="1"/>
                <w:color w:val="005AFF"/>
              </w:rPr>
              <w:t>(295)</w:t>
            </w:r>
          </w:p>
        </w:tc>
        <w:tc>
          <w:tcPr>
            <w:tcW w:w="440" w:type="dxa"/>
            <w:vAlign w:val="bottom"/>
            <w:tcBorders>
              <w:bottom w:val="single" w:sz="8" w:color="005AFF"/>
            </w:tcBorders>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10 986</w:t>
            </w:r>
          </w:p>
        </w:tc>
        <w:tc>
          <w:tcPr>
            <w:tcW w:w="800" w:type="dxa"/>
            <w:vAlign w:val="bottom"/>
            <w:tcBorders>
              <w:bottom w:val="single" w:sz="8" w:color="005AFF"/>
            </w:tcBorders>
            <w:gridSpan w:val="2"/>
          </w:tcPr>
          <w:p>
            <w:pPr>
              <w:jc w:val="right"/>
              <w:ind w:right="172"/>
              <w:spacing w:after="0"/>
              <w:rPr>
                <w:sz w:val="20"/>
                <w:szCs w:val="20"/>
                <w:color w:val="auto"/>
              </w:rPr>
            </w:pPr>
            <w:r>
              <w:rPr>
                <w:rFonts w:ascii="Times New Roman" w:cs="Times New Roman" w:eastAsia="Times New Roman" w:hAnsi="Times New Roman"/>
                <w:sz w:val="10"/>
                <w:szCs w:val="10"/>
                <w:b w:val="1"/>
                <w:bCs w:val="1"/>
                <w:color w:val="auto"/>
              </w:rPr>
              <w:t>356</w:t>
            </w:r>
          </w:p>
        </w:tc>
        <w:tc>
          <w:tcPr>
            <w:tcW w:w="46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15 868</w:t>
            </w:r>
          </w:p>
        </w:tc>
        <w:tc>
          <w:tcPr>
            <w:tcW w:w="40" w:type="dxa"/>
            <w:vAlign w:val="bottom"/>
            <w:tcBorders>
              <w:bottom w:val="single" w:sz="8" w:color="005AFF"/>
            </w:tcBorders>
          </w:tcPr>
          <w:p>
            <w:pPr>
              <w:spacing w:after="0"/>
              <w:rPr>
                <w:sz w:val="12"/>
                <w:szCs w:val="12"/>
                <w:color w:val="auto"/>
              </w:rPr>
            </w:pPr>
          </w:p>
        </w:tc>
        <w:tc>
          <w:tcPr>
            <w:tcW w:w="120" w:type="dxa"/>
            <w:vAlign w:val="bottom"/>
            <w:tcBorders>
              <w:bottom w:val="single" w:sz="8" w:color="005AFF"/>
            </w:tcBorders>
          </w:tcPr>
          <w:p>
            <w:pPr>
              <w:spacing w:after="0"/>
              <w:rPr>
                <w:sz w:val="12"/>
                <w:szCs w:val="12"/>
                <w:color w:val="auto"/>
              </w:rPr>
            </w:pPr>
          </w:p>
        </w:tc>
        <w:tc>
          <w:tcPr>
            <w:tcW w:w="700" w:type="dxa"/>
            <w:vAlign w:val="bottom"/>
            <w:tcBorders>
              <w:bottom w:val="single" w:sz="8" w:color="005AFF"/>
            </w:tcBorders>
          </w:tcPr>
          <w:p>
            <w:pPr>
              <w:jc w:val="right"/>
              <w:ind w:right="171"/>
              <w:spacing w:after="0"/>
              <w:rPr>
                <w:sz w:val="20"/>
                <w:szCs w:val="20"/>
                <w:color w:val="auto"/>
              </w:rPr>
            </w:pPr>
            <w:r>
              <w:rPr>
                <w:rFonts w:ascii="Times New Roman" w:cs="Times New Roman" w:eastAsia="Times New Roman" w:hAnsi="Times New Roman"/>
                <w:sz w:val="10"/>
                <w:szCs w:val="10"/>
                <w:b w:val="1"/>
                <w:bCs w:val="1"/>
                <w:color w:val="auto"/>
              </w:rPr>
              <w:t>(524)</w:t>
            </w:r>
          </w:p>
        </w:tc>
        <w:tc>
          <w:tcPr>
            <w:tcW w:w="42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b w:val="1"/>
                <w:bCs w:val="1"/>
                <w:color w:val="auto"/>
              </w:rPr>
              <w:t>14 908</w:t>
            </w:r>
          </w:p>
        </w:tc>
        <w:tc>
          <w:tcPr>
            <w:tcW w:w="0" w:type="dxa"/>
            <w:vAlign w:val="bottom"/>
          </w:tcPr>
          <w:p>
            <w:pPr>
              <w:spacing w:after="0"/>
              <w:rPr>
                <w:sz w:val="1"/>
                <w:szCs w:val="1"/>
                <w:color w:val="auto"/>
              </w:rPr>
            </w:pPr>
          </w:p>
        </w:tc>
      </w:tr>
    </w:tbl>
    <w:p>
      <w:pPr>
        <w:spacing w:after="0" w:line="1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left="220" w:hanging="184"/>
        <w:spacing w:after="0"/>
        <w:tabs>
          <w:tab w:leader="none" w:pos="220" w:val="left"/>
        </w:tabs>
        <w:numPr>
          <w:ilvl w:val="0"/>
          <w:numId w:val="13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Included in other current financial and firm commitment assets and other financial and firm commitment liabilities in the statement of financial position.</w:t>
      </w:r>
    </w:p>
    <w:p>
      <w:pPr>
        <w:spacing w:after="0" w:line="12" w:lineRule="exact"/>
        <w:rPr>
          <w:rFonts w:ascii="Times New Roman" w:cs="Times New Roman" w:eastAsia="Times New Roman" w:hAnsi="Times New Roman"/>
          <w:sz w:val="8"/>
          <w:szCs w:val="8"/>
          <w:color w:val="auto"/>
        </w:rPr>
      </w:pPr>
    </w:p>
    <w:p>
      <w:pPr>
        <w:ind w:left="220" w:right="1320" w:hanging="184"/>
        <w:spacing w:after="0" w:line="250" w:lineRule="auto"/>
        <w:tabs>
          <w:tab w:leader="none" w:pos="220" w:val="left"/>
        </w:tabs>
        <w:numPr>
          <w:ilvl w:val="0"/>
          <w:numId w:val="13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the gross amount of all notional values for contracts that have not yet been settled or canceled. The amount of notional value outstanding is not necessarily a measure or indication of market risk as the exposure of certain contracts may be offset by that of other contracts.</w:t>
      </w:r>
    </w:p>
    <w:p>
      <w:pPr>
        <w:ind w:left="220" w:hanging="184"/>
        <w:spacing w:after="0"/>
        <w:tabs>
          <w:tab w:leader="none" w:pos="220" w:val="left"/>
        </w:tabs>
        <w:numPr>
          <w:ilvl w:val="0"/>
          <w:numId w:val="13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Cross-currency swaps have been designated partly as fair value hedges and partly as cash flow hedges.</w:t>
      </w:r>
    </w:p>
    <w:p>
      <w:pPr>
        <w:spacing w:after="0" w:line="9" w:lineRule="exact"/>
        <w:rPr>
          <w:rFonts w:ascii="Times New Roman" w:cs="Times New Roman" w:eastAsia="Times New Roman" w:hAnsi="Times New Roman"/>
          <w:sz w:val="8"/>
          <w:szCs w:val="8"/>
          <w:color w:val="auto"/>
        </w:rPr>
      </w:pPr>
    </w:p>
    <w:p>
      <w:pPr>
        <w:ind w:left="220" w:hanging="184"/>
        <w:spacing w:after="0"/>
        <w:tabs>
          <w:tab w:leader="none" w:pos="220" w:val="left"/>
        </w:tabs>
        <w:numPr>
          <w:ilvl w:val="0"/>
          <w:numId w:val="13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Embedded derivatives are related to customer contracts.</w:t>
      </w:r>
    </w:p>
    <w:p>
      <w:pPr>
        <w:spacing w:after="0" w:line="144" w:lineRule="exact"/>
        <w:rPr>
          <w:sz w:val="20"/>
          <w:szCs w:val="20"/>
          <w:color w:val="auto"/>
        </w:rPr>
      </w:pPr>
    </w:p>
    <w:p>
      <w:pPr>
        <w:ind w:right="1220"/>
        <w:spacing w:after="0" w:line="309" w:lineRule="auto"/>
        <w:rPr>
          <w:sz w:val="20"/>
          <w:szCs w:val="20"/>
          <w:color w:val="auto"/>
        </w:rPr>
      </w:pPr>
      <w:r>
        <w:rPr>
          <w:rFonts w:ascii="Times New Roman" w:cs="Times New Roman" w:eastAsia="Times New Roman" w:hAnsi="Times New Roman"/>
          <w:sz w:val="11"/>
          <w:szCs w:val="11"/>
          <w:color w:val="auto"/>
        </w:rPr>
        <w:t>To manage interest rate and foreign exchange risks related to Nokia’s interest-bearing liabilities, Nokia has designated the following cross-currency swaps as hedges under both fair value hedge accounting and cash flow hedge accounting, and interest rate swaps as hedges under fair value hedge accounting at 31 December:</w:t>
      </w:r>
    </w:p>
    <w:p>
      <w:pPr>
        <w:spacing w:after="0" w:line="40"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480" w:type="dxa"/>
            <w:vAlign w:val="bottom"/>
          </w:tcPr>
          <w:p>
            <w:pPr>
              <w:spacing w:after="0"/>
              <w:rPr>
                <w:sz w:val="9"/>
                <w:szCs w:val="9"/>
                <w:color w:val="auto"/>
              </w:rPr>
            </w:pPr>
          </w:p>
        </w:tc>
        <w:tc>
          <w:tcPr>
            <w:tcW w:w="2260" w:type="dxa"/>
            <w:vAlign w:val="bottom"/>
          </w:tcPr>
          <w:p>
            <w:pPr>
              <w:spacing w:after="0"/>
              <w:rPr>
                <w:sz w:val="9"/>
                <w:szCs w:val="9"/>
                <w:color w:val="auto"/>
              </w:rPr>
            </w:pPr>
          </w:p>
        </w:tc>
        <w:tc>
          <w:tcPr>
            <w:tcW w:w="1300" w:type="dxa"/>
            <w:vAlign w:val="bottom"/>
          </w:tcPr>
          <w:p>
            <w:pPr>
              <w:spacing w:after="0"/>
              <w:rPr>
                <w:sz w:val="9"/>
                <w:szCs w:val="9"/>
                <w:color w:val="auto"/>
              </w:rPr>
            </w:pPr>
          </w:p>
        </w:tc>
        <w:tc>
          <w:tcPr>
            <w:tcW w:w="600" w:type="dxa"/>
            <w:vAlign w:val="bottom"/>
          </w:tcPr>
          <w:p>
            <w:pPr>
              <w:spacing w:after="0"/>
              <w:rPr>
                <w:sz w:val="9"/>
                <w:szCs w:val="9"/>
                <w:color w:val="auto"/>
              </w:rPr>
            </w:pPr>
          </w:p>
        </w:tc>
        <w:tc>
          <w:tcPr>
            <w:tcW w:w="1780" w:type="dxa"/>
            <w:vAlign w:val="bottom"/>
            <w:tcBorders>
              <w:bottom w:val="single" w:sz="8" w:color="005AFF"/>
            </w:tcBorders>
            <w:gridSpan w:val="2"/>
          </w:tcPr>
          <w:p>
            <w:pPr>
              <w:ind w:left="580"/>
              <w:spacing w:after="0"/>
              <w:rPr>
                <w:sz w:val="20"/>
                <w:szCs w:val="20"/>
                <w:color w:val="auto"/>
              </w:rPr>
            </w:pPr>
            <w:r>
              <w:rPr>
                <w:rFonts w:ascii="Times New Roman" w:cs="Times New Roman" w:eastAsia="Times New Roman" w:hAnsi="Times New Roman"/>
                <w:sz w:val="8"/>
                <w:szCs w:val="8"/>
                <w:b w:val="1"/>
                <w:bCs w:val="1"/>
                <w:color w:val="005AFF"/>
              </w:rPr>
              <w:t>Notional (million in currency)</w:t>
            </w:r>
          </w:p>
        </w:tc>
        <w:tc>
          <w:tcPr>
            <w:tcW w:w="42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1660" w:type="dxa"/>
            <w:vAlign w:val="bottom"/>
            <w:tcBorders>
              <w:bottom w:val="single" w:sz="8" w:color="005AFF"/>
            </w:tcBorders>
            <w:gridSpan w:val="2"/>
          </w:tcPr>
          <w:p>
            <w:pPr>
              <w:ind w:left="800"/>
              <w:spacing w:after="0"/>
              <w:rPr>
                <w:sz w:val="20"/>
                <w:szCs w:val="20"/>
                <w:color w:val="auto"/>
              </w:rPr>
            </w:pPr>
            <w:r>
              <w:rPr>
                <w:rFonts w:ascii="Times New Roman" w:cs="Times New Roman" w:eastAsia="Times New Roman" w:hAnsi="Times New Roman"/>
                <w:sz w:val="8"/>
                <w:szCs w:val="8"/>
                <w:b w:val="1"/>
                <w:bCs w:val="1"/>
                <w:color w:val="005AFF"/>
              </w:rPr>
              <w:t>Fair value EURm</w:t>
            </w:r>
          </w:p>
        </w:tc>
        <w:tc>
          <w:tcPr>
            <w:tcW w:w="500" w:type="dxa"/>
            <w:vAlign w:val="bottom"/>
            <w:tcBorders>
              <w:bottom w:val="single" w:sz="8" w:color="005AFF"/>
            </w:tcBorders>
          </w:tcPr>
          <w:p>
            <w:pPr>
              <w:spacing w:after="0"/>
              <w:rPr>
                <w:sz w:val="9"/>
                <w:szCs w:val="9"/>
                <w:color w:val="auto"/>
              </w:rPr>
            </w:pPr>
          </w:p>
        </w:tc>
      </w:tr>
      <w:tr>
        <w:trPr>
          <w:trHeight w:val="132"/>
        </w:trPr>
        <w:tc>
          <w:tcPr>
            <w:tcW w:w="14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8"/>
                <w:szCs w:val="8"/>
                <w:b w:val="1"/>
                <w:bCs w:val="1"/>
                <w:color w:val="005AFF"/>
              </w:rPr>
              <w:t>Entity</w:t>
            </w:r>
          </w:p>
        </w:tc>
        <w:tc>
          <w:tcPr>
            <w:tcW w:w="2260" w:type="dxa"/>
            <w:vAlign w:val="bottom"/>
            <w:tcBorders>
              <w:bottom w:val="single" w:sz="8" w:color="005AFF"/>
            </w:tcBorders>
          </w:tcPr>
          <w:p>
            <w:pPr>
              <w:ind w:left="640"/>
              <w:spacing w:after="0"/>
              <w:rPr>
                <w:sz w:val="20"/>
                <w:szCs w:val="20"/>
                <w:color w:val="auto"/>
              </w:rPr>
            </w:pPr>
            <w:r>
              <w:rPr>
                <w:rFonts w:ascii="Times New Roman" w:cs="Times New Roman" w:eastAsia="Times New Roman" w:hAnsi="Times New Roman"/>
                <w:sz w:val="8"/>
                <w:szCs w:val="8"/>
                <w:b w:val="1"/>
                <w:bCs w:val="1"/>
                <w:color w:val="005AFF"/>
              </w:rPr>
              <w:t>Instrument</w:t>
            </w:r>
          </w:p>
        </w:tc>
        <w:tc>
          <w:tcPr>
            <w:tcW w:w="1300" w:type="dxa"/>
            <w:vAlign w:val="bottom"/>
            <w:tcBorders>
              <w:bottom w:val="single" w:sz="8" w:color="005AFF"/>
            </w:tcBorders>
          </w:tcPr>
          <w:p>
            <w:pPr>
              <w:ind w:left="720"/>
              <w:spacing w:after="0"/>
              <w:rPr>
                <w:sz w:val="20"/>
                <w:szCs w:val="20"/>
                <w:color w:val="auto"/>
              </w:rPr>
            </w:pPr>
            <w:r>
              <w:rPr>
                <w:rFonts w:ascii="Times New Roman" w:cs="Times New Roman" w:eastAsia="Times New Roman" w:hAnsi="Times New Roman"/>
                <w:sz w:val="8"/>
                <w:szCs w:val="8"/>
                <w:b w:val="1"/>
                <w:bCs w:val="1"/>
                <w:color w:val="005AFF"/>
              </w:rPr>
              <w:t>Currency</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Maturity</w:t>
            </w:r>
          </w:p>
        </w:tc>
        <w:tc>
          <w:tcPr>
            <w:tcW w:w="10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700" w:type="dxa"/>
            <w:vAlign w:val="bottom"/>
            <w:tcBorders>
              <w:bottom w:val="single" w:sz="8" w:color="005AFF"/>
            </w:tcBorders>
          </w:tcPr>
          <w:p>
            <w:pPr>
              <w:spacing w:after="0"/>
              <w:rPr>
                <w:sz w:val="11"/>
                <w:szCs w:val="11"/>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 w:type="dxa"/>
            <w:vAlign w:val="bottom"/>
            <w:tcBorders>
              <w:bottom w:val="single" w:sz="8" w:color="005AFF"/>
            </w:tcBorders>
          </w:tcPr>
          <w:p>
            <w:pPr>
              <w:spacing w:after="0"/>
              <w:rPr>
                <w:sz w:val="11"/>
                <w:szCs w:val="11"/>
                <w:color w:val="auto"/>
              </w:rPr>
            </w:pPr>
          </w:p>
        </w:tc>
        <w:tc>
          <w:tcPr>
            <w:tcW w:w="10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2023</w:t>
            </w:r>
          </w:p>
        </w:tc>
        <w:tc>
          <w:tcPr>
            <w:tcW w:w="580" w:type="dxa"/>
            <w:vAlign w:val="bottom"/>
            <w:tcBorders>
              <w:bottom w:val="single" w:sz="8" w:color="005AFF"/>
            </w:tcBorders>
          </w:tcPr>
          <w:p>
            <w:pPr>
              <w:spacing w:after="0"/>
              <w:rPr>
                <w:sz w:val="11"/>
                <w:szCs w:val="11"/>
                <w:color w:val="auto"/>
              </w:rPr>
            </w:pPr>
          </w:p>
        </w:tc>
        <w:tc>
          <w:tcPr>
            <w:tcW w:w="5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40"/>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Interest rate swaps</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EUR</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3/2024</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378</w:t>
            </w:r>
          </w:p>
        </w:tc>
        <w:tc>
          <w:tcPr>
            <w:tcW w:w="700" w:type="dxa"/>
            <w:vAlign w:val="bottom"/>
          </w:tcPr>
          <w:p>
            <w:pPr>
              <w:spacing w:after="0"/>
              <w:rPr>
                <w:sz w:val="12"/>
                <w:szCs w:val="12"/>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750</w:t>
            </w:r>
          </w:p>
        </w:tc>
        <w:tc>
          <w:tcPr>
            <w:tcW w:w="40" w:type="dxa"/>
            <w:vAlign w:val="bottom"/>
          </w:tcPr>
          <w:p>
            <w:pPr>
              <w:spacing w:after="0"/>
              <w:rPr>
                <w:sz w:val="12"/>
                <w:szCs w:val="12"/>
                <w:color w:val="auto"/>
              </w:rPr>
            </w:pP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580" w:type="dxa"/>
            <w:vAlign w:val="bottom"/>
          </w:tcPr>
          <w:p>
            <w:pPr>
              <w:spacing w:after="0"/>
              <w:rPr>
                <w:sz w:val="12"/>
                <w:szCs w:val="12"/>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w:t>
            </w:r>
          </w:p>
        </w:tc>
      </w:tr>
      <w:tr>
        <w:trPr>
          <w:trHeight w:val="162"/>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Interest rate swaps</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EUR</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5/2025</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292</w:t>
            </w:r>
          </w:p>
        </w:tc>
        <w:tc>
          <w:tcPr>
            <w:tcW w:w="700" w:type="dxa"/>
            <w:vAlign w:val="bottom"/>
          </w:tcPr>
          <w:p>
            <w:pPr>
              <w:spacing w:after="0"/>
              <w:rPr>
                <w:sz w:val="14"/>
                <w:szCs w:val="14"/>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500</w:t>
            </w:r>
          </w:p>
        </w:tc>
        <w:tc>
          <w:tcPr>
            <w:tcW w:w="40" w:type="dxa"/>
            <w:vAlign w:val="bottom"/>
          </w:tcPr>
          <w:p>
            <w:pPr>
              <w:spacing w:after="0"/>
              <w:rPr>
                <w:sz w:val="14"/>
                <w:szCs w:val="14"/>
                <w:color w:val="auto"/>
              </w:rPr>
            </w:pP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tcPr>
          <w:p>
            <w:pPr>
              <w:spacing w:after="0"/>
              <w:rPr>
                <w:sz w:val="14"/>
                <w:szCs w:val="14"/>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(17)</w:t>
            </w:r>
          </w:p>
        </w:tc>
      </w:tr>
      <w:tr>
        <w:trPr>
          <w:trHeight w:val="162"/>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Interest rate swaps</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EUR</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3/2026</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630</w:t>
            </w:r>
          </w:p>
        </w:tc>
        <w:tc>
          <w:tcPr>
            <w:tcW w:w="700" w:type="dxa"/>
            <w:vAlign w:val="bottom"/>
          </w:tcPr>
          <w:p>
            <w:pPr>
              <w:spacing w:after="0"/>
              <w:rPr>
                <w:sz w:val="14"/>
                <w:szCs w:val="14"/>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750</w:t>
            </w:r>
          </w:p>
        </w:tc>
        <w:tc>
          <w:tcPr>
            <w:tcW w:w="40" w:type="dxa"/>
            <w:vAlign w:val="bottom"/>
          </w:tcPr>
          <w:p>
            <w:pPr>
              <w:spacing w:after="0"/>
              <w:rPr>
                <w:sz w:val="14"/>
                <w:szCs w:val="14"/>
                <w:color w:val="auto"/>
              </w:rPr>
            </w:pP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w:t>
            </w:r>
          </w:p>
        </w:tc>
        <w:tc>
          <w:tcPr>
            <w:tcW w:w="580" w:type="dxa"/>
            <w:vAlign w:val="bottom"/>
          </w:tcPr>
          <w:p>
            <w:pPr>
              <w:spacing w:after="0"/>
              <w:rPr>
                <w:sz w:val="14"/>
                <w:szCs w:val="14"/>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(34)</w:t>
            </w:r>
          </w:p>
        </w:tc>
      </w:tr>
      <w:tr>
        <w:trPr>
          <w:trHeight w:val="162"/>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Cross-currency swaps</w:t>
            </w:r>
          </w:p>
        </w:tc>
        <w:tc>
          <w:tcPr>
            <w:tcW w:w="1300" w:type="dxa"/>
            <w:vAlign w:val="bottom"/>
          </w:tcPr>
          <w:p>
            <w:pPr>
              <w:ind w:left="86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6/2027</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500</w:t>
            </w:r>
          </w:p>
        </w:tc>
        <w:tc>
          <w:tcPr>
            <w:tcW w:w="700" w:type="dxa"/>
            <w:vAlign w:val="bottom"/>
          </w:tcPr>
          <w:p>
            <w:pPr>
              <w:spacing w:after="0"/>
              <w:rPr>
                <w:sz w:val="14"/>
                <w:szCs w:val="14"/>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500</w:t>
            </w:r>
          </w:p>
        </w:tc>
        <w:tc>
          <w:tcPr>
            <w:tcW w:w="40" w:type="dxa"/>
            <w:vAlign w:val="bottom"/>
          </w:tcPr>
          <w:p>
            <w:pPr>
              <w:spacing w:after="0"/>
              <w:rPr>
                <w:sz w:val="14"/>
                <w:szCs w:val="14"/>
                <w:color w:val="auto"/>
              </w:rPr>
            </w:pP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w:t>
            </w:r>
          </w:p>
        </w:tc>
        <w:tc>
          <w:tcPr>
            <w:tcW w:w="580" w:type="dxa"/>
            <w:vAlign w:val="bottom"/>
          </w:tcPr>
          <w:p>
            <w:pPr>
              <w:spacing w:after="0"/>
              <w:rPr>
                <w:sz w:val="14"/>
                <w:szCs w:val="14"/>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(26)</w:t>
            </w:r>
          </w:p>
        </w:tc>
      </w:tr>
      <w:tr>
        <w:trPr>
          <w:trHeight w:val="162"/>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Interest rate swaps</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EUR</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5/2028</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500</w:t>
            </w:r>
          </w:p>
        </w:tc>
        <w:tc>
          <w:tcPr>
            <w:tcW w:w="700" w:type="dxa"/>
            <w:vAlign w:val="bottom"/>
          </w:tcPr>
          <w:p>
            <w:pPr>
              <w:spacing w:after="0"/>
              <w:rPr>
                <w:sz w:val="14"/>
                <w:szCs w:val="14"/>
                <w:color w:val="auto"/>
              </w:rPr>
            </w:pPr>
          </w:p>
        </w:tc>
        <w:tc>
          <w:tcPr>
            <w:tcW w:w="42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500</w:t>
            </w:r>
          </w:p>
        </w:tc>
        <w:tc>
          <w:tcPr>
            <w:tcW w:w="40" w:type="dxa"/>
            <w:vAlign w:val="bottom"/>
          </w:tcPr>
          <w:p>
            <w:pPr>
              <w:spacing w:after="0"/>
              <w:rPr>
                <w:sz w:val="14"/>
                <w:szCs w:val="14"/>
                <w:color w:val="auto"/>
              </w:rPr>
            </w:pP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w:t>
            </w:r>
          </w:p>
        </w:tc>
        <w:tc>
          <w:tcPr>
            <w:tcW w:w="580" w:type="dxa"/>
            <w:vAlign w:val="bottom"/>
          </w:tcPr>
          <w:p>
            <w:pPr>
              <w:spacing w:after="0"/>
              <w:rPr>
                <w:sz w:val="14"/>
                <w:szCs w:val="14"/>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(36)</w:t>
            </w:r>
          </w:p>
        </w:tc>
      </w:tr>
      <w:tr>
        <w:trPr>
          <w:trHeight w:val="162"/>
        </w:trPr>
        <w:tc>
          <w:tcPr>
            <w:tcW w:w="1480" w:type="dxa"/>
            <w:vAlign w:val="bottom"/>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Pr>
          <w:p>
            <w:pPr>
              <w:ind w:left="660"/>
              <w:spacing w:after="0"/>
              <w:rPr>
                <w:sz w:val="20"/>
                <w:szCs w:val="20"/>
                <w:color w:val="auto"/>
              </w:rPr>
            </w:pPr>
            <w:r>
              <w:rPr>
                <w:rFonts w:ascii="Times New Roman" w:cs="Times New Roman" w:eastAsia="Times New Roman" w:hAnsi="Times New Roman"/>
                <w:sz w:val="10"/>
                <w:szCs w:val="10"/>
                <w:color w:val="0D0D0D"/>
              </w:rPr>
              <w:t>Interest rate swaps</w:t>
            </w:r>
          </w:p>
        </w:tc>
        <w:tc>
          <w:tcPr>
            <w:tcW w:w="130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EUR</w:t>
            </w:r>
          </w:p>
        </w:tc>
        <w:tc>
          <w:tcPr>
            <w:tcW w:w="60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8/2031</w:t>
            </w:r>
          </w:p>
        </w:tc>
        <w:tc>
          <w:tcPr>
            <w:tcW w:w="1080" w:type="dxa"/>
            <w:vAlign w:val="bottom"/>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500</w:t>
            </w:r>
          </w:p>
        </w:tc>
        <w:tc>
          <w:tcPr>
            <w:tcW w:w="700" w:type="dxa"/>
            <w:vAlign w:val="bottom"/>
          </w:tcPr>
          <w:p>
            <w:pPr>
              <w:spacing w:after="0"/>
              <w:rPr>
                <w:sz w:val="14"/>
                <w:szCs w:val="14"/>
                <w:color w:val="auto"/>
              </w:rPr>
            </w:pPr>
          </w:p>
        </w:tc>
        <w:tc>
          <w:tcPr>
            <w:tcW w:w="460" w:type="dxa"/>
            <w:vAlign w:val="bottom"/>
            <w:gridSpan w:val="2"/>
          </w:tcPr>
          <w:p>
            <w:pPr>
              <w:ind w:left="300"/>
              <w:spacing w:after="0"/>
              <w:rPr>
                <w:sz w:val="20"/>
                <w:szCs w:val="20"/>
                <w:color w:val="auto"/>
              </w:rPr>
            </w:pPr>
            <w:r>
              <w:rPr>
                <w:rFonts w:ascii="Times New Roman" w:cs="Times New Roman" w:eastAsia="Times New Roman" w:hAnsi="Times New Roman"/>
                <w:sz w:val="10"/>
                <w:szCs w:val="10"/>
                <w:color w:val="0D0D0D"/>
              </w:rPr>
              <w:t>—</w:t>
            </w:r>
          </w:p>
        </w:tc>
        <w:tc>
          <w:tcPr>
            <w:tcW w:w="10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20</w:t>
            </w:r>
          </w:p>
        </w:tc>
        <w:tc>
          <w:tcPr>
            <w:tcW w:w="580" w:type="dxa"/>
            <w:vAlign w:val="bottom"/>
          </w:tcPr>
          <w:p>
            <w:pPr>
              <w:spacing w:after="0"/>
              <w:rPr>
                <w:sz w:val="14"/>
                <w:szCs w:val="14"/>
                <w:color w:val="auto"/>
              </w:rPr>
            </w:pP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7"/>
        </w:trPr>
        <w:tc>
          <w:tcPr>
            <w:tcW w:w="14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color w:val="0D0D0D"/>
              </w:rPr>
              <w:t>Nokia Corporation</w:t>
            </w:r>
          </w:p>
        </w:tc>
        <w:tc>
          <w:tcPr>
            <w:tcW w:w="2260" w:type="dxa"/>
            <w:vAlign w:val="bottom"/>
            <w:tcBorders>
              <w:bottom w:val="single" w:sz="8" w:color="005AFF"/>
            </w:tcBorders>
          </w:tcPr>
          <w:p>
            <w:pPr>
              <w:ind w:left="660"/>
              <w:spacing w:after="0"/>
              <w:rPr>
                <w:sz w:val="20"/>
                <w:szCs w:val="20"/>
                <w:color w:val="auto"/>
              </w:rPr>
            </w:pPr>
            <w:r>
              <w:rPr>
                <w:rFonts w:ascii="Times New Roman" w:cs="Times New Roman" w:eastAsia="Times New Roman" w:hAnsi="Times New Roman"/>
                <w:sz w:val="10"/>
                <w:szCs w:val="10"/>
                <w:color w:val="0D0D0D"/>
              </w:rPr>
              <w:t>Cross-currency swaps</w:t>
            </w:r>
          </w:p>
        </w:tc>
        <w:tc>
          <w:tcPr>
            <w:tcW w:w="1300" w:type="dxa"/>
            <w:vAlign w:val="bottom"/>
            <w:tcBorders>
              <w:bottom w:val="single" w:sz="8" w:color="005AFF"/>
            </w:tcBorders>
          </w:tcPr>
          <w:p>
            <w:pPr>
              <w:ind w:left="86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10"/>
                <w:szCs w:val="10"/>
                <w:color w:val="0D0D0D"/>
              </w:rPr>
              <w:t>5/2039</w:t>
            </w:r>
          </w:p>
        </w:tc>
        <w:tc>
          <w:tcPr>
            <w:tcW w:w="1080" w:type="dxa"/>
            <w:vAlign w:val="bottom"/>
            <w:tcBorders>
              <w:bottom w:val="single" w:sz="8" w:color="005AFF"/>
            </w:tcBorders>
            <w:shd w:val="clear" w:color="auto" w:fill="F0F5FF"/>
          </w:tcPr>
          <w:p>
            <w:pPr>
              <w:jc w:val="right"/>
              <w:ind w:right="32"/>
              <w:spacing w:after="0"/>
              <w:rPr>
                <w:sz w:val="20"/>
                <w:szCs w:val="20"/>
                <w:color w:val="auto"/>
              </w:rPr>
            </w:pPr>
            <w:r>
              <w:rPr>
                <w:rFonts w:ascii="Times New Roman" w:cs="Times New Roman" w:eastAsia="Times New Roman" w:hAnsi="Times New Roman"/>
                <w:sz w:val="10"/>
                <w:szCs w:val="10"/>
                <w:color w:val="005AFF"/>
              </w:rPr>
              <w:t>500</w:t>
            </w:r>
          </w:p>
        </w:tc>
        <w:tc>
          <w:tcPr>
            <w:tcW w:w="700" w:type="dxa"/>
            <w:vAlign w:val="bottom"/>
            <w:tcBorders>
              <w:bottom w:val="single" w:sz="8" w:color="005AFF"/>
            </w:tcBorders>
          </w:tcPr>
          <w:p>
            <w:pPr>
              <w:spacing w:after="0"/>
              <w:rPr>
                <w:sz w:val="14"/>
                <w:szCs w:val="14"/>
                <w:color w:val="auto"/>
              </w:rPr>
            </w:pPr>
          </w:p>
        </w:tc>
        <w:tc>
          <w:tcPr>
            <w:tcW w:w="42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500</w:t>
            </w:r>
          </w:p>
        </w:tc>
        <w:tc>
          <w:tcPr>
            <w:tcW w:w="40" w:type="dxa"/>
            <w:vAlign w:val="bottom"/>
            <w:tcBorders>
              <w:bottom w:val="single" w:sz="8" w:color="005AFF"/>
            </w:tcBorders>
          </w:tcPr>
          <w:p>
            <w:pPr>
              <w:spacing w:after="0"/>
              <w:rPr>
                <w:sz w:val="14"/>
                <w:szCs w:val="14"/>
                <w:color w:val="auto"/>
              </w:rPr>
            </w:pPr>
          </w:p>
        </w:tc>
        <w:tc>
          <w:tcPr>
            <w:tcW w:w="10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(116)</w:t>
            </w:r>
          </w:p>
        </w:tc>
        <w:tc>
          <w:tcPr>
            <w:tcW w:w="580" w:type="dxa"/>
            <w:vAlign w:val="bottom"/>
            <w:tcBorders>
              <w:bottom w:val="single" w:sz="8" w:color="005AFF"/>
            </w:tcBorders>
          </w:tcPr>
          <w:p>
            <w:pPr>
              <w:spacing w:after="0"/>
              <w:rPr>
                <w:sz w:val="14"/>
                <w:szCs w:val="14"/>
                <w:color w:val="auto"/>
              </w:rPr>
            </w:pP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(97)</w:t>
            </w:r>
          </w:p>
        </w:tc>
      </w:tr>
      <w:tr>
        <w:trPr>
          <w:trHeight w:val="142"/>
        </w:trPr>
        <w:tc>
          <w:tcPr>
            <w:tcW w:w="1480" w:type="dxa"/>
            <w:vAlign w:val="bottom"/>
            <w:tcBorders>
              <w:bottom w:val="single" w:sz="8" w:color="005AFF"/>
            </w:tcBorders>
          </w:tcPr>
          <w:p>
            <w:pPr>
              <w:ind w:left="6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2260" w:type="dxa"/>
            <w:vAlign w:val="bottom"/>
            <w:tcBorders>
              <w:bottom w:val="single" w:sz="8" w:color="005AFF"/>
            </w:tcBorders>
          </w:tcPr>
          <w:p>
            <w:pPr>
              <w:spacing w:after="0"/>
              <w:rPr>
                <w:sz w:val="12"/>
                <w:szCs w:val="12"/>
                <w:color w:val="auto"/>
              </w:rPr>
            </w:pPr>
          </w:p>
        </w:tc>
        <w:tc>
          <w:tcPr>
            <w:tcW w:w="1300" w:type="dxa"/>
            <w:vAlign w:val="bottom"/>
            <w:tcBorders>
              <w:bottom w:val="single" w:sz="8" w:color="005AFF"/>
            </w:tcBorders>
          </w:tcPr>
          <w:p>
            <w:pPr>
              <w:spacing w:after="0"/>
              <w:rPr>
                <w:sz w:val="12"/>
                <w:szCs w:val="12"/>
                <w:color w:val="auto"/>
              </w:rPr>
            </w:pPr>
          </w:p>
        </w:tc>
        <w:tc>
          <w:tcPr>
            <w:tcW w:w="600" w:type="dxa"/>
            <w:vAlign w:val="bottom"/>
            <w:tcBorders>
              <w:bottom w:val="single" w:sz="8" w:color="005AFF"/>
            </w:tcBorders>
          </w:tcPr>
          <w:p>
            <w:pPr>
              <w:spacing w:after="0"/>
              <w:rPr>
                <w:sz w:val="12"/>
                <w:szCs w:val="12"/>
                <w:color w:val="auto"/>
              </w:rPr>
            </w:pPr>
          </w:p>
        </w:tc>
        <w:tc>
          <w:tcPr>
            <w:tcW w:w="1080" w:type="dxa"/>
            <w:vAlign w:val="bottom"/>
            <w:tcBorders>
              <w:bottom w:val="single" w:sz="8" w:color="005AFF"/>
            </w:tcBorders>
          </w:tcPr>
          <w:p>
            <w:pPr>
              <w:spacing w:after="0"/>
              <w:rPr>
                <w:sz w:val="12"/>
                <w:szCs w:val="12"/>
                <w:color w:val="auto"/>
              </w:rPr>
            </w:pPr>
          </w:p>
        </w:tc>
        <w:tc>
          <w:tcPr>
            <w:tcW w:w="700" w:type="dxa"/>
            <w:vAlign w:val="bottom"/>
            <w:tcBorders>
              <w:bottom w:val="single" w:sz="8" w:color="005AFF"/>
            </w:tcBorders>
          </w:tcPr>
          <w:p>
            <w:pPr>
              <w:spacing w:after="0"/>
              <w:rPr>
                <w:sz w:val="12"/>
                <w:szCs w:val="12"/>
                <w:color w:val="auto"/>
              </w:rPr>
            </w:pPr>
          </w:p>
        </w:tc>
        <w:tc>
          <w:tcPr>
            <w:tcW w:w="420" w:type="dxa"/>
            <w:vAlign w:val="bottom"/>
            <w:tcBorders>
              <w:bottom w:val="single" w:sz="8" w:color="005AFF"/>
            </w:tcBorders>
          </w:tcPr>
          <w:p>
            <w:pPr>
              <w:spacing w:after="0"/>
              <w:rPr>
                <w:sz w:val="12"/>
                <w:szCs w:val="12"/>
                <w:color w:val="auto"/>
              </w:rPr>
            </w:pPr>
          </w:p>
        </w:tc>
        <w:tc>
          <w:tcPr>
            <w:tcW w:w="40" w:type="dxa"/>
            <w:vAlign w:val="bottom"/>
            <w:tcBorders>
              <w:bottom w:val="single" w:sz="8" w:color="005AFF"/>
            </w:tcBorders>
          </w:tcPr>
          <w:p>
            <w:pPr>
              <w:spacing w:after="0"/>
              <w:rPr>
                <w:sz w:val="12"/>
                <w:szCs w:val="12"/>
                <w:color w:val="auto"/>
              </w:rPr>
            </w:pPr>
          </w:p>
        </w:tc>
        <w:tc>
          <w:tcPr>
            <w:tcW w:w="10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(148)</w:t>
            </w:r>
          </w:p>
        </w:tc>
        <w:tc>
          <w:tcPr>
            <w:tcW w:w="580" w:type="dxa"/>
            <w:vAlign w:val="bottom"/>
            <w:tcBorders>
              <w:bottom w:val="single" w:sz="8" w:color="005AFF"/>
            </w:tcBorders>
          </w:tcPr>
          <w:p>
            <w:pPr>
              <w:spacing w:after="0"/>
              <w:rPr>
                <w:sz w:val="12"/>
                <w:szCs w:val="12"/>
                <w:color w:val="auto"/>
              </w:rPr>
            </w:pPr>
          </w:p>
        </w:tc>
        <w:tc>
          <w:tcPr>
            <w:tcW w:w="5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(222)</w:t>
            </w:r>
          </w:p>
        </w:tc>
      </w:tr>
    </w:tbl>
    <w:p>
      <w:pPr>
        <w:spacing w:after="0" w:line="22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10" w:right="899" w:bottom="1440" w:gutter="0" w:footer="0" w:header="0"/>
        </w:sectPr>
      </w:pPr>
    </w:p>
    <w:bookmarkStart w:id="199" w:name="page200"/>
    <w:bookmarkEnd w:id="199"/>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5.4. Financial risk management</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General risk management principles</w:t>
      </w:r>
    </w:p>
    <w:p>
      <w:pPr>
        <w:spacing w:after="0" w:line="32" w:lineRule="exact"/>
        <w:rPr>
          <w:sz w:val="20"/>
          <w:szCs w:val="20"/>
          <w:color w:val="auto"/>
        </w:rPr>
      </w:pPr>
    </w:p>
    <w:p>
      <w:pPr>
        <w:ind w:right="220"/>
        <w:spacing w:after="0" w:line="262" w:lineRule="auto"/>
        <w:rPr>
          <w:sz w:val="20"/>
          <w:szCs w:val="20"/>
          <w:color w:val="auto"/>
        </w:rPr>
      </w:pPr>
      <w:r>
        <w:rPr>
          <w:rFonts w:ascii="Times New Roman" w:cs="Times New Roman" w:eastAsia="Times New Roman" w:hAnsi="Times New Roman"/>
          <w:sz w:val="11"/>
          <w:szCs w:val="11"/>
          <w:color w:val="auto"/>
        </w:rPr>
        <w:t>Nokia has a systematic and structured approach to risk management. Key risks and opportunities are primarily identified against business targets either in business operations or as an integral part of strategy and financial planning. Risk management covers strategic, operational, financial, compliance and hazard risks. Key risks and opportunities are analyzed, managed and monitored as part of business performance management. The principles documented in the Nokia Enterprise Risk Management Policy, which is approved by the Audit Committee of the Board, require risk management and its elements to be integrated into key processes. One of the core principles is that the business or function head is also the risk owner, although all employees are responsible for identifying, analyzing and managing risks, as appropriate, given their roles and duties. Nokia’s overall risk management concept is based on managing the key risks that would prevent Nokia from meeting its objectives, rather than focusing on eliminating risks. In addition to the principles defined in the Nokia Enterprise Risk Management Policy, other key policies and operating procedures reflect the implementation of specific aspects of risk management, including financial risk management.</w:t>
      </w: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risks</w:t>
      </w:r>
    </w:p>
    <w:p>
      <w:pPr>
        <w:spacing w:after="0" w:line="32" w:lineRule="exact"/>
        <w:rPr>
          <w:sz w:val="20"/>
          <w:szCs w:val="20"/>
          <w:color w:val="auto"/>
        </w:rPr>
      </w:pPr>
    </w:p>
    <w:p>
      <w:pPr>
        <w:ind w:right="160"/>
        <w:spacing w:after="0" w:line="263" w:lineRule="auto"/>
        <w:rPr>
          <w:sz w:val="20"/>
          <w:szCs w:val="20"/>
          <w:color w:val="auto"/>
        </w:rPr>
      </w:pPr>
      <w:r>
        <w:rPr>
          <w:rFonts w:ascii="Times New Roman" w:cs="Times New Roman" w:eastAsia="Times New Roman" w:hAnsi="Times New Roman"/>
          <w:sz w:val="11"/>
          <w:szCs w:val="11"/>
          <w:color w:val="auto"/>
        </w:rPr>
        <w:t>The objective for treasury activities is to guarantee sufficient funding at all times and to identify, evaluate and manage financial risks. Treasury activities support this aim by mitigating the adverse effects on the profitability of the underlying business caused by fluctuations in the financial markets,</w:t>
      </w:r>
    </w:p>
    <w:p>
      <w:pPr>
        <w:spacing w:after="0" w:line="1" w:lineRule="exact"/>
        <w:rPr>
          <w:sz w:val="20"/>
          <w:szCs w:val="20"/>
          <w:color w:val="auto"/>
        </w:rPr>
      </w:pPr>
    </w:p>
    <w:p>
      <w:pPr>
        <w:ind w:right="320"/>
        <w:spacing w:after="0" w:line="260" w:lineRule="auto"/>
        <w:rPr>
          <w:sz w:val="20"/>
          <w:szCs w:val="20"/>
          <w:color w:val="auto"/>
        </w:rPr>
      </w:pPr>
      <w:r>
        <w:rPr>
          <w:rFonts w:ascii="Times New Roman" w:cs="Times New Roman" w:eastAsia="Times New Roman" w:hAnsi="Times New Roman"/>
          <w:sz w:val="11"/>
          <w:szCs w:val="11"/>
          <w:color w:val="auto"/>
        </w:rPr>
        <w:t>and by managing the capital structure by balancing the levels of liquid assets and financial borrowings. Treasury activities are governed by the Nokia Treasury Policy approved by the President and CEO, which provides principles for overall financial risk management and determines the allocation</w:t>
      </w:r>
    </w:p>
    <w:p>
      <w:pPr>
        <w:spacing w:after="0" w:line="3" w:lineRule="exact"/>
        <w:rPr>
          <w:sz w:val="20"/>
          <w:szCs w:val="20"/>
          <w:color w:val="auto"/>
        </w:rPr>
      </w:pPr>
    </w:p>
    <w:p>
      <w:pPr>
        <w:ind w:right="260"/>
        <w:spacing w:after="0" w:line="266" w:lineRule="auto"/>
        <w:rPr>
          <w:sz w:val="20"/>
          <w:szCs w:val="20"/>
          <w:color w:val="auto"/>
        </w:rPr>
      </w:pPr>
      <w:r>
        <w:rPr>
          <w:rFonts w:ascii="Times New Roman" w:cs="Times New Roman" w:eastAsia="Times New Roman" w:hAnsi="Times New Roman"/>
          <w:sz w:val="11"/>
          <w:szCs w:val="11"/>
          <w:color w:val="auto"/>
        </w:rPr>
        <w:t>of responsibilities for financial risk management activities. Operating procedures approved by the Chief Financial Officer (CFO) cover specific areas such as foreign exchange risk, interest rate risk, credit risk and liquidity risk, as well as the use of derivative financial instruments in managing these risks. Nokia is risk averse in its treasury activities.</w:t>
      </w:r>
    </w:p>
    <w:p>
      <w:pPr>
        <w:spacing w:after="0" w:line="200" w:lineRule="exact"/>
        <w:rPr>
          <w:sz w:val="20"/>
          <w:szCs w:val="20"/>
          <w:color w:val="auto"/>
        </w:rPr>
      </w:pPr>
    </w:p>
    <w:p>
      <w:pPr>
        <w:spacing w:after="0" w:line="200" w:lineRule="exact"/>
        <w:rPr>
          <w:sz w:val="20"/>
          <w:szCs w:val="20"/>
          <w:color w:val="auto"/>
        </w:rPr>
      </w:pPr>
    </w:p>
    <w:p>
      <w:pPr>
        <w:spacing w:after="0" w:line="23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106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ind w:right="160"/>
        <w:spacing w:after="0" w:line="275" w:lineRule="auto"/>
        <w:rPr>
          <w:sz w:val="20"/>
          <w:szCs w:val="20"/>
          <w:color w:val="auto"/>
        </w:rPr>
      </w:pPr>
      <w:r>
        <w:rPr>
          <w:rFonts w:ascii="Times New Roman" w:cs="Times New Roman" w:eastAsia="Times New Roman" w:hAnsi="Times New Roman"/>
          <w:sz w:val="11"/>
          <w:szCs w:val="11"/>
          <w:color w:val="auto"/>
        </w:rPr>
        <w:t>Financial risks are divided into market risk covering foreign exchange risk and interest rate risk; credit risk covering business-related credit risk and financial credit risk; and liquidity risk.</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Market risk</w:t>
      </w:r>
    </w:p>
    <w:p>
      <w:pPr>
        <w:spacing w:after="0" w:line="3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Foreign exchange risk</w:t>
      </w:r>
    </w:p>
    <w:p>
      <w:pPr>
        <w:spacing w:after="0" w:line="19"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Nokia operates globally and is exposed to transaction and translation foreign exchange risks. The objective of foreign exchange risk management is to mitigate adverse impacts from foreign exchange fluctuations on Nokia’s profitability and cash flows. Treasury applies a global portfolio approach to manage foreign exchange risks within approved guidelines and limits.</w:t>
      </w:r>
    </w:p>
    <w:p>
      <w:pPr>
        <w:spacing w:after="0" w:line="63"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Transaction risk arises from foreign currency denominated assets and liabilities together with foreign currency denominated future cash flows. Transaction exposures are managed in the context of various functional currencies of Group companies. Material transactional foreign exchange exposures are hedged, unless hedging would be uneconomical due to market liquidity and/or hedging cost. Exposures are defined using transaction nominal values. Exposures are mainly hedged with derivative financial instruments, such as foreign exchange forward contracts and foreign exchange options with most of the hedging instruments having a duration of less than a year.</w:t>
      </w:r>
    </w:p>
    <w:p>
      <w:pPr>
        <w:spacing w:after="0" w:line="193" w:lineRule="exact"/>
        <w:rPr>
          <w:sz w:val="20"/>
          <w:szCs w:val="20"/>
          <w:color w:val="auto"/>
        </w:rPr>
      </w:pPr>
    </w:p>
    <w:p>
      <w:pPr>
        <w:ind w:right="60"/>
        <w:spacing w:after="0" w:line="265" w:lineRule="auto"/>
        <w:rPr>
          <w:sz w:val="20"/>
          <w:szCs w:val="20"/>
          <w:color w:val="auto"/>
        </w:rPr>
      </w:pPr>
      <w:r>
        <w:rPr>
          <w:rFonts w:ascii="Times New Roman" w:cs="Times New Roman" w:eastAsia="Times New Roman" w:hAnsi="Times New Roman"/>
          <w:sz w:val="11"/>
          <w:szCs w:val="11"/>
          <w:color w:val="auto"/>
        </w:rPr>
        <w:t>A layered hedging approach is typically used for hedging of highly probable forecast foreign currency denominated cash flows with quarterly hedged items defined based on set hedge ratio ranges for each successive quarter. Hedged items defined for successive quarters are hedged with foreign exchange forward contracts and foreign exchange options with a hedge ratio of 1:1. Hedging level ranges are adjusted on a monthly basis including hedging instrument designation and documentation as appropriate. In cases where hedges exceed the hedge ratio range for any specific quarter, the hedge portfolio for that specific quarter is adjusted accordingly.</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192</w:t>
      </w:r>
    </w:p>
    <w:p>
      <w:pPr>
        <w:spacing w:after="0" w:line="200" w:lineRule="exact"/>
        <w:rPr>
          <w:sz w:val="20"/>
          <w:szCs w:val="20"/>
          <w:color w:val="auto"/>
        </w:rPr>
      </w:pPr>
    </w:p>
    <w:p>
      <w:pPr>
        <w:spacing w:after="0" w:line="200" w:lineRule="exact"/>
        <w:rPr>
          <w:sz w:val="20"/>
          <w:szCs w:val="20"/>
          <w:color w:val="auto"/>
        </w:rPr>
      </w:pPr>
    </w:p>
    <w:p>
      <w:pPr>
        <w:spacing w:after="0" w:line="340"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In certain cases, mainly related to long-term construction projects, Nokia applies fair value hedge accounting for foreign exchange risk with the objective to reduce the exposure to fluctuations in the fair value of the related firm commitments due to changes in foreign exchange rates. Exposures are mainly hedged with foreign exchange forward contracts with most</w:t>
      </w:r>
    </w:p>
    <w:p>
      <w:pPr>
        <w:spacing w:after="0" w:line="1" w:lineRule="exact"/>
        <w:rPr>
          <w:sz w:val="20"/>
          <w:szCs w:val="20"/>
          <w:color w:val="auto"/>
        </w:rPr>
      </w:pPr>
    </w:p>
    <w:p>
      <w:pPr>
        <w:ind w:right="300"/>
        <w:spacing w:after="0" w:line="262" w:lineRule="auto"/>
        <w:rPr>
          <w:sz w:val="20"/>
          <w:szCs w:val="20"/>
          <w:color w:val="auto"/>
        </w:rPr>
      </w:pPr>
      <w:r>
        <w:rPr>
          <w:rFonts w:ascii="Times New Roman" w:cs="Times New Roman" w:eastAsia="Times New Roman" w:hAnsi="Times New Roman"/>
          <w:sz w:val="11"/>
          <w:szCs w:val="11"/>
          <w:color w:val="auto"/>
        </w:rPr>
        <w:t>of the hedging instruments matching the duration of the underlying projects. Nokia continuously manages the portfolio of hedging instruments to ensure appropriate alignment with</w:t>
      </w:r>
    </w:p>
    <w:tbl>
      <w:tblPr>
        <w:tblLayout w:type="fixed"/>
        <w:tblInd w:w="0" w:type="dxa"/>
        <w:tblCellMar>
          <w:top w:w="0" w:type="dxa"/>
          <w:left w:w="0" w:type="dxa"/>
          <w:bottom w:w="0" w:type="dxa"/>
          <w:right w:w="0" w:type="dxa"/>
        </w:tblCellMar>
      </w:tblPr>
      <w:tr>
        <w:trPr>
          <w:trHeight w:val="148"/>
        </w:trPr>
        <w:tc>
          <w:tcPr>
            <w:tcW w:w="2440" w:type="dxa"/>
            <w:vAlign w:val="bottom"/>
          </w:tcPr>
          <w:p>
            <w:pPr>
              <w:spacing w:after="0"/>
              <w:rPr>
                <w:sz w:val="20"/>
                <w:szCs w:val="20"/>
                <w:color w:val="auto"/>
              </w:rPr>
            </w:pPr>
            <w:r>
              <w:rPr>
                <w:rFonts w:ascii="Times New Roman" w:cs="Times New Roman" w:eastAsia="Times New Roman" w:hAnsi="Times New Roman"/>
                <w:sz w:val="11"/>
                <w:szCs w:val="11"/>
                <w:color w:val="auto"/>
              </w:rPr>
              <w:t>the portfolio of hedged items at a hedging ratio of</w:t>
            </w:r>
          </w:p>
        </w:tc>
        <w:tc>
          <w:tcPr>
            <w:tcW w:w="360" w:type="dxa"/>
            <w:vAlign w:val="bottom"/>
          </w:tcPr>
          <w:p>
            <w:pPr>
              <w:jc w:val="right"/>
              <w:spacing w:after="0"/>
              <w:rPr>
                <w:sz w:val="20"/>
                <w:szCs w:val="20"/>
                <w:color w:val="auto"/>
              </w:rPr>
            </w:pPr>
            <w:r>
              <w:rPr>
                <w:rFonts w:ascii="Times New Roman" w:cs="Times New Roman" w:eastAsia="Times New Roman" w:hAnsi="Times New Roman"/>
                <w:sz w:val="11"/>
                <w:szCs w:val="11"/>
                <w:color w:val="auto"/>
              </w:rPr>
              <w:t>1:1.</w:t>
            </w:r>
          </w:p>
        </w:tc>
      </w:tr>
    </w:tbl>
    <w:p>
      <w:pPr>
        <w:spacing w:after="0" w:line="58"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1"/>
          <w:szCs w:val="11"/>
          <w:color w:val="auto"/>
        </w:rPr>
        <w:t>As Nokia has entities where the functional currency is other than the euro, the shareholders’ equity is exposed to fluctuations in foreign exchange rates. Changes in shareholders’ equity caused by movements in foreign exchange rates are shown as currency translation differences in the consolidated financial statements. The risk management strategy is to protect the euro counter value of the portion of this exposure expected to materialize as foreign currency repatriation cash flows in the foreseeable future. Exposures are mainly hedged with derivative financial instruments, such as foreign exchange forward contracts and foreign exchange options with most of the hedging instruments having a duration of less than a year. Hedged items are defined based on conservative expectations of repatriation cash flows based on a range of considerations. Net investment exposures are reviewed, hedged items designated, and hedging levels adjusted at minimum on a quarterly basis with a hedge ratio of 1:1. Additionally, hedging levels are adjusted whenever there are significant events impacting expected repatriation cash flows.</w:t>
      </w:r>
    </w:p>
    <w:p>
      <w:pPr>
        <w:spacing w:after="0" w:line="344"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The foreign exchange risk arising from foreign currency denominated interest-bearing liabilities is primarily hedged using cross-currency swaps that are also used to manage Nokia’s interest rate profile (refer to the interest rate risk section below).</w:t>
      </w:r>
    </w:p>
    <w:p>
      <w:pPr>
        <w:sectPr>
          <w:pgSz w:w="11900" w:h="16838" w:orient="portrait"/>
          <w:cols w:equalWidth="0" w:num="3">
            <w:col w:w="3120" w:space="280"/>
            <w:col w:w="2920" w:space="480"/>
            <w:col w:w="3180"/>
          </w:cols>
          <w:pgMar w:left="960" w:top="410" w:right="959" w:bottom="1440" w:gutter="0" w:footer="0" w:header="0"/>
        </w:sectPr>
      </w:pPr>
    </w:p>
    <w:bookmarkStart w:id="200" w:name="page201"/>
    <w:bookmarkEnd w:id="200"/>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30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1"/>
          <w:szCs w:val="11"/>
          <w:color w:val="auto"/>
        </w:rPr>
        <w:t>Notional amounts in currencies that represent a significant portion of the currency mix in outstanding financial instruments and other hedged items at 31 December:</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25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000" w:type="dxa"/>
            <w:vAlign w:val="bottom"/>
            <w:tcBorders>
              <w:bottom w:val="single" w:sz="8" w:color="005AFF"/>
            </w:tcBorders>
          </w:tcPr>
          <w:p>
            <w:pPr>
              <w:spacing w:after="0"/>
              <w:rPr>
                <w:sz w:val="9"/>
                <w:szCs w:val="9"/>
                <w:color w:val="auto"/>
              </w:rPr>
            </w:pPr>
          </w:p>
        </w:tc>
        <w:tc>
          <w:tcPr>
            <w:tcW w:w="460" w:type="dxa"/>
            <w:vAlign w:val="bottom"/>
            <w:tcBorders>
              <w:bottom w:val="single" w:sz="8" w:color="005AFF"/>
            </w:tcBorders>
          </w:tcPr>
          <w:p>
            <w:pPr>
              <w:spacing w:after="0"/>
              <w:rPr>
                <w:sz w:val="9"/>
                <w:szCs w:val="9"/>
                <w:color w:val="auto"/>
              </w:rPr>
            </w:pPr>
          </w:p>
        </w:tc>
        <w:tc>
          <w:tcPr>
            <w:tcW w:w="332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USD</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CNY</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JPY</w:t>
            </w:r>
          </w:p>
        </w:tc>
        <w:tc>
          <w:tcPr>
            <w:tcW w:w="6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INR</w:t>
            </w:r>
          </w:p>
        </w:tc>
        <w:tc>
          <w:tcPr>
            <w:tcW w:w="0" w:type="dxa"/>
            <w:vAlign w:val="bottom"/>
          </w:tcPr>
          <w:p>
            <w:pPr>
              <w:spacing w:after="0"/>
              <w:rPr>
                <w:sz w:val="1"/>
                <w:szCs w:val="1"/>
                <w:color w:val="auto"/>
              </w:rPr>
            </w:pPr>
          </w:p>
        </w:tc>
      </w:tr>
      <w:tr>
        <w:trPr>
          <w:trHeight w:val="140"/>
        </w:trPr>
        <w:tc>
          <w:tcPr>
            <w:tcW w:w="25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1000" w:type="dxa"/>
            <w:vAlign w:val="bottom"/>
          </w:tcPr>
          <w:p>
            <w:pPr>
              <w:spacing w:after="0"/>
              <w:rPr>
                <w:sz w:val="12"/>
                <w:szCs w:val="12"/>
                <w:color w:val="auto"/>
              </w:rPr>
            </w:pPr>
          </w:p>
        </w:tc>
        <w:tc>
          <w:tcPr>
            <w:tcW w:w="460" w:type="dxa"/>
            <w:vAlign w:val="bottom"/>
          </w:tcPr>
          <w:p>
            <w:pPr>
              <w:spacing w:after="0"/>
              <w:rPr>
                <w:sz w:val="12"/>
                <w:szCs w:val="12"/>
                <w:color w:val="auto"/>
              </w:rPr>
            </w:pPr>
          </w:p>
        </w:tc>
        <w:tc>
          <w:tcPr>
            <w:tcW w:w="3320" w:type="dxa"/>
            <w:vAlign w:val="bottom"/>
          </w:tcPr>
          <w:p>
            <w:pPr>
              <w:spacing w:after="0"/>
              <w:rPr>
                <w:sz w:val="12"/>
                <w:szCs w:val="12"/>
                <w:color w:val="auto"/>
              </w:rPr>
            </w:pPr>
          </w:p>
        </w:tc>
        <w:tc>
          <w:tcPr>
            <w:tcW w:w="660" w:type="dxa"/>
            <w:vAlign w:val="bottom"/>
            <w:shd w:val="clear" w:color="auto" w:fill="F0F5FF"/>
          </w:tcPr>
          <w:p>
            <w:pPr>
              <w:spacing w:after="0"/>
              <w:rPr>
                <w:sz w:val="12"/>
                <w:szCs w:val="12"/>
                <w:color w:val="auto"/>
              </w:rPr>
            </w:pPr>
          </w:p>
        </w:tc>
        <w:tc>
          <w:tcPr>
            <w:tcW w:w="680" w:type="dxa"/>
            <w:vAlign w:val="bottom"/>
            <w:shd w:val="clear" w:color="auto" w:fill="F0F5FF"/>
          </w:tcPr>
          <w:p>
            <w:pPr>
              <w:spacing w:after="0"/>
              <w:rPr>
                <w:sz w:val="12"/>
                <w:szCs w:val="12"/>
                <w:color w:val="auto"/>
              </w:rPr>
            </w:pPr>
          </w:p>
        </w:tc>
        <w:tc>
          <w:tcPr>
            <w:tcW w:w="680" w:type="dxa"/>
            <w:vAlign w:val="bottom"/>
            <w:shd w:val="clear" w:color="auto" w:fill="F0F5FF"/>
          </w:tcPr>
          <w:p>
            <w:pPr>
              <w:spacing w:after="0"/>
              <w:rPr>
                <w:sz w:val="12"/>
                <w:szCs w:val="12"/>
                <w:color w:val="auto"/>
              </w:rPr>
            </w:pPr>
          </w:p>
        </w:tc>
        <w:tc>
          <w:tcPr>
            <w:tcW w:w="680" w:type="dxa"/>
            <w:vAlign w:val="bottom"/>
            <w:shd w:val="clear" w:color="auto" w:fill="F0F5FF"/>
          </w:tcPr>
          <w:p>
            <w:pPr>
              <w:spacing w:after="0"/>
              <w:rPr>
                <w:sz w:val="12"/>
                <w:szCs w:val="12"/>
                <w:color w:val="auto"/>
              </w:rPr>
            </w:pPr>
          </w:p>
        </w:tc>
        <w:tc>
          <w:tcPr>
            <w:tcW w:w="0" w:type="dxa"/>
            <w:vAlign w:val="bottom"/>
          </w:tcPr>
          <w:p>
            <w:pPr>
              <w:spacing w:after="0"/>
              <w:rPr>
                <w:sz w:val="1"/>
                <w:szCs w:val="1"/>
                <w:color w:val="auto"/>
              </w:rPr>
            </w:pPr>
          </w:p>
        </w:tc>
      </w:tr>
      <w:tr>
        <w:trPr>
          <w:trHeight w:val="111"/>
        </w:trPr>
        <w:tc>
          <w:tcPr>
            <w:tcW w:w="35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cash flow hedging, net</w:t>
            </w:r>
          </w:p>
        </w:tc>
        <w:tc>
          <w:tcPr>
            <w:tcW w:w="460" w:type="dxa"/>
            <w:vAlign w:val="bottom"/>
          </w:tcPr>
          <w:p>
            <w:pPr>
              <w:jc w:val="right"/>
              <w:ind w:right="207"/>
              <w:spacing w:after="0"/>
              <w:rPr>
                <w:sz w:val="20"/>
                <w:szCs w:val="20"/>
                <w:color w:val="auto"/>
              </w:rPr>
            </w:pPr>
            <w:r>
              <w:rPr>
                <w:rFonts w:ascii="Times New Roman" w:cs="Times New Roman" w:eastAsia="Times New Roman" w:hAnsi="Times New Roman"/>
                <w:sz w:val="7"/>
                <w:szCs w:val="7"/>
                <w:color w:val="0D0D0D"/>
              </w:rPr>
              <w:t>(1)</w:t>
            </w:r>
          </w:p>
        </w:tc>
        <w:tc>
          <w:tcPr>
            <w:tcW w:w="3320" w:type="dxa"/>
            <w:vAlign w:val="bottom"/>
          </w:tcPr>
          <w:p>
            <w:pPr>
              <w:spacing w:after="0"/>
              <w:rPr>
                <w:sz w:val="9"/>
                <w:szCs w:val="9"/>
                <w:color w:val="auto"/>
              </w:rPr>
            </w:pPr>
          </w:p>
        </w:tc>
        <w:tc>
          <w:tcPr>
            <w:tcW w:w="66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606</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(232)</w:t>
            </w:r>
          </w:p>
        </w:tc>
        <w:tc>
          <w:tcPr>
            <w:tcW w:w="68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281</w:t>
            </w:r>
          </w:p>
        </w:tc>
        <w:tc>
          <w:tcPr>
            <w:tcW w:w="680" w:type="dxa"/>
            <w:vAlign w:val="bottom"/>
            <w:vMerge w:val="restart"/>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rPr>
              <w:t>(153)</w:t>
            </w:r>
          </w:p>
        </w:tc>
        <w:tc>
          <w:tcPr>
            <w:tcW w:w="0" w:type="dxa"/>
            <w:vAlign w:val="bottom"/>
          </w:tcPr>
          <w:p>
            <w:pPr>
              <w:spacing w:after="0"/>
              <w:rPr>
                <w:sz w:val="1"/>
                <w:szCs w:val="1"/>
                <w:color w:val="auto"/>
              </w:rPr>
            </w:pPr>
          </w:p>
        </w:tc>
      </w:tr>
      <w:tr>
        <w:trPr>
          <w:trHeight w:val="50"/>
        </w:trPr>
        <w:tc>
          <w:tcPr>
            <w:tcW w:w="3560" w:type="dxa"/>
            <w:vAlign w:val="bottom"/>
            <w:gridSpan w:val="2"/>
            <w:vMerge w:val="continue"/>
          </w:tcPr>
          <w:p>
            <w:pPr>
              <w:spacing w:after="0"/>
              <w:rPr>
                <w:sz w:val="4"/>
                <w:szCs w:val="4"/>
                <w:color w:val="auto"/>
              </w:rPr>
            </w:pPr>
          </w:p>
        </w:tc>
        <w:tc>
          <w:tcPr>
            <w:tcW w:w="460" w:type="dxa"/>
            <w:vAlign w:val="bottom"/>
          </w:tcPr>
          <w:p>
            <w:pPr>
              <w:spacing w:after="0"/>
              <w:rPr>
                <w:sz w:val="4"/>
                <w:szCs w:val="4"/>
                <w:color w:val="auto"/>
              </w:rPr>
            </w:pPr>
          </w:p>
        </w:tc>
        <w:tc>
          <w:tcPr>
            <w:tcW w:w="3320" w:type="dxa"/>
            <w:vAlign w:val="bottom"/>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4020" w:type="dxa"/>
            <w:vAlign w:val="bottom"/>
            <w:gridSpan w:val="3"/>
            <w:vMerge w:val="restart"/>
          </w:tcPr>
          <w:p>
            <w:pPr>
              <w:ind w:left="40"/>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fair value hedging for FX risk, net</w:t>
            </w:r>
          </w:p>
        </w:tc>
        <w:tc>
          <w:tcPr>
            <w:tcW w:w="3320" w:type="dxa"/>
            <w:vAlign w:val="bottom"/>
          </w:tcPr>
          <w:p>
            <w:pPr>
              <w:jc w:val="right"/>
              <w:ind w:right="3047"/>
              <w:spacing w:after="0"/>
              <w:rPr>
                <w:sz w:val="20"/>
                <w:szCs w:val="20"/>
                <w:color w:val="auto"/>
              </w:rPr>
            </w:pPr>
            <w:r>
              <w:rPr>
                <w:rFonts w:ascii="Times New Roman" w:cs="Times New Roman" w:eastAsia="Times New Roman" w:hAnsi="Times New Roman"/>
                <w:sz w:val="7"/>
                <w:szCs w:val="7"/>
                <w:color w:val="0D0D0D"/>
              </w:rPr>
              <w:t>(2)</w:t>
            </w:r>
          </w:p>
        </w:tc>
        <w:tc>
          <w:tcPr>
            <w:tcW w:w="66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1 354</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0" w:type="dxa"/>
            <w:vAlign w:val="bottom"/>
          </w:tcPr>
          <w:p>
            <w:pPr>
              <w:spacing w:after="0"/>
              <w:rPr>
                <w:sz w:val="1"/>
                <w:szCs w:val="1"/>
                <w:color w:val="auto"/>
              </w:rPr>
            </w:pPr>
          </w:p>
        </w:tc>
      </w:tr>
      <w:tr>
        <w:trPr>
          <w:trHeight w:val="50"/>
        </w:trPr>
        <w:tc>
          <w:tcPr>
            <w:tcW w:w="4020" w:type="dxa"/>
            <w:vAlign w:val="bottom"/>
            <w:gridSpan w:val="3"/>
            <w:vMerge w:val="continue"/>
          </w:tcPr>
          <w:p>
            <w:pPr>
              <w:spacing w:after="0"/>
              <w:rPr>
                <w:sz w:val="4"/>
                <w:szCs w:val="4"/>
                <w:color w:val="auto"/>
              </w:rPr>
            </w:pPr>
          </w:p>
        </w:tc>
        <w:tc>
          <w:tcPr>
            <w:tcW w:w="3320" w:type="dxa"/>
            <w:vAlign w:val="bottom"/>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35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net investment hedging</w:t>
            </w:r>
          </w:p>
        </w:tc>
        <w:tc>
          <w:tcPr>
            <w:tcW w:w="460" w:type="dxa"/>
            <w:vAlign w:val="bottom"/>
          </w:tcPr>
          <w:p>
            <w:pPr>
              <w:jc w:val="right"/>
              <w:ind w:right="147"/>
              <w:spacing w:after="0"/>
              <w:rPr>
                <w:sz w:val="20"/>
                <w:szCs w:val="20"/>
                <w:color w:val="auto"/>
              </w:rPr>
            </w:pPr>
            <w:r>
              <w:rPr>
                <w:rFonts w:ascii="Times New Roman" w:cs="Times New Roman" w:eastAsia="Times New Roman" w:hAnsi="Times New Roman"/>
                <w:sz w:val="7"/>
                <w:szCs w:val="7"/>
                <w:color w:val="0D0D0D"/>
              </w:rPr>
              <w:t>(3)</w:t>
            </w:r>
          </w:p>
        </w:tc>
        <w:tc>
          <w:tcPr>
            <w:tcW w:w="3320" w:type="dxa"/>
            <w:vAlign w:val="bottom"/>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788</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center"/>
              <w:ind w:left="351"/>
              <w:spacing w:after="0"/>
              <w:rPr>
                <w:sz w:val="20"/>
                <w:szCs w:val="20"/>
                <w:color w:val="auto"/>
              </w:rPr>
            </w:pPr>
            <w:r>
              <w:rPr>
                <w:rFonts w:ascii="Times New Roman" w:cs="Times New Roman" w:eastAsia="Times New Roman" w:hAnsi="Times New Roman"/>
                <w:sz w:val="10"/>
                <w:szCs w:val="10"/>
                <w:color w:val="005AFF"/>
              </w:rPr>
              <w:t>184</w:t>
            </w:r>
          </w:p>
        </w:tc>
        <w:tc>
          <w:tcPr>
            <w:tcW w:w="0" w:type="dxa"/>
            <w:vAlign w:val="bottom"/>
          </w:tcPr>
          <w:p>
            <w:pPr>
              <w:spacing w:after="0"/>
              <w:rPr>
                <w:sz w:val="1"/>
                <w:szCs w:val="1"/>
                <w:color w:val="auto"/>
              </w:rPr>
            </w:pPr>
          </w:p>
        </w:tc>
      </w:tr>
      <w:tr>
        <w:trPr>
          <w:trHeight w:val="50"/>
        </w:trPr>
        <w:tc>
          <w:tcPr>
            <w:tcW w:w="3560" w:type="dxa"/>
            <w:vAlign w:val="bottom"/>
            <w:gridSpan w:val="2"/>
            <w:vMerge w:val="continue"/>
          </w:tcPr>
          <w:p>
            <w:pPr>
              <w:spacing w:after="0"/>
              <w:rPr>
                <w:sz w:val="4"/>
                <w:szCs w:val="4"/>
                <w:color w:val="auto"/>
              </w:rPr>
            </w:pPr>
          </w:p>
        </w:tc>
        <w:tc>
          <w:tcPr>
            <w:tcW w:w="460" w:type="dxa"/>
            <w:vAlign w:val="bottom"/>
          </w:tcPr>
          <w:p>
            <w:pPr>
              <w:spacing w:after="0"/>
              <w:rPr>
                <w:sz w:val="4"/>
                <w:szCs w:val="4"/>
                <w:color w:val="auto"/>
              </w:rPr>
            </w:pPr>
          </w:p>
        </w:tc>
        <w:tc>
          <w:tcPr>
            <w:tcW w:w="3320" w:type="dxa"/>
            <w:vAlign w:val="bottom"/>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256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Foreign exchange exposure from interest-bearing liabilities</w:t>
            </w:r>
          </w:p>
        </w:tc>
        <w:tc>
          <w:tcPr>
            <w:tcW w:w="1000" w:type="dxa"/>
            <w:vAlign w:val="bottom"/>
          </w:tcPr>
          <w:p>
            <w:pPr>
              <w:jc w:val="right"/>
              <w:ind w:right="767"/>
              <w:spacing w:after="0"/>
              <w:rPr>
                <w:sz w:val="20"/>
                <w:szCs w:val="20"/>
                <w:color w:val="auto"/>
              </w:rPr>
            </w:pPr>
            <w:r>
              <w:rPr>
                <w:rFonts w:ascii="Times New Roman" w:cs="Times New Roman" w:eastAsia="Times New Roman" w:hAnsi="Times New Roman"/>
                <w:sz w:val="7"/>
                <w:szCs w:val="7"/>
                <w:color w:val="0D0D0D"/>
              </w:rPr>
              <w:t>(4)</w:t>
            </w:r>
          </w:p>
        </w:tc>
        <w:tc>
          <w:tcPr>
            <w:tcW w:w="460" w:type="dxa"/>
            <w:vAlign w:val="bottom"/>
          </w:tcPr>
          <w:p>
            <w:pPr>
              <w:spacing w:after="0"/>
              <w:rPr>
                <w:sz w:val="9"/>
                <w:szCs w:val="9"/>
                <w:color w:val="auto"/>
              </w:rPr>
            </w:pPr>
          </w:p>
        </w:tc>
        <w:tc>
          <w:tcPr>
            <w:tcW w:w="3320" w:type="dxa"/>
            <w:vAlign w:val="bottom"/>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(750)</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0" w:type="dxa"/>
            <w:vAlign w:val="bottom"/>
          </w:tcPr>
          <w:p>
            <w:pPr>
              <w:spacing w:after="0"/>
              <w:rPr>
                <w:sz w:val="1"/>
                <w:szCs w:val="1"/>
                <w:color w:val="auto"/>
              </w:rPr>
            </w:pPr>
          </w:p>
        </w:tc>
      </w:tr>
      <w:tr>
        <w:trPr>
          <w:trHeight w:val="50"/>
        </w:trPr>
        <w:tc>
          <w:tcPr>
            <w:tcW w:w="2560" w:type="dxa"/>
            <w:vAlign w:val="bottom"/>
            <w:vMerge w:val="continue"/>
          </w:tcPr>
          <w:p>
            <w:pPr>
              <w:spacing w:after="0"/>
              <w:rPr>
                <w:sz w:val="4"/>
                <w:szCs w:val="4"/>
                <w:color w:val="auto"/>
              </w:rPr>
            </w:pPr>
          </w:p>
        </w:tc>
        <w:tc>
          <w:tcPr>
            <w:tcW w:w="1000" w:type="dxa"/>
            <w:vAlign w:val="bottom"/>
          </w:tcPr>
          <w:p>
            <w:pPr>
              <w:spacing w:after="0"/>
              <w:rPr>
                <w:sz w:val="4"/>
                <w:szCs w:val="4"/>
                <w:color w:val="auto"/>
              </w:rPr>
            </w:pPr>
          </w:p>
        </w:tc>
        <w:tc>
          <w:tcPr>
            <w:tcW w:w="460" w:type="dxa"/>
            <w:vAlign w:val="bottom"/>
          </w:tcPr>
          <w:p>
            <w:pPr>
              <w:spacing w:after="0"/>
              <w:rPr>
                <w:sz w:val="4"/>
                <w:szCs w:val="4"/>
                <w:color w:val="auto"/>
              </w:rPr>
            </w:pPr>
          </w:p>
        </w:tc>
        <w:tc>
          <w:tcPr>
            <w:tcW w:w="3320" w:type="dxa"/>
            <w:vAlign w:val="bottom"/>
          </w:tcPr>
          <w:p>
            <w:pPr>
              <w:spacing w:after="0"/>
              <w:rPr>
                <w:sz w:val="4"/>
                <w:szCs w:val="4"/>
                <w:color w:val="auto"/>
              </w:rPr>
            </w:pPr>
          </w:p>
        </w:tc>
        <w:tc>
          <w:tcPr>
            <w:tcW w:w="6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7340" w:type="dxa"/>
            <w:vAlign w:val="bottom"/>
            <w:gridSpan w:val="4"/>
          </w:tcPr>
          <w:p>
            <w:pPr>
              <w:ind w:left="40"/>
              <w:spacing w:after="0"/>
              <w:rPr>
                <w:sz w:val="20"/>
                <w:szCs w:val="20"/>
                <w:color w:val="auto"/>
              </w:rPr>
            </w:pPr>
            <w:r>
              <w:rPr>
                <w:rFonts w:ascii="Times New Roman" w:cs="Times New Roman" w:eastAsia="Times New Roman" w:hAnsi="Times New Roman"/>
                <w:sz w:val="10"/>
                <w:szCs w:val="10"/>
                <w:color w:val="0D0D0D"/>
              </w:rPr>
              <w:t>Foreign exchange exposure from items on the statement of financial position, excluding interest-bearing liabilities, net</w:t>
            </w:r>
          </w:p>
        </w:tc>
        <w:tc>
          <w:tcPr>
            <w:tcW w:w="66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2 475</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(804)</w:t>
            </w:r>
          </w:p>
        </w:tc>
        <w:tc>
          <w:tcPr>
            <w:tcW w:w="6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147</w:t>
            </w:r>
          </w:p>
        </w:tc>
        <w:tc>
          <w:tcPr>
            <w:tcW w:w="680" w:type="dxa"/>
            <w:vAlign w:val="bottom"/>
            <w:shd w:val="clear" w:color="auto" w:fill="F0F5FF"/>
          </w:tcPr>
          <w:p>
            <w:pPr>
              <w:jc w:val="center"/>
              <w:ind w:left="371"/>
              <w:spacing w:after="0"/>
              <w:rPr>
                <w:sz w:val="20"/>
                <w:szCs w:val="20"/>
                <w:color w:val="auto"/>
              </w:rPr>
            </w:pPr>
            <w:r>
              <w:rPr>
                <w:rFonts w:ascii="Times New Roman" w:cs="Times New Roman" w:eastAsia="Times New Roman" w:hAnsi="Times New Roman"/>
                <w:sz w:val="10"/>
                <w:szCs w:val="10"/>
                <w:color w:val="005AFF"/>
              </w:rPr>
              <w:t>(346)</w:t>
            </w:r>
          </w:p>
        </w:tc>
        <w:tc>
          <w:tcPr>
            <w:tcW w:w="0" w:type="dxa"/>
            <w:vAlign w:val="bottom"/>
          </w:tcPr>
          <w:p>
            <w:pPr>
              <w:spacing w:after="0"/>
              <w:rPr>
                <w:sz w:val="1"/>
                <w:szCs w:val="1"/>
                <w:color w:val="auto"/>
              </w:rPr>
            </w:pPr>
          </w:p>
        </w:tc>
      </w:tr>
      <w:tr>
        <w:trPr>
          <w:trHeight w:val="111"/>
        </w:trPr>
        <w:tc>
          <w:tcPr>
            <w:tcW w:w="356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Other foreign exchange derivatives, carried at fair value through profit and loss, net</w:t>
            </w:r>
          </w:p>
        </w:tc>
        <w:tc>
          <w:tcPr>
            <w:tcW w:w="460" w:type="dxa"/>
            <w:vAlign w:val="bottom"/>
          </w:tcPr>
          <w:p>
            <w:pPr>
              <w:jc w:val="right"/>
              <w:ind w:right="107"/>
              <w:spacing w:after="0"/>
              <w:rPr>
                <w:sz w:val="20"/>
                <w:szCs w:val="20"/>
                <w:color w:val="auto"/>
              </w:rPr>
            </w:pPr>
            <w:r>
              <w:rPr>
                <w:rFonts w:ascii="Times New Roman" w:cs="Times New Roman" w:eastAsia="Times New Roman" w:hAnsi="Times New Roman"/>
                <w:sz w:val="7"/>
                <w:szCs w:val="7"/>
                <w:color w:val="0D0D0D"/>
              </w:rPr>
              <w:t>(5)</w:t>
            </w:r>
          </w:p>
        </w:tc>
        <w:tc>
          <w:tcPr>
            <w:tcW w:w="3320" w:type="dxa"/>
            <w:vAlign w:val="bottom"/>
          </w:tcPr>
          <w:p>
            <w:pPr>
              <w:spacing w:after="0"/>
              <w:rPr>
                <w:sz w:val="9"/>
                <w:szCs w:val="9"/>
                <w:color w:val="auto"/>
              </w:rPr>
            </w:pPr>
          </w:p>
        </w:tc>
        <w:tc>
          <w:tcPr>
            <w:tcW w:w="6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(205)</w:t>
            </w:r>
          </w:p>
        </w:tc>
        <w:tc>
          <w:tcPr>
            <w:tcW w:w="68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720</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(100)</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(38)</w:t>
            </w:r>
          </w:p>
        </w:tc>
        <w:tc>
          <w:tcPr>
            <w:tcW w:w="0" w:type="dxa"/>
            <w:vAlign w:val="bottom"/>
          </w:tcPr>
          <w:p>
            <w:pPr>
              <w:spacing w:after="0"/>
              <w:rPr>
                <w:sz w:val="1"/>
                <w:szCs w:val="1"/>
                <w:color w:val="auto"/>
              </w:rPr>
            </w:pPr>
          </w:p>
        </w:tc>
      </w:tr>
      <w:tr>
        <w:trPr>
          <w:trHeight w:val="56"/>
        </w:trPr>
        <w:tc>
          <w:tcPr>
            <w:tcW w:w="3560" w:type="dxa"/>
            <w:vAlign w:val="bottom"/>
            <w:tcBorders>
              <w:bottom w:val="single" w:sz="8" w:color="005AFF"/>
            </w:tcBorders>
            <w:gridSpan w:val="2"/>
            <w:vMerge w:val="continue"/>
          </w:tcPr>
          <w:p>
            <w:pPr>
              <w:spacing w:after="0"/>
              <w:rPr>
                <w:sz w:val="4"/>
                <w:szCs w:val="4"/>
                <w:color w:val="auto"/>
              </w:rPr>
            </w:pPr>
          </w:p>
        </w:tc>
        <w:tc>
          <w:tcPr>
            <w:tcW w:w="460" w:type="dxa"/>
            <w:vAlign w:val="bottom"/>
            <w:tcBorders>
              <w:bottom w:val="single" w:sz="8" w:color="005AFF"/>
            </w:tcBorders>
          </w:tcPr>
          <w:p>
            <w:pPr>
              <w:spacing w:after="0"/>
              <w:rPr>
                <w:sz w:val="4"/>
                <w:szCs w:val="4"/>
                <w:color w:val="auto"/>
              </w:rPr>
            </w:pPr>
          </w:p>
        </w:tc>
        <w:tc>
          <w:tcPr>
            <w:tcW w:w="3320" w:type="dxa"/>
            <w:vAlign w:val="bottom"/>
            <w:tcBorders>
              <w:bottom w:val="single" w:sz="8" w:color="005AFF"/>
            </w:tcBorders>
          </w:tcPr>
          <w:p>
            <w:pPr>
              <w:spacing w:after="0"/>
              <w:rPr>
                <w:sz w:val="4"/>
                <w:szCs w:val="4"/>
                <w:color w:val="auto"/>
              </w:rPr>
            </w:pPr>
          </w:p>
        </w:tc>
        <w:tc>
          <w:tcPr>
            <w:tcW w:w="660" w:type="dxa"/>
            <w:vAlign w:val="bottom"/>
            <w:tcBorders>
              <w:bottom w:val="single" w:sz="8" w:color="005AFF"/>
            </w:tcBorders>
            <w:vMerge w:val="continue"/>
            <w:shd w:val="clear" w:color="auto" w:fill="F0F5FF"/>
          </w:tcPr>
          <w:p>
            <w:pPr>
              <w:spacing w:after="0"/>
              <w:rPr>
                <w:sz w:val="4"/>
                <w:szCs w:val="4"/>
                <w:color w:val="auto"/>
              </w:rPr>
            </w:pPr>
          </w:p>
        </w:tc>
        <w:tc>
          <w:tcPr>
            <w:tcW w:w="680" w:type="dxa"/>
            <w:vAlign w:val="bottom"/>
            <w:tcBorders>
              <w:bottom w:val="single" w:sz="8" w:color="005AFF"/>
            </w:tcBorders>
            <w:vMerge w:val="continue"/>
            <w:shd w:val="clear" w:color="auto" w:fill="F0F5FF"/>
          </w:tcPr>
          <w:p>
            <w:pPr>
              <w:spacing w:after="0"/>
              <w:rPr>
                <w:sz w:val="4"/>
                <w:szCs w:val="4"/>
                <w:color w:val="auto"/>
              </w:rPr>
            </w:pPr>
          </w:p>
        </w:tc>
        <w:tc>
          <w:tcPr>
            <w:tcW w:w="680" w:type="dxa"/>
            <w:vAlign w:val="bottom"/>
            <w:tcBorders>
              <w:bottom w:val="single" w:sz="8" w:color="005AFF"/>
            </w:tcBorders>
            <w:vMerge w:val="continue"/>
            <w:shd w:val="clear" w:color="auto" w:fill="F0F5FF"/>
          </w:tcPr>
          <w:p>
            <w:pPr>
              <w:spacing w:after="0"/>
              <w:rPr>
                <w:sz w:val="4"/>
                <w:szCs w:val="4"/>
                <w:color w:val="auto"/>
              </w:rPr>
            </w:pPr>
          </w:p>
        </w:tc>
        <w:tc>
          <w:tcPr>
            <w:tcW w:w="680" w:type="dxa"/>
            <w:vAlign w:val="bottom"/>
            <w:tcBorders>
              <w:bottom w:val="single" w:sz="8" w:color="005AFF"/>
            </w:tcBorders>
            <w:vMerge w:val="continue"/>
            <w:shd w:val="clear" w:color="auto" w:fill="F0F5FF"/>
          </w:tcPr>
          <w:p>
            <w:pPr>
              <w:spacing w:after="0"/>
              <w:rPr>
                <w:sz w:val="4"/>
                <w:szCs w:val="4"/>
                <w:color w:val="auto"/>
              </w:rPr>
            </w:pPr>
          </w:p>
        </w:tc>
        <w:tc>
          <w:tcPr>
            <w:tcW w:w="0" w:type="dxa"/>
            <w:vAlign w:val="bottom"/>
          </w:tcPr>
          <w:p>
            <w:pPr>
              <w:spacing w:after="0"/>
              <w:rPr>
                <w:sz w:val="1"/>
                <w:szCs w:val="1"/>
                <w:color w:val="auto"/>
              </w:rPr>
            </w:pPr>
          </w:p>
        </w:tc>
      </w:tr>
    </w:tbl>
    <w:p>
      <w:pPr>
        <w:spacing w:after="0" w:line="9" w:lineRule="exact"/>
        <w:rPr>
          <w:sz w:val="20"/>
          <w:szCs w:val="20"/>
          <w:color w:val="auto"/>
        </w:rPr>
      </w:pPr>
    </w:p>
    <w:p>
      <w:pPr>
        <w:sectPr>
          <w:pgSz w:w="11900" w:h="16838" w:orient="portrait"/>
          <w:cols w:equalWidth="0" w:num="1">
            <w:col w:w="10040"/>
          </w:cols>
          <w:pgMar w:left="960" w:top="410" w:right="899" w:bottom="1440" w:gutter="0" w:footer="0" w:header="0"/>
        </w:sectPr>
      </w:pPr>
    </w:p>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p>
      <w:pPr>
        <w:spacing w:after="0" w:line="44" w:lineRule="exact"/>
        <w:rPr>
          <w:sz w:val="20"/>
          <w:szCs w:val="20"/>
          <w:color w:val="auto"/>
        </w:rPr>
      </w:pPr>
    </w:p>
    <w:tbl>
      <w:tblPr>
        <w:tblLayout w:type="fixed"/>
        <w:tblInd w:w="40" w:type="dxa"/>
        <w:tblCellMar>
          <w:top w:w="0" w:type="dxa"/>
          <w:left w:w="0" w:type="dxa"/>
          <w:bottom w:w="0" w:type="dxa"/>
          <w:right w:w="0" w:type="dxa"/>
        </w:tblCellMar>
      </w:tblPr>
      <w:tr>
        <w:trPr>
          <w:trHeight w:val="85"/>
        </w:trPr>
        <w:tc>
          <w:tcPr>
            <w:tcW w:w="3480" w:type="dxa"/>
            <w:vAlign w:val="bottom"/>
            <w:gridSpan w:val="2"/>
            <w:vMerge w:val="restart"/>
          </w:tcPr>
          <w:p>
            <w:pPr>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cash flow hedging, net</w:t>
            </w:r>
          </w:p>
        </w:tc>
        <w:tc>
          <w:tcPr>
            <w:tcW w:w="500" w:type="dxa"/>
            <w:vAlign w:val="bottom"/>
          </w:tcPr>
          <w:p>
            <w:pPr>
              <w:jc w:val="right"/>
              <w:ind w:right="207"/>
              <w:spacing w:after="0"/>
              <w:rPr>
                <w:sz w:val="20"/>
                <w:szCs w:val="20"/>
                <w:color w:val="auto"/>
              </w:rPr>
            </w:pPr>
            <w:r>
              <w:rPr>
                <w:rFonts w:ascii="Times New Roman" w:cs="Times New Roman" w:eastAsia="Times New Roman" w:hAnsi="Times New Roman"/>
                <w:sz w:val="7"/>
                <w:szCs w:val="7"/>
                <w:color w:val="0D0D0D"/>
              </w:rPr>
              <w:t>(1)</w:t>
            </w:r>
          </w:p>
        </w:tc>
        <w:tc>
          <w:tcPr>
            <w:tcW w:w="240" w:type="dxa"/>
            <w:vAlign w:val="bottom"/>
          </w:tcPr>
          <w:p>
            <w:pPr>
              <w:spacing w:after="0"/>
              <w:rPr>
                <w:sz w:val="7"/>
                <w:szCs w:val="7"/>
                <w:color w:val="auto"/>
              </w:rPr>
            </w:pPr>
          </w:p>
        </w:tc>
        <w:tc>
          <w:tcPr>
            <w:tcW w:w="0" w:type="dxa"/>
            <w:vAlign w:val="bottom"/>
          </w:tcPr>
          <w:p>
            <w:pPr>
              <w:spacing w:after="0"/>
              <w:rPr>
                <w:sz w:val="1"/>
                <w:szCs w:val="1"/>
                <w:color w:val="auto"/>
              </w:rPr>
            </w:pPr>
          </w:p>
        </w:tc>
      </w:tr>
      <w:tr>
        <w:trPr>
          <w:trHeight w:val="50"/>
        </w:trPr>
        <w:tc>
          <w:tcPr>
            <w:tcW w:w="3480" w:type="dxa"/>
            <w:vAlign w:val="bottom"/>
            <w:gridSpan w:val="2"/>
            <w:vMerge w:val="continue"/>
          </w:tcPr>
          <w:p>
            <w:pPr>
              <w:spacing w:after="0"/>
              <w:rPr>
                <w:sz w:val="4"/>
                <w:szCs w:val="4"/>
                <w:color w:val="auto"/>
              </w:rPr>
            </w:pPr>
          </w:p>
        </w:tc>
        <w:tc>
          <w:tcPr>
            <w:tcW w:w="50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3980" w:type="dxa"/>
            <w:vAlign w:val="bottom"/>
            <w:gridSpan w:val="3"/>
            <w:vMerge w:val="restart"/>
          </w:tcPr>
          <w:p>
            <w:pPr>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fair value hedging for FX risk, net</w:t>
            </w:r>
          </w:p>
        </w:tc>
        <w:tc>
          <w:tcPr>
            <w:tcW w:w="240" w:type="dxa"/>
            <w:vAlign w:val="bottom"/>
          </w:tcPr>
          <w:p>
            <w:pPr>
              <w:jc w:val="right"/>
              <w:spacing w:after="0"/>
              <w:rPr>
                <w:sz w:val="20"/>
                <w:szCs w:val="20"/>
                <w:color w:val="auto"/>
              </w:rPr>
            </w:pPr>
            <w:r>
              <w:rPr>
                <w:rFonts w:ascii="Times New Roman" w:cs="Times New Roman" w:eastAsia="Times New Roman" w:hAnsi="Times New Roman"/>
                <w:sz w:val="7"/>
                <w:szCs w:val="7"/>
                <w:color w:val="0D0D0D"/>
              </w:rPr>
              <w:t>(2)</w:t>
            </w:r>
          </w:p>
        </w:tc>
        <w:tc>
          <w:tcPr>
            <w:tcW w:w="0" w:type="dxa"/>
            <w:vAlign w:val="bottom"/>
          </w:tcPr>
          <w:p>
            <w:pPr>
              <w:spacing w:after="0"/>
              <w:rPr>
                <w:sz w:val="1"/>
                <w:szCs w:val="1"/>
                <w:color w:val="auto"/>
              </w:rPr>
            </w:pPr>
          </w:p>
        </w:tc>
      </w:tr>
      <w:tr>
        <w:trPr>
          <w:trHeight w:val="50"/>
        </w:trPr>
        <w:tc>
          <w:tcPr>
            <w:tcW w:w="3980" w:type="dxa"/>
            <w:vAlign w:val="bottom"/>
            <w:gridSpan w:val="3"/>
            <w:vMerge w:val="continue"/>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3480" w:type="dxa"/>
            <w:vAlign w:val="bottom"/>
            <w:gridSpan w:val="2"/>
            <w:vMerge w:val="restart"/>
          </w:tcPr>
          <w:p>
            <w:pPr>
              <w:spacing w:after="0"/>
              <w:rPr>
                <w:sz w:val="20"/>
                <w:szCs w:val="20"/>
                <w:color w:val="auto"/>
              </w:rPr>
            </w:pPr>
            <w:r>
              <w:rPr>
                <w:rFonts w:ascii="Times New Roman" w:cs="Times New Roman" w:eastAsia="Times New Roman" w:hAnsi="Times New Roman"/>
                <w:sz w:val="10"/>
                <w:szCs w:val="10"/>
                <w:color w:val="0D0D0D"/>
              </w:rPr>
              <w:t>Foreign exchange exposure designated as hedged item for net investment hedging</w:t>
            </w:r>
          </w:p>
        </w:tc>
        <w:tc>
          <w:tcPr>
            <w:tcW w:w="500" w:type="dxa"/>
            <w:vAlign w:val="bottom"/>
          </w:tcPr>
          <w:p>
            <w:pPr>
              <w:jc w:val="right"/>
              <w:ind w:right="147"/>
              <w:spacing w:after="0"/>
              <w:rPr>
                <w:sz w:val="20"/>
                <w:szCs w:val="20"/>
                <w:color w:val="auto"/>
              </w:rPr>
            </w:pPr>
            <w:r>
              <w:rPr>
                <w:rFonts w:ascii="Times New Roman" w:cs="Times New Roman" w:eastAsia="Times New Roman" w:hAnsi="Times New Roman"/>
                <w:sz w:val="7"/>
                <w:szCs w:val="7"/>
                <w:color w:val="0D0D0D"/>
              </w:rPr>
              <w:t>(3)</w:t>
            </w:r>
          </w:p>
        </w:tc>
        <w:tc>
          <w:tcPr>
            <w:tcW w:w="2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3480" w:type="dxa"/>
            <w:vAlign w:val="bottom"/>
            <w:gridSpan w:val="2"/>
            <w:vMerge w:val="continue"/>
          </w:tcPr>
          <w:p>
            <w:pPr>
              <w:spacing w:after="0"/>
              <w:rPr>
                <w:sz w:val="4"/>
                <w:szCs w:val="4"/>
                <w:color w:val="auto"/>
              </w:rPr>
            </w:pPr>
          </w:p>
        </w:tc>
        <w:tc>
          <w:tcPr>
            <w:tcW w:w="50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252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Foreign exchange exposure from interest-bearing liabilities</w:t>
            </w:r>
          </w:p>
        </w:tc>
        <w:tc>
          <w:tcPr>
            <w:tcW w:w="960" w:type="dxa"/>
            <w:vAlign w:val="bottom"/>
          </w:tcPr>
          <w:p>
            <w:pPr>
              <w:jc w:val="right"/>
              <w:ind w:right="727"/>
              <w:spacing w:after="0"/>
              <w:rPr>
                <w:sz w:val="20"/>
                <w:szCs w:val="20"/>
                <w:color w:val="auto"/>
              </w:rPr>
            </w:pPr>
            <w:r>
              <w:rPr>
                <w:rFonts w:ascii="Times New Roman" w:cs="Times New Roman" w:eastAsia="Times New Roman" w:hAnsi="Times New Roman"/>
                <w:sz w:val="7"/>
                <w:szCs w:val="7"/>
                <w:color w:val="0D0D0D"/>
              </w:rPr>
              <w:t>(4)</w:t>
            </w:r>
          </w:p>
        </w:tc>
        <w:tc>
          <w:tcPr>
            <w:tcW w:w="500" w:type="dxa"/>
            <w:vAlign w:val="bottom"/>
          </w:tcPr>
          <w:p>
            <w:pPr>
              <w:spacing w:after="0"/>
              <w:rPr>
                <w:sz w:val="9"/>
                <w:szCs w:val="9"/>
                <w:color w:val="auto"/>
              </w:rPr>
            </w:pPr>
          </w:p>
        </w:tc>
        <w:tc>
          <w:tcPr>
            <w:tcW w:w="24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2520" w:type="dxa"/>
            <w:vAlign w:val="bottom"/>
            <w:vMerge w:val="continue"/>
          </w:tcPr>
          <w:p>
            <w:pPr>
              <w:spacing w:after="0"/>
              <w:rPr>
                <w:sz w:val="4"/>
                <w:szCs w:val="4"/>
                <w:color w:val="auto"/>
              </w:rPr>
            </w:pPr>
          </w:p>
        </w:tc>
        <w:tc>
          <w:tcPr>
            <w:tcW w:w="960" w:type="dxa"/>
            <w:vAlign w:val="bottom"/>
          </w:tcPr>
          <w:p>
            <w:pPr>
              <w:spacing w:after="0"/>
              <w:rPr>
                <w:sz w:val="4"/>
                <w:szCs w:val="4"/>
                <w:color w:val="auto"/>
              </w:rPr>
            </w:pPr>
          </w:p>
        </w:tc>
        <w:tc>
          <w:tcPr>
            <w:tcW w:w="500" w:type="dxa"/>
            <w:vAlign w:val="bottom"/>
          </w:tcPr>
          <w:p>
            <w:pPr>
              <w:spacing w:after="0"/>
              <w:rPr>
                <w:sz w:val="4"/>
                <w:szCs w:val="4"/>
                <w:color w:val="auto"/>
              </w:rPr>
            </w:pPr>
          </w:p>
        </w:tc>
        <w:tc>
          <w:tcPr>
            <w:tcW w:w="240" w:type="dxa"/>
            <w:vAlign w:val="bottom"/>
          </w:tcPr>
          <w:p>
            <w:pPr>
              <w:spacing w:after="0"/>
              <w:rPr>
                <w:sz w:val="4"/>
                <w:szCs w:val="4"/>
                <w:color w:val="auto"/>
              </w:rPr>
            </w:pPr>
          </w:p>
        </w:tc>
        <w:tc>
          <w:tcPr>
            <w:tcW w:w="0" w:type="dxa"/>
            <w:vAlign w:val="bottom"/>
          </w:tcPr>
          <w:p>
            <w:pPr>
              <w:spacing w:after="0"/>
              <w:rPr>
                <w:sz w:val="1"/>
                <w:szCs w:val="1"/>
                <w:color w:val="auto"/>
              </w:rPr>
            </w:pPr>
          </w:p>
        </w:tc>
      </w:tr>
    </w:tbl>
    <w:p>
      <w:pPr>
        <w:spacing w:after="0" w:line="32"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color w:val="0D0D0D"/>
        </w:rPr>
        <w:t>Foreign exchange exposure from items on the statement of financial position, excluding interest-bearing liabilities, net</w:t>
      </w:r>
    </w:p>
    <w:p>
      <w:pPr>
        <w:spacing w:after="0" w:line="42" w:lineRule="exact"/>
        <w:rPr>
          <w:sz w:val="20"/>
          <w:szCs w:val="20"/>
          <w:color w:val="auto"/>
        </w:rPr>
      </w:pPr>
    </w:p>
    <w:tbl>
      <w:tblPr>
        <w:tblLayout w:type="fixed"/>
        <w:tblInd w:w="40" w:type="dxa"/>
        <w:tblCellMar>
          <w:top w:w="0" w:type="dxa"/>
          <w:left w:w="0" w:type="dxa"/>
          <w:bottom w:w="0" w:type="dxa"/>
          <w:right w:w="0" w:type="dxa"/>
        </w:tblCellMar>
      </w:tblPr>
      <w:tr>
        <w:trPr>
          <w:trHeight w:val="85"/>
        </w:trPr>
        <w:tc>
          <w:tcPr>
            <w:tcW w:w="356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Other foreign exchange derivatives, carried at fair value through profit and loss, net</w:t>
            </w:r>
          </w:p>
        </w:tc>
        <w:tc>
          <w:tcPr>
            <w:tcW w:w="280" w:type="dxa"/>
            <w:vAlign w:val="bottom"/>
          </w:tcPr>
          <w:p>
            <w:pPr>
              <w:jc w:val="right"/>
              <w:spacing w:after="0"/>
              <w:rPr>
                <w:sz w:val="20"/>
                <w:szCs w:val="20"/>
                <w:color w:val="auto"/>
              </w:rPr>
            </w:pPr>
            <w:r>
              <w:rPr>
                <w:rFonts w:ascii="Times New Roman" w:cs="Times New Roman" w:eastAsia="Times New Roman" w:hAnsi="Times New Roman"/>
                <w:sz w:val="7"/>
                <w:szCs w:val="7"/>
                <w:color w:val="0D0D0D"/>
              </w:rPr>
              <w:t>(5)</w:t>
            </w:r>
          </w:p>
        </w:tc>
        <w:tc>
          <w:tcPr>
            <w:tcW w:w="0" w:type="dxa"/>
            <w:vAlign w:val="bottom"/>
          </w:tcPr>
          <w:p>
            <w:pPr>
              <w:spacing w:after="0"/>
              <w:rPr>
                <w:sz w:val="1"/>
                <w:szCs w:val="1"/>
                <w:color w:val="auto"/>
              </w:rPr>
            </w:pPr>
          </w:p>
        </w:tc>
      </w:tr>
      <w:tr>
        <w:trPr>
          <w:trHeight w:val="50"/>
        </w:trPr>
        <w:tc>
          <w:tcPr>
            <w:tcW w:w="3560" w:type="dxa"/>
            <w:vAlign w:val="bottom"/>
            <w:vMerge w:val="continue"/>
          </w:tcPr>
          <w:p>
            <w:pPr>
              <w:spacing w:after="0"/>
              <w:rPr>
                <w:sz w:val="4"/>
                <w:szCs w:val="4"/>
                <w:color w:val="auto"/>
              </w:rPr>
            </w:pPr>
          </w:p>
        </w:tc>
        <w:tc>
          <w:tcPr>
            <w:tcW w:w="280" w:type="dxa"/>
            <w:vAlign w:val="bottom"/>
          </w:tcPr>
          <w:p>
            <w:pPr>
              <w:spacing w:after="0"/>
              <w:rPr>
                <w:sz w:val="4"/>
                <w:szCs w:val="4"/>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144"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0"/>
        </w:trPr>
        <w:tc>
          <w:tcPr>
            <w:tcW w:w="54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854</w:t>
            </w: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(402)</w:t>
            </w:r>
          </w:p>
        </w:tc>
        <w:tc>
          <w:tcPr>
            <w:tcW w:w="6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311</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(68)</w:t>
            </w:r>
          </w:p>
        </w:tc>
      </w:tr>
      <w:tr>
        <w:trPr>
          <w:trHeight w:val="162"/>
        </w:trPr>
        <w:tc>
          <w:tcPr>
            <w:tcW w:w="54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1 458</w:t>
            </w: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w:t>
            </w:r>
          </w:p>
        </w:tc>
        <w:tc>
          <w:tcPr>
            <w:tcW w:w="62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54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3 007</w:t>
            </w:r>
          </w:p>
        </w:tc>
        <w:tc>
          <w:tcPr>
            <w:tcW w:w="68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866</w:t>
            </w:r>
          </w:p>
        </w:tc>
        <w:tc>
          <w:tcPr>
            <w:tcW w:w="62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192</w:t>
            </w:r>
          </w:p>
        </w:tc>
      </w:tr>
      <w:tr>
        <w:trPr>
          <w:trHeight w:val="162"/>
        </w:trPr>
        <w:tc>
          <w:tcPr>
            <w:tcW w:w="54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(758)</w:t>
            </w: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w:t>
            </w:r>
          </w:p>
        </w:tc>
        <w:tc>
          <w:tcPr>
            <w:tcW w:w="62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54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w w:val="95"/>
              </w:rPr>
              <w:t>(2 709)</w:t>
            </w:r>
          </w:p>
        </w:tc>
        <w:tc>
          <w:tcPr>
            <w:tcW w:w="680" w:type="dxa"/>
            <w:vAlign w:val="bottom"/>
          </w:tcPr>
          <w:p>
            <w:pPr>
              <w:jc w:val="right"/>
              <w:ind w:right="189"/>
              <w:spacing w:after="0"/>
              <w:rPr>
                <w:sz w:val="20"/>
                <w:szCs w:val="20"/>
                <w:color w:val="auto"/>
              </w:rPr>
            </w:pPr>
            <w:r>
              <w:rPr>
                <w:rFonts w:ascii="Times New Roman" w:cs="Times New Roman" w:eastAsia="Times New Roman" w:hAnsi="Times New Roman"/>
                <w:sz w:val="10"/>
                <w:szCs w:val="10"/>
                <w:color w:val="0D0D0D"/>
              </w:rPr>
              <w:t>(888)</w:t>
            </w:r>
          </w:p>
        </w:tc>
        <w:tc>
          <w:tcPr>
            <w:tcW w:w="62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204</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(272)</w:t>
            </w:r>
          </w:p>
        </w:tc>
      </w:tr>
      <w:tr>
        <w:trPr>
          <w:trHeight w:val="162"/>
        </w:trPr>
        <w:tc>
          <w:tcPr>
            <w:tcW w:w="54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4 214</w:t>
            </w:r>
          </w:p>
        </w:tc>
        <w:tc>
          <w:tcPr>
            <w:tcW w:w="680" w:type="dxa"/>
            <w:vAlign w:val="bottom"/>
          </w:tcPr>
          <w:p>
            <w:pPr>
              <w:jc w:val="right"/>
              <w:ind w:right="229"/>
              <w:spacing w:after="0"/>
              <w:rPr>
                <w:sz w:val="20"/>
                <w:szCs w:val="20"/>
                <w:color w:val="auto"/>
              </w:rPr>
            </w:pPr>
            <w:r>
              <w:rPr>
                <w:rFonts w:ascii="Times New Roman" w:cs="Times New Roman" w:eastAsia="Times New Roman" w:hAnsi="Times New Roman"/>
                <w:sz w:val="10"/>
                <w:szCs w:val="10"/>
                <w:color w:val="0D0D0D"/>
              </w:rPr>
              <w:t>892</w:t>
            </w:r>
          </w:p>
        </w:tc>
        <w:tc>
          <w:tcPr>
            <w:tcW w:w="620" w:type="dxa"/>
            <w:vAlign w:val="bottom"/>
          </w:tcPr>
          <w:p>
            <w:pPr>
              <w:jc w:val="right"/>
              <w:ind w:right="129"/>
              <w:spacing w:after="0"/>
              <w:rPr>
                <w:sz w:val="20"/>
                <w:szCs w:val="20"/>
                <w:color w:val="auto"/>
              </w:rPr>
            </w:pPr>
            <w:r>
              <w:rPr>
                <w:rFonts w:ascii="Times New Roman" w:cs="Times New Roman" w:eastAsia="Times New Roman" w:hAnsi="Times New Roman"/>
                <w:sz w:val="10"/>
                <w:szCs w:val="10"/>
                <w:color w:val="0D0D0D"/>
              </w:rPr>
              <w:t>(151)</w:t>
            </w:r>
          </w:p>
        </w:tc>
        <w:tc>
          <w:tcPr>
            <w:tcW w:w="5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(1 117)</w:t>
            </w:r>
          </w:p>
        </w:tc>
      </w:tr>
    </w:tbl>
    <w:p>
      <w:pPr>
        <w:spacing w:after="0" w:line="62" w:lineRule="exact"/>
        <w:rPr>
          <w:sz w:val="20"/>
          <w:szCs w:val="20"/>
          <w:color w:val="auto"/>
        </w:rPr>
      </w:pPr>
    </w:p>
    <w:p>
      <w:pPr>
        <w:sectPr>
          <w:pgSz w:w="11900" w:h="16838" w:orient="portrait"/>
          <w:cols w:equalWidth="0" w:num="2">
            <w:col w:w="6960" w:space="720"/>
            <w:col w:w="2360"/>
          </w:cols>
          <w:pgMar w:left="960" w:top="410" w:right="899" w:bottom="1440" w:gutter="0" w:footer="0" w:header="0"/>
          <w:type w:val="continuous"/>
        </w:sectPr>
      </w:pPr>
    </w:p>
    <w:p>
      <w:pPr>
        <w:ind w:left="200" w:right="1200" w:hanging="199"/>
        <w:spacing w:after="0" w:line="254" w:lineRule="auto"/>
        <w:tabs>
          <w:tab w:leader="none" w:pos="200" w:val="left"/>
        </w:tabs>
        <w:numPr>
          <w:ilvl w:val="0"/>
          <w:numId w:val="13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foreign exchange exposure from forecast cash flows related to sales and purchases. In some currencies, especially the US dollar, Nokia has substantial foreign exchange exposures in both estimated cash inflows and outflows. These underlying exposures have been hedged.</w:t>
      </w:r>
    </w:p>
    <w:p>
      <w:pPr>
        <w:ind w:left="200" w:hanging="199"/>
        <w:spacing w:after="0"/>
        <w:tabs>
          <w:tab w:leader="none" w:pos="200" w:val="left"/>
        </w:tabs>
        <w:numPr>
          <w:ilvl w:val="0"/>
          <w:numId w:val="13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foreign exchange exposure from contractual firm commitments. These underlying exposures have been substantially hedged.</w:t>
      </w:r>
    </w:p>
    <w:p>
      <w:pPr>
        <w:spacing w:after="0" w:line="9" w:lineRule="exact"/>
        <w:rPr>
          <w:rFonts w:ascii="Times New Roman" w:cs="Times New Roman" w:eastAsia="Times New Roman" w:hAnsi="Times New Roman"/>
          <w:sz w:val="8"/>
          <w:szCs w:val="8"/>
          <w:color w:val="auto"/>
        </w:rPr>
      </w:pPr>
    </w:p>
    <w:p>
      <w:pPr>
        <w:ind w:left="200" w:hanging="199"/>
        <w:spacing w:after="0"/>
        <w:tabs>
          <w:tab w:leader="none" w:pos="200" w:val="left"/>
        </w:tabs>
        <w:numPr>
          <w:ilvl w:val="0"/>
          <w:numId w:val="13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net investment exposures in foreign operations. These underlying exposures have been hedged.</w:t>
      </w:r>
    </w:p>
    <w:p>
      <w:pPr>
        <w:spacing w:after="0" w:line="4" w:lineRule="exact"/>
        <w:rPr>
          <w:sz w:val="20"/>
          <w:szCs w:val="20"/>
          <w:color w:val="auto"/>
        </w:rPr>
      </w:pPr>
    </w:p>
    <w:p>
      <w:pPr>
        <w:spacing w:after="0"/>
        <w:tabs>
          <w:tab w:leader="none" w:pos="180" w:val="left"/>
          <w:tab w:leader="none" w:pos="4960" w:val="left"/>
          <w:tab w:leader="none" w:pos="7060" w:val="left"/>
        </w:tabs>
        <w:rPr>
          <w:sz w:val="20"/>
          <w:szCs w:val="20"/>
          <w:color w:val="auto"/>
        </w:rPr>
      </w:pPr>
      <w:r>
        <w:rPr>
          <w:rFonts w:ascii="Times New Roman" w:cs="Times New Roman" w:eastAsia="Times New Roman" w:hAnsi="Times New Roman"/>
          <w:sz w:val="8"/>
          <w:szCs w:val="8"/>
          <w:color w:val="auto"/>
        </w:rPr>
        <w:t>(4)</w:t>
        <w:tab/>
        <w:t>Includes interest-bearing liabilities that have been hedged with cross-currency swaps and foreign exchange forwards. Refer to Note</w:t>
      </w:r>
      <w:r>
        <w:rPr>
          <w:sz w:val="20"/>
          <w:szCs w:val="20"/>
          <w:color w:val="auto"/>
        </w:rPr>
        <w:tab/>
      </w:r>
      <w:r>
        <w:rPr>
          <w:rFonts w:ascii="Times New Roman" w:cs="Times New Roman" w:eastAsia="Times New Roman" w:hAnsi="Times New Roman"/>
          <w:sz w:val="8"/>
          <w:szCs w:val="8"/>
          <w:color w:val="auto"/>
        </w:rPr>
        <w:t>5.3. Derivative and firm commitment assets and liabilities</w:t>
      </w:r>
      <w:r>
        <w:rPr>
          <w:sz w:val="20"/>
          <w:szCs w:val="20"/>
          <w:color w:val="auto"/>
        </w:rPr>
        <w:tab/>
      </w:r>
      <w:r>
        <w:rPr>
          <w:rFonts w:ascii="Times New Roman" w:cs="Times New Roman" w:eastAsia="Times New Roman" w:hAnsi="Times New Roman"/>
          <w:sz w:val="8"/>
          <w:szCs w:val="8"/>
          <w:color w:val="auto"/>
        </w:rPr>
        <w:t>.</w:t>
      </w:r>
    </w:p>
    <w:p>
      <w:pPr>
        <w:spacing w:after="0" w:line="4" w:lineRule="exact"/>
        <w:rPr>
          <w:sz w:val="20"/>
          <w:szCs w:val="20"/>
          <w:color w:val="auto"/>
        </w:rPr>
      </w:pPr>
    </w:p>
    <w:p>
      <w:pPr>
        <w:ind w:left="200" w:hanging="199"/>
        <w:spacing w:after="0"/>
        <w:tabs>
          <w:tab w:leader="none" w:pos="200" w:val="left"/>
        </w:tabs>
        <w:numPr>
          <w:ilvl w:val="0"/>
          <w:numId w:val="135"/>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Items on the statement of financial position are hedged by a portion of foreign exchange derivatives not designated in a hedge relationship and carried at fair value through profit and loss. Embedded derivatives are included in this line item.</w:t>
      </w:r>
    </w:p>
    <w:p>
      <w:pPr>
        <w:spacing w:after="0" w:line="132" w:lineRule="exact"/>
        <w:rPr>
          <w:sz w:val="20"/>
          <w:szCs w:val="20"/>
          <w:color w:val="auto"/>
        </w:rPr>
      </w:pPr>
    </w:p>
    <w:tbl>
      <w:tblPr>
        <w:tblLayout w:type="fixed"/>
        <w:tblInd w:w="0" w:type="dxa"/>
        <w:tblCellMar>
          <w:top w:w="0" w:type="dxa"/>
          <w:left w:w="0" w:type="dxa"/>
          <w:bottom w:w="0" w:type="dxa"/>
          <w:right w:w="0" w:type="dxa"/>
        </w:tblCellMar>
      </w:tblPr>
      <w:tr>
        <w:trPr>
          <w:trHeight w:val="133"/>
        </w:trPr>
        <w:tc>
          <w:tcPr>
            <w:tcW w:w="5180" w:type="dxa"/>
            <w:vAlign w:val="bottom"/>
          </w:tcPr>
          <w:p>
            <w:pPr>
              <w:spacing w:after="0"/>
              <w:rPr>
                <w:sz w:val="20"/>
                <w:szCs w:val="20"/>
                <w:color w:val="auto"/>
              </w:rPr>
            </w:pPr>
            <w:r>
              <w:rPr>
                <w:rFonts w:ascii="Times New Roman" w:cs="Times New Roman" w:eastAsia="Times New Roman" w:hAnsi="Times New Roman"/>
                <w:sz w:val="11"/>
                <w:szCs w:val="11"/>
                <w:b w:val="1"/>
                <w:bCs w:val="1"/>
                <w:color w:val="auto"/>
              </w:rPr>
              <w:t>Effects of hedge accounting on the financial position and performance</w:t>
            </w:r>
          </w:p>
        </w:tc>
        <w:tc>
          <w:tcPr>
            <w:tcW w:w="1080" w:type="dxa"/>
            <w:vAlign w:val="bottom"/>
          </w:tcPr>
          <w:p>
            <w:pPr>
              <w:spacing w:after="0"/>
              <w:rPr>
                <w:sz w:val="11"/>
                <w:szCs w:val="11"/>
                <w:color w:val="auto"/>
              </w:rPr>
            </w:pPr>
          </w:p>
        </w:tc>
        <w:tc>
          <w:tcPr>
            <w:tcW w:w="1100" w:type="dxa"/>
            <w:vAlign w:val="bottom"/>
          </w:tcPr>
          <w:p>
            <w:pPr>
              <w:spacing w:after="0"/>
              <w:rPr>
                <w:sz w:val="11"/>
                <w:szCs w:val="11"/>
                <w:color w:val="auto"/>
              </w:rPr>
            </w:pPr>
          </w:p>
        </w:tc>
        <w:tc>
          <w:tcPr>
            <w:tcW w:w="1280" w:type="dxa"/>
            <w:vAlign w:val="bottom"/>
          </w:tcPr>
          <w:p>
            <w:pPr>
              <w:spacing w:after="0"/>
              <w:rPr>
                <w:sz w:val="11"/>
                <w:szCs w:val="11"/>
                <w:color w:val="auto"/>
              </w:rPr>
            </w:pPr>
          </w:p>
        </w:tc>
        <w:tc>
          <w:tcPr>
            <w:tcW w:w="1240" w:type="dxa"/>
            <w:vAlign w:val="bottom"/>
          </w:tcPr>
          <w:p>
            <w:pPr>
              <w:spacing w:after="0"/>
              <w:rPr>
                <w:sz w:val="11"/>
                <w:szCs w:val="11"/>
                <w:color w:val="auto"/>
              </w:rPr>
            </w:pPr>
          </w:p>
        </w:tc>
        <w:tc>
          <w:tcPr>
            <w:tcW w:w="160" w:type="dxa"/>
            <w:vAlign w:val="bottom"/>
          </w:tcPr>
          <w:p>
            <w:pPr>
              <w:spacing w:after="0"/>
              <w:rPr>
                <w:sz w:val="11"/>
                <w:szCs w:val="11"/>
                <w:color w:val="auto"/>
              </w:rPr>
            </w:pPr>
          </w:p>
        </w:tc>
      </w:tr>
      <w:tr>
        <w:trPr>
          <w:trHeight w:val="142"/>
        </w:trPr>
        <w:tc>
          <w:tcPr>
            <w:tcW w:w="626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Nokia is using several types of hedge accounting programs to manage its foreign exchange and interest rate risk exposures; refer to Note</w:t>
            </w:r>
          </w:p>
        </w:tc>
        <w:tc>
          <w:tcPr>
            <w:tcW w:w="3620" w:type="dxa"/>
            <w:vAlign w:val="bottom"/>
            <w:gridSpan w:val="3"/>
          </w:tcPr>
          <w:p>
            <w:pPr>
              <w:ind w:left="760"/>
              <w:spacing w:after="0"/>
              <w:rPr>
                <w:sz w:val="20"/>
                <w:szCs w:val="20"/>
                <w:color w:val="auto"/>
              </w:rPr>
            </w:pPr>
            <w:r>
              <w:rPr>
                <w:rFonts w:ascii="Times New Roman" w:cs="Times New Roman" w:eastAsia="Times New Roman" w:hAnsi="Times New Roman"/>
                <w:sz w:val="11"/>
                <w:szCs w:val="11"/>
                <w:color w:val="auto"/>
              </w:rPr>
              <w:t>5.3. Derivative and firm commitment assets and liabilities</w:t>
            </w:r>
          </w:p>
        </w:tc>
        <w:tc>
          <w:tcPr>
            <w:tcW w:w="160" w:type="dxa"/>
            <w:vAlign w:val="bottom"/>
          </w:tcPr>
          <w:p>
            <w:pPr>
              <w:jc w:val="right"/>
              <w:ind w:right="15"/>
              <w:spacing w:after="0"/>
              <w:rPr>
                <w:sz w:val="20"/>
                <w:szCs w:val="20"/>
                <w:color w:val="auto"/>
              </w:rPr>
            </w:pPr>
            <w:r>
              <w:rPr>
                <w:rFonts w:ascii="Times New Roman" w:cs="Times New Roman" w:eastAsia="Times New Roman" w:hAnsi="Times New Roman"/>
                <w:sz w:val="11"/>
                <w:szCs w:val="11"/>
                <w:color w:val="auto"/>
              </w:rPr>
              <w:t>.</w:t>
            </w:r>
          </w:p>
        </w:tc>
      </w:tr>
      <w:tr>
        <w:trPr>
          <w:trHeight w:val="148"/>
        </w:trPr>
        <w:tc>
          <w:tcPr>
            <w:tcW w:w="5180" w:type="dxa"/>
            <w:vAlign w:val="bottom"/>
          </w:tcPr>
          <w:p>
            <w:pPr>
              <w:spacing w:after="0"/>
              <w:rPr>
                <w:sz w:val="20"/>
                <w:szCs w:val="20"/>
                <w:color w:val="auto"/>
              </w:rPr>
            </w:pPr>
            <w:r>
              <w:rPr>
                <w:rFonts w:ascii="Times New Roman" w:cs="Times New Roman" w:eastAsia="Times New Roman" w:hAnsi="Times New Roman"/>
                <w:sz w:val="11"/>
                <w:szCs w:val="11"/>
                <w:color w:val="auto"/>
              </w:rPr>
              <w:t>The effect of these programs on Nokia’s financial position and performance at 31 December:</w:t>
            </w:r>
          </w:p>
        </w:tc>
        <w:tc>
          <w:tcPr>
            <w:tcW w:w="1080" w:type="dxa"/>
            <w:vAlign w:val="bottom"/>
          </w:tcPr>
          <w:p>
            <w:pPr>
              <w:spacing w:after="0"/>
              <w:rPr>
                <w:sz w:val="12"/>
                <w:szCs w:val="12"/>
                <w:color w:val="auto"/>
              </w:rPr>
            </w:pPr>
          </w:p>
        </w:tc>
        <w:tc>
          <w:tcPr>
            <w:tcW w:w="1100" w:type="dxa"/>
            <w:vAlign w:val="bottom"/>
          </w:tcPr>
          <w:p>
            <w:pPr>
              <w:spacing w:after="0"/>
              <w:rPr>
                <w:sz w:val="12"/>
                <w:szCs w:val="12"/>
                <w:color w:val="auto"/>
              </w:rPr>
            </w:pPr>
          </w:p>
        </w:tc>
        <w:tc>
          <w:tcPr>
            <w:tcW w:w="1280" w:type="dxa"/>
            <w:vAlign w:val="bottom"/>
          </w:tcPr>
          <w:p>
            <w:pPr>
              <w:spacing w:after="0"/>
              <w:rPr>
                <w:sz w:val="12"/>
                <w:szCs w:val="12"/>
                <w:color w:val="auto"/>
              </w:rPr>
            </w:pPr>
          </w:p>
        </w:tc>
        <w:tc>
          <w:tcPr>
            <w:tcW w:w="1240" w:type="dxa"/>
            <w:vAlign w:val="bottom"/>
          </w:tcPr>
          <w:p>
            <w:pPr>
              <w:spacing w:after="0"/>
              <w:rPr>
                <w:sz w:val="12"/>
                <w:szCs w:val="12"/>
                <w:color w:val="auto"/>
              </w:rPr>
            </w:pPr>
          </w:p>
        </w:tc>
        <w:tc>
          <w:tcPr>
            <w:tcW w:w="160" w:type="dxa"/>
            <w:vAlign w:val="bottom"/>
          </w:tcPr>
          <w:p>
            <w:pPr>
              <w:spacing w:after="0"/>
              <w:rPr>
                <w:sz w:val="12"/>
                <w:szCs w:val="12"/>
                <w:color w:val="auto"/>
              </w:rPr>
            </w:pPr>
          </w:p>
        </w:tc>
      </w:tr>
      <w:tr>
        <w:trPr>
          <w:trHeight w:val="241"/>
        </w:trPr>
        <w:tc>
          <w:tcPr>
            <w:tcW w:w="5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Cash flow hedges </w:t>
            </w:r>
            <w:r>
              <w:rPr>
                <w:rFonts w:ascii="Times New Roman" w:cs="Times New Roman" w:eastAsia="Times New Roman" w:hAnsi="Times New Roman"/>
                <w:sz w:val="5"/>
                <w:szCs w:val="5"/>
                <w:b w:val="1"/>
                <w:bCs w:val="1"/>
                <w:color w:val="005AFF"/>
              </w:rPr>
              <w:t>(1)</w:t>
            </w:r>
          </w:p>
        </w:tc>
        <w:tc>
          <w:tcPr>
            <w:tcW w:w="11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Net investment hedges  </w:t>
            </w:r>
            <w:r>
              <w:rPr>
                <w:rFonts w:ascii="Times New Roman" w:cs="Times New Roman" w:eastAsia="Times New Roman" w:hAnsi="Times New Roman"/>
                <w:sz w:val="5"/>
                <w:szCs w:val="5"/>
                <w:b w:val="1"/>
                <w:bCs w:val="1"/>
                <w:color w:val="005AFF"/>
              </w:rPr>
              <w:t>(1)</w:t>
            </w:r>
          </w:p>
        </w:tc>
        <w:tc>
          <w:tcPr>
            <w:tcW w:w="12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Fair value hedges for FX risk </w:t>
            </w:r>
            <w:r>
              <w:rPr>
                <w:rFonts w:ascii="Times New Roman" w:cs="Times New Roman" w:eastAsia="Times New Roman" w:hAnsi="Times New Roman"/>
                <w:sz w:val="5"/>
                <w:szCs w:val="5"/>
                <w:b w:val="1"/>
                <w:bCs w:val="1"/>
                <w:color w:val="005AFF"/>
              </w:rPr>
              <w:t>(1)</w:t>
            </w:r>
          </w:p>
        </w:tc>
        <w:tc>
          <w:tcPr>
            <w:tcW w:w="1240" w:type="dxa"/>
            <w:vAlign w:val="bottom"/>
            <w:tcBorders>
              <w:bottom w:val="single" w:sz="8" w:color="005AFF"/>
            </w:tcBorders>
          </w:tcPr>
          <w:p>
            <w:pPr>
              <w:ind w:left="140"/>
              <w:spacing w:after="0"/>
              <w:rPr>
                <w:sz w:val="20"/>
                <w:szCs w:val="20"/>
                <w:color w:val="auto"/>
              </w:rPr>
            </w:pPr>
            <w:r>
              <w:rPr>
                <w:rFonts w:ascii="Times New Roman" w:cs="Times New Roman" w:eastAsia="Times New Roman" w:hAnsi="Times New Roman"/>
                <w:sz w:val="8"/>
                <w:szCs w:val="8"/>
                <w:b w:val="1"/>
                <w:bCs w:val="1"/>
                <w:color w:val="005AFF"/>
                <w:w w:val="99"/>
              </w:rPr>
              <w:t>Fair value and cash flow hedges</w:t>
            </w:r>
          </w:p>
        </w:tc>
        <w:tc>
          <w:tcPr>
            <w:tcW w:w="1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5"/>
                <w:szCs w:val="5"/>
                <w:b w:val="1"/>
                <w:bCs w:val="1"/>
                <w:color w:val="005AFF"/>
              </w:rPr>
              <w:t>(1)</w:t>
            </w:r>
          </w:p>
        </w:tc>
      </w:tr>
      <w:tr>
        <w:trPr>
          <w:trHeight w:val="123"/>
        </w:trPr>
        <w:tc>
          <w:tcPr>
            <w:tcW w:w="518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2023</w:t>
            </w:r>
          </w:p>
        </w:tc>
        <w:tc>
          <w:tcPr>
            <w:tcW w:w="1080" w:type="dxa"/>
            <w:vAlign w:val="bottom"/>
            <w:shd w:val="clear" w:color="auto" w:fill="F0F5FF"/>
          </w:tcPr>
          <w:p>
            <w:pPr>
              <w:spacing w:after="0"/>
              <w:rPr>
                <w:sz w:val="10"/>
                <w:szCs w:val="10"/>
                <w:color w:val="auto"/>
              </w:rPr>
            </w:pPr>
          </w:p>
        </w:tc>
        <w:tc>
          <w:tcPr>
            <w:tcW w:w="1100" w:type="dxa"/>
            <w:vAlign w:val="bottom"/>
            <w:shd w:val="clear" w:color="auto" w:fill="F0F5FF"/>
          </w:tcPr>
          <w:p>
            <w:pPr>
              <w:spacing w:after="0"/>
              <w:rPr>
                <w:sz w:val="10"/>
                <w:szCs w:val="10"/>
                <w:color w:val="auto"/>
              </w:rPr>
            </w:pPr>
          </w:p>
        </w:tc>
        <w:tc>
          <w:tcPr>
            <w:tcW w:w="1280" w:type="dxa"/>
            <w:vAlign w:val="bottom"/>
            <w:shd w:val="clear" w:color="auto" w:fill="F0F5FF"/>
          </w:tcPr>
          <w:p>
            <w:pPr>
              <w:spacing w:after="0"/>
              <w:rPr>
                <w:sz w:val="10"/>
                <w:szCs w:val="10"/>
                <w:color w:val="auto"/>
              </w:rPr>
            </w:pPr>
          </w:p>
        </w:tc>
        <w:tc>
          <w:tcPr>
            <w:tcW w:w="1240" w:type="dxa"/>
            <w:vAlign w:val="bottom"/>
            <w:shd w:val="clear" w:color="auto" w:fill="F0F5FF"/>
          </w:tcPr>
          <w:p>
            <w:pPr>
              <w:spacing w:after="0"/>
              <w:rPr>
                <w:sz w:val="10"/>
                <w:szCs w:val="10"/>
                <w:color w:val="auto"/>
              </w:rPr>
            </w:pPr>
          </w:p>
        </w:tc>
        <w:tc>
          <w:tcPr>
            <w:tcW w:w="160" w:type="dxa"/>
            <w:vAlign w:val="bottom"/>
            <w:shd w:val="clear" w:color="auto" w:fill="F0F5FF"/>
          </w:tcPr>
          <w:p>
            <w:pPr>
              <w:spacing w:after="0"/>
              <w:rPr>
                <w:sz w:val="10"/>
                <w:szCs w:val="10"/>
                <w:color w:val="auto"/>
              </w:rPr>
            </w:pPr>
          </w:p>
        </w:tc>
      </w:tr>
      <w:tr>
        <w:trPr>
          <w:trHeight w:val="168"/>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Carrying amount of hedging instruments</w:t>
            </w: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11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w:t>
            </w:r>
          </w:p>
        </w:tc>
        <w:tc>
          <w:tcPr>
            <w:tcW w:w="12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(45)</w:t>
            </w:r>
          </w:p>
        </w:tc>
        <w:tc>
          <w:tcPr>
            <w:tcW w:w="140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(174)</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Notional amount of hedging instruments</w:t>
            </w: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(968)</w:t>
            </w:r>
          </w:p>
        </w:tc>
        <w:tc>
          <w:tcPr>
            <w:tcW w:w="11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(1 166)</w:t>
            </w:r>
          </w:p>
        </w:tc>
        <w:tc>
          <w:tcPr>
            <w:tcW w:w="12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(1 354)</w:t>
            </w:r>
          </w:p>
        </w:tc>
        <w:tc>
          <w:tcPr>
            <w:tcW w:w="1400" w:type="dxa"/>
            <w:vAlign w:val="bottom"/>
            <w:gridSpan w:val="2"/>
            <w:shd w:val="clear" w:color="auto" w:fill="F0F5FF"/>
          </w:tcPr>
          <w:p>
            <w:pPr>
              <w:jc w:val="right"/>
              <w:ind w:right="35"/>
              <w:spacing w:after="0"/>
              <w:rPr>
                <w:sz w:val="20"/>
                <w:szCs w:val="20"/>
                <w:color w:val="auto"/>
              </w:rPr>
            </w:pPr>
            <w:r>
              <w:rPr>
                <w:rFonts w:ascii="Times New Roman" w:cs="Times New Roman" w:eastAsia="Times New Roman" w:hAnsi="Times New Roman"/>
                <w:sz w:val="10"/>
                <w:szCs w:val="10"/>
                <w:color w:val="005AFF"/>
              </w:rPr>
              <w:t>3 205</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Notional amount of hedged items</w:t>
            </w:r>
          </w:p>
        </w:tc>
        <w:tc>
          <w:tcPr>
            <w:tcW w:w="10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968</w:t>
            </w:r>
          </w:p>
        </w:tc>
        <w:tc>
          <w:tcPr>
            <w:tcW w:w="11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1 166</w:t>
            </w:r>
          </w:p>
        </w:tc>
        <w:tc>
          <w:tcPr>
            <w:tcW w:w="12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1 354</w:t>
            </w:r>
          </w:p>
        </w:tc>
        <w:tc>
          <w:tcPr>
            <w:tcW w:w="1400" w:type="dxa"/>
            <w:vAlign w:val="bottom"/>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(3 205)</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Change in intrinsic value of hedging instruments since 1 January</w:t>
            </w:r>
          </w:p>
        </w:tc>
        <w:tc>
          <w:tcPr>
            <w:tcW w:w="10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22</w:t>
            </w:r>
          </w:p>
        </w:tc>
        <w:tc>
          <w:tcPr>
            <w:tcW w:w="11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132</w:t>
            </w:r>
          </w:p>
        </w:tc>
        <w:tc>
          <w:tcPr>
            <w:tcW w:w="12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40</w:t>
            </w:r>
          </w:p>
        </w:tc>
        <w:tc>
          <w:tcPr>
            <w:tcW w:w="1240" w:type="dxa"/>
            <w:vAlign w:val="bottom"/>
            <w:shd w:val="clear" w:color="auto" w:fill="F0F5FF"/>
          </w:tcPr>
          <w:p>
            <w:pPr>
              <w:spacing w:after="0"/>
              <w:rPr>
                <w:sz w:val="14"/>
                <w:szCs w:val="14"/>
                <w:color w:val="auto"/>
              </w:rPr>
            </w:pPr>
          </w:p>
        </w:tc>
        <w:tc>
          <w:tcPr>
            <w:tcW w:w="160" w:type="dxa"/>
            <w:vAlign w:val="bottom"/>
            <w:shd w:val="clear" w:color="auto" w:fill="F0F5FF"/>
          </w:tcPr>
          <w:p>
            <w:pPr>
              <w:jc w:val="right"/>
              <w:ind w:right="15"/>
              <w:spacing w:after="0"/>
              <w:rPr>
                <w:sz w:val="20"/>
                <w:szCs w:val="20"/>
                <w:color w:val="auto"/>
              </w:rPr>
            </w:pPr>
            <w:r>
              <w:rPr>
                <w:rFonts w:ascii="Times New Roman" w:cs="Times New Roman" w:eastAsia="Times New Roman" w:hAnsi="Times New Roman"/>
                <w:sz w:val="10"/>
                <w:szCs w:val="10"/>
                <w:color w:val="005AFF"/>
                <w:w w:val="79"/>
              </w:rPr>
              <w:t>89</w:t>
            </w:r>
          </w:p>
        </w:tc>
      </w:tr>
      <w:tr>
        <w:trPr>
          <w:trHeight w:val="167"/>
        </w:trPr>
        <w:tc>
          <w:tcPr>
            <w:tcW w:w="5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Change in value of hedged items used to determine hedge effectiveness</w:t>
            </w:r>
          </w:p>
        </w:tc>
        <w:tc>
          <w:tcPr>
            <w:tcW w:w="10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w:t>
            </w:r>
          </w:p>
        </w:tc>
        <w:tc>
          <w:tcPr>
            <w:tcW w:w="11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(132)</w:t>
            </w:r>
          </w:p>
        </w:tc>
        <w:tc>
          <w:tcPr>
            <w:tcW w:w="12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(42)</w:t>
            </w:r>
          </w:p>
        </w:tc>
        <w:tc>
          <w:tcPr>
            <w:tcW w:w="1400" w:type="dxa"/>
            <w:vAlign w:val="bottom"/>
            <w:tcBorders>
              <w:bottom w:val="single" w:sz="8" w:color="005AFF"/>
            </w:tcBorders>
            <w:gridSpan w:val="2"/>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(93)</w:t>
            </w:r>
          </w:p>
        </w:tc>
      </w:tr>
      <w:tr>
        <w:trPr>
          <w:trHeight w:val="120"/>
        </w:trPr>
        <w:tc>
          <w:tcPr>
            <w:tcW w:w="5180" w:type="dxa"/>
            <w:vAlign w:val="bottom"/>
          </w:tcPr>
          <w:p>
            <w:pPr>
              <w:ind w:left="40"/>
              <w:spacing w:after="0"/>
              <w:rPr>
                <w:sz w:val="20"/>
                <w:szCs w:val="20"/>
                <w:color w:val="auto"/>
              </w:rPr>
            </w:pPr>
            <w:r>
              <w:rPr>
                <w:rFonts w:ascii="Times New Roman" w:cs="Times New Roman" w:eastAsia="Times New Roman" w:hAnsi="Times New Roman"/>
                <w:sz w:val="8"/>
                <w:szCs w:val="8"/>
                <w:b w:val="1"/>
                <w:bCs w:val="1"/>
                <w:color w:val="005AFF"/>
              </w:rPr>
              <w:t>2022</w:t>
            </w:r>
          </w:p>
        </w:tc>
        <w:tc>
          <w:tcPr>
            <w:tcW w:w="1080" w:type="dxa"/>
            <w:vAlign w:val="bottom"/>
          </w:tcPr>
          <w:p>
            <w:pPr>
              <w:spacing w:after="0"/>
              <w:rPr>
                <w:sz w:val="10"/>
                <w:szCs w:val="10"/>
                <w:color w:val="auto"/>
              </w:rPr>
            </w:pPr>
          </w:p>
        </w:tc>
        <w:tc>
          <w:tcPr>
            <w:tcW w:w="1100" w:type="dxa"/>
            <w:vAlign w:val="bottom"/>
          </w:tcPr>
          <w:p>
            <w:pPr>
              <w:spacing w:after="0"/>
              <w:rPr>
                <w:sz w:val="10"/>
                <w:szCs w:val="10"/>
                <w:color w:val="auto"/>
              </w:rPr>
            </w:pPr>
          </w:p>
        </w:tc>
        <w:tc>
          <w:tcPr>
            <w:tcW w:w="1280" w:type="dxa"/>
            <w:vAlign w:val="bottom"/>
          </w:tcPr>
          <w:p>
            <w:pPr>
              <w:spacing w:after="0"/>
              <w:rPr>
                <w:sz w:val="10"/>
                <w:szCs w:val="10"/>
                <w:color w:val="auto"/>
              </w:rPr>
            </w:pPr>
          </w:p>
        </w:tc>
        <w:tc>
          <w:tcPr>
            <w:tcW w:w="1240" w:type="dxa"/>
            <w:vAlign w:val="bottom"/>
          </w:tcPr>
          <w:p>
            <w:pPr>
              <w:spacing w:after="0"/>
              <w:rPr>
                <w:sz w:val="10"/>
                <w:szCs w:val="10"/>
                <w:color w:val="auto"/>
              </w:rPr>
            </w:pPr>
          </w:p>
        </w:tc>
        <w:tc>
          <w:tcPr>
            <w:tcW w:w="160" w:type="dxa"/>
            <w:vAlign w:val="bottom"/>
          </w:tcPr>
          <w:p>
            <w:pPr>
              <w:spacing w:after="0"/>
              <w:rPr>
                <w:sz w:val="10"/>
                <w:szCs w:val="10"/>
                <w:color w:val="auto"/>
              </w:rPr>
            </w:pPr>
          </w:p>
        </w:tc>
      </w:tr>
      <w:tr>
        <w:trPr>
          <w:trHeight w:val="168"/>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Carrying amount of hedging instruments</w:t>
            </w:r>
          </w:p>
        </w:tc>
        <w:tc>
          <w:tcPr>
            <w:tcW w:w="10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46</w:t>
            </w:r>
          </w:p>
        </w:tc>
        <w:tc>
          <w:tcPr>
            <w:tcW w:w="11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w:t>
            </w:r>
          </w:p>
        </w:tc>
        <w:tc>
          <w:tcPr>
            <w:tcW w:w="12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(145)</w:t>
            </w:r>
          </w:p>
        </w:tc>
        <w:tc>
          <w:tcPr>
            <w:tcW w:w="140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(247)</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Notional amount of hedging instruments</w:t>
            </w:r>
          </w:p>
        </w:tc>
        <w:tc>
          <w:tcPr>
            <w:tcW w:w="10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(1 350)</w:t>
            </w:r>
          </w:p>
        </w:tc>
        <w:tc>
          <w:tcPr>
            <w:tcW w:w="11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(4 299)</w:t>
            </w:r>
          </w:p>
        </w:tc>
        <w:tc>
          <w:tcPr>
            <w:tcW w:w="12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(1 456)</w:t>
            </w:r>
          </w:p>
        </w:tc>
        <w:tc>
          <w:tcPr>
            <w:tcW w:w="1400" w:type="dxa"/>
            <w:vAlign w:val="bottom"/>
            <w:gridSpan w:val="2"/>
          </w:tcPr>
          <w:p>
            <w:pPr>
              <w:jc w:val="right"/>
              <w:ind w:right="35"/>
              <w:spacing w:after="0"/>
              <w:rPr>
                <w:sz w:val="20"/>
                <w:szCs w:val="20"/>
                <w:color w:val="auto"/>
              </w:rPr>
            </w:pPr>
            <w:r>
              <w:rPr>
                <w:rFonts w:ascii="Times New Roman" w:cs="Times New Roman" w:eastAsia="Times New Roman" w:hAnsi="Times New Roman"/>
                <w:sz w:val="10"/>
                <w:szCs w:val="10"/>
                <w:color w:val="0D0D0D"/>
              </w:rPr>
              <w:t>3 438</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Notional amount of hedged items</w:t>
            </w:r>
          </w:p>
        </w:tc>
        <w:tc>
          <w:tcPr>
            <w:tcW w:w="10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1 353</w:t>
            </w:r>
          </w:p>
        </w:tc>
        <w:tc>
          <w:tcPr>
            <w:tcW w:w="11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4 299</w:t>
            </w:r>
          </w:p>
        </w:tc>
        <w:tc>
          <w:tcPr>
            <w:tcW w:w="12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1 458</w:t>
            </w:r>
          </w:p>
        </w:tc>
        <w:tc>
          <w:tcPr>
            <w:tcW w:w="140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(3 438)</w:t>
            </w:r>
          </w:p>
        </w:tc>
      </w:tr>
      <w:tr>
        <w:trPr>
          <w:trHeight w:val="162"/>
        </w:trPr>
        <w:tc>
          <w:tcPr>
            <w:tcW w:w="51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Change in intrinsic value of hedging instruments since 1 January</w:t>
            </w:r>
          </w:p>
        </w:tc>
        <w:tc>
          <w:tcPr>
            <w:tcW w:w="10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w:t>
            </w:r>
          </w:p>
        </w:tc>
        <w:tc>
          <w:tcPr>
            <w:tcW w:w="11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(126)</w:t>
            </w:r>
          </w:p>
        </w:tc>
        <w:tc>
          <w:tcPr>
            <w:tcW w:w="12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(111)</w:t>
            </w:r>
          </w:p>
        </w:tc>
        <w:tc>
          <w:tcPr>
            <w:tcW w:w="140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(265)</w:t>
            </w:r>
          </w:p>
        </w:tc>
      </w:tr>
      <w:tr>
        <w:trPr>
          <w:trHeight w:val="167"/>
        </w:trPr>
        <w:tc>
          <w:tcPr>
            <w:tcW w:w="51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Change in value of hedged items used to determine hedge effectiveness</w:t>
            </w:r>
          </w:p>
        </w:tc>
        <w:tc>
          <w:tcPr>
            <w:tcW w:w="10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20</w:t>
            </w:r>
          </w:p>
        </w:tc>
        <w:tc>
          <w:tcPr>
            <w:tcW w:w="11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126</w:t>
            </w:r>
          </w:p>
        </w:tc>
        <w:tc>
          <w:tcPr>
            <w:tcW w:w="12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112</w:t>
            </w:r>
          </w:p>
        </w:tc>
        <w:tc>
          <w:tcPr>
            <w:tcW w:w="1400" w:type="dxa"/>
            <w:vAlign w:val="bottom"/>
            <w:tcBorders>
              <w:bottom w:val="single" w:sz="8" w:color="005AFF"/>
            </w:tcBorders>
            <w:gridSpan w:val="2"/>
          </w:tcPr>
          <w:p>
            <w:pPr>
              <w:jc w:val="right"/>
              <w:ind w:right="15"/>
              <w:spacing w:after="0"/>
              <w:rPr>
                <w:sz w:val="20"/>
                <w:szCs w:val="20"/>
                <w:color w:val="auto"/>
              </w:rPr>
            </w:pPr>
            <w:r>
              <w:rPr>
                <w:rFonts w:ascii="Times New Roman" w:cs="Times New Roman" w:eastAsia="Times New Roman" w:hAnsi="Times New Roman"/>
                <w:sz w:val="10"/>
                <w:szCs w:val="10"/>
                <w:color w:val="0D0D0D"/>
              </w:rPr>
              <w:t>262</w:t>
            </w:r>
          </w:p>
        </w:tc>
      </w:tr>
    </w:tbl>
    <w:p>
      <w:pPr>
        <w:spacing w:after="0" w:line="31" w:lineRule="exact"/>
        <w:rPr>
          <w:sz w:val="20"/>
          <w:szCs w:val="20"/>
          <w:color w:val="auto"/>
        </w:rPr>
      </w:pPr>
    </w:p>
    <w:p>
      <w:pPr>
        <w:ind w:left="200" w:hanging="199"/>
        <w:spacing w:after="0"/>
        <w:tabs>
          <w:tab w:leader="none" w:pos="200" w:val="left"/>
        </w:tabs>
        <w:numPr>
          <w:ilvl w:val="0"/>
          <w:numId w:val="136"/>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 significant ineffectiveness has been recorded during the periods presented and economic relationships have been fully effective.</w:t>
      </w:r>
    </w:p>
    <w:p>
      <w:pPr>
        <w:spacing w:after="0" w:line="39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40"/>
          </w:cols>
          <w:pgMar w:left="960" w:top="410" w:right="899" w:bottom="1440" w:gutter="0" w:footer="0" w:header="0"/>
          <w:type w:val="continuous"/>
        </w:sectPr>
      </w:pPr>
    </w:p>
    <w:bookmarkStart w:id="201" w:name="page202"/>
    <w:bookmarkEnd w:id="201"/>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324" w:lineRule="exact"/>
        <w:rPr>
          <w:sz w:val="20"/>
          <w:szCs w:val="20"/>
          <w:color w:val="auto"/>
        </w:rPr>
      </w:pPr>
    </w:p>
    <w:p>
      <w:pPr>
        <w:ind w:right="540"/>
        <w:spacing w:after="0" w:line="276" w:lineRule="auto"/>
        <w:rPr>
          <w:sz w:val="20"/>
          <w:szCs w:val="20"/>
          <w:color w:val="auto"/>
        </w:rPr>
      </w:pPr>
      <w:r>
        <w:rPr>
          <w:rFonts w:ascii="Times New Roman" w:cs="Times New Roman" w:eastAsia="Times New Roman" w:hAnsi="Times New Roman"/>
          <w:sz w:val="11"/>
          <w:szCs w:val="11"/>
          <w:b w:val="1"/>
          <w:bCs w:val="1"/>
          <w:color w:val="auto"/>
        </w:rPr>
        <w:t>The methodology for assessing foreign exchange risk exposures: Value-at-Risk</w:t>
      </w:r>
    </w:p>
    <w:p>
      <w:pPr>
        <w:spacing w:after="0" w:line="1" w:lineRule="exact"/>
        <w:rPr>
          <w:sz w:val="20"/>
          <w:szCs w:val="20"/>
          <w:color w:val="auto"/>
        </w:rPr>
      </w:pPr>
    </w:p>
    <w:p>
      <w:pPr>
        <w:ind w:right="160"/>
        <w:spacing w:after="0" w:line="260" w:lineRule="auto"/>
        <w:rPr>
          <w:sz w:val="20"/>
          <w:szCs w:val="20"/>
          <w:color w:val="auto"/>
        </w:rPr>
      </w:pPr>
      <w:r>
        <w:rPr>
          <w:rFonts w:ascii="Times New Roman" w:cs="Times New Roman" w:eastAsia="Times New Roman" w:hAnsi="Times New Roman"/>
          <w:sz w:val="11"/>
          <w:szCs w:val="11"/>
          <w:color w:val="auto"/>
        </w:rPr>
        <w:t>Nokia uses the Value-at-Risk (VaR) methodology to assess exposures to foreign exchange risks. The VaR-based methodology provides estimates of potential fair value losses in market risk-sensitive instruments as a result of adverse changes in specified market factors, at a specified confidence level over a defined holding period. Nokia calculates the foreign exchange VaR using the Monte Carlo method, which simulates random values for exchange rates in which Nokia has exposures and takes the non-linear price function of certain derivative instruments into account. The VaR is determined using volatilities and correlations of rates and prices estimated from</w:t>
      </w:r>
    </w:p>
    <w:p>
      <w:pPr>
        <w:spacing w:after="0" w:line="5" w:lineRule="exact"/>
        <w:rPr>
          <w:sz w:val="20"/>
          <w:szCs w:val="20"/>
          <w:color w:val="auto"/>
        </w:rPr>
      </w:pPr>
    </w:p>
    <w:p>
      <w:pPr>
        <w:ind w:right="60"/>
        <w:spacing w:after="0" w:line="260" w:lineRule="auto"/>
        <w:rPr>
          <w:sz w:val="20"/>
          <w:szCs w:val="20"/>
          <w:color w:val="auto"/>
        </w:rPr>
      </w:pPr>
      <w:r>
        <w:rPr>
          <w:rFonts w:ascii="Times New Roman" w:cs="Times New Roman" w:eastAsia="Times New Roman" w:hAnsi="Times New Roman"/>
          <w:sz w:val="11"/>
          <w:szCs w:val="11"/>
          <w:color w:val="auto"/>
        </w:rPr>
        <w:t>a sample of historical market data, at a 95% confidence level, using a one-month holding period. To put more weight on recent market conditions, an exponentially weighted moving average is performed on the data with an appropriate decay factor. This model implies that, within a one-month period, the</w:t>
      </w:r>
    </w:p>
    <w:p>
      <w:pPr>
        <w:spacing w:after="0" w:line="3" w:lineRule="exact"/>
        <w:rPr>
          <w:sz w:val="20"/>
          <w:szCs w:val="20"/>
          <w:color w:val="auto"/>
        </w:rPr>
      </w:pPr>
    </w:p>
    <w:p>
      <w:pPr>
        <w:spacing w:after="0"/>
        <w:tabs>
          <w:tab w:leader="none" w:pos="2500" w:val="left"/>
        </w:tabs>
        <w:rPr>
          <w:sz w:val="20"/>
          <w:szCs w:val="20"/>
          <w:color w:val="auto"/>
        </w:rPr>
      </w:pPr>
      <w:r>
        <w:rPr>
          <w:rFonts w:ascii="Times New Roman" w:cs="Times New Roman" w:eastAsia="Times New Roman" w:hAnsi="Times New Roman"/>
          <w:sz w:val="11"/>
          <w:szCs w:val="11"/>
          <w:color w:val="auto"/>
        </w:rPr>
        <w:t>potential loss will not exceed the VaR estimate in</w:t>
      </w:r>
      <w:r>
        <w:rPr>
          <w:sz w:val="20"/>
          <w:szCs w:val="20"/>
          <w:color w:val="auto"/>
        </w:rPr>
        <w:tab/>
      </w:r>
      <w:r>
        <w:rPr>
          <w:rFonts w:ascii="Times New Roman" w:cs="Times New Roman" w:eastAsia="Times New Roman" w:hAnsi="Times New Roman"/>
          <w:sz w:val="11"/>
          <w:szCs w:val="11"/>
          <w:color w:val="auto"/>
        </w:rPr>
        <w:t>95%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possible outcomes.</w:t>
      </w:r>
    </w:p>
    <w:p>
      <w:pPr>
        <w:spacing w:after="0" w:line="79" w:lineRule="exact"/>
        <w:rPr>
          <w:sz w:val="20"/>
          <w:szCs w:val="20"/>
          <w:color w:val="auto"/>
        </w:rPr>
      </w:pPr>
    </w:p>
    <w:p>
      <w:pPr>
        <w:ind w:right="160"/>
        <w:spacing w:after="0" w:line="265" w:lineRule="auto"/>
        <w:rPr>
          <w:sz w:val="20"/>
          <w:szCs w:val="20"/>
          <w:color w:val="auto"/>
        </w:rPr>
      </w:pPr>
      <w:r>
        <w:rPr>
          <w:rFonts w:ascii="Times New Roman" w:cs="Times New Roman" w:eastAsia="Times New Roman" w:hAnsi="Times New Roman"/>
          <w:sz w:val="11"/>
          <w:szCs w:val="11"/>
          <w:color w:val="auto"/>
        </w:rPr>
        <w:t>In the remaining 5% of possible outcomes, the potential loss will be at minimum equal to the VaR figure and, on average, substantially higher. The VaR methodology relies on a number of assumptions, which include the following: risks are measured under average market conditions, changes in market risk factors follow normal distributions, future movements in market risk factors are in line with estimated parameters and the assessed exposures do not change during the holding period. Thus, it is possible that, for any given month, the potential losses at a 95% confidence level are different and could be substantially higher than the estimated VaR.</w:t>
      </w:r>
    </w:p>
    <w:p>
      <w:pPr>
        <w:spacing w:after="0" w:line="62" w:lineRule="exact"/>
        <w:rPr>
          <w:sz w:val="20"/>
          <w:szCs w:val="20"/>
          <w:color w:val="auto"/>
        </w:rPr>
      </w:pPr>
    </w:p>
    <w:p>
      <w:pPr>
        <w:ind w:right="360"/>
        <w:spacing w:after="0" w:line="264" w:lineRule="auto"/>
        <w:rPr>
          <w:sz w:val="20"/>
          <w:szCs w:val="20"/>
          <w:color w:val="auto"/>
        </w:rPr>
      </w:pPr>
      <w:r>
        <w:rPr>
          <w:rFonts w:ascii="Times New Roman" w:cs="Times New Roman" w:eastAsia="Times New Roman" w:hAnsi="Times New Roman"/>
          <w:sz w:val="11"/>
          <w:szCs w:val="11"/>
          <w:color w:val="auto"/>
        </w:rPr>
        <w:t>The VaR calculation includes foreign currency denominated monetary financial instruments, such as current financial investments, loans and trade receivables, cash, and loans and trade payables; foreign exchange derivatives carried at fair value through profit and loss that are not in a hedge relationship and are mostly used to hedge the statement</w:t>
      </w:r>
    </w:p>
    <w:p>
      <w:pPr>
        <w:spacing w:after="0" w:line="1" w:lineRule="exact"/>
        <w:rPr>
          <w:sz w:val="20"/>
          <w:szCs w:val="20"/>
          <w:color w:val="auto"/>
        </w:rPr>
      </w:pPr>
    </w:p>
    <w:p>
      <w:pPr>
        <w:ind w:right="300"/>
        <w:spacing w:after="0" w:line="266" w:lineRule="auto"/>
        <w:rPr>
          <w:sz w:val="20"/>
          <w:szCs w:val="20"/>
          <w:color w:val="auto"/>
        </w:rPr>
      </w:pPr>
      <w:r>
        <w:rPr>
          <w:rFonts w:ascii="Times New Roman" w:cs="Times New Roman" w:eastAsia="Times New Roman" w:hAnsi="Times New Roman"/>
          <w:sz w:val="11"/>
          <w:szCs w:val="11"/>
          <w:color w:val="auto"/>
        </w:rPr>
        <w:t>of financial position foreign exchange exposure, as well as embedded derivatives; and foreign exchange derivatives designated as forecast cash flow hedges, fair value hedges and net investment hedges as well as the exposures designated, as hedged items for these hedge relationships.</w:t>
      </w:r>
    </w:p>
    <w:p>
      <w:pPr>
        <w:spacing w:after="0" w:line="200" w:lineRule="exact"/>
        <w:rPr>
          <w:sz w:val="20"/>
          <w:szCs w:val="20"/>
          <w:color w:val="auto"/>
        </w:rPr>
      </w:pPr>
    </w:p>
    <w:p>
      <w:pPr>
        <w:spacing w:after="0" w:line="38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194</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06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95" w:lineRule="exact"/>
        <w:rPr>
          <w:sz w:val="20"/>
          <w:szCs w:val="20"/>
          <w:color w:val="auto"/>
        </w:rPr>
      </w:pPr>
    </w:p>
    <w:p>
      <w:pPr>
        <w:ind w:left="40" w:right="740"/>
        <w:spacing w:after="0" w:line="279" w:lineRule="auto"/>
        <w:rPr>
          <w:sz w:val="20"/>
          <w:szCs w:val="20"/>
          <w:color w:val="auto"/>
        </w:rPr>
      </w:pPr>
      <w:r>
        <w:rPr>
          <w:rFonts w:ascii="Times New Roman" w:cs="Times New Roman" w:eastAsia="Times New Roman" w:hAnsi="Times New Roman"/>
          <w:sz w:val="11"/>
          <w:szCs w:val="11"/>
          <w:color w:val="auto"/>
        </w:rPr>
        <w:t>The VaR risk measures for Nokia’s sensitivity to foreign exchange risks are presented in the Total VaR column and the simulated impact to financial statements is presented in the profit, other comprehensive income (OCI) and cumulative translation adjustment (CTA) columns in the table below.</w:t>
      </w:r>
    </w:p>
    <w:p>
      <w:pPr>
        <w:spacing w:after="0" w:line="26"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1220" w:type="dxa"/>
            <w:vAlign w:val="bottom"/>
          </w:tcPr>
          <w:p>
            <w:pPr>
              <w:spacing w:after="0"/>
              <w:rPr>
                <w:sz w:val="9"/>
                <w:szCs w:val="9"/>
                <w:color w:val="auto"/>
              </w:rPr>
            </w:pPr>
          </w:p>
        </w:tc>
        <w:tc>
          <w:tcPr>
            <w:tcW w:w="680" w:type="dxa"/>
            <w:vAlign w:val="bottom"/>
            <w:tcBorders>
              <w:bottom w:val="single" w:sz="8" w:color="005AFF"/>
            </w:tcBorders>
          </w:tcPr>
          <w:p>
            <w:pPr>
              <w:spacing w:after="0"/>
              <w:rPr>
                <w:sz w:val="9"/>
                <w:szCs w:val="9"/>
                <w:color w:val="auto"/>
              </w:rPr>
            </w:pPr>
          </w:p>
        </w:tc>
        <w:tc>
          <w:tcPr>
            <w:tcW w:w="920" w:type="dxa"/>
            <w:vAlign w:val="bottom"/>
            <w:tcBorders>
              <w:bottom w:val="single" w:sz="8" w:color="005AFF"/>
            </w:tcBorders>
          </w:tcPr>
          <w:p>
            <w:pPr>
              <w:jc w:val="right"/>
              <w:ind w:right="134"/>
              <w:spacing w:after="0"/>
              <w:rPr>
                <w:sz w:val="20"/>
                <w:szCs w:val="20"/>
                <w:color w:val="auto"/>
              </w:rPr>
            </w:pPr>
            <w:r>
              <w:rPr>
                <w:rFonts w:ascii="Times New Roman" w:cs="Times New Roman" w:eastAsia="Times New Roman" w:hAnsi="Times New Roman"/>
                <w:sz w:val="8"/>
                <w:szCs w:val="8"/>
                <w:b w:val="1"/>
                <w:bCs w:val="1"/>
                <w:color w:val="005AFF"/>
              </w:rPr>
              <w:t>2023</w:t>
            </w:r>
          </w:p>
        </w:tc>
        <w:tc>
          <w:tcPr>
            <w:tcW w:w="820" w:type="dxa"/>
            <w:vAlign w:val="bottom"/>
            <w:tcBorders>
              <w:bottom w:val="single" w:sz="8" w:color="005AFF"/>
            </w:tcBorders>
          </w:tcPr>
          <w:p>
            <w:pPr>
              <w:spacing w:after="0"/>
              <w:rPr>
                <w:sz w:val="9"/>
                <w:szCs w:val="9"/>
                <w:color w:val="auto"/>
              </w:rPr>
            </w:pPr>
          </w:p>
        </w:tc>
        <w:tc>
          <w:tcPr>
            <w:tcW w:w="30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660" w:type="dxa"/>
            <w:vAlign w:val="bottom"/>
            <w:tcBorders>
              <w:bottom w:val="single" w:sz="8" w:color="005AFF"/>
            </w:tcBorders>
          </w:tcPr>
          <w:p>
            <w:pPr>
              <w:spacing w:after="0"/>
              <w:rPr>
                <w:sz w:val="9"/>
                <w:szCs w:val="9"/>
                <w:color w:val="auto"/>
              </w:rPr>
            </w:pPr>
          </w:p>
        </w:tc>
        <w:tc>
          <w:tcPr>
            <w:tcW w:w="900" w:type="dxa"/>
            <w:vAlign w:val="bottom"/>
            <w:tcBorders>
              <w:bottom w:val="single" w:sz="8" w:color="005AFF"/>
            </w:tcBorders>
          </w:tcPr>
          <w:p>
            <w:pPr>
              <w:jc w:val="right"/>
              <w:ind w:right="114"/>
              <w:spacing w:after="0"/>
              <w:rPr>
                <w:sz w:val="20"/>
                <w:szCs w:val="20"/>
                <w:color w:val="auto"/>
              </w:rPr>
            </w:pPr>
            <w:r>
              <w:rPr>
                <w:rFonts w:ascii="Times New Roman" w:cs="Times New Roman" w:eastAsia="Times New Roman" w:hAnsi="Times New Roman"/>
                <w:sz w:val="8"/>
                <w:szCs w:val="8"/>
                <w:b w:val="1"/>
                <w:bCs w:val="1"/>
                <w:color w:val="005AFF"/>
              </w:rPr>
              <w:t>2022</w:t>
            </w:r>
          </w:p>
        </w:tc>
        <w:tc>
          <w:tcPr>
            <w:tcW w:w="860" w:type="dxa"/>
            <w:vAlign w:val="bottom"/>
            <w:tcBorders>
              <w:bottom w:val="single" w:sz="8" w:color="005AFF"/>
            </w:tcBorders>
          </w:tcPr>
          <w:p>
            <w:pPr>
              <w:spacing w:after="0"/>
              <w:rPr>
                <w:sz w:val="9"/>
                <w:szCs w:val="9"/>
                <w:color w:val="auto"/>
              </w:rPr>
            </w:pPr>
          </w:p>
        </w:tc>
        <w:tc>
          <w:tcPr>
            <w:tcW w:w="280" w:type="dxa"/>
            <w:vAlign w:val="bottom"/>
            <w:tcBorders>
              <w:bottom w:val="single" w:sz="8" w:color="005AFF"/>
            </w:tcBorders>
          </w:tcPr>
          <w:p>
            <w:pPr>
              <w:spacing w:after="0"/>
              <w:rPr>
                <w:sz w:val="9"/>
                <w:szCs w:val="9"/>
                <w:color w:val="auto"/>
              </w:rPr>
            </w:pPr>
          </w:p>
        </w:tc>
      </w:tr>
      <w:tr>
        <w:trPr>
          <w:trHeight w:val="132"/>
        </w:trPr>
        <w:tc>
          <w:tcPr>
            <w:tcW w:w="1220" w:type="dxa"/>
            <w:vAlign w:val="bottom"/>
          </w:tcPr>
          <w:p>
            <w:pPr>
              <w:spacing w:after="0"/>
              <w:rPr>
                <w:sz w:val="11"/>
                <w:szCs w:val="11"/>
                <w:color w:val="auto"/>
              </w:rPr>
            </w:pPr>
          </w:p>
        </w:tc>
        <w:tc>
          <w:tcPr>
            <w:tcW w:w="680" w:type="dxa"/>
            <w:vAlign w:val="bottom"/>
          </w:tcPr>
          <w:p>
            <w:pPr>
              <w:spacing w:after="0"/>
              <w:rPr>
                <w:sz w:val="11"/>
                <w:szCs w:val="11"/>
                <w:color w:val="auto"/>
              </w:rPr>
            </w:pPr>
          </w:p>
        </w:tc>
        <w:tc>
          <w:tcPr>
            <w:tcW w:w="1740" w:type="dxa"/>
            <w:vAlign w:val="bottom"/>
            <w:tcBorders>
              <w:bottom w:val="single" w:sz="8" w:color="005AFF"/>
            </w:tcBorders>
            <w:gridSpan w:val="2"/>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Simulated impact on financial statements</w:t>
            </w:r>
          </w:p>
        </w:tc>
        <w:tc>
          <w:tcPr>
            <w:tcW w:w="300" w:type="dxa"/>
            <w:vAlign w:val="bottom"/>
            <w:tcBorders>
              <w:bottom w:val="single" w:sz="8" w:color="005AFF"/>
            </w:tcBorders>
          </w:tcPr>
          <w:p>
            <w:pPr>
              <w:spacing w:after="0"/>
              <w:rPr>
                <w:sz w:val="11"/>
                <w:szCs w:val="11"/>
                <w:color w:val="auto"/>
              </w:rPr>
            </w:pPr>
          </w:p>
        </w:tc>
        <w:tc>
          <w:tcPr>
            <w:tcW w:w="4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1760" w:type="dxa"/>
            <w:vAlign w:val="bottom"/>
            <w:tcBorders>
              <w:bottom w:val="single" w:sz="8" w:color="005AFF"/>
            </w:tcBorders>
            <w:gridSpan w:val="2"/>
          </w:tcPr>
          <w:p>
            <w:pPr>
              <w:jc w:val="right"/>
              <w:ind w:right="32"/>
              <w:spacing w:after="0"/>
              <w:rPr>
                <w:sz w:val="20"/>
                <w:szCs w:val="20"/>
                <w:color w:val="auto"/>
              </w:rPr>
            </w:pPr>
            <w:r>
              <w:rPr>
                <w:rFonts w:ascii="Times New Roman" w:cs="Times New Roman" w:eastAsia="Times New Roman" w:hAnsi="Times New Roman"/>
                <w:sz w:val="8"/>
                <w:szCs w:val="8"/>
                <w:b w:val="1"/>
                <w:bCs w:val="1"/>
                <w:color w:val="005AFF"/>
              </w:rPr>
              <w:t>Simulated impact on financial statements</w:t>
            </w:r>
          </w:p>
        </w:tc>
        <w:tc>
          <w:tcPr>
            <w:tcW w:w="280" w:type="dxa"/>
            <w:vAlign w:val="bottom"/>
            <w:tcBorders>
              <w:bottom w:val="single" w:sz="8" w:color="005AFF"/>
            </w:tcBorders>
          </w:tcPr>
          <w:p>
            <w:pPr>
              <w:spacing w:after="0"/>
              <w:rPr>
                <w:sz w:val="11"/>
                <w:szCs w:val="11"/>
                <w:color w:val="auto"/>
              </w:rPr>
            </w:pPr>
          </w:p>
        </w:tc>
      </w:tr>
      <w:tr>
        <w:trPr>
          <w:trHeight w:val="132"/>
        </w:trPr>
        <w:tc>
          <w:tcPr>
            <w:tcW w:w="12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Total VaR</w:t>
            </w:r>
          </w:p>
        </w:tc>
        <w:tc>
          <w:tcPr>
            <w:tcW w:w="920" w:type="dxa"/>
            <w:vAlign w:val="bottom"/>
            <w:tcBorders>
              <w:bottom w:val="single" w:sz="8" w:color="005AFF"/>
            </w:tcBorders>
          </w:tcPr>
          <w:p>
            <w:pPr>
              <w:jc w:val="right"/>
              <w:ind w:right="254"/>
              <w:spacing w:after="0"/>
              <w:rPr>
                <w:sz w:val="20"/>
                <w:szCs w:val="20"/>
                <w:color w:val="auto"/>
              </w:rPr>
            </w:pPr>
            <w:r>
              <w:rPr>
                <w:rFonts w:ascii="Times New Roman" w:cs="Times New Roman" w:eastAsia="Times New Roman" w:hAnsi="Times New Roman"/>
                <w:sz w:val="8"/>
                <w:szCs w:val="8"/>
                <w:b w:val="1"/>
                <w:bCs w:val="1"/>
                <w:color w:val="005AFF"/>
              </w:rPr>
              <w:t>Profit</w:t>
            </w:r>
          </w:p>
        </w:tc>
        <w:tc>
          <w:tcPr>
            <w:tcW w:w="820" w:type="dxa"/>
            <w:vAlign w:val="bottom"/>
            <w:tcBorders>
              <w:bottom w:val="single" w:sz="8" w:color="005AFF"/>
            </w:tcBorders>
          </w:tcPr>
          <w:p>
            <w:pPr>
              <w:jc w:val="right"/>
              <w:ind w:right="372"/>
              <w:spacing w:after="0"/>
              <w:rPr>
                <w:sz w:val="20"/>
                <w:szCs w:val="20"/>
                <w:color w:val="auto"/>
              </w:rPr>
            </w:pPr>
            <w:r>
              <w:rPr>
                <w:rFonts w:ascii="Times New Roman" w:cs="Times New Roman" w:eastAsia="Times New Roman" w:hAnsi="Times New Roman"/>
                <w:sz w:val="8"/>
                <w:szCs w:val="8"/>
                <w:b w:val="1"/>
                <w:bCs w:val="1"/>
                <w:color w:val="005AFF"/>
              </w:rPr>
              <w:t>OCI</w:t>
            </w:r>
          </w:p>
        </w:tc>
        <w:tc>
          <w:tcPr>
            <w:tcW w:w="3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CTA</w:t>
            </w:r>
          </w:p>
        </w:tc>
        <w:tc>
          <w:tcPr>
            <w:tcW w:w="40" w:type="dxa"/>
            <w:vAlign w:val="bottom"/>
            <w:tcBorders>
              <w:bottom w:val="single" w:sz="8" w:color="005AFF"/>
            </w:tcBorders>
          </w:tcPr>
          <w:p>
            <w:pPr>
              <w:spacing w:after="0"/>
              <w:rPr>
                <w:sz w:val="11"/>
                <w:szCs w:val="11"/>
                <w:color w:val="auto"/>
              </w:rPr>
            </w:pPr>
          </w:p>
        </w:tc>
        <w:tc>
          <w:tcPr>
            <w:tcW w:w="6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Total VaR</w:t>
            </w:r>
          </w:p>
        </w:tc>
        <w:tc>
          <w:tcPr>
            <w:tcW w:w="900" w:type="dxa"/>
            <w:vAlign w:val="bottom"/>
            <w:tcBorders>
              <w:bottom w:val="single" w:sz="8" w:color="005AFF"/>
            </w:tcBorders>
          </w:tcPr>
          <w:p>
            <w:pPr>
              <w:jc w:val="right"/>
              <w:ind w:right="214"/>
              <w:spacing w:after="0"/>
              <w:rPr>
                <w:sz w:val="20"/>
                <w:szCs w:val="20"/>
                <w:color w:val="auto"/>
              </w:rPr>
            </w:pPr>
            <w:r>
              <w:rPr>
                <w:rFonts w:ascii="Times New Roman" w:cs="Times New Roman" w:eastAsia="Times New Roman" w:hAnsi="Times New Roman"/>
                <w:sz w:val="8"/>
                <w:szCs w:val="8"/>
                <w:b w:val="1"/>
                <w:bCs w:val="1"/>
                <w:color w:val="005AFF"/>
              </w:rPr>
              <w:t>Profit</w:t>
            </w:r>
          </w:p>
        </w:tc>
        <w:tc>
          <w:tcPr>
            <w:tcW w:w="860" w:type="dxa"/>
            <w:vAlign w:val="bottom"/>
            <w:tcBorders>
              <w:bottom w:val="single" w:sz="8" w:color="005AFF"/>
            </w:tcBorders>
          </w:tcPr>
          <w:p>
            <w:pPr>
              <w:jc w:val="right"/>
              <w:ind w:right="372"/>
              <w:spacing w:after="0"/>
              <w:rPr>
                <w:sz w:val="20"/>
                <w:szCs w:val="20"/>
                <w:color w:val="auto"/>
              </w:rPr>
            </w:pPr>
            <w:r>
              <w:rPr>
                <w:rFonts w:ascii="Times New Roman" w:cs="Times New Roman" w:eastAsia="Times New Roman" w:hAnsi="Times New Roman"/>
                <w:sz w:val="8"/>
                <w:szCs w:val="8"/>
                <w:b w:val="1"/>
                <w:bCs w:val="1"/>
                <w:color w:val="005AFF"/>
              </w:rPr>
              <w:t>OCI</w:t>
            </w:r>
          </w:p>
        </w:tc>
        <w:tc>
          <w:tcPr>
            <w:tcW w:w="2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CTA</w:t>
            </w:r>
          </w:p>
        </w:tc>
      </w:tr>
      <w:tr>
        <w:trPr>
          <w:trHeight w:val="135"/>
        </w:trPr>
        <w:tc>
          <w:tcPr>
            <w:tcW w:w="12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31 December</w:t>
            </w:r>
          </w:p>
        </w:tc>
        <w:tc>
          <w:tcPr>
            <w:tcW w:w="68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72</w:t>
            </w:r>
          </w:p>
        </w:tc>
        <w:tc>
          <w:tcPr>
            <w:tcW w:w="920" w:type="dxa"/>
            <w:vAlign w:val="bottom"/>
            <w:shd w:val="clear" w:color="auto" w:fill="F0F5FF"/>
          </w:tcPr>
          <w:p>
            <w:pPr>
              <w:jc w:val="right"/>
              <w:ind w:right="254"/>
              <w:spacing w:after="0"/>
              <w:rPr>
                <w:sz w:val="20"/>
                <w:szCs w:val="20"/>
                <w:color w:val="auto"/>
              </w:rPr>
            </w:pPr>
            <w:r>
              <w:rPr>
                <w:rFonts w:ascii="Times New Roman" w:cs="Times New Roman" w:eastAsia="Times New Roman" w:hAnsi="Times New Roman"/>
                <w:sz w:val="10"/>
                <w:szCs w:val="10"/>
                <w:color w:val="005AFF"/>
              </w:rPr>
              <w:t>67</w:t>
            </w:r>
          </w:p>
        </w:tc>
        <w:tc>
          <w:tcPr>
            <w:tcW w:w="820" w:type="dxa"/>
            <w:vAlign w:val="bottom"/>
            <w:shd w:val="clear" w:color="auto" w:fill="F0F5FF"/>
          </w:tcPr>
          <w:p>
            <w:pPr>
              <w:jc w:val="right"/>
              <w:ind w:right="392"/>
              <w:spacing w:after="0"/>
              <w:rPr>
                <w:sz w:val="20"/>
                <w:szCs w:val="20"/>
                <w:color w:val="auto"/>
              </w:rPr>
            </w:pPr>
            <w:r>
              <w:rPr>
                <w:rFonts w:ascii="Times New Roman" w:cs="Times New Roman" w:eastAsia="Times New Roman" w:hAnsi="Times New Roman"/>
                <w:sz w:val="10"/>
                <w:szCs w:val="10"/>
                <w:color w:val="005AFF"/>
              </w:rPr>
              <w:t>18</w:t>
            </w:r>
          </w:p>
        </w:tc>
        <w:tc>
          <w:tcPr>
            <w:tcW w:w="3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38</w:t>
            </w:r>
          </w:p>
        </w:tc>
        <w:tc>
          <w:tcPr>
            <w:tcW w:w="900" w:type="dxa"/>
            <w:vAlign w:val="bottom"/>
          </w:tcPr>
          <w:p>
            <w:pPr>
              <w:jc w:val="right"/>
              <w:ind w:right="234"/>
              <w:spacing w:after="0"/>
              <w:rPr>
                <w:sz w:val="20"/>
                <w:szCs w:val="20"/>
                <w:color w:val="auto"/>
              </w:rPr>
            </w:pPr>
            <w:r>
              <w:rPr>
                <w:rFonts w:ascii="Times New Roman" w:cs="Times New Roman" w:eastAsia="Times New Roman" w:hAnsi="Times New Roman"/>
                <w:sz w:val="10"/>
                <w:szCs w:val="10"/>
                <w:color w:val="0D0D0D"/>
              </w:rPr>
              <w:t>40</w:t>
            </w:r>
          </w:p>
        </w:tc>
        <w:tc>
          <w:tcPr>
            <w:tcW w:w="860" w:type="dxa"/>
            <w:vAlign w:val="bottom"/>
          </w:tcPr>
          <w:p>
            <w:pPr>
              <w:jc w:val="right"/>
              <w:ind w:right="412"/>
              <w:spacing w:after="0"/>
              <w:rPr>
                <w:sz w:val="20"/>
                <w:szCs w:val="20"/>
                <w:color w:val="auto"/>
              </w:rPr>
            </w:pPr>
            <w:r>
              <w:rPr>
                <w:rFonts w:ascii="Times New Roman" w:cs="Times New Roman" w:eastAsia="Times New Roman" w:hAnsi="Times New Roman"/>
                <w:sz w:val="10"/>
                <w:szCs w:val="10"/>
                <w:color w:val="0D0D0D"/>
              </w:rPr>
              <w:t>33</w:t>
            </w:r>
          </w:p>
        </w:tc>
        <w:tc>
          <w:tcPr>
            <w:tcW w:w="2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2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Average for the year</w:t>
            </w:r>
          </w:p>
        </w:tc>
        <w:tc>
          <w:tcPr>
            <w:tcW w:w="68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32</w:t>
            </w:r>
          </w:p>
        </w:tc>
        <w:tc>
          <w:tcPr>
            <w:tcW w:w="920" w:type="dxa"/>
            <w:vAlign w:val="bottom"/>
            <w:shd w:val="clear" w:color="auto" w:fill="F0F5FF"/>
          </w:tcPr>
          <w:p>
            <w:pPr>
              <w:jc w:val="right"/>
              <w:ind w:right="254"/>
              <w:spacing w:after="0"/>
              <w:rPr>
                <w:sz w:val="20"/>
                <w:szCs w:val="20"/>
                <w:color w:val="auto"/>
              </w:rPr>
            </w:pPr>
            <w:r>
              <w:rPr>
                <w:rFonts w:ascii="Times New Roman" w:cs="Times New Roman" w:eastAsia="Times New Roman" w:hAnsi="Times New Roman"/>
                <w:sz w:val="10"/>
                <w:szCs w:val="10"/>
                <w:color w:val="005AFF"/>
              </w:rPr>
              <w:t>25</w:t>
            </w:r>
          </w:p>
        </w:tc>
        <w:tc>
          <w:tcPr>
            <w:tcW w:w="820" w:type="dxa"/>
            <w:vAlign w:val="bottom"/>
            <w:shd w:val="clear" w:color="auto" w:fill="F0F5FF"/>
          </w:tcPr>
          <w:p>
            <w:pPr>
              <w:jc w:val="right"/>
              <w:ind w:right="392"/>
              <w:spacing w:after="0"/>
              <w:rPr>
                <w:sz w:val="20"/>
                <w:szCs w:val="20"/>
                <w:color w:val="auto"/>
              </w:rPr>
            </w:pPr>
            <w:r>
              <w:rPr>
                <w:rFonts w:ascii="Times New Roman" w:cs="Times New Roman" w:eastAsia="Times New Roman" w:hAnsi="Times New Roman"/>
                <w:sz w:val="10"/>
                <w:szCs w:val="10"/>
                <w:color w:val="005AFF"/>
              </w:rPr>
              <w:t>23</w:t>
            </w:r>
          </w:p>
        </w:tc>
        <w:tc>
          <w:tcPr>
            <w:tcW w:w="3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00" w:type="dxa"/>
            <w:vAlign w:val="bottom"/>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31</w:t>
            </w:r>
          </w:p>
        </w:tc>
        <w:tc>
          <w:tcPr>
            <w:tcW w:w="900" w:type="dxa"/>
            <w:vAlign w:val="bottom"/>
          </w:tcPr>
          <w:p>
            <w:pPr>
              <w:jc w:val="right"/>
              <w:ind w:right="234"/>
              <w:spacing w:after="0"/>
              <w:rPr>
                <w:sz w:val="20"/>
                <w:szCs w:val="20"/>
                <w:color w:val="auto"/>
              </w:rPr>
            </w:pPr>
            <w:r>
              <w:rPr>
                <w:rFonts w:ascii="Times New Roman" w:cs="Times New Roman" w:eastAsia="Times New Roman" w:hAnsi="Times New Roman"/>
                <w:sz w:val="10"/>
                <w:szCs w:val="10"/>
                <w:color w:val="0D0D0D"/>
              </w:rPr>
              <w:t>36</w:t>
            </w:r>
          </w:p>
        </w:tc>
        <w:tc>
          <w:tcPr>
            <w:tcW w:w="860" w:type="dxa"/>
            <w:vAlign w:val="bottom"/>
          </w:tcPr>
          <w:p>
            <w:pPr>
              <w:jc w:val="right"/>
              <w:ind w:right="412"/>
              <w:spacing w:after="0"/>
              <w:rPr>
                <w:sz w:val="20"/>
                <w:szCs w:val="20"/>
                <w:color w:val="auto"/>
              </w:rPr>
            </w:pPr>
            <w:r>
              <w:rPr>
                <w:rFonts w:ascii="Times New Roman" w:cs="Times New Roman" w:eastAsia="Times New Roman" w:hAnsi="Times New Roman"/>
                <w:sz w:val="10"/>
                <w:szCs w:val="10"/>
                <w:color w:val="0D0D0D"/>
              </w:rPr>
              <w:t>48</w:t>
            </w:r>
          </w:p>
        </w:tc>
        <w:tc>
          <w:tcPr>
            <w:tcW w:w="2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7"/>
        </w:trPr>
        <w:tc>
          <w:tcPr>
            <w:tcW w:w="12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Range for the year</w:t>
            </w:r>
          </w:p>
        </w:tc>
        <w:tc>
          <w:tcPr>
            <w:tcW w:w="68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19 -72</w:t>
            </w:r>
          </w:p>
        </w:tc>
        <w:tc>
          <w:tcPr>
            <w:tcW w:w="920" w:type="dxa"/>
            <w:vAlign w:val="bottom"/>
            <w:tcBorders>
              <w:bottom w:val="single" w:sz="8" w:color="005AFF"/>
            </w:tcBorders>
            <w:shd w:val="clear" w:color="auto" w:fill="F0F5FF"/>
          </w:tcPr>
          <w:p>
            <w:pPr>
              <w:jc w:val="right"/>
              <w:ind w:right="254"/>
              <w:spacing w:after="0"/>
              <w:rPr>
                <w:sz w:val="20"/>
                <w:szCs w:val="20"/>
                <w:color w:val="auto"/>
              </w:rPr>
            </w:pPr>
            <w:r>
              <w:rPr>
                <w:rFonts w:ascii="Times New Roman" w:cs="Times New Roman" w:eastAsia="Times New Roman" w:hAnsi="Times New Roman"/>
                <w:sz w:val="10"/>
                <w:szCs w:val="10"/>
                <w:color w:val="005AFF"/>
              </w:rPr>
              <w:t>12 -67</w:t>
            </w:r>
          </w:p>
        </w:tc>
        <w:tc>
          <w:tcPr>
            <w:tcW w:w="820" w:type="dxa"/>
            <w:vAlign w:val="bottom"/>
            <w:tcBorders>
              <w:bottom w:val="single" w:sz="8" w:color="005AFF"/>
            </w:tcBorders>
            <w:shd w:val="clear" w:color="auto" w:fill="F0F5FF"/>
          </w:tcPr>
          <w:p>
            <w:pPr>
              <w:jc w:val="right"/>
              <w:ind w:right="392"/>
              <w:spacing w:after="0"/>
              <w:rPr>
                <w:sz w:val="20"/>
                <w:szCs w:val="20"/>
                <w:color w:val="auto"/>
              </w:rPr>
            </w:pPr>
            <w:r>
              <w:rPr>
                <w:rFonts w:ascii="Times New Roman" w:cs="Times New Roman" w:eastAsia="Times New Roman" w:hAnsi="Times New Roman"/>
                <w:sz w:val="10"/>
                <w:szCs w:val="10"/>
                <w:color w:val="005AFF"/>
              </w:rPr>
              <w:t>9-40</w:t>
            </w:r>
          </w:p>
        </w:tc>
        <w:tc>
          <w:tcPr>
            <w:tcW w:w="30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0-0</w:t>
            </w:r>
          </w:p>
        </w:tc>
        <w:tc>
          <w:tcPr>
            <w:tcW w:w="700" w:type="dxa"/>
            <w:vAlign w:val="bottom"/>
            <w:tcBorders>
              <w:bottom w:val="single" w:sz="8" w:color="005AFF"/>
            </w:tcBorders>
            <w:gridSpan w:val="2"/>
          </w:tcPr>
          <w:p>
            <w:pPr>
              <w:jc w:val="right"/>
              <w:ind w:right="20"/>
              <w:spacing w:after="0"/>
              <w:rPr>
                <w:sz w:val="20"/>
                <w:szCs w:val="20"/>
                <w:color w:val="auto"/>
              </w:rPr>
            </w:pPr>
            <w:r>
              <w:rPr>
                <w:rFonts w:ascii="Times New Roman" w:cs="Times New Roman" w:eastAsia="Times New Roman" w:hAnsi="Times New Roman"/>
                <w:sz w:val="10"/>
                <w:szCs w:val="10"/>
                <w:color w:val="0D0D0D"/>
              </w:rPr>
              <w:t>12 -67</w:t>
            </w:r>
          </w:p>
        </w:tc>
        <w:tc>
          <w:tcPr>
            <w:tcW w:w="900" w:type="dxa"/>
            <w:vAlign w:val="bottom"/>
            <w:tcBorders>
              <w:bottom w:val="single" w:sz="8" w:color="005AFF"/>
            </w:tcBorders>
          </w:tcPr>
          <w:p>
            <w:pPr>
              <w:jc w:val="right"/>
              <w:ind w:right="234"/>
              <w:spacing w:after="0"/>
              <w:rPr>
                <w:sz w:val="20"/>
                <w:szCs w:val="20"/>
                <w:color w:val="auto"/>
              </w:rPr>
            </w:pPr>
            <w:r>
              <w:rPr>
                <w:rFonts w:ascii="Times New Roman" w:cs="Times New Roman" w:eastAsia="Times New Roman" w:hAnsi="Times New Roman"/>
                <w:sz w:val="10"/>
                <w:szCs w:val="10"/>
                <w:color w:val="0D0D0D"/>
              </w:rPr>
              <w:t>17 -59</w:t>
            </w:r>
          </w:p>
        </w:tc>
        <w:tc>
          <w:tcPr>
            <w:tcW w:w="860" w:type="dxa"/>
            <w:vAlign w:val="bottom"/>
            <w:tcBorders>
              <w:bottom w:val="single" w:sz="8" w:color="005AFF"/>
            </w:tcBorders>
          </w:tcPr>
          <w:p>
            <w:pPr>
              <w:jc w:val="right"/>
              <w:ind w:right="412"/>
              <w:spacing w:after="0"/>
              <w:rPr>
                <w:sz w:val="20"/>
                <w:szCs w:val="20"/>
                <w:color w:val="auto"/>
              </w:rPr>
            </w:pPr>
            <w:r>
              <w:rPr>
                <w:rFonts w:ascii="Times New Roman" w:cs="Times New Roman" w:eastAsia="Times New Roman" w:hAnsi="Times New Roman"/>
                <w:sz w:val="10"/>
                <w:szCs w:val="10"/>
                <w:color w:val="0D0D0D"/>
              </w:rPr>
              <w:t>31 -70</w:t>
            </w:r>
          </w:p>
        </w:tc>
        <w:tc>
          <w:tcPr>
            <w:tcW w:w="2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0-0</w:t>
            </w:r>
          </w:p>
        </w:tc>
      </w:tr>
    </w:tbl>
    <w:p>
      <w:pPr>
        <w:spacing w:after="0" w:line="119" w:lineRule="exact"/>
        <w:rPr>
          <w:sz w:val="20"/>
          <w:szCs w:val="20"/>
          <w:color w:val="auto"/>
        </w:rPr>
      </w:pPr>
    </w:p>
    <w:p>
      <w:pPr>
        <w:ind w:left="40" w:right="840"/>
        <w:spacing w:after="0" w:line="308" w:lineRule="auto"/>
        <w:rPr>
          <w:sz w:val="20"/>
          <w:szCs w:val="20"/>
          <w:color w:val="auto"/>
        </w:rPr>
      </w:pPr>
      <w:r>
        <w:rPr>
          <w:rFonts w:ascii="Times New Roman" w:cs="Times New Roman" w:eastAsia="Times New Roman" w:hAnsi="Times New Roman"/>
          <w:sz w:val="11"/>
          <w:szCs w:val="11"/>
          <w:color w:val="auto"/>
        </w:rPr>
        <w:t>The most significant foreign exchange hedging instruments under cash flow, net investment and fair value hedge accounting at 31 December:</w:t>
      </w:r>
    </w:p>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880" w:type="dxa"/>
            <w:vAlign w:val="bottom"/>
          </w:tcPr>
          <w:p>
            <w:pPr>
              <w:spacing w:after="0"/>
              <w:rPr>
                <w:sz w:val="9"/>
                <w:szCs w:val="9"/>
                <w:color w:val="auto"/>
              </w:rPr>
            </w:pPr>
          </w:p>
        </w:tc>
        <w:tc>
          <w:tcPr>
            <w:tcW w:w="620" w:type="dxa"/>
            <w:vAlign w:val="bottom"/>
          </w:tcPr>
          <w:p>
            <w:pPr>
              <w:spacing w:after="0"/>
              <w:rPr>
                <w:sz w:val="9"/>
                <w:szCs w:val="9"/>
                <w:color w:val="auto"/>
              </w:rPr>
            </w:pPr>
          </w:p>
        </w:tc>
        <w:tc>
          <w:tcPr>
            <w:tcW w:w="600" w:type="dxa"/>
            <w:vAlign w:val="bottom"/>
          </w:tcPr>
          <w:p>
            <w:pPr>
              <w:spacing w:after="0"/>
              <w:rPr>
                <w:sz w:val="9"/>
                <w:szCs w:val="9"/>
                <w:color w:val="auto"/>
              </w:rPr>
            </w:pPr>
          </w:p>
        </w:tc>
        <w:tc>
          <w:tcPr>
            <w:tcW w:w="600" w:type="dxa"/>
            <w:vAlign w:val="bottom"/>
          </w:tcPr>
          <w:p>
            <w:pPr>
              <w:spacing w:after="0"/>
              <w:rPr>
                <w:sz w:val="9"/>
                <w:szCs w:val="9"/>
                <w:color w:val="auto"/>
              </w:rPr>
            </w:pPr>
          </w:p>
        </w:tc>
        <w:tc>
          <w:tcPr>
            <w:tcW w:w="600" w:type="dxa"/>
            <w:vAlign w:val="bottom"/>
          </w:tcPr>
          <w:p>
            <w:pPr>
              <w:spacing w:after="0"/>
              <w:rPr>
                <w:sz w:val="9"/>
                <w:szCs w:val="9"/>
                <w:color w:val="auto"/>
              </w:rPr>
            </w:pPr>
          </w:p>
        </w:tc>
        <w:tc>
          <w:tcPr>
            <w:tcW w:w="2000" w:type="dxa"/>
            <w:vAlign w:val="bottom"/>
            <w:tcBorders>
              <w:bottom w:val="single" w:sz="8" w:color="005AFF"/>
            </w:tcBorders>
            <w:gridSpan w:val="3"/>
          </w:tcPr>
          <w:p>
            <w:pPr>
              <w:ind w:left="240"/>
              <w:spacing w:after="0"/>
              <w:rPr>
                <w:sz w:val="20"/>
                <w:szCs w:val="20"/>
                <w:color w:val="auto"/>
              </w:rPr>
            </w:pPr>
            <w:r>
              <w:rPr>
                <w:rFonts w:ascii="Times New Roman" w:cs="Times New Roman" w:eastAsia="Times New Roman" w:hAnsi="Times New Roman"/>
                <w:sz w:val="8"/>
                <w:szCs w:val="8"/>
                <w:b w:val="1"/>
                <w:bCs w:val="1"/>
                <w:color w:val="005AFF"/>
              </w:rPr>
              <w:t>Maturity breakdown of notional amounts (EURm)</w:t>
            </w:r>
          </w:p>
        </w:tc>
        <w:tc>
          <w:tcPr>
            <w:tcW w:w="380" w:type="dxa"/>
            <w:vAlign w:val="bottom"/>
            <w:tcBorders>
              <w:bottom w:val="single" w:sz="8" w:color="005AFF"/>
            </w:tcBorders>
          </w:tcPr>
          <w:p>
            <w:pPr>
              <w:jc w:val="right"/>
              <w:ind w:right="212"/>
              <w:spacing w:after="0"/>
              <w:rPr>
                <w:sz w:val="20"/>
                <w:szCs w:val="20"/>
                <w:color w:val="auto"/>
              </w:rPr>
            </w:pPr>
            <w:r>
              <w:rPr>
                <w:rFonts w:ascii="Times New Roman" w:cs="Times New Roman" w:eastAsia="Times New Roman" w:hAnsi="Times New Roman"/>
                <w:sz w:val="5"/>
                <w:szCs w:val="5"/>
                <w:b w:val="1"/>
                <w:bCs w:val="1"/>
                <w:color w:val="005AFF"/>
              </w:rPr>
              <w:t>(1)</w:t>
            </w:r>
          </w:p>
        </w:tc>
      </w:tr>
      <w:tr>
        <w:trPr>
          <w:trHeight w:val="108"/>
        </w:trPr>
        <w:tc>
          <w:tcPr>
            <w:tcW w:w="1880" w:type="dxa"/>
            <w:vAlign w:val="bottom"/>
          </w:tcPr>
          <w:p>
            <w:pPr>
              <w:spacing w:after="0"/>
              <w:rPr>
                <w:sz w:val="9"/>
                <w:szCs w:val="9"/>
                <w:color w:val="auto"/>
              </w:rPr>
            </w:pPr>
          </w:p>
        </w:tc>
        <w:tc>
          <w:tcPr>
            <w:tcW w:w="620" w:type="dxa"/>
            <w:vAlign w:val="bottom"/>
          </w:tcPr>
          <w:p>
            <w:pPr>
              <w:spacing w:after="0"/>
              <w:rPr>
                <w:sz w:val="9"/>
                <w:szCs w:val="9"/>
                <w:color w:val="auto"/>
              </w:rPr>
            </w:pPr>
          </w:p>
        </w:tc>
        <w:tc>
          <w:tcPr>
            <w:tcW w:w="600" w:type="dxa"/>
            <w:vAlign w:val="bottom"/>
          </w:tcPr>
          <w:p>
            <w:pPr>
              <w:spacing w:after="0"/>
              <w:rPr>
                <w:sz w:val="9"/>
                <w:szCs w:val="9"/>
                <w:color w:val="auto"/>
              </w:rPr>
            </w:pPr>
          </w:p>
        </w:tc>
        <w:tc>
          <w:tcPr>
            <w:tcW w:w="600" w:type="dxa"/>
            <w:vAlign w:val="bottom"/>
          </w:tcPr>
          <w:p>
            <w:pPr>
              <w:jc w:val="center"/>
              <w:ind w:left="91"/>
              <w:spacing w:after="0"/>
              <w:rPr>
                <w:sz w:val="20"/>
                <w:szCs w:val="20"/>
                <w:color w:val="auto"/>
              </w:rPr>
            </w:pPr>
            <w:r>
              <w:rPr>
                <w:rFonts w:ascii="Times New Roman" w:cs="Times New Roman" w:eastAsia="Times New Roman" w:hAnsi="Times New Roman"/>
                <w:sz w:val="8"/>
                <w:szCs w:val="8"/>
                <w:b w:val="1"/>
                <w:bCs w:val="1"/>
                <w:color w:val="005AFF"/>
              </w:rPr>
              <w:t>Weighted</w:t>
            </w:r>
          </w:p>
        </w:tc>
        <w:tc>
          <w:tcPr>
            <w:tcW w:w="600" w:type="dxa"/>
            <w:vAlign w:val="bottom"/>
          </w:tcPr>
          <w:p>
            <w:pPr>
              <w:spacing w:after="0"/>
              <w:rPr>
                <w:sz w:val="9"/>
                <w:szCs w:val="9"/>
                <w:color w:val="auto"/>
              </w:rPr>
            </w:pPr>
          </w:p>
        </w:tc>
        <w:tc>
          <w:tcPr>
            <w:tcW w:w="600" w:type="dxa"/>
            <w:vAlign w:val="bottom"/>
          </w:tcPr>
          <w:p>
            <w:pPr>
              <w:spacing w:after="0"/>
              <w:rPr>
                <w:sz w:val="9"/>
                <w:szCs w:val="9"/>
                <w:color w:val="auto"/>
              </w:rPr>
            </w:pP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Between 3</w:t>
            </w:r>
          </w:p>
        </w:tc>
        <w:tc>
          <w:tcPr>
            <w:tcW w:w="820" w:type="dxa"/>
            <w:vAlign w:val="bottom"/>
          </w:tcPr>
          <w:p>
            <w:pPr>
              <w:spacing w:after="0"/>
              <w:rPr>
                <w:sz w:val="9"/>
                <w:szCs w:val="9"/>
                <w:color w:val="auto"/>
              </w:rPr>
            </w:pPr>
          </w:p>
        </w:tc>
        <w:tc>
          <w:tcPr>
            <w:tcW w:w="380" w:type="dxa"/>
            <w:vAlign w:val="bottom"/>
          </w:tcPr>
          <w:p>
            <w:pPr>
              <w:spacing w:after="0"/>
              <w:rPr>
                <w:sz w:val="9"/>
                <w:szCs w:val="9"/>
                <w:color w:val="auto"/>
              </w:rPr>
            </w:pPr>
          </w:p>
        </w:tc>
      </w:tr>
      <w:tr>
        <w:trPr>
          <w:trHeight w:val="91"/>
        </w:trPr>
        <w:tc>
          <w:tcPr>
            <w:tcW w:w="1880" w:type="dxa"/>
            <w:vAlign w:val="bottom"/>
          </w:tcPr>
          <w:p>
            <w:pPr>
              <w:spacing w:after="0"/>
              <w:rPr>
                <w:sz w:val="7"/>
                <w:szCs w:val="7"/>
                <w:color w:val="auto"/>
              </w:rPr>
            </w:pPr>
          </w:p>
        </w:tc>
        <w:tc>
          <w:tcPr>
            <w:tcW w:w="620" w:type="dxa"/>
            <w:vAlign w:val="bottom"/>
          </w:tcPr>
          <w:p>
            <w:pPr>
              <w:spacing w:after="0"/>
              <w:rPr>
                <w:sz w:val="7"/>
                <w:szCs w:val="7"/>
                <w:color w:val="auto"/>
              </w:rPr>
            </w:pPr>
          </w:p>
        </w:tc>
        <w:tc>
          <w:tcPr>
            <w:tcW w:w="60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Fair value</w:t>
            </w:r>
          </w:p>
        </w:tc>
        <w:tc>
          <w:tcPr>
            <w:tcW w:w="600" w:type="dxa"/>
            <w:vAlign w:val="bottom"/>
          </w:tcPr>
          <w:p>
            <w:pPr>
              <w:ind w:left="260"/>
              <w:spacing w:after="0"/>
              <w:rPr>
                <w:sz w:val="20"/>
                <w:szCs w:val="20"/>
                <w:color w:val="auto"/>
              </w:rPr>
            </w:pPr>
            <w:r>
              <w:rPr>
                <w:rFonts w:ascii="Times New Roman" w:cs="Times New Roman" w:eastAsia="Times New Roman" w:hAnsi="Times New Roman"/>
                <w:sz w:val="8"/>
                <w:szCs w:val="8"/>
                <w:b w:val="1"/>
                <w:bCs w:val="1"/>
                <w:color w:val="005AFF"/>
              </w:rPr>
              <w:t>average</w:t>
            </w:r>
          </w:p>
        </w:tc>
        <w:tc>
          <w:tcPr>
            <w:tcW w:w="600" w:type="dxa"/>
            <w:vAlign w:val="bottom"/>
          </w:tcPr>
          <w:p>
            <w:pPr>
              <w:spacing w:after="0"/>
              <w:rPr>
                <w:sz w:val="7"/>
                <w:szCs w:val="7"/>
                <w:color w:val="auto"/>
              </w:rPr>
            </w:pPr>
          </w:p>
        </w:tc>
        <w:tc>
          <w:tcPr>
            <w:tcW w:w="600" w:type="dxa"/>
            <w:vAlign w:val="bottom"/>
          </w:tcPr>
          <w:p>
            <w:pPr>
              <w:ind w:left="240"/>
              <w:spacing w:after="0"/>
              <w:rPr>
                <w:sz w:val="20"/>
                <w:szCs w:val="20"/>
                <w:color w:val="auto"/>
              </w:rPr>
            </w:pPr>
            <w:r>
              <w:rPr>
                <w:rFonts w:ascii="Times New Roman" w:cs="Times New Roman" w:eastAsia="Times New Roman" w:hAnsi="Times New Roman"/>
                <w:sz w:val="8"/>
                <w:szCs w:val="8"/>
                <w:b w:val="1"/>
                <w:bCs w:val="1"/>
                <w:color w:val="005AFF"/>
              </w:rPr>
              <w:t>Within 3</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and 12</w:t>
            </w:r>
          </w:p>
        </w:tc>
        <w:tc>
          <w:tcPr>
            <w:tcW w:w="820" w:type="dxa"/>
            <w:vAlign w:val="bottom"/>
          </w:tcPr>
          <w:p>
            <w:pPr>
              <w:jc w:val="right"/>
              <w:ind w:right="251"/>
              <w:spacing w:after="0"/>
              <w:rPr>
                <w:sz w:val="20"/>
                <w:szCs w:val="20"/>
                <w:color w:val="auto"/>
              </w:rPr>
            </w:pPr>
            <w:r>
              <w:rPr>
                <w:rFonts w:ascii="Times New Roman" w:cs="Times New Roman" w:eastAsia="Times New Roman" w:hAnsi="Times New Roman"/>
                <w:sz w:val="8"/>
                <w:szCs w:val="8"/>
                <w:b w:val="1"/>
                <w:bCs w:val="1"/>
                <w:color w:val="005AFF"/>
              </w:rPr>
              <w:t>Between 1</w:t>
            </w:r>
          </w:p>
        </w:tc>
        <w:tc>
          <w:tcPr>
            <w:tcW w:w="38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w w:val="94"/>
              </w:rPr>
              <w:t>Beyond 3</w:t>
            </w:r>
          </w:p>
        </w:tc>
      </w:tr>
      <w:tr>
        <w:trPr>
          <w:trHeight w:val="114"/>
        </w:trPr>
        <w:tc>
          <w:tcPr>
            <w:tcW w:w="1880" w:type="dxa"/>
            <w:vAlign w:val="bottom"/>
            <w:tcBorders>
              <w:bottom w:val="single" w:sz="8" w:color="005AFF"/>
            </w:tcBorders>
          </w:tcPr>
          <w:p>
            <w:pPr>
              <w:spacing w:after="0"/>
              <w:rPr>
                <w:sz w:val="9"/>
                <w:szCs w:val="9"/>
                <w:color w:val="auto"/>
              </w:rPr>
            </w:pPr>
          </w:p>
        </w:tc>
        <w:tc>
          <w:tcPr>
            <w:tcW w:w="62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8"/>
                <w:szCs w:val="8"/>
                <w:b w:val="1"/>
                <w:bCs w:val="1"/>
                <w:color w:val="005AFF"/>
              </w:rPr>
              <w:t>Currency</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(EURm)</w:t>
            </w:r>
          </w:p>
        </w:tc>
        <w:tc>
          <w:tcPr>
            <w:tcW w:w="600" w:type="dxa"/>
            <w:vAlign w:val="bottom"/>
            <w:tcBorders>
              <w:bottom w:val="single" w:sz="8" w:color="005AFF"/>
            </w:tcBorders>
          </w:tcPr>
          <w:p>
            <w:pPr>
              <w:ind w:left="100"/>
              <w:spacing w:after="0"/>
              <w:rPr>
                <w:sz w:val="20"/>
                <w:szCs w:val="20"/>
                <w:color w:val="auto"/>
              </w:rPr>
            </w:pPr>
            <w:r>
              <w:rPr>
                <w:rFonts w:ascii="Times New Roman" w:cs="Times New Roman" w:eastAsia="Times New Roman" w:hAnsi="Times New Roman"/>
                <w:sz w:val="8"/>
                <w:szCs w:val="8"/>
                <w:b w:val="1"/>
                <w:bCs w:val="1"/>
                <w:color w:val="005AFF"/>
              </w:rPr>
              <w:t>hedged rate</w:t>
            </w:r>
          </w:p>
        </w:tc>
        <w:tc>
          <w:tcPr>
            <w:tcW w:w="6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60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months</w:t>
            </w:r>
          </w:p>
        </w:tc>
        <w:tc>
          <w:tcPr>
            <w:tcW w:w="5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months</w:t>
            </w:r>
          </w:p>
        </w:tc>
        <w:tc>
          <w:tcPr>
            <w:tcW w:w="820" w:type="dxa"/>
            <w:vAlign w:val="bottom"/>
            <w:tcBorders>
              <w:bottom w:val="single" w:sz="8" w:color="005AFF"/>
            </w:tcBorders>
          </w:tcPr>
          <w:p>
            <w:pPr>
              <w:jc w:val="right"/>
              <w:ind w:right="231"/>
              <w:spacing w:after="0"/>
              <w:rPr>
                <w:sz w:val="20"/>
                <w:szCs w:val="20"/>
                <w:color w:val="auto"/>
              </w:rPr>
            </w:pPr>
            <w:r>
              <w:rPr>
                <w:rFonts w:ascii="Times New Roman" w:cs="Times New Roman" w:eastAsia="Times New Roman" w:hAnsi="Times New Roman"/>
                <w:sz w:val="8"/>
                <w:szCs w:val="8"/>
                <w:b w:val="1"/>
                <w:bCs w:val="1"/>
                <w:color w:val="005AFF"/>
              </w:rPr>
              <w:t>and 3 years</w:t>
            </w:r>
          </w:p>
        </w:tc>
        <w:tc>
          <w:tcPr>
            <w:tcW w:w="38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years</w:t>
            </w:r>
          </w:p>
        </w:tc>
      </w:tr>
      <w:tr>
        <w:trPr>
          <w:trHeight w:val="140"/>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620" w:type="dxa"/>
            <w:vAlign w:val="bottom"/>
          </w:tcPr>
          <w:p>
            <w:pPr>
              <w:spacing w:after="0"/>
              <w:rPr>
                <w:sz w:val="12"/>
                <w:szCs w:val="12"/>
                <w:color w:val="auto"/>
              </w:rPr>
            </w:pPr>
          </w:p>
        </w:tc>
        <w:tc>
          <w:tcPr>
            <w:tcW w:w="600" w:type="dxa"/>
            <w:vAlign w:val="bottom"/>
            <w:shd w:val="clear" w:color="auto" w:fill="F0F5FF"/>
          </w:tcPr>
          <w:p>
            <w:pPr>
              <w:spacing w:after="0"/>
              <w:rPr>
                <w:sz w:val="12"/>
                <w:szCs w:val="12"/>
                <w:color w:val="auto"/>
              </w:rPr>
            </w:pPr>
          </w:p>
        </w:tc>
        <w:tc>
          <w:tcPr>
            <w:tcW w:w="600" w:type="dxa"/>
            <w:vAlign w:val="bottom"/>
            <w:shd w:val="clear" w:color="auto" w:fill="F0F5FF"/>
          </w:tcPr>
          <w:p>
            <w:pPr>
              <w:spacing w:after="0"/>
              <w:rPr>
                <w:sz w:val="12"/>
                <w:szCs w:val="12"/>
                <w:color w:val="auto"/>
              </w:rPr>
            </w:pPr>
          </w:p>
        </w:tc>
        <w:tc>
          <w:tcPr>
            <w:tcW w:w="600" w:type="dxa"/>
            <w:vAlign w:val="bottom"/>
            <w:shd w:val="clear" w:color="auto" w:fill="F0F5FF"/>
          </w:tcPr>
          <w:p>
            <w:pPr>
              <w:spacing w:after="0"/>
              <w:rPr>
                <w:sz w:val="12"/>
                <w:szCs w:val="12"/>
                <w:color w:val="auto"/>
              </w:rPr>
            </w:pPr>
          </w:p>
        </w:tc>
        <w:tc>
          <w:tcPr>
            <w:tcW w:w="600" w:type="dxa"/>
            <w:vAlign w:val="bottom"/>
            <w:shd w:val="clear" w:color="auto" w:fill="F0F5FF"/>
          </w:tcPr>
          <w:p>
            <w:pPr>
              <w:spacing w:after="0"/>
              <w:rPr>
                <w:sz w:val="12"/>
                <w:szCs w:val="12"/>
                <w:color w:val="auto"/>
              </w:rPr>
            </w:pPr>
          </w:p>
        </w:tc>
        <w:tc>
          <w:tcPr>
            <w:tcW w:w="580" w:type="dxa"/>
            <w:vAlign w:val="bottom"/>
            <w:shd w:val="clear" w:color="auto" w:fill="F0F5FF"/>
          </w:tcPr>
          <w:p>
            <w:pPr>
              <w:spacing w:after="0"/>
              <w:rPr>
                <w:sz w:val="12"/>
                <w:szCs w:val="12"/>
                <w:color w:val="auto"/>
              </w:rPr>
            </w:pPr>
          </w:p>
        </w:tc>
        <w:tc>
          <w:tcPr>
            <w:tcW w:w="820" w:type="dxa"/>
            <w:vAlign w:val="bottom"/>
            <w:shd w:val="clear" w:color="auto" w:fill="F0F5FF"/>
          </w:tcPr>
          <w:p>
            <w:pPr>
              <w:spacing w:after="0"/>
              <w:rPr>
                <w:sz w:val="12"/>
                <w:szCs w:val="12"/>
                <w:color w:val="auto"/>
              </w:rPr>
            </w:pPr>
          </w:p>
        </w:tc>
        <w:tc>
          <w:tcPr>
            <w:tcW w:w="380" w:type="dxa"/>
            <w:vAlign w:val="bottom"/>
            <w:shd w:val="clear" w:color="auto" w:fill="F0F5FF"/>
          </w:tcPr>
          <w:p>
            <w:pPr>
              <w:spacing w:after="0"/>
              <w:rPr>
                <w:sz w:val="12"/>
                <w:szCs w:val="12"/>
                <w:color w:val="auto"/>
              </w:rPr>
            </w:pPr>
          </w:p>
        </w:tc>
      </w:tr>
      <w:tr>
        <w:trPr>
          <w:trHeight w:val="162"/>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 hedge accounting</w:t>
            </w: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GBP</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600" w:type="dxa"/>
            <w:vAlign w:val="bottom"/>
            <w:shd w:val="clear" w:color="auto" w:fill="F0F5FF"/>
          </w:tcPr>
          <w:p>
            <w:pPr>
              <w:jc w:val="center"/>
              <w:ind w:left="71"/>
              <w:spacing w:after="0"/>
              <w:rPr>
                <w:sz w:val="20"/>
                <w:szCs w:val="20"/>
                <w:color w:val="auto"/>
              </w:rPr>
            </w:pPr>
            <w:r>
              <w:rPr>
                <w:rFonts w:ascii="Times New Roman" w:cs="Times New Roman" w:eastAsia="Times New Roman" w:hAnsi="Times New Roman"/>
                <w:sz w:val="10"/>
                <w:szCs w:val="10"/>
                <w:color w:val="005AFF"/>
              </w:rPr>
              <w:t>0.8640</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(219)</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(63)</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(156)</w:t>
            </w:r>
          </w:p>
        </w:tc>
        <w:tc>
          <w:tcPr>
            <w:tcW w:w="82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5</w:t>
            </w:r>
          </w:p>
        </w:tc>
        <w:tc>
          <w:tcPr>
            <w:tcW w:w="600" w:type="dxa"/>
            <w:vAlign w:val="bottom"/>
            <w:shd w:val="clear" w:color="auto" w:fill="F0F5FF"/>
          </w:tcPr>
          <w:p>
            <w:pPr>
              <w:jc w:val="center"/>
              <w:ind w:left="71"/>
              <w:spacing w:after="0"/>
              <w:rPr>
                <w:sz w:val="20"/>
                <w:szCs w:val="20"/>
                <w:color w:val="auto"/>
              </w:rPr>
            </w:pPr>
            <w:r>
              <w:rPr>
                <w:rFonts w:ascii="Times New Roman" w:cs="Times New Roman" w:eastAsia="Times New Roman" w:hAnsi="Times New Roman"/>
                <w:sz w:val="10"/>
                <w:szCs w:val="10"/>
                <w:color w:val="005AFF"/>
              </w:rPr>
              <w:t>1.0881</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(860)</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(231)</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(629)</w:t>
            </w:r>
          </w:p>
        </w:tc>
        <w:tc>
          <w:tcPr>
            <w:tcW w:w="82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600" w:type="dxa"/>
            <w:vAlign w:val="bottom"/>
            <w:shd w:val="clear" w:color="auto" w:fill="F0F5FF"/>
          </w:tcPr>
          <w:p>
            <w:pPr>
              <w:jc w:val="center"/>
              <w:ind w:left="71"/>
              <w:spacing w:after="0"/>
              <w:rPr>
                <w:sz w:val="20"/>
                <w:szCs w:val="20"/>
                <w:color w:val="auto"/>
              </w:rPr>
            </w:pPr>
            <w:r>
              <w:rPr>
                <w:rFonts w:ascii="Times New Roman" w:cs="Times New Roman" w:eastAsia="Times New Roman" w:hAnsi="Times New Roman"/>
                <w:sz w:val="10"/>
                <w:szCs w:val="10"/>
                <w:color w:val="005AFF"/>
              </w:rPr>
              <w:t>1.0832</w:t>
            </w:r>
          </w:p>
        </w:tc>
        <w:tc>
          <w:tcPr>
            <w:tcW w:w="60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257</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119</w:t>
            </w:r>
          </w:p>
        </w:tc>
        <w:tc>
          <w:tcPr>
            <w:tcW w:w="820" w:type="dxa"/>
            <w:vAlign w:val="bottom"/>
            <w:shd w:val="clear" w:color="auto" w:fill="F0F5FF"/>
          </w:tcPr>
          <w:p>
            <w:pPr>
              <w:jc w:val="right"/>
              <w:ind w:right="231"/>
              <w:spacing w:after="0"/>
              <w:rPr>
                <w:sz w:val="20"/>
                <w:szCs w:val="20"/>
                <w:color w:val="auto"/>
              </w:rPr>
            </w:pPr>
            <w:r>
              <w:rPr>
                <w:rFonts w:ascii="Times New Roman" w:cs="Times New Roman" w:eastAsia="Times New Roman" w:hAnsi="Times New Roman"/>
                <w:sz w:val="10"/>
                <w:szCs w:val="10"/>
                <w:color w:val="005AFF"/>
              </w:rPr>
              <w:t>131</w:t>
            </w:r>
          </w:p>
        </w:tc>
        <w:tc>
          <w:tcPr>
            <w:tcW w:w="380" w:type="dxa"/>
            <w:vAlign w:val="bottom"/>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7</w:t>
            </w:r>
          </w:p>
        </w:tc>
      </w:tr>
      <w:tr>
        <w:trPr>
          <w:trHeight w:val="324"/>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hedge accounting</w:t>
            </w: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CNY</w:t>
            </w:r>
          </w:p>
        </w:tc>
        <w:tc>
          <w:tcPr>
            <w:tcW w:w="60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w:t>
            </w:r>
          </w:p>
        </w:tc>
        <w:tc>
          <w:tcPr>
            <w:tcW w:w="600" w:type="dxa"/>
            <w:vAlign w:val="bottom"/>
            <w:shd w:val="clear" w:color="auto" w:fill="F0F5FF"/>
          </w:tcPr>
          <w:p>
            <w:pPr>
              <w:jc w:val="center"/>
              <w:ind w:left="71"/>
              <w:spacing w:after="0"/>
              <w:rPr>
                <w:sz w:val="20"/>
                <w:szCs w:val="20"/>
                <w:color w:val="auto"/>
              </w:rPr>
            </w:pPr>
            <w:r>
              <w:rPr>
                <w:rFonts w:ascii="Times New Roman" w:cs="Times New Roman" w:eastAsia="Times New Roman" w:hAnsi="Times New Roman"/>
                <w:sz w:val="10"/>
                <w:szCs w:val="10"/>
                <w:color w:val="005AFF"/>
              </w:rPr>
              <w:t>7.8152</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(788)</w:t>
            </w:r>
          </w:p>
        </w:tc>
        <w:tc>
          <w:tcPr>
            <w:tcW w:w="6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(788)</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820" w:type="dxa"/>
            <w:vAlign w:val="bottom"/>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w:t>
            </w:r>
          </w:p>
        </w:tc>
        <w:tc>
          <w:tcPr>
            <w:tcW w:w="3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329"/>
        </w:trPr>
        <w:tc>
          <w:tcPr>
            <w:tcW w:w="1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Fair value hedge accounting for FX risk</w:t>
            </w:r>
          </w:p>
        </w:tc>
        <w:tc>
          <w:tcPr>
            <w:tcW w:w="620" w:type="dxa"/>
            <w:vAlign w:val="bottom"/>
            <w:tcBorders>
              <w:bottom w:val="single" w:sz="8" w:color="005AFF"/>
            </w:tcBorders>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(45)</w:t>
            </w:r>
          </w:p>
        </w:tc>
        <w:tc>
          <w:tcPr>
            <w:tcW w:w="600" w:type="dxa"/>
            <w:vAlign w:val="bottom"/>
            <w:tcBorders>
              <w:bottom w:val="single" w:sz="8" w:color="005AFF"/>
            </w:tcBorders>
            <w:shd w:val="clear" w:color="auto" w:fill="F0F5FF"/>
          </w:tcPr>
          <w:p>
            <w:pPr>
              <w:jc w:val="center"/>
              <w:ind w:left="71"/>
              <w:spacing w:after="0"/>
              <w:rPr>
                <w:sz w:val="20"/>
                <w:szCs w:val="20"/>
                <w:color w:val="auto"/>
              </w:rPr>
            </w:pPr>
            <w:r>
              <w:rPr>
                <w:rFonts w:ascii="Times New Roman" w:cs="Times New Roman" w:eastAsia="Times New Roman" w:hAnsi="Times New Roman"/>
                <w:sz w:val="10"/>
                <w:szCs w:val="10"/>
                <w:color w:val="005AFF"/>
              </w:rPr>
              <w:t>1.1196</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(1 354)</w:t>
            </w:r>
          </w:p>
        </w:tc>
        <w:tc>
          <w:tcPr>
            <w:tcW w:w="6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(427)</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(301)</w:t>
            </w:r>
          </w:p>
        </w:tc>
        <w:tc>
          <w:tcPr>
            <w:tcW w:w="820" w:type="dxa"/>
            <w:vAlign w:val="bottom"/>
            <w:tcBorders>
              <w:bottom w:val="single" w:sz="8" w:color="005AFF"/>
            </w:tcBorders>
            <w:shd w:val="clear" w:color="auto" w:fill="F0F5FF"/>
          </w:tcPr>
          <w:p>
            <w:pPr>
              <w:jc w:val="right"/>
              <w:ind w:right="191"/>
              <w:spacing w:after="0"/>
              <w:rPr>
                <w:sz w:val="20"/>
                <w:szCs w:val="20"/>
                <w:color w:val="auto"/>
              </w:rPr>
            </w:pPr>
            <w:r>
              <w:rPr>
                <w:rFonts w:ascii="Times New Roman" w:cs="Times New Roman" w:eastAsia="Times New Roman" w:hAnsi="Times New Roman"/>
                <w:sz w:val="10"/>
                <w:szCs w:val="10"/>
                <w:color w:val="005AFF"/>
              </w:rPr>
              <w:t>(616)</w:t>
            </w:r>
          </w:p>
        </w:tc>
        <w:tc>
          <w:tcPr>
            <w:tcW w:w="3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w:t>
            </w:r>
          </w:p>
        </w:tc>
      </w:tr>
      <w:tr>
        <w:trPr>
          <w:trHeight w:val="137"/>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62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820" w:type="dxa"/>
            <w:vAlign w:val="bottom"/>
          </w:tcPr>
          <w:p>
            <w:pPr>
              <w:spacing w:after="0"/>
              <w:rPr>
                <w:sz w:val="11"/>
                <w:szCs w:val="11"/>
                <w:color w:val="auto"/>
              </w:rPr>
            </w:pPr>
          </w:p>
        </w:tc>
        <w:tc>
          <w:tcPr>
            <w:tcW w:w="380" w:type="dxa"/>
            <w:vAlign w:val="bottom"/>
          </w:tcPr>
          <w:p>
            <w:pPr>
              <w:spacing w:after="0"/>
              <w:rPr>
                <w:sz w:val="11"/>
                <w:szCs w:val="11"/>
                <w:color w:val="auto"/>
              </w:rPr>
            </w:pPr>
          </w:p>
        </w:tc>
      </w:tr>
      <w:tr>
        <w:trPr>
          <w:trHeight w:val="162"/>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 hedge accounting</w:t>
            </w: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GBP</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c>
          <w:tcPr>
            <w:tcW w:w="600" w:type="dxa"/>
            <w:vAlign w:val="bottom"/>
          </w:tcPr>
          <w:p>
            <w:pPr>
              <w:jc w:val="center"/>
              <w:ind w:left="71"/>
              <w:spacing w:after="0"/>
              <w:rPr>
                <w:sz w:val="20"/>
                <w:szCs w:val="20"/>
                <w:color w:val="auto"/>
              </w:rPr>
            </w:pPr>
            <w:r>
              <w:rPr>
                <w:rFonts w:ascii="Times New Roman" w:cs="Times New Roman" w:eastAsia="Times New Roman" w:hAnsi="Times New Roman"/>
                <w:sz w:val="10"/>
                <w:szCs w:val="10"/>
                <w:color w:val="0D0D0D"/>
              </w:rPr>
              <w:t>0.8593</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(235)</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(76)</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(159)</w:t>
            </w:r>
          </w:p>
        </w:tc>
        <w:tc>
          <w:tcPr>
            <w:tcW w:w="82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JPY</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w:t>
            </w:r>
          </w:p>
        </w:tc>
        <w:tc>
          <w:tcPr>
            <w:tcW w:w="60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138.8404</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(235)</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(66)</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(169)</w:t>
            </w:r>
          </w:p>
        </w:tc>
        <w:tc>
          <w:tcPr>
            <w:tcW w:w="82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22</w:t>
            </w:r>
          </w:p>
        </w:tc>
        <w:tc>
          <w:tcPr>
            <w:tcW w:w="600" w:type="dxa"/>
            <w:vAlign w:val="bottom"/>
          </w:tcPr>
          <w:p>
            <w:pPr>
              <w:jc w:val="center"/>
              <w:ind w:left="71"/>
              <w:spacing w:after="0"/>
              <w:rPr>
                <w:sz w:val="20"/>
                <w:szCs w:val="20"/>
                <w:color w:val="auto"/>
              </w:rPr>
            </w:pPr>
            <w:r>
              <w:rPr>
                <w:rFonts w:ascii="Times New Roman" w:cs="Times New Roman" w:eastAsia="Times New Roman" w:hAnsi="Times New Roman"/>
                <w:sz w:val="10"/>
                <w:szCs w:val="10"/>
                <w:color w:val="0D0D0D"/>
              </w:rPr>
              <w:t>1.0394</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(1 261)</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(347)</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(914)</w:t>
            </w:r>
          </w:p>
        </w:tc>
        <w:tc>
          <w:tcPr>
            <w:tcW w:w="82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12</w:t>
            </w:r>
          </w:p>
        </w:tc>
        <w:tc>
          <w:tcPr>
            <w:tcW w:w="600" w:type="dxa"/>
            <w:vAlign w:val="bottom"/>
          </w:tcPr>
          <w:p>
            <w:pPr>
              <w:jc w:val="center"/>
              <w:ind w:left="71"/>
              <w:spacing w:after="0"/>
              <w:rPr>
                <w:sz w:val="20"/>
                <w:szCs w:val="20"/>
                <w:color w:val="auto"/>
              </w:rPr>
            </w:pPr>
            <w:r>
              <w:rPr>
                <w:rFonts w:ascii="Times New Roman" w:cs="Times New Roman" w:eastAsia="Times New Roman" w:hAnsi="Times New Roman"/>
                <w:sz w:val="10"/>
                <w:szCs w:val="10"/>
                <w:color w:val="0D0D0D"/>
              </w:rPr>
              <w:t>1.0868</w:t>
            </w:r>
          </w:p>
        </w:tc>
        <w:tc>
          <w:tcPr>
            <w:tcW w:w="6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423</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193</w:t>
            </w:r>
          </w:p>
        </w:tc>
        <w:tc>
          <w:tcPr>
            <w:tcW w:w="820" w:type="dxa"/>
            <w:vAlign w:val="bottom"/>
          </w:tcPr>
          <w:p>
            <w:pPr>
              <w:jc w:val="right"/>
              <w:ind w:right="231"/>
              <w:spacing w:after="0"/>
              <w:rPr>
                <w:sz w:val="20"/>
                <w:szCs w:val="20"/>
                <w:color w:val="auto"/>
              </w:rPr>
            </w:pPr>
            <w:r>
              <w:rPr>
                <w:rFonts w:ascii="Times New Roman" w:cs="Times New Roman" w:eastAsia="Times New Roman" w:hAnsi="Times New Roman"/>
                <w:sz w:val="10"/>
                <w:szCs w:val="10"/>
                <w:color w:val="0D0D0D"/>
              </w:rPr>
              <w:t>217</w:t>
            </w:r>
          </w:p>
        </w:tc>
        <w:tc>
          <w:tcPr>
            <w:tcW w:w="380" w:type="dxa"/>
            <w:vAlign w:val="bottom"/>
          </w:tcPr>
          <w:p>
            <w:pPr>
              <w:jc w:val="right"/>
              <w:ind w:right="12"/>
              <w:spacing w:after="0"/>
              <w:rPr>
                <w:sz w:val="20"/>
                <w:szCs w:val="20"/>
                <w:color w:val="auto"/>
              </w:rPr>
            </w:pPr>
            <w:r>
              <w:rPr>
                <w:rFonts w:ascii="Times New Roman" w:cs="Times New Roman" w:eastAsia="Times New Roman" w:hAnsi="Times New Roman"/>
                <w:sz w:val="10"/>
                <w:szCs w:val="10"/>
                <w:color w:val="0D0D0D"/>
              </w:rPr>
              <w:t>13</w:t>
            </w:r>
          </w:p>
        </w:tc>
      </w:tr>
      <w:tr>
        <w:trPr>
          <w:trHeight w:val="324"/>
        </w:trPr>
        <w:tc>
          <w:tcPr>
            <w:tcW w:w="18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Net investment hedge accounting</w:t>
            </w: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CNY</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w:t>
            </w:r>
          </w:p>
        </w:tc>
        <w:tc>
          <w:tcPr>
            <w:tcW w:w="600" w:type="dxa"/>
            <w:vAlign w:val="bottom"/>
          </w:tcPr>
          <w:p>
            <w:pPr>
              <w:jc w:val="center"/>
              <w:ind w:left="71"/>
              <w:spacing w:after="0"/>
              <w:rPr>
                <w:sz w:val="20"/>
                <w:szCs w:val="20"/>
                <w:color w:val="auto"/>
              </w:rPr>
            </w:pPr>
            <w:r>
              <w:rPr>
                <w:rFonts w:ascii="Times New Roman" w:cs="Times New Roman" w:eastAsia="Times New Roman" w:hAnsi="Times New Roman"/>
                <w:sz w:val="10"/>
                <w:szCs w:val="10"/>
                <w:color w:val="0D0D0D"/>
              </w:rPr>
              <w:t>7.4193</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(866)</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(866)</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2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1880" w:type="dxa"/>
            <w:vAlign w:val="bottom"/>
          </w:tcPr>
          <w:p>
            <w:pPr>
              <w:spacing w:after="0"/>
              <w:rPr>
                <w:sz w:val="14"/>
                <w:szCs w:val="14"/>
                <w:color w:val="auto"/>
              </w:rPr>
            </w:pPr>
          </w:p>
        </w:tc>
        <w:tc>
          <w:tcPr>
            <w:tcW w:w="620" w:type="dxa"/>
            <w:vAlign w:val="bottom"/>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w:t>
            </w:r>
          </w:p>
        </w:tc>
        <w:tc>
          <w:tcPr>
            <w:tcW w:w="600" w:type="dxa"/>
            <w:vAlign w:val="bottom"/>
          </w:tcPr>
          <w:p>
            <w:pPr>
              <w:jc w:val="center"/>
              <w:ind w:left="71"/>
              <w:spacing w:after="0"/>
              <w:rPr>
                <w:sz w:val="20"/>
                <w:szCs w:val="20"/>
                <w:color w:val="auto"/>
              </w:rPr>
            </w:pPr>
            <w:r>
              <w:rPr>
                <w:rFonts w:ascii="Times New Roman" w:cs="Times New Roman" w:eastAsia="Times New Roman" w:hAnsi="Times New Roman"/>
                <w:sz w:val="10"/>
                <w:szCs w:val="10"/>
                <w:color w:val="0D0D0D"/>
              </w:rPr>
              <w:t>1.0563</w:t>
            </w:r>
          </w:p>
        </w:tc>
        <w:tc>
          <w:tcPr>
            <w:tcW w:w="6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(3 007)</w:t>
            </w:r>
          </w:p>
        </w:tc>
        <w:tc>
          <w:tcPr>
            <w:tcW w:w="6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(3 007)</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820" w:type="dxa"/>
            <w:vAlign w:val="bottom"/>
          </w:tcPr>
          <w:p>
            <w:pPr>
              <w:jc w:val="right"/>
              <w:ind w:right="191"/>
              <w:spacing w:after="0"/>
              <w:rPr>
                <w:sz w:val="20"/>
                <w:szCs w:val="20"/>
                <w:color w:val="auto"/>
              </w:rPr>
            </w:pPr>
            <w:r>
              <w:rPr>
                <w:rFonts w:ascii="Times New Roman" w:cs="Times New Roman" w:eastAsia="Times New Roman" w:hAnsi="Times New Roman"/>
                <w:sz w:val="10"/>
                <w:szCs w:val="10"/>
                <w:color w:val="0D0D0D"/>
              </w:rPr>
              <w:t>—</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329"/>
        </w:trPr>
        <w:tc>
          <w:tcPr>
            <w:tcW w:w="18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Fair value hedge accounting for FX risk</w:t>
            </w:r>
          </w:p>
        </w:tc>
        <w:tc>
          <w:tcPr>
            <w:tcW w:w="620" w:type="dxa"/>
            <w:vAlign w:val="bottom"/>
            <w:tcBorders>
              <w:bottom w:val="single" w:sz="8" w:color="005AFF"/>
            </w:tcBorders>
          </w:tcPr>
          <w:p>
            <w:pPr>
              <w:ind w:left="220"/>
              <w:spacing w:after="0"/>
              <w:rPr>
                <w:sz w:val="20"/>
                <w:szCs w:val="20"/>
                <w:color w:val="auto"/>
              </w:rPr>
            </w:pPr>
            <w:r>
              <w:rPr>
                <w:rFonts w:ascii="Times New Roman" w:cs="Times New Roman" w:eastAsia="Times New Roman" w:hAnsi="Times New Roman"/>
                <w:sz w:val="10"/>
                <w:szCs w:val="10"/>
                <w:color w:val="0D0D0D"/>
              </w:rPr>
              <w:t>USD</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(145)</w:t>
            </w:r>
          </w:p>
        </w:tc>
        <w:tc>
          <w:tcPr>
            <w:tcW w:w="600" w:type="dxa"/>
            <w:vAlign w:val="bottom"/>
            <w:tcBorders>
              <w:bottom w:val="single" w:sz="8" w:color="005AFF"/>
            </w:tcBorders>
          </w:tcPr>
          <w:p>
            <w:pPr>
              <w:jc w:val="center"/>
              <w:ind w:left="71"/>
              <w:spacing w:after="0"/>
              <w:rPr>
                <w:sz w:val="20"/>
                <w:szCs w:val="20"/>
                <w:color w:val="auto"/>
              </w:rPr>
            </w:pPr>
            <w:r>
              <w:rPr>
                <w:rFonts w:ascii="Times New Roman" w:cs="Times New Roman" w:eastAsia="Times New Roman" w:hAnsi="Times New Roman"/>
                <w:sz w:val="10"/>
                <w:szCs w:val="10"/>
                <w:color w:val="0D0D0D"/>
              </w:rPr>
              <w:t>1.1358</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(1 456)</w:t>
            </w:r>
          </w:p>
        </w:tc>
        <w:tc>
          <w:tcPr>
            <w:tcW w:w="6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(448)</w:t>
            </w:r>
          </w:p>
        </w:tc>
        <w:tc>
          <w:tcPr>
            <w:tcW w:w="5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(213)</w:t>
            </w:r>
          </w:p>
        </w:tc>
        <w:tc>
          <w:tcPr>
            <w:tcW w:w="820" w:type="dxa"/>
            <w:vAlign w:val="bottom"/>
            <w:tcBorders>
              <w:bottom w:val="single" w:sz="8" w:color="005AFF"/>
            </w:tcBorders>
          </w:tcPr>
          <w:p>
            <w:pPr>
              <w:jc w:val="right"/>
              <w:ind w:right="191"/>
              <w:spacing w:after="0"/>
              <w:rPr>
                <w:sz w:val="20"/>
                <w:szCs w:val="20"/>
                <w:color w:val="auto"/>
              </w:rPr>
            </w:pPr>
            <w:r>
              <w:rPr>
                <w:rFonts w:ascii="Times New Roman" w:cs="Times New Roman" w:eastAsia="Times New Roman" w:hAnsi="Times New Roman"/>
                <w:sz w:val="10"/>
                <w:szCs w:val="10"/>
                <w:color w:val="0D0D0D"/>
              </w:rPr>
              <w:t>(787)</w:t>
            </w:r>
          </w:p>
        </w:tc>
        <w:tc>
          <w:tcPr>
            <w:tcW w:w="3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(8)</w:t>
            </w:r>
          </w:p>
        </w:tc>
      </w:tr>
    </w:tbl>
    <w:p>
      <w:pPr>
        <w:spacing w:after="0" w:line="31" w:lineRule="exact"/>
        <w:rPr>
          <w:sz w:val="20"/>
          <w:szCs w:val="20"/>
          <w:color w:val="auto"/>
        </w:rPr>
      </w:pPr>
    </w:p>
    <w:p>
      <w:pPr>
        <w:ind w:left="240" w:hanging="203"/>
        <w:spacing w:after="0"/>
        <w:tabs>
          <w:tab w:leader="none" w:pos="240" w:val="left"/>
        </w:tabs>
        <w:numPr>
          <w:ilvl w:val="0"/>
          <w:numId w:val="137"/>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Negative notional amounts indicate that hedges sell currency, and positive notional amounts indicate that hedges buy currency.</w:t>
      </w:r>
    </w:p>
    <w:p>
      <w:pPr>
        <w:sectPr>
          <w:pgSz w:w="11900" w:h="16838" w:orient="portrait"/>
          <w:cols w:equalWidth="0" w:num="2">
            <w:col w:w="3120" w:space="280"/>
            <w:col w:w="6680"/>
          </w:cols>
          <w:pgMar w:left="960" w:top="410" w:right="859" w:bottom="1440" w:gutter="0" w:footer="0" w:header="0"/>
        </w:sectPr>
      </w:pPr>
    </w:p>
    <w:bookmarkStart w:id="202" w:name="page203"/>
    <w:bookmarkEnd w:id="202"/>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195</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80"/>
          </w:cols>
          <w:pgMar w:left="960" w:top="410" w:right="8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Interest rate risk</w:t>
      </w:r>
    </w:p>
    <w:p>
      <w:pPr>
        <w:spacing w:after="0" w:line="24"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color w:val="auto"/>
        </w:rPr>
        <w:t>Nokia is exposed to interest rate risk either through market value fluctuations of items on the statement of financial position (price risk) or through changes in interest income or expenses (refinancing or reinvestment risk). Interest rate risk mainly arises through interest-bearing liabilities and assets. Estimated future changes in cash flows and the structure of the statement of financial position also expose Nokia to interest rate risk.</w:t>
      </w:r>
    </w:p>
    <w:p>
      <w:pPr>
        <w:spacing w:after="0" w:line="64" w:lineRule="exact"/>
        <w:rPr>
          <w:sz w:val="20"/>
          <w:szCs w:val="20"/>
          <w:color w:val="auto"/>
        </w:rPr>
      </w:pPr>
    </w:p>
    <w:p>
      <w:pPr>
        <w:ind w:right="20"/>
        <w:spacing w:after="0" w:line="264" w:lineRule="auto"/>
        <w:rPr>
          <w:sz w:val="20"/>
          <w:szCs w:val="20"/>
          <w:color w:val="auto"/>
        </w:rPr>
      </w:pPr>
      <w:r>
        <w:rPr>
          <w:rFonts w:ascii="Times New Roman" w:cs="Times New Roman" w:eastAsia="Times New Roman" w:hAnsi="Times New Roman"/>
          <w:sz w:val="11"/>
          <w:szCs w:val="11"/>
          <w:color w:val="auto"/>
        </w:rPr>
        <w:t>The objective of interest rate risk management is to mitigate adverse impacts arising from interest rate fluctuations on the income statement, cash flow and financial assets and liabilities while taking into consideration Nokia’s target capital structure and the resulting net interest rate exposure. Nokia has entered into long-term borrowings mainly at fixed rates and swapped most of them into floating rates, in line with a defined target interest profile. Nokia has not entered into interest rate swaps where it would be paying fixed rates. Nokia aims to mitigate the adverse impacts from interest rate fluctuations by continuously managing net interest rate exposure arising from financial assets and liabilities, by setting appropriate risk management benchmarks and risk limits.</w:t>
      </w:r>
    </w:p>
    <w:p>
      <w:pPr>
        <w:spacing w:after="0" w:line="62" w:lineRule="exact"/>
        <w:rPr>
          <w:sz w:val="20"/>
          <w:szCs w:val="20"/>
          <w:color w:val="auto"/>
        </w:rPr>
      </w:pPr>
    </w:p>
    <w:p>
      <w:pPr>
        <w:ind w:right="20"/>
        <w:spacing w:after="0" w:line="263" w:lineRule="auto"/>
        <w:rPr>
          <w:sz w:val="20"/>
          <w:szCs w:val="20"/>
          <w:color w:val="auto"/>
        </w:rPr>
      </w:pPr>
      <w:r>
        <w:rPr>
          <w:rFonts w:ascii="Times New Roman" w:cs="Times New Roman" w:eastAsia="Times New Roman" w:hAnsi="Times New Roman"/>
          <w:sz w:val="11"/>
          <w:szCs w:val="11"/>
          <w:color w:val="auto"/>
        </w:rPr>
        <w:t>Treasury monitors and manages interest rate exposure centrally. Nokia uses selective sensitivity analyses to assess and measure interest rate exposure arising from interest-bearing assets, interest-bearing liabilities and related derivatives. Sensitivity analysis determines an estimate of potential</w:t>
      </w:r>
    </w:p>
    <w:p>
      <w:pPr>
        <w:spacing w:after="0" w:line="1" w:lineRule="exact"/>
        <w:rPr>
          <w:sz w:val="20"/>
          <w:szCs w:val="20"/>
          <w:color w:val="auto"/>
        </w:rPr>
      </w:pPr>
    </w:p>
    <w:p>
      <w:pPr>
        <w:spacing w:after="0" w:line="265" w:lineRule="auto"/>
        <w:rPr>
          <w:sz w:val="20"/>
          <w:szCs w:val="20"/>
          <w:color w:val="auto"/>
        </w:rPr>
      </w:pPr>
      <w:r>
        <w:rPr>
          <w:rFonts w:ascii="Times New Roman" w:cs="Times New Roman" w:eastAsia="Times New Roman" w:hAnsi="Times New Roman"/>
          <w:sz w:val="11"/>
          <w:szCs w:val="11"/>
          <w:color w:val="auto"/>
        </w:rPr>
        <w:t>fair value changes in market risk-sensitive instruments by varying interest rates in currencies in which Nokia has material amounts of financial assets and liabilities while keeping all other variables constant.</w:t>
      </w:r>
    </w:p>
    <w:p>
      <w:pPr>
        <w:spacing w:after="0" w:line="62" w:lineRule="exact"/>
        <w:rPr>
          <w:sz w:val="20"/>
          <w:szCs w:val="20"/>
          <w:color w:val="auto"/>
        </w:rPr>
      </w:pPr>
    </w:p>
    <w:p>
      <w:pPr>
        <w:ind w:right="500"/>
        <w:spacing w:after="0" w:line="309" w:lineRule="auto"/>
        <w:rPr>
          <w:sz w:val="20"/>
          <w:szCs w:val="20"/>
          <w:color w:val="auto"/>
        </w:rPr>
      </w:pPr>
      <w:r>
        <w:rPr>
          <w:rFonts w:ascii="Times New Roman" w:cs="Times New Roman" w:eastAsia="Times New Roman" w:hAnsi="Times New Roman"/>
          <w:sz w:val="11"/>
          <w:szCs w:val="11"/>
          <w:color w:val="auto"/>
        </w:rPr>
        <w:t>Sensitivities to credit spreads are not reflected in the sensitivity analysis .</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2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Interest rate profile of items under interest rate risk management at 31 December:</w:t>
      </w:r>
    </w:p>
    <w:p>
      <w:pPr>
        <w:spacing w:after="0" w:line="88"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2840" w:type="dxa"/>
            <w:vAlign w:val="bottom"/>
          </w:tcPr>
          <w:p>
            <w:pPr>
              <w:spacing w:after="0"/>
              <w:rPr>
                <w:sz w:val="9"/>
                <w:szCs w:val="9"/>
                <w:color w:val="auto"/>
              </w:rPr>
            </w:pPr>
          </w:p>
        </w:tc>
        <w:tc>
          <w:tcPr>
            <w:tcW w:w="1160" w:type="dxa"/>
            <w:vAlign w:val="bottom"/>
          </w:tcPr>
          <w:p>
            <w:pPr>
              <w:jc w:val="right"/>
              <w:ind w:right="112"/>
              <w:spacing w:after="0"/>
              <w:rPr>
                <w:sz w:val="20"/>
                <w:szCs w:val="20"/>
                <w:color w:val="auto"/>
              </w:rPr>
            </w:pPr>
            <w:r>
              <w:rPr>
                <w:rFonts w:ascii="Times New Roman" w:cs="Times New Roman" w:eastAsia="Times New Roman" w:hAnsi="Times New Roman"/>
                <w:sz w:val="8"/>
                <w:szCs w:val="8"/>
                <w:b w:val="1"/>
                <w:bCs w:val="1"/>
                <w:color w:val="005AFF"/>
              </w:rPr>
              <w:t>2023</w:t>
            </w:r>
          </w:p>
        </w:tc>
        <w:tc>
          <w:tcPr>
            <w:tcW w:w="720" w:type="dxa"/>
            <w:vAlign w:val="bottom"/>
          </w:tcPr>
          <w:p>
            <w:pPr>
              <w:spacing w:after="0"/>
              <w:rPr>
                <w:sz w:val="9"/>
                <w:szCs w:val="9"/>
                <w:color w:val="auto"/>
              </w:rPr>
            </w:pPr>
          </w:p>
        </w:tc>
        <w:tc>
          <w:tcPr>
            <w:tcW w:w="1200" w:type="dxa"/>
            <w:vAlign w:val="bottom"/>
            <w:gridSpan w:val="2"/>
          </w:tcPr>
          <w:p>
            <w:pPr>
              <w:jc w:val="right"/>
              <w:ind w:right="120"/>
              <w:spacing w:after="0"/>
              <w:rPr>
                <w:sz w:val="20"/>
                <w:szCs w:val="20"/>
                <w:color w:val="auto"/>
              </w:rPr>
            </w:pPr>
            <w:r>
              <w:rPr>
                <w:rFonts w:ascii="Times New Roman" w:cs="Times New Roman" w:eastAsia="Times New Roman" w:hAnsi="Times New Roman"/>
                <w:sz w:val="8"/>
                <w:szCs w:val="8"/>
                <w:b w:val="1"/>
                <w:bCs w:val="1"/>
                <w:color w:val="005AFF"/>
              </w:rPr>
              <w:t>2022</w:t>
            </w:r>
          </w:p>
        </w:tc>
        <w:tc>
          <w:tcPr>
            <w:tcW w:w="720" w:type="dxa"/>
            <w:vAlign w:val="bottom"/>
          </w:tcPr>
          <w:p>
            <w:pPr>
              <w:spacing w:after="0"/>
              <w:rPr>
                <w:sz w:val="9"/>
                <w:szCs w:val="9"/>
                <w:color w:val="auto"/>
              </w:rPr>
            </w:pPr>
          </w:p>
        </w:tc>
      </w:tr>
      <w:tr>
        <w:trPr>
          <w:trHeight w:val="135"/>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160" w:type="dxa"/>
            <w:vAlign w:val="bottom"/>
            <w:tcBorders>
              <w:top w:val="single" w:sz="8" w:color="005AFF"/>
              <w:bottom w:val="single" w:sz="8" w:color="005AFF"/>
            </w:tcBorders>
          </w:tcPr>
          <w:p>
            <w:pPr>
              <w:jc w:val="right"/>
              <w:ind w:right="232"/>
              <w:spacing w:after="0"/>
              <w:rPr>
                <w:sz w:val="20"/>
                <w:szCs w:val="20"/>
                <w:color w:val="auto"/>
              </w:rPr>
            </w:pPr>
            <w:r>
              <w:rPr>
                <w:rFonts w:ascii="Times New Roman" w:cs="Times New Roman" w:eastAsia="Times New Roman" w:hAnsi="Times New Roman"/>
                <w:sz w:val="8"/>
                <w:szCs w:val="8"/>
                <w:b w:val="1"/>
                <w:bCs w:val="1"/>
                <w:color w:val="005AFF"/>
              </w:rPr>
              <w:t>Fixed rate</w:t>
            </w:r>
          </w:p>
        </w:tc>
        <w:tc>
          <w:tcPr>
            <w:tcW w:w="720" w:type="dxa"/>
            <w:vAlign w:val="bottom"/>
            <w:tcBorders>
              <w:top w:val="single" w:sz="8" w:color="005AFF"/>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Floating rate </w:t>
            </w:r>
            <w:r>
              <w:rPr>
                <w:rFonts w:ascii="Times New Roman" w:cs="Times New Roman" w:eastAsia="Times New Roman" w:hAnsi="Times New Roman"/>
                <w:sz w:val="10"/>
                <w:szCs w:val="10"/>
                <w:b w:val="1"/>
                <w:bCs w:val="1"/>
                <w:color w:val="005AFF"/>
                <w:vertAlign w:val="superscript"/>
              </w:rPr>
              <w:t>(1)</w:t>
            </w:r>
          </w:p>
        </w:tc>
        <w:tc>
          <w:tcPr>
            <w:tcW w:w="40" w:type="dxa"/>
            <w:vAlign w:val="bottom"/>
            <w:tcBorders>
              <w:bottom w:val="single" w:sz="8" w:color="005AFF"/>
            </w:tcBorders>
          </w:tcPr>
          <w:p>
            <w:pPr>
              <w:spacing w:after="0"/>
              <w:rPr>
                <w:sz w:val="11"/>
                <w:szCs w:val="11"/>
                <w:color w:val="auto"/>
              </w:rPr>
            </w:pPr>
          </w:p>
        </w:tc>
        <w:tc>
          <w:tcPr>
            <w:tcW w:w="1160" w:type="dxa"/>
            <w:vAlign w:val="bottom"/>
            <w:tcBorders>
              <w:top w:val="single" w:sz="8" w:color="005AFF"/>
              <w:bottom w:val="single" w:sz="8" w:color="005AFF"/>
            </w:tcBorders>
          </w:tcPr>
          <w:p>
            <w:pPr>
              <w:jc w:val="right"/>
              <w:ind w:right="240"/>
              <w:spacing w:after="0"/>
              <w:rPr>
                <w:sz w:val="20"/>
                <w:szCs w:val="20"/>
                <w:color w:val="auto"/>
              </w:rPr>
            </w:pPr>
            <w:r>
              <w:rPr>
                <w:rFonts w:ascii="Times New Roman" w:cs="Times New Roman" w:eastAsia="Times New Roman" w:hAnsi="Times New Roman"/>
                <w:sz w:val="8"/>
                <w:szCs w:val="8"/>
                <w:b w:val="1"/>
                <w:bCs w:val="1"/>
                <w:color w:val="005AFF"/>
              </w:rPr>
              <w:t>Fixed rate</w:t>
            </w:r>
          </w:p>
        </w:tc>
        <w:tc>
          <w:tcPr>
            <w:tcW w:w="720" w:type="dxa"/>
            <w:vAlign w:val="bottom"/>
            <w:tcBorders>
              <w:top w:val="single" w:sz="8" w:color="005AFF"/>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Floating rate </w:t>
            </w:r>
            <w:r>
              <w:rPr>
                <w:rFonts w:ascii="Times New Roman" w:cs="Times New Roman" w:eastAsia="Times New Roman" w:hAnsi="Times New Roman"/>
                <w:sz w:val="10"/>
                <w:szCs w:val="10"/>
                <w:b w:val="1"/>
                <w:bCs w:val="1"/>
                <w:color w:val="005AFF"/>
                <w:vertAlign w:val="superscript"/>
              </w:rPr>
              <w:t>(1)</w:t>
            </w:r>
          </w:p>
        </w:tc>
      </w:tr>
      <w:tr>
        <w:trPr>
          <w:trHeight w:val="131"/>
        </w:trPr>
        <w:tc>
          <w:tcPr>
            <w:tcW w:w="28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1160" w:type="dxa"/>
            <w:vAlign w:val="bottom"/>
            <w:shd w:val="clear" w:color="auto" w:fill="F0F5FF"/>
          </w:tcPr>
          <w:p>
            <w:pPr>
              <w:jc w:val="right"/>
              <w:ind w:right="252"/>
              <w:spacing w:after="0"/>
              <w:rPr>
                <w:sz w:val="20"/>
                <w:szCs w:val="20"/>
                <w:color w:val="auto"/>
              </w:rPr>
            </w:pPr>
            <w:r>
              <w:rPr>
                <w:rFonts w:ascii="Times New Roman" w:cs="Times New Roman" w:eastAsia="Times New Roman" w:hAnsi="Times New Roman"/>
                <w:sz w:val="10"/>
                <w:szCs w:val="10"/>
                <w:color w:val="005AFF"/>
              </w:rPr>
              <w:t>715</w:t>
            </w:r>
          </w:p>
        </w:tc>
        <w:tc>
          <w:tcPr>
            <w:tcW w:w="72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1200" w:type="dxa"/>
            <w:vAlign w:val="bottom"/>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697</w:t>
            </w:r>
          </w:p>
        </w:tc>
        <w:tc>
          <w:tcPr>
            <w:tcW w:w="72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62"/>
        </w:trPr>
        <w:tc>
          <w:tcPr>
            <w:tcW w:w="28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1160" w:type="dxa"/>
            <w:vAlign w:val="bottom"/>
            <w:shd w:val="clear" w:color="auto" w:fill="F0F5FF"/>
          </w:tcPr>
          <w:p>
            <w:pPr>
              <w:jc w:val="right"/>
              <w:ind w:right="252"/>
              <w:spacing w:after="0"/>
              <w:rPr>
                <w:sz w:val="20"/>
                <w:szCs w:val="20"/>
                <w:color w:val="auto"/>
              </w:rPr>
            </w:pPr>
            <w:r>
              <w:rPr>
                <w:rFonts w:ascii="Times New Roman" w:cs="Times New Roman" w:eastAsia="Times New Roman" w:hAnsi="Times New Roman"/>
                <w:sz w:val="10"/>
                <w:szCs w:val="10"/>
                <w:color w:val="005AFF"/>
              </w:rPr>
              <w:t>510</w:t>
            </w: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1 055</w:t>
            </w:r>
          </w:p>
        </w:tc>
        <w:tc>
          <w:tcPr>
            <w:tcW w:w="1200" w:type="dxa"/>
            <w:vAlign w:val="bottom"/>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912</w:t>
            </w:r>
          </w:p>
        </w:tc>
        <w:tc>
          <w:tcPr>
            <w:tcW w:w="7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2 168</w:t>
            </w:r>
          </w:p>
        </w:tc>
      </w:tr>
      <w:tr>
        <w:trPr>
          <w:trHeight w:val="162"/>
        </w:trPr>
        <w:tc>
          <w:tcPr>
            <w:tcW w:w="28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1160" w:type="dxa"/>
            <w:vAlign w:val="bottom"/>
            <w:shd w:val="clear" w:color="auto" w:fill="F0F5FF"/>
          </w:tcPr>
          <w:p>
            <w:pPr>
              <w:jc w:val="right"/>
              <w:ind w:right="232"/>
              <w:spacing w:after="0"/>
              <w:rPr>
                <w:sz w:val="20"/>
                <w:szCs w:val="20"/>
                <w:color w:val="auto"/>
              </w:rPr>
            </w:pPr>
            <w:r>
              <w:rPr>
                <w:rFonts w:ascii="Times New Roman" w:cs="Times New Roman" w:eastAsia="Times New Roman" w:hAnsi="Times New Roman"/>
                <w:sz w:val="10"/>
                <w:szCs w:val="10"/>
                <w:color w:val="005AFF"/>
              </w:rPr>
              <w:t>55</w:t>
            </w:r>
          </w:p>
        </w:tc>
        <w:tc>
          <w:tcPr>
            <w:tcW w:w="72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6 179</w:t>
            </w:r>
          </w:p>
        </w:tc>
        <w:tc>
          <w:tcPr>
            <w:tcW w:w="1200" w:type="dxa"/>
            <w:vAlign w:val="bottom"/>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346</w:t>
            </w:r>
          </w:p>
        </w:tc>
        <w:tc>
          <w:tcPr>
            <w:tcW w:w="72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5 121</w:t>
            </w:r>
          </w:p>
        </w:tc>
      </w:tr>
      <w:tr>
        <w:trPr>
          <w:trHeight w:val="167"/>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Interest-bearing liabilities</w:t>
            </w:r>
          </w:p>
        </w:tc>
        <w:tc>
          <w:tcPr>
            <w:tcW w:w="1160" w:type="dxa"/>
            <w:vAlign w:val="bottom"/>
            <w:tcBorders>
              <w:bottom w:val="single" w:sz="8" w:color="005AFF"/>
            </w:tcBorders>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color w:val="005AFF"/>
              </w:rPr>
              <w:t>(3 483)</w:t>
            </w: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(708)</w:t>
            </w:r>
          </w:p>
        </w:tc>
        <w:tc>
          <w:tcPr>
            <w:tcW w:w="1200" w:type="dxa"/>
            <w:vAlign w:val="bottom"/>
            <w:tcBorders>
              <w:bottom w:val="single" w:sz="8" w:color="005AFF"/>
            </w:tcBorders>
            <w:gridSpan w:val="2"/>
          </w:tcPr>
          <w:p>
            <w:pPr>
              <w:jc w:val="right"/>
              <w:ind w:right="220"/>
              <w:spacing w:after="0"/>
              <w:rPr>
                <w:sz w:val="20"/>
                <w:szCs w:val="20"/>
                <w:color w:val="auto"/>
              </w:rPr>
            </w:pPr>
            <w:r>
              <w:rPr>
                <w:rFonts w:ascii="Times New Roman" w:cs="Times New Roman" w:eastAsia="Times New Roman" w:hAnsi="Times New Roman"/>
                <w:sz w:val="10"/>
                <w:szCs w:val="10"/>
                <w:color w:val="0D0D0D"/>
              </w:rPr>
              <w:t>(3 658)</w:t>
            </w: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(819)</w:t>
            </w:r>
          </w:p>
        </w:tc>
      </w:tr>
      <w:tr>
        <w:trPr>
          <w:trHeight w:val="142"/>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Financial assets and liabilities before derivatives</w:t>
            </w:r>
          </w:p>
        </w:tc>
        <w:tc>
          <w:tcPr>
            <w:tcW w:w="1160" w:type="dxa"/>
            <w:vAlign w:val="bottom"/>
            <w:tcBorders>
              <w:bottom w:val="single" w:sz="8" w:color="005AFF"/>
            </w:tcBorders>
            <w:shd w:val="clear" w:color="auto" w:fill="F0F5FF"/>
          </w:tcPr>
          <w:p>
            <w:pPr>
              <w:jc w:val="right"/>
              <w:ind w:right="212"/>
              <w:spacing w:after="0"/>
              <w:rPr>
                <w:sz w:val="20"/>
                <w:szCs w:val="20"/>
                <w:color w:val="auto"/>
              </w:rPr>
            </w:pPr>
            <w:r>
              <w:rPr>
                <w:rFonts w:ascii="Times New Roman" w:cs="Times New Roman" w:eastAsia="Times New Roman" w:hAnsi="Times New Roman"/>
                <w:sz w:val="10"/>
                <w:szCs w:val="10"/>
                <w:b w:val="1"/>
                <w:bCs w:val="1"/>
                <w:color w:val="005AFF"/>
              </w:rPr>
              <w:t>(2 203)</w:t>
            </w:r>
          </w:p>
        </w:tc>
        <w:tc>
          <w:tcPr>
            <w:tcW w:w="7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6 526</w:t>
            </w:r>
          </w:p>
        </w:tc>
        <w:tc>
          <w:tcPr>
            <w:tcW w:w="1200" w:type="dxa"/>
            <w:vAlign w:val="bottom"/>
            <w:tcBorders>
              <w:bottom w:val="single" w:sz="8" w:color="005AFF"/>
            </w:tcBorders>
            <w:gridSpan w:val="2"/>
          </w:tcPr>
          <w:p>
            <w:pPr>
              <w:jc w:val="right"/>
              <w:ind w:right="220"/>
              <w:spacing w:after="0"/>
              <w:rPr>
                <w:sz w:val="20"/>
                <w:szCs w:val="20"/>
                <w:color w:val="auto"/>
              </w:rPr>
            </w:pPr>
            <w:r>
              <w:rPr>
                <w:rFonts w:ascii="Times New Roman" w:cs="Times New Roman" w:eastAsia="Times New Roman" w:hAnsi="Times New Roman"/>
                <w:sz w:val="10"/>
                <w:szCs w:val="10"/>
                <w:b w:val="1"/>
                <w:bCs w:val="1"/>
                <w:color w:val="auto"/>
              </w:rPr>
              <w:t>(1 703)</w:t>
            </w:r>
          </w:p>
        </w:tc>
        <w:tc>
          <w:tcPr>
            <w:tcW w:w="7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6 470</w:t>
            </w:r>
          </w:p>
        </w:tc>
      </w:tr>
      <w:tr>
        <w:trPr>
          <w:trHeight w:val="142"/>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Interest rate derivatives</w:t>
            </w:r>
          </w:p>
        </w:tc>
        <w:tc>
          <w:tcPr>
            <w:tcW w:w="1160" w:type="dxa"/>
            <w:vAlign w:val="bottom"/>
            <w:tcBorders>
              <w:bottom w:val="single" w:sz="8" w:color="005AFF"/>
            </w:tcBorders>
            <w:shd w:val="clear" w:color="auto" w:fill="F0F5FF"/>
          </w:tcPr>
          <w:p>
            <w:pPr>
              <w:jc w:val="right"/>
              <w:ind w:right="252"/>
              <w:spacing w:after="0"/>
              <w:rPr>
                <w:sz w:val="20"/>
                <w:szCs w:val="20"/>
                <w:color w:val="auto"/>
              </w:rPr>
            </w:pPr>
            <w:r>
              <w:rPr>
                <w:rFonts w:ascii="Times New Roman" w:cs="Times New Roman" w:eastAsia="Times New Roman" w:hAnsi="Times New Roman"/>
                <w:sz w:val="10"/>
                <w:szCs w:val="10"/>
                <w:color w:val="005AFF"/>
              </w:rPr>
              <w:t>3 057</w:t>
            </w:r>
          </w:p>
        </w:tc>
        <w:tc>
          <w:tcPr>
            <w:tcW w:w="72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(3 057)</w:t>
            </w:r>
          </w:p>
        </w:tc>
        <w:tc>
          <w:tcPr>
            <w:tcW w:w="1200" w:type="dxa"/>
            <w:vAlign w:val="bottom"/>
            <w:tcBorders>
              <w:bottom w:val="single" w:sz="8" w:color="005AFF"/>
            </w:tcBorders>
            <w:gridSpan w:val="2"/>
          </w:tcPr>
          <w:p>
            <w:pPr>
              <w:jc w:val="right"/>
              <w:ind w:right="260"/>
              <w:spacing w:after="0"/>
              <w:rPr>
                <w:sz w:val="20"/>
                <w:szCs w:val="20"/>
                <w:color w:val="auto"/>
              </w:rPr>
            </w:pPr>
            <w:r>
              <w:rPr>
                <w:rFonts w:ascii="Times New Roman" w:cs="Times New Roman" w:eastAsia="Times New Roman" w:hAnsi="Times New Roman"/>
                <w:sz w:val="10"/>
                <w:szCs w:val="10"/>
                <w:color w:val="0D0D0D"/>
              </w:rPr>
              <w:t>3 216</w:t>
            </w:r>
          </w:p>
        </w:tc>
        <w:tc>
          <w:tcPr>
            <w:tcW w:w="72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(3 216)</w:t>
            </w:r>
          </w:p>
        </w:tc>
      </w:tr>
      <w:tr>
        <w:trPr>
          <w:trHeight w:val="142"/>
        </w:trPr>
        <w:tc>
          <w:tcPr>
            <w:tcW w:w="28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Financial assets and liabilities after derivatives</w:t>
            </w:r>
          </w:p>
        </w:tc>
        <w:tc>
          <w:tcPr>
            <w:tcW w:w="1160" w:type="dxa"/>
            <w:vAlign w:val="bottom"/>
            <w:tcBorders>
              <w:bottom w:val="single" w:sz="8" w:color="005AFF"/>
            </w:tcBorders>
            <w:shd w:val="clear" w:color="auto" w:fill="F0F5FF"/>
          </w:tcPr>
          <w:p>
            <w:pPr>
              <w:jc w:val="right"/>
              <w:ind w:right="252"/>
              <w:spacing w:after="0"/>
              <w:rPr>
                <w:sz w:val="20"/>
                <w:szCs w:val="20"/>
                <w:color w:val="auto"/>
              </w:rPr>
            </w:pPr>
            <w:r>
              <w:rPr>
                <w:rFonts w:ascii="Times New Roman" w:cs="Times New Roman" w:eastAsia="Times New Roman" w:hAnsi="Times New Roman"/>
                <w:sz w:val="10"/>
                <w:szCs w:val="10"/>
                <w:b w:val="1"/>
                <w:bCs w:val="1"/>
                <w:color w:val="005AFF"/>
              </w:rPr>
              <w:t>854</w:t>
            </w:r>
          </w:p>
        </w:tc>
        <w:tc>
          <w:tcPr>
            <w:tcW w:w="72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3 469</w:t>
            </w:r>
          </w:p>
        </w:tc>
        <w:tc>
          <w:tcPr>
            <w:tcW w:w="1200" w:type="dxa"/>
            <w:vAlign w:val="bottom"/>
            <w:tcBorders>
              <w:bottom w:val="single" w:sz="8" w:color="005AFF"/>
            </w:tcBorders>
            <w:gridSpan w:val="2"/>
          </w:tcPr>
          <w:p>
            <w:pPr>
              <w:jc w:val="right"/>
              <w:ind w:right="260"/>
              <w:spacing w:after="0"/>
              <w:rPr>
                <w:sz w:val="20"/>
                <w:szCs w:val="20"/>
                <w:color w:val="auto"/>
              </w:rPr>
            </w:pPr>
            <w:r>
              <w:rPr>
                <w:rFonts w:ascii="Times New Roman" w:cs="Times New Roman" w:eastAsia="Times New Roman" w:hAnsi="Times New Roman"/>
                <w:sz w:val="10"/>
                <w:szCs w:val="10"/>
                <w:b w:val="1"/>
                <w:bCs w:val="1"/>
                <w:color w:val="auto"/>
              </w:rPr>
              <w:t>1 513</w:t>
            </w:r>
          </w:p>
        </w:tc>
        <w:tc>
          <w:tcPr>
            <w:tcW w:w="72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3 254</w:t>
            </w:r>
          </w:p>
        </w:tc>
      </w:tr>
    </w:tbl>
    <w:p>
      <w:pPr>
        <w:spacing w:after="0" w:line="21" w:lineRule="exact"/>
        <w:rPr>
          <w:sz w:val="20"/>
          <w:szCs w:val="20"/>
          <w:color w:val="auto"/>
        </w:rPr>
      </w:pPr>
    </w:p>
    <w:p>
      <w:pPr>
        <w:ind w:left="220" w:right="840" w:hanging="183"/>
        <w:spacing w:after="0" w:line="295" w:lineRule="auto"/>
        <w:tabs>
          <w:tab w:leader="none" w:pos="220" w:val="left"/>
        </w:tabs>
        <w:numPr>
          <w:ilvl w:val="0"/>
          <w:numId w:val="13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All cash equivalents and derivative transaction-related collaterals with initial maturity of three months or less are considered floating rate for the purposes of interest rate risk management.</w:t>
      </w:r>
    </w:p>
    <w:p>
      <w:pPr>
        <w:spacing w:after="0" w:line="74" w:lineRule="exact"/>
        <w:rPr>
          <w:sz w:val="20"/>
          <w:szCs w:val="20"/>
          <w:color w:val="auto"/>
        </w:rPr>
      </w:pPr>
    </w:p>
    <w:p>
      <w:pPr>
        <w:jc w:val="both"/>
        <w:ind w:left="40" w:right="760"/>
        <w:spacing w:after="0" w:line="309" w:lineRule="auto"/>
        <w:rPr>
          <w:sz w:val="20"/>
          <w:szCs w:val="20"/>
          <w:color w:val="auto"/>
        </w:rPr>
      </w:pPr>
      <w:r>
        <w:rPr>
          <w:rFonts w:ascii="Times New Roman" w:cs="Times New Roman" w:eastAsia="Times New Roman" w:hAnsi="Times New Roman"/>
          <w:sz w:val="11"/>
          <w:szCs w:val="11"/>
          <w:color w:val="auto"/>
        </w:rPr>
        <w:t>Nokia’s sensitivity to interest rate exposure in the investment and debt portfolios is presented in the fair value column in the table below with simulated impact to the financial statements presented in the profit and other comprehensive income (OCI) columns.</w:t>
      </w:r>
    </w:p>
    <w:p>
      <w:pPr>
        <w:spacing w:after="0" w:line="20"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200" w:type="dxa"/>
            <w:vAlign w:val="bottom"/>
          </w:tcPr>
          <w:p>
            <w:pPr>
              <w:spacing w:after="0"/>
              <w:rPr>
                <w:sz w:val="9"/>
                <w:szCs w:val="9"/>
                <w:color w:val="auto"/>
              </w:rPr>
            </w:pPr>
          </w:p>
        </w:tc>
        <w:tc>
          <w:tcPr>
            <w:tcW w:w="280" w:type="dxa"/>
            <w:vAlign w:val="bottom"/>
          </w:tcPr>
          <w:p>
            <w:pPr>
              <w:spacing w:after="0"/>
              <w:rPr>
                <w:sz w:val="9"/>
                <w:szCs w:val="9"/>
                <w:color w:val="auto"/>
              </w:rPr>
            </w:pPr>
          </w:p>
        </w:tc>
        <w:tc>
          <w:tcPr>
            <w:tcW w:w="1080" w:type="dxa"/>
            <w:vAlign w:val="bottom"/>
          </w:tcPr>
          <w:p>
            <w:pPr>
              <w:spacing w:after="0"/>
              <w:rPr>
                <w:sz w:val="9"/>
                <w:szCs w:val="9"/>
                <w:color w:val="auto"/>
              </w:rPr>
            </w:pPr>
          </w:p>
        </w:tc>
        <w:tc>
          <w:tcPr>
            <w:tcW w:w="680" w:type="dxa"/>
            <w:vAlign w:val="bottom"/>
            <w:tcBorders>
              <w:bottom w:val="single" w:sz="8" w:color="005AFF"/>
            </w:tcBorders>
          </w:tcPr>
          <w:p>
            <w:pPr>
              <w:spacing w:after="0"/>
              <w:rPr>
                <w:sz w:val="9"/>
                <w:szCs w:val="9"/>
                <w:color w:val="auto"/>
              </w:rPr>
            </w:pPr>
          </w:p>
        </w:tc>
        <w:tc>
          <w:tcPr>
            <w:tcW w:w="800" w:type="dxa"/>
            <w:vAlign w:val="bottom"/>
            <w:tcBorders>
              <w:bottom w:val="single" w:sz="8" w:color="005AFF"/>
            </w:tcBorders>
          </w:tcPr>
          <w:p>
            <w:pPr>
              <w:jc w:val="right"/>
              <w:ind w:right="356"/>
              <w:spacing w:after="0"/>
              <w:rPr>
                <w:sz w:val="20"/>
                <w:szCs w:val="20"/>
                <w:color w:val="auto"/>
              </w:rPr>
            </w:pPr>
            <w:r>
              <w:rPr>
                <w:rFonts w:ascii="Times New Roman" w:cs="Times New Roman" w:eastAsia="Times New Roman" w:hAnsi="Times New Roman"/>
                <w:sz w:val="8"/>
                <w:szCs w:val="8"/>
                <w:b w:val="1"/>
                <w:bCs w:val="1"/>
                <w:color w:val="005AFF"/>
              </w:rPr>
              <w:t>2023</w:t>
            </w:r>
          </w:p>
        </w:tc>
        <w:tc>
          <w:tcPr>
            <w:tcW w:w="56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780" w:type="dxa"/>
            <w:vAlign w:val="bottom"/>
            <w:tcBorders>
              <w:bottom w:val="single" w:sz="8" w:color="005AFF"/>
            </w:tcBorders>
          </w:tcPr>
          <w:p>
            <w:pPr>
              <w:spacing w:after="0"/>
              <w:rPr>
                <w:sz w:val="9"/>
                <w:szCs w:val="9"/>
                <w:color w:val="auto"/>
              </w:rPr>
            </w:pPr>
          </w:p>
        </w:tc>
        <w:tc>
          <w:tcPr>
            <w:tcW w:w="700" w:type="dxa"/>
            <w:vAlign w:val="bottom"/>
            <w:tcBorders>
              <w:bottom w:val="single" w:sz="8" w:color="005AFF"/>
            </w:tcBorders>
          </w:tcPr>
          <w:p>
            <w:pPr>
              <w:jc w:val="right"/>
              <w:ind w:right="356"/>
              <w:spacing w:after="0"/>
              <w:rPr>
                <w:sz w:val="20"/>
                <w:szCs w:val="20"/>
                <w:color w:val="auto"/>
              </w:rPr>
            </w:pPr>
            <w:r>
              <w:rPr>
                <w:rFonts w:ascii="Times New Roman" w:cs="Times New Roman" w:eastAsia="Times New Roman" w:hAnsi="Times New Roman"/>
                <w:sz w:val="8"/>
                <w:szCs w:val="8"/>
                <w:b w:val="1"/>
                <w:bCs w:val="1"/>
                <w:color w:val="005AFF"/>
              </w:rPr>
              <w:t>2022</w:t>
            </w:r>
          </w:p>
        </w:tc>
        <w:tc>
          <w:tcPr>
            <w:tcW w:w="560" w:type="dxa"/>
            <w:vAlign w:val="bottom"/>
            <w:tcBorders>
              <w:bottom w:val="single" w:sz="8" w:color="005AFF"/>
            </w:tcBorders>
          </w:tcPr>
          <w:p>
            <w:pPr>
              <w:spacing w:after="0"/>
              <w:rPr>
                <w:sz w:val="9"/>
                <w:szCs w:val="9"/>
                <w:color w:val="auto"/>
              </w:rPr>
            </w:pPr>
          </w:p>
        </w:tc>
      </w:tr>
      <w:tr>
        <w:trPr>
          <w:trHeight w:val="113"/>
        </w:trPr>
        <w:tc>
          <w:tcPr>
            <w:tcW w:w="1200" w:type="dxa"/>
            <w:vAlign w:val="bottom"/>
          </w:tcPr>
          <w:p>
            <w:pPr>
              <w:spacing w:after="0"/>
              <w:rPr>
                <w:sz w:val="9"/>
                <w:szCs w:val="9"/>
                <w:color w:val="auto"/>
              </w:rPr>
            </w:pPr>
          </w:p>
        </w:tc>
        <w:tc>
          <w:tcPr>
            <w:tcW w:w="280" w:type="dxa"/>
            <w:vAlign w:val="bottom"/>
          </w:tcPr>
          <w:p>
            <w:pPr>
              <w:spacing w:after="0"/>
              <w:rPr>
                <w:sz w:val="9"/>
                <w:szCs w:val="9"/>
                <w:color w:val="auto"/>
              </w:rPr>
            </w:pPr>
          </w:p>
        </w:tc>
        <w:tc>
          <w:tcPr>
            <w:tcW w:w="1080" w:type="dxa"/>
            <w:vAlign w:val="bottom"/>
          </w:tcPr>
          <w:p>
            <w:pPr>
              <w:spacing w:after="0"/>
              <w:rPr>
                <w:sz w:val="9"/>
                <w:szCs w:val="9"/>
                <w:color w:val="auto"/>
              </w:rPr>
            </w:pPr>
          </w:p>
        </w:tc>
        <w:tc>
          <w:tcPr>
            <w:tcW w:w="680" w:type="dxa"/>
            <w:vAlign w:val="bottom"/>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Impact on</w:t>
            </w:r>
          </w:p>
        </w:tc>
        <w:tc>
          <w:tcPr>
            <w:tcW w:w="800" w:type="dxa"/>
            <w:vAlign w:val="bottom"/>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Impact on</w:t>
            </w:r>
          </w:p>
        </w:tc>
        <w:tc>
          <w:tcPr>
            <w:tcW w:w="560" w:type="dxa"/>
            <w:vAlign w:val="bottom"/>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Impact on</w:t>
            </w:r>
          </w:p>
        </w:tc>
        <w:tc>
          <w:tcPr>
            <w:tcW w:w="40" w:type="dxa"/>
            <w:vAlign w:val="bottom"/>
          </w:tcPr>
          <w:p>
            <w:pPr>
              <w:spacing w:after="0"/>
              <w:rPr>
                <w:sz w:val="9"/>
                <w:szCs w:val="9"/>
                <w:color w:val="auto"/>
              </w:rPr>
            </w:pPr>
          </w:p>
        </w:tc>
        <w:tc>
          <w:tcPr>
            <w:tcW w:w="780" w:type="dxa"/>
            <w:vAlign w:val="bottom"/>
          </w:tcPr>
          <w:p>
            <w:pPr>
              <w:jc w:val="right"/>
              <w:ind w:right="120"/>
              <w:spacing w:after="0"/>
              <w:rPr>
                <w:sz w:val="20"/>
                <w:szCs w:val="20"/>
                <w:color w:val="auto"/>
              </w:rPr>
            </w:pPr>
            <w:r>
              <w:rPr>
                <w:rFonts w:ascii="Times New Roman" w:cs="Times New Roman" w:eastAsia="Times New Roman" w:hAnsi="Times New Roman"/>
                <w:sz w:val="8"/>
                <w:szCs w:val="8"/>
                <w:b w:val="1"/>
                <w:bCs w:val="1"/>
                <w:color w:val="005AFF"/>
              </w:rPr>
              <w:t>Impact on</w:t>
            </w:r>
          </w:p>
        </w:tc>
        <w:tc>
          <w:tcPr>
            <w:tcW w:w="700" w:type="dxa"/>
            <w:vAlign w:val="bottom"/>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Impact on</w:t>
            </w:r>
          </w:p>
        </w:tc>
        <w:tc>
          <w:tcPr>
            <w:tcW w:w="560" w:type="dxa"/>
            <w:vAlign w:val="bottom"/>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Impact on</w:t>
            </w:r>
          </w:p>
        </w:tc>
      </w:tr>
      <w:tr>
        <w:trPr>
          <w:trHeight w:val="135"/>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280" w:type="dxa"/>
            <w:vAlign w:val="bottom"/>
            <w:tcBorders>
              <w:bottom w:val="single" w:sz="8" w:color="005AFF"/>
            </w:tcBorders>
          </w:tcPr>
          <w:p>
            <w:pPr>
              <w:spacing w:after="0"/>
              <w:rPr>
                <w:sz w:val="11"/>
                <w:szCs w:val="11"/>
                <w:color w:val="auto"/>
              </w:rPr>
            </w:pPr>
          </w:p>
        </w:tc>
        <w:tc>
          <w:tcPr>
            <w:tcW w:w="108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fair value</w:t>
            </w:r>
          </w:p>
        </w:tc>
        <w:tc>
          <w:tcPr>
            <w:tcW w:w="800" w:type="dxa"/>
            <w:vAlign w:val="bottom"/>
            <w:tcBorders>
              <w:bottom w:val="single" w:sz="8" w:color="005AFF"/>
            </w:tcBorders>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profit</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OCI</w:t>
            </w:r>
          </w:p>
        </w:tc>
        <w:tc>
          <w:tcPr>
            <w:tcW w:w="40" w:type="dxa"/>
            <w:vAlign w:val="bottom"/>
            <w:tcBorders>
              <w:bottom w:val="single" w:sz="8" w:color="005AFF"/>
            </w:tcBorders>
          </w:tcPr>
          <w:p>
            <w:pPr>
              <w:spacing w:after="0"/>
              <w:rPr>
                <w:sz w:val="11"/>
                <w:szCs w:val="11"/>
                <w:color w:val="auto"/>
              </w:rPr>
            </w:pPr>
          </w:p>
        </w:tc>
        <w:tc>
          <w:tcPr>
            <w:tcW w:w="780" w:type="dxa"/>
            <w:vAlign w:val="bottom"/>
            <w:tcBorders>
              <w:bottom w:val="single" w:sz="8" w:color="005AFF"/>
            </w:tcBorders>
          </w:tcPr>
          <w:p>
            <w:pPr>
              <w:jc w:val="right"/>
              <w:ind w:right="120"/>
              <w:spacing w:after="0"/>
              <w:rPr>
                <w:sz w:val="20"/>
                <w:szCs w:val="20"/>
                <w:color w:val="auto"/>
              </w:rPr>
            </w:pPr>
            <w:r>
              <w:rPr>
                <w:rFonts w:ascii="Times New Roman" w:cs="Times New Roman" w:eastAsia="Times New Roman" w:hAnsi="Times New Roman"/>
                <w:sz w:val="8"/>
                <w:szCs w:val="8"/>
                <w:b w:val="1"/>
                <w:bCs w:val="1"/>
                <w:color w:val="005AFF"/>
              </w:rPr>
              <w:t>fair value</w:t>
            </w:r>
          </w:p>
        </w:tc>
        <w:tc>
          <w:tcPr>
            <w:tcW w:w="700" w:type="dxa"/>
            <w:vAlign w:val="bottom"/>
            <w:tcBorders>
              <w:bottom w:val="single" w:sz="8" w:color="005AFF"/>
            </w:tcBorders>
          </w:tcPr>
          <w:p>
            <w:pPr>
              <w:jc w:val="right"/>
              <w:ind w:right="136"/>
              <w:spacing w:after="0"/>
              <w:rPr>
                <w:sz w:val="20"/>
                <w:szCs w:val="20"/>
                <w:color w:val="auto"/>
              </w:rPr>
            </w:pPr>
            <w:r>
              <w:rPr>
                <w:rFonts w:ascii="Times New Roman" w:cs="Times New Roman" w:eastAsia="Times New Roman" w:hAnsi="Times New Roman"/>
                <w:sz w:val="8"/>
                <w:szCs w:val="8"/>
                <w:b w:val="1"/>
                <w:bCs w:val="1"/>
                <w:color w:val="005AFF"/>
              </w:rPr>
              <w:t>profit</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OCI</w:t>
            </w:r>
          </w:p>
        </w:tc>
      </w:tr>
      <w:tr>
        <w:trPr>
          <w:trHeight w:val="135"/>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Interest rates - increase by</w:t>
            </w:r>
          </w:p>
        </w:tc>
        <w:tc>
          <w:tcPr>
            <w:tcW w:w="28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100</w:t>
            </w:r>
          </w:p>
        </w:tc>
        <w:tc>
          <w:tcPr>
            <w:tcW w:w="1080" w:type="dxa"/>
            <w:vAlign w:val="bottom"/>
          </w:tcPr>
          <w:p>
            <w:pPr>
              <w:spacing w:after="0"/>
              <w:rPr>
                <w:sz w:val="20"/>
                <w:szCs w:val="20"/>
                <w:color w:val="auto"/>
              </w:rPr>
            </w:pPr>
            <w:r>
              <w:rPr>
                <w:rFonts w:ascii="Times New Roman" w:cs="Times New Roman" w:eastAsia="Times New Roman" w:hAnsi="Times New Roman"/>
                <w:sz w:val="10"/>
                <w:szCs w:val="10"/>
                <w:color w:val="0D0D0D"/>
              </w:rPr>
              <w:t>basis points</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800" w:type="dxa"/>
            <w:vAlign w:val="bottom"/>
            <w:shd w:val="clear" w:color="auto" w:fill="F0F5FF"/>
          </w:tcPr>
          <w:p>
            <w:pPr>
              <w:jc w:val="right"/>
              <w:ind w:right="136"/>
              <w:spacing w:after="0"/>
              <w:rPr>
                <w:sz w:val="20"/>
                <w:szCs w:val="20"/>
                <w:color w:val="auto"/>
              </w:rPr>
            </w:pPr>
            <w:r>
              <w:rPr>
                <w:rFonts w:ascii="Times New Roman" w:cs="Times New Roman" w:eastAsia="Times New Roman" w:hAnsi="Times New Roman"/>
                <w:sz w:val="10"/>
                <w:szCs w:val="10"/>
                <w:color w:val="005AFF"/>
              </w:rPr>
              <w:t>3</w:t>
            </w:r>
          </w:p>
        </w:tc>
        <w:tc>
          <w:tcPr>
            <w:tcW w:w="560" w:type="dxa"/>
            <w:vAlign w:val="bottom"/>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1</w:t>
            </w:r>
          </w:p>
        </w:tc>
        <w:tc>
          <w:tcPr>
            <w:tcW w:w="820" w:type="dxa"/>
            <w:vAlign w:val="bottom"/>
            <w:gridSpan w:val="2"/>
          </w:tcPr>
          <w:p>
            <w:pPr>
              <w:jc w:val="right"/>
              <w:ind w:right="80"/>
              <w:spacing w:after="0"/>
              <w:rPr>
                <w:sz w:val="20"/>
                <w:szCs w:val="20"/>
                <w:color w:val="auto"/>
              </w:rPr>
            </w:pPr>
            <w:r>
              <w:rPr>
                <w:rFonts w:ascii="Times New Roman" w:cs="Times New Roman" w:eastAsia="Times New Roman" w:hAnsi="Times New Roman"/>
                <w:sz w:val="10"/>
                <w:szCs w:val="10"/>
                <w:color w:val="0D0D0D"/>
              </w:rPr>
              <w:t>(2)</w:t>
            </w:r>
          </w:p>
        </w:tc>
        <w:tc>
          <w:tcPr>
            <w:tcW w:w="700" w:type="dxa"/>
            <w:vAlign w:val="bottom"/>
          </w:tcPr>
          <w:p>
            <w:pPr>
              <w:jc w:val="right"/>
              <w:ind w:right="136"/>
              <w:spacing w:after="0"/>
              <w:rPr>
                <w:sz w:val="20"/>
                <w:szCs w:val="20"/>
                <w:color w:val="auto"/>
              </w:rPr>
            </w:pPr>
            <w:r>
              <w:rPr>
                <w:rFonts w:ascii="Times New Roman" w:cs="Times New Roman" w:eastAsia="Times New Roman" w:hAnsi="Times New Roman"/>
                <w:sz w:val="10"/>
                <w:szCs w:val="10"/>
                <w:color w:val="0D0D0D"/>
              </w:rPr>
              <w:t>3</w:t>
            </w:r>
          </w:p>
        </w:tc>
        <w:tc>
          <w:tcPr>
            <w:tcW w:w="5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w:t>
            </w:r>
          </w:p>
        </w:tc>
      </w:tr>
      <w:tr>
        <w:trPr>
          <w:trHeight w:val="167"/>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Interest rates - decrease by</w:t>
            </w:r>
          </w:p>
        </w:tc>
        <w:tc>
          <w:tcPr>
            <w:tcW w:w="2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100</w:t>
            </w:r>
          </w:p>
        </w:tc>
        <w:tc>
          <w:tcPr>
            <w:tcW w:w="10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basis points</w:t>
            </w:r>
          </w:p>
        </w:tc>
        <w:tc>
          <w:tcPr>
            <w:tcW w:w="680" w:type="dxa"/>
            <w:vAlign w:val="bottom"/>
            <w:tcBorders>
              <w:bottom w:val="single" w:sz="8" w:color="005AFF"/>
            </w:tcBorders>
            <w:shd w:val="clear" w:color="auto" w:fill="F0F5FF"/>
          </w:tcPr>
          <w:p>
            <w:pPr>
              <w:jc w:val="right"/>
              <w:ind w:right="14"/>
              <w:spacing w:after="0"/>
              <w:rPr>
                <w:sz w:val="20"/>
                <w:szCs w:val="20"/>
                <w:color w:val="auto"/>
              </w:rPr>
            </w:pPr>
            <w:r>
              <w:rPr>
                <w:rFonts w:ascii="Times New Roman" w:cs="Times New Roman" w:eastAsia="Times New Roman" w:hAnsi="Times New Roman"/>
                <w:sz w:val="10"/>
                <w:szCs w:val="10"/>
                <w:color w:val="005AFF"/>
              </w:rPr>
              <w:t>8</w:t>
            </w:r>
          </w:p>
        </w:tc>
        <w:tc>
          <w:tcPr>
            <w:tcW w:w="800" w:type="dxa"/>
            <w:vAlign w:val="bottom"/>
            <w:tcBorders>
              <w:bottom w:val="single" w:sz="8" w:color="005AFF"/>
            </w:tcBorders>
            <w:shd w:val="clear" w:color="auto" w:fill="F0F5FF"/>
          </w:tcPr>
          <w:p>
            <w:pPr>
              <w:jc w:val="right"/>
              <w:ind w:right="96"/>
              <w:spacing w:after="0"/>
              <w:rPr>
                <w:sz w:val="20"/>
                <w:szCs w:val="20"/>
                <w:color w:val="auto"/>
              </w:rPr>
            </w:pPr>
            <w:r>
              <w:rPr>
                <w:rFonts w:ascii="Times New Roman" w:cs="Times New Roman" w:eastAsia="Times New Roman" w:hAnsi="Times New Roman"/>
                <w:sz w:val="10"/>
                <w:szCs w:val="10"/>
                <w:color w:val="005AFF"/>
              </w:rPr>
              <w:t>(4)</w:t>
            </w: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820" w:type="dxa"/>
            <w:vAlign w:val="bottom"/>
            <w:tcBorders>
              <w:bottom w:val="single" w:sz="8" w:color="005AFF"/>
            </w:tcBorders>
            <w:gridSpan w:val="2"/>
          </w:tcPr>
          <w:p>
            <w:pPr>
              <w:jc w:val="right"/>
              <w:ind w:right="120"/>
              <w:spacing w:after="0"/>
              <w:rPr>
                <w:sz w:val="20"/>
                <w:szCs w:val="20"/>
                <w:color w:val="auto"/>
              </w:rPr>
            </w:pPr>
            <w:r>
              <w:rPr>
                <w:rFonts w:ascii="Times New Roman" w:cs="Times New Roman" w:eastAsia="Times New Roman" w:hAnsi="Times New Roman"/>
                <w:sz w:val="10"/>
                <w:szCs w:val="10"/>
                <w:color w:val="0D0D0D"/>
              </w:rPr>
              <w:t>4</w:t>
            </w:r>
          </w:p>
        </w:tc>
        <w:tc>
          <w:tcPr>
            <w:tcW w:w="700" w:type="dxa"/>
            <w:vAlign w:val="bottom"/>
            <w:tcBorders>
              <w:bottom w:val="single" w:sz="8" w:color="005AFF"/>
            </w:tcBorders>
          </w:tcPr>
          <w:p>
            <w:pPr>
              <w:jc w:val="right"/>
              <w:ind w:right="96"/>
              <w:spacing w:after="0"/>
              <w:rPr>
                <w:sz w:val="20"/>
                <w:szCs w:val="20"/>
                <w:color w:val="auto"/>
              </w:rPr>
            </w:pPr>
            <w:r>
              <w:rPr>
                <w:rFonts w:ascii="Times New Roman" w:cs="Times New Roman" w:eastAsia="Times New Roman" w:hAnsi="Times New Roman"/>
                <w:sz w:val="10"/>
                <w:szCs w:val="10"/>
                <w:color w:val="0D0D0D"/>
              </w:rPr>
              <w:t>(2)</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w:t>
            </w:r>
          </w:p>
        </w:tc>
      </w:tr>
    </w:tbl>
    <w:p>
      <w:pPr>
        <w:sectPr>
          <w:pgSz w:w="11900" w:h="16838" w:orient="portrait"/>
          <w:cols w:equalWidth="0" w:num="2">
            <w:col w:w="2900" w:space="500"/>
            <w:col w:w="6680"/>
          </w:cols>
          <w:pgMar w:left="960" w:top="410" w:right="859" w:bottom="1440" w:gutter="0" w:footer="0" w:header="0"/>
          <w:type w:val="continuous"/>
        </w:sectPr>
      </w:pPr>
    </w:p>
    <w:bookmarkStart w:id="203" w:name="page204"/>
    <w:bookmarkEnd w:id="203"/>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196</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p>
    <w:p>
      <w:pPr>
        <w:sectPr>
          <w:pgSz w:w="11900" w:h="16838" w:orient="portrait"/>
          <w:cols w:equalWidth="0" w:num="1">
            <w:col w:w="10080"/>
          </w:cols>
          <w:pgMar w:left="960" w:top="410" w:right="859" w:bottom="1440" w:gutter="0" w:footer="0" w:header="0"/>
        </w:sectPr>
      </w:pPr>
    </w:p>
    <w:p>
      <w:pPr>
        <w:spacing w:after="0" w:line="1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Credit risk</w:t>
      </w:r>
    </w:p>
    <w:p>
      <w:pPr>
        <w:spacing w:after="0" w:line="32" w:lineRule="exact"/>
        <w:rPr>
          <w:sz w:val="20"/>
          <w:szCs w:val="20"/>
          <w:color w:val="auto"/>
        </w:rPr>
      </w:pPr>
    </w:p>
    <w:p>
      <w:pPr>
        <w:ind w:right="260"/>
        <w:spacing w:after="0" w:line="264" w:lineRule="auto"/>
        <w:rPr>
          <w:sz w:val="20"/>
          <w:szCs w:val="20"/>
          <w:color w:val="auto"/>
        </w:rPr>
      </w:pPr>
      <w:r>
        <w:rPr>
          <w:rFonts w:ascii="Times New Roman" w:cs="Times New Roman" w:eastAsia="Times New Roman" w:hAnsi="Times New Roman"/>
          <w:sz w:val="11"/>
          <w:szCs w:val="11"/>
          <w:color w:val="auto"/>
        </w:rPr>
        <w:t>Credit risk refers to the risk that a counterparty will default on its contractual obligations resulting in financial loss to Nokia. Credit risk arises from credit exposures to customers, including outstanding receivables, financial guarantees and committed transactions, as well as financial institutions, including bank and cash, fixed income and money market investments,</w:t>
      </w:r>
    </w:p>
    <w:p>
      <w:pPr>
        <w:spacing w:after="0" w:line="1" w:lineRule="exact"/>
        <w:rPr>
          <w:sz w:val="20"/>
          <w:szCs w:val="20"/>
          <w:color w:val="auto"/>
        </w:rPr>
      </w:pPr>
    </w:p>
    <w:p>
      <w:pPr>
        <w:ind w:right="340"/>
        <w:spacing w:after="0" w:line="297" w:lineRule="auto"/>
        <w:rPr>
          <w:sz w:val="20"/>
          <w:szCs w:val="20"/>
          <w:color w:val="auto"/>
        </w:rPr>
      </w:pPr>
      <w:r>
        <w:rPr>
          <w:rFonts w:ascii="Times New Roman" w:cs="Times New Roman" w:eastAsia="Times New Roman" w:hAnsi="Times New Roman"/>
          <w:sz w:val="11"/>
          <w:szCs w:val="11"/>
          <w:color w:val="auto"/>
        </w:rPr>
        <w:t>and derivative financial instruments. Credit risk is managed separately for business-related and financial credit exposures.</w:t>
      </w:r>
    </w:p>
    <w:p>
      <w:pPr>
        <w:spacing w:after="0" w:line="34" w:lineRule="exact"/>
        <w:rPr>
          <w:sz w:val="20"/>
          <w:szCs w:val="20"/>
          <w:color w:val="auto"/>
        </w:rPr>
      </w:pPr>
    </w:p>
    <w:p>
      <w:pPr>
        <w:ind w:right="280"/>
        <w:spacing w:after="0" w:line="264" w:lineRule="auto"/>
        <w:rPr>
          <w:sz w:val="20"/>
          <w:szCs w:val="20"/>
          <w:color w:val="auto"/>
        </w:rPr>
      </w:pPr>
      <w:r>
        <w:rPr>
          <w:rFonts w:ascii="Times New Roman" w:cs="Times New Roman" w:eastAsia="Times New Roman" w:hAnsi="Times New Roman"/>
          <w:sz w:val="11"/>
          <w:szCs w:val="11"/>
          <w:color w:val="auto"/>
        </w:rPr>
        <w:t>Financial instruments contain an element of risk resulting from changes in the market price due to counterparties becoming less creditworthy or risk of loss due to counterparties being unable to meet their obligations. Financial credit risk is measured and monitored centrally by Treasury. Financial credit risk is managed actively by limiting counterparties to</w:t>
      </w:r>
    </w:p>
    <w:p>
      <w:pPr>
        <w:spacing w:after="0" w:line="1" w:lineRule="exact"/>
        <w:rPr>
          <w:sz w:val="20"/>
          <w:szCs w:val="20"/>
          <w:color w:val="auto"/>
        </w:rPr>
      </w:pPr>
    </w:p>
    <w:p>
      <w:pPr>
        <w:ind w:right="260"/>
        <w:spacing w:after="0" w:line="260" w:lineRule="auto"/>
        <w:rPr>
          <w:sz w:val="20"/>
          <w:szCs w:val="20"/>
          <w:color w:val="auto"/>
        </w:rPr>
      </w:pPr>
      <w:r>
        <w:rPr>
          <w:rFonts w:ascii="Times New Roman" w:cs="Times New Roman" w:eastAsia="Times New Roman" w:hAnsi="Times New Roman"/>
          <w:sz w:val="11"/>
          <w:szCs w:val="11"/>
          <w:color w:val="auto"/>
        </w:rPr>
        <w:t>a sufficient number of major banks and financial institutions, and by monitoring the creditworthiness and the size of exposures continuously. Additionally, Nokia enters into netting arrangements with all major counterparties, which give the right to offset in the event that the counterparty would not</w:t>
      </w:r>
    </w:p>
    <w:p>
      <w:pPr>
        <w:spacing w:after="0" w:line="3" w:lineRule="exact"/>
        <w:rPr>
          <w:sz w:val="20"/>
          <w:szCs w:val="20"/>
          <w:color w:val="auto"/>
        </w:rPr>
      </w:pPr>
    </w:p>
    <w:p>
      <w:pPr>
        <w:ind w:right="300"/>
        <w:spacing w:after="0" w:line="273" w:lineRule="auto"/>
        <w:rPr>
          <w:sz w:val="20"/>
          <w:szCs w:val="20"/>
          <w:color w:val="auto"/>
        </w:rPr>
      </w:pPr>
      <w:r>
        <w:rPr>
          <w:rFonts w:ascii="Times New Roman" w:cs="Times New Roman" w:eastAsia="Times New Roman" w:hAnsi="Times New Roman"/>
          <w:sz w:val="11"/>
          <w:szCs w:val="11"/>
          <w:color w:val="auto"/>
        </w:rPr>
        <w:t>be able to fulfill its obligations. Nokia enters into collateral agreements with most counterparties, which require counterparties to post collateral against derivative receivables.</w:t>
      </w:r>
    </w:p>
    <w:p>
      <w:pPr>
        <w:spacing w:after="0" w:line="57" w:lineRule="exact"/>
        <w:rPr>
          <w:sz w:val="20"/>
          <w:szCs w:val="20"/>
          <w:color w:val="auto"/>
        </w:rPr>
      </w:pPr>
    </w:p>
    <w:p>
      <w:pPr>
        <w:ind w:right="280"/>
        <w:spacing w:after="0" w:line="261" w:lineRule="auto"/>
        <w:rPr>
          <w:sz w:val="20"/>
          <w:szCs w:val="20"/>
          <w:color w:val="auto"/>
        </w:rPr>
      </w:pPr>
      <w:r>
        <w:rPr>
          <w:rFonts w:ascii="Times New Roman" w:cs="Times New Roman" w:eastAsia="Times New Roman" w:hAnsi="Times New Roman"/>
          <w:sz w:val="11"/>
          <w:szCs w:val="11"/>
          <w:color w:val="auto"/>
        </w:rPr>
        <w:t>Investment decisions are based on strict creditworthiness and maturity criteria as defined in the Treasury-related policies and procedures. As a result of this investment policy approach and active management of outstanding investment exposures, Nokia has not been subject to any material credit losses in its financial investments in the years presented. Due to the high credit quality of Nokia’s financial investments, the expected credit loss for these investments is deemed insignificant based</w:t>
      </w:r>
    </w:p>
    <w:p>
      <w:pPr>
        <w:spacing w:after="0" w:line="4" w:lineRule="exact"/>
        <w:rPr>
          <w:sz w:val="20"/>
          <w:szCs w:val="20"/>
          <w:color w:val="auto"/>
        </w:rPr>
      </w:pPr>
    </w:p>
    <w:p>
      <w:pPr>
        <w:spacing w:after="0"/>
        <w:tabs>
          <w:tab w:leader="none" w:pos="2060" w:val="left"/>
          <w:tab w:leader="none" w:pos="3040" w:val="left"/>
        </w:tabs>
        <w:rPr>
          <w:sz w:val="20"/>
          <w:szCs w:val="20"/>
          <w:color w:val="auto"/>
        </w:rPr>
      </w:pPr>
      <w:r>
        <w:rPr>
          <w:rFonts w:ascii="Times New Roman" w:cs="Times New Roman" w:eastAsia="Times New Roman" w:hAnsi="Times New Roman"/>
          <w:sz w:val="11"/>
          <w:szCs w:val="11"/>
          <w:color w:val="auto"/>
        </w:rPr>
        <w:t>on 12 months’ expected credit losses at</w:t>
      </w:r>
      <w:r>
        <w:rPr>
          <w:sz w:val="20"/>
          <w:szCs w:val="20"/>
          <w:color w:val="auto"/>
        </w:rPr>
        <w:tab/>
      </w:r>
      <w:r>
        <w:rPr>
          <w:rFonts w:ascii="Times New Roman" w:cs="Times New Roman" w:eastAsia="Times New Roman" w:hAnsi="Times New Roman"/>
          <w:sz w:val="11"/>
          <w:szCs w:val="11"/>
          <w:color w:val="auto"/>
        </w:rPr>
        <w:t>31 December 2023</w:t>
        <w:tab/>
        <w: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For information on expected credit losses for customer-related</w:t>
      </w:r>
    </w:p>
    <w:p>
      <w:pPr>
        <w:spacing w:after="0" w:line="15" w:lineRule="exact"/>
        <w:rPr>
          <w:sz w:val="20"/>
          <w:szCs w:val="20"/>
          <w:color w:val="auto"/>
        </w:rPr>
      </w:pPr>
    </w:p>
    <w:p>
      <w:pPr>
        <w:spacing w:after="0"/>
        <w:tabs>
          <w:tab w:leader="none" w:pos="1180" w:val="left"/>
        </w:tabs>
        <w:rPr>
          <w:sz w:val="20"/>
          <w:szCs w:val="20"/>
          <w:color w:val="auto"/>
        </w:rPr>
      </w:pPr>
      <w:r>
        <w:rPr>
          <w:rFonts w:ascii="Times New Roman" w:cs="Times New Roman" w:eastAsia="Times New Roman" w:hAnsi="Times New Roman"/>
          <w:sz w:val="11"/>
          <w:szCs w:val="11"/>
          <w:color w:val="auto"/>
        </w:rPr>
        <w:t>balances, refer to Note</w:t>
        <w:tab/>
        <w:t>4.5. Trade receivables and other</w:t>
      </w:r>
    </w:p>
    <w:p>
      <w:pPr>
        <w:spacing w:after="0" w:line="10" w:lineRule="exact"/>
        <w:rPr>
          <w:sz w:val="20"/>
          <w:szCs w:val="20"/>
          <w:color w:val="auto"/>
        </w:rPr>
      </w:pPr>
    </w:p>
    <w:p>
      <w:pPr>
        <w:spacing w:after="0"/>
        <w:tabs>
          <w:tab w:leader="none" w:pos="1360" w:val="left"/>
        </w:tabs>
        <w:rPr>
          <w:sz w:val="20"/>
          <w:szCs w:val="20"/>
          <w:color w:val="auto"/>
        </w:rPr>
      </w:pPr>
      <w:r>
        <w:rPr>
          <w:rFonts w:ascii="Times New Roman" w:cs="Times New Roman" w:eastAsia="Times New Roman" w:hAnsi="Times New Roman"/>
          <w:sz w:val="11"/>
          <w:szCs w:val="11"/>
          <w:color w:val="auto"/>
        </w:rPr>
        <w:t>customer-related balances</w:t>
      </w:r>
      <w:r>
        <w:rPr>
          <w:sz w:val="20"/>
          <w:szCs w:val="20"/>
          <w:color w:val="auto"/>
        </w:rPr>
        <w:tab/>
      </w:r>
      <w:r>
        <w:rPr>
          <w:rFonts w:ascii="Times New Roman" w:cs="Times New Roman" w:eastAsia="Times New Roman" w:hAnsi="Times New Roman"/>
          <w:sz w:val="8"/>
          <w:szCs w:val="8"/>
          <w:color w:val="auto"/>
        </w:rPr>
        <w:t>.</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has restricted bank deposits primarily related to</w:t>
      </w:r>
    </w:p>
    <w:p>
      <w:pPr>
        <w:spacing w:after="0" w:line="17" w:lineRule="exact"/>
        <w:rPr>
          <w:sz w:val="20"/>
          <w:szCs w:val="20"/>
          <w:color w:val="auto"/>
        </w:rPr>
      </w:pPr>
    </w:p>
    <w:p>
      <w:pPr>
        <w:spacing w:after="0" w:line="263" w:lineRule="auto"/>
        <w:rPr>
          <w:sz w:val="20"/>
          <w:szCs w:val="20"/>
          <w:color w:val="auto"/>
        </w:rPr>
      </w:pPr>
      <w:r>
        <w:rPr>
          <w:rFonts w:ascii="Times New Roman" w:cs="Times New Roman" w:eastAsia="Times New Roman" w:hAnsi="Times New Roman"/>
          <w:sz w:val="11"/>
          <w:szCs w:val="11"/>
          <w:color w:val="auto"/>
        </w:rPr>
        <w:t>employee benefits of EUR 119 million (EUR122 million in 2022 ) that are presented in other non-current financial assets.</w:t>
      </w:r>
    </w:p>
    <w:p>
      <w:pPr>
        <w:jc w:val="both"/>
        <w:ind w:right="540"/>
        <w:spacing w:after="0" w:line="273" w:lineRule="auto"/>
        <w:rPr>
          <w:sz w:val="20"/>
          <w:szCs w:val="20"/>
          <w:color w:val="auto"/>
        </w:rPr>
      </w:pPr>
      <w:r>
        <w:rPr>
          <w:rFonts w:ascii="Times New Roman" w:cs="Times New Roman" w:eastAsia="Times New Roman" w:hAnsi="Times New Roman"/>
          <w:sz w:val="11"/>
          <w:szCs w:val="11"/>
          <w:color w:val="auto"/>
        </w:rPr>
        <w:t>Nokia has assessed the counterparty credit risk for these financial assets and concluded that expected credit losses are not significant.</w:t>
      </w:r>
    </w:p>
    <w:p>
      <w:pPr>
        <w:spacing w:after="0" w:line="200" w:lineRule="exact"/>
        <w:rPr>
          <w:sz w:val="20"/>
          <w:szCs w:val="20"/>
          <w:color w:val="auto"/>
        </w:rPr>
      </w:pPr>
    </w:p>
    <w:p>
      <w:pPr>
        <w:spacing w:after="0" w:line="3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21" w:lineRule="exact"/>
        <w:rPr>
          <w:sz w:val="20"/>
          <w:szCs w:val="20"/>
          <w:color w:val="auto"/>
        </w:rPr>
      </w:pPr>
    </w:p>
    <w:p>
      <w:pPr>
        <w:ind w:left="40" w:right="1080"/>
        <w:spacing w:after="0" w:line="309" w:lineRule="auto"/>
        <w:rPr>
          <w:sz w:val="20"/>
          <w:szCs w:val="20"/>
          <w:color w:val="auto"/>
        </w:rPr>
      </w:pPr>
      <w:r>
        <w:rPr>
          <w:rFonts w:ascii="Times New Roman" w:cs="Times New Roman" w:eastAsia="Times New Roman" w:hAnsi="Times New Roman"/>
          <w:sz w:val="11"/>
          <w:szCs w:val="11"/>
          <w:color w:val="auto"/>
        </w:rPr>
        <w:t>Outstanding non-current and current interest-bearing financial investments, cash equivalents and cash classified by credit rating grades ranked in line with S&amp;P Global Ratings categories at 31 December:</w:t>
      </w:r>
    </w:p>
    <w:p>
      <w:pPr>
        <w:spacing w:after="0" w:line="20"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360" w:type="dxa"/>
            <w:vAlign w:val="bottom"/>
          </w:tcPr>
          <w:p>
            <w:pPr>
              <w:spacing w:after="0"/>
              <w:rPr>
                <w:sz w:val="9"/>
                <w:szCs w:val="9"/>
                <w:color w:val="auto"/>
              </w:rPr>
            </w:pPr>
          </w:p>
        </w:tc>
        <w:tc>
          <w:tcPr>
            <w:tcW w:w="820" w:type="dxa"/>
            <w:vAlign w:val="bottom"/>
          </w:tcPr>
          <w:p>
            <w:pPr>
              <w:spacing w:after="0"/>
              <w:rPr>
                <w:sz w:val="9"/>
                <w:szCs w:val="9"/>
                <w:color w:val="auto"/>
              </w:rPr>
            </w:pPr>
          </w:p>
        </w:tc>
        <w:tc>
          <w:tcPr>
            <w:tcW w:w="780" w:type="dxa"/>
            <w:vAlign w:val="bottom"/>
          </w:tcPr>
          <w:p>
            <w:pPr>
              <w:spacing w:after="0"/>
              <w:rPr>
                <w:sz w:val="9"/>
                <w:szCs w:val="9"/>
                <w:color w:val="auto"/>
              </w:rPr>
            </w:pPr>
          </w:p>
        </w:tc>
        <w:tc>
          <w:tcPr>
            <w:tcW w:w="780" w:type="dxa"/>
            <w:vAlign w:val="bottom"/>
            <w:tcBorders>
              <w:bottom w:val="single" w:sz="8" w:color="005AFF"/>
            </w:tcBorders>
          </w:tcPr>
          <w:p>
            <w:pPr>
              <w:spacing w:after="0"/>
              <w:rPr>
                <w:sz w:val="9"/>
                <w:szCs w:val="9"/>
                <w:color w:val="auto"/>
              </w:rPr>
            </w:pPr>
          </w:p>
        </w:tc>
        <w:tc>
          <w:tcPr>
            <w:tcW w:w="2340" w:type="dxa"/>
            <w:vAlign w:val="bottom"/>
            <w:tcBorders>
              <w:bottom w:val="single" w:sz="8" w:color="005AFF"/>
            </w:tcBorders>
            <w:gridSpan w:val="3"/>
          </w:tcPr>
          <w:p>
            <w:pPr>
              <w:jc w:val="right"/>
              <w:ind w:right="191"/>
              <w:spacing w:after="0"/>
              <w:rPr>
                <w:sz w:val="20"/>
                <w:szCs w:val="20"/>
                <w:color w:val="auto"/>
              </w:rPr>
            </w:pPr>
            <w:r>
              <w:rPr>
                <w:rFonts w:ascii="Times New Roman" w:cs="Times New Roman" w:eastAsia="Times New Roman" w:hAnsi="Times New Roman"/>
                <w:sz w:val="8"/>
                <w:szCs w:val="8"/>
                <w:b w:val="1"/>
                <w:bCs w:val="1"/>
                <w:color w:val="005AFF"/>
              </w:rPr>
              <w:t>Cash equivalents and interest-bearing financial investments</w:t>
            </w:r>
          </w:p>
        </w:tc>
        <w:tc>
          <w:tcPr>
            <w:tcW w:w="780" w:type="dxa"/>
            <w:vAlign w:val="bottom"/>
            <w:tcBorders>
              <w:bottom w:val="single" w:sz="8" w:color="005AFF"/>
            </w:tcBorders>
          </w:tcPr>
          <w:p>
            <w:pPr>
              <w:spacing w:after="0"/>
              <w:rPr>
                <w:sz w:val="9"/>
                <w:szCs w:val="9"/>
                <w:color w:val="auto"/>
              </w:rPr>
            </w:pPr>
          </w:p>
        </w:tc>
        <w:tc>
          <w:tcPr>
            <w:tcW w:w="7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54"/>
        </w:trPr>
        <w:tc>
          <w:tcPr>
            <w:tcW w:w="360" w:type="dxa"/>
            <w:vAlign w:val="bottom"/>
          </w:tcPr>
          <w:p>
            <w:pPr>
              <w:spacing w:after="0"/>
              <w:rPr>
                <w:sz w:val="13"/>
                <w:szCs w:val="13"/>
                <w:color w:val="auto"/>
              </w:rPr>
            </w:pPr>
          </w:p>
        </w:tc>
        <w:tc>
          <w:tcPr>
            <w:tcW w:w="820" w:type="dxa"/>
            <w:vAlign w:val="bottom"/>
            <w:vMerge w:val="restart"/>
          </w:tcPr>
          <w:p>
            <w:pPr>
              <w:ind w:left="80"/>
              <w:spacing w:after="0"/>
              <w:rPr>
                <w:sz w:val="20"/>
                <w:szCs w:val="20"/>
                <w:color w:val="auto"/>
              </w:rPr>
            </w:pPr>
            <w:r>
              <w:rPr>
                <w:rFonts w:ascii="Times New Roman" w:cs="Times New Roman" w:eastAsia="Times New Roman" w:hAnsi="Times New Roman"/>
                <w:sz w:val="8"/>
                <w:szCs w:val="8"/>
                <w:b w:val="1"/>
                <w:bCs w:val="1"/>
                <w:color w:val="005AFF"/>
              </w:rPr>
              <w:t>Rating</w:t>
            </w:r>
            <w:r>
              <w:rPr>
                <w:rFonts w:ascii="Times New Roman" w:cs="Times New Roman" w:eastAsia="Times New Roman" w:hAnsi="Times New Roman"/>
                <w:sz w:val="10"/>
                <w:szCs w:val="10"/>
                <w:b w:val="1"/>
                <w:bCs w:val="1"/>
                <w:color w:val="005AFF"/>
                <w:vertAlign w:val="superscript"/>
              </w:rPr>
              <w:t>(1)</w:t>
            </w:r>
          </w:p>
        </w:tc>
        <w:tc>
          <w:tcPr>
            <w:tcW w:w="780" w:type="dxa"/>
            <w:vAlign w:val="bottom"/>
          </w:tcPr>
          <w:p>
            <w:pPr>
              <w:spacing w:after="0"/>
              <w:rPr>
                <w:sz w:val="13"/>
                <w:szCs w:val="13"/>
                <w:color w:val="auto"/>
              </w:rPr>
            </w:pPr>
          </w:p>
        </w:tc>
        <w:tc>
          <w:tcPr>
            <w:tcW w:w="78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Due within 3</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Due between 3</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Due between 1</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Due between 3</w:t>
            </w:r>
          </w:p>
        </w:tc>
        <w:tc>
          <w:tcPr>
            <w:tcW w:w="780" w:type="dxa"/>
            <w:vAlign w:val="bottom"/>
          </w:tcPr>
          <w:p>
            <w:pPr>
              <w:ind w:left="220"/>
              <w:spacing w:after="0"/>
              <w:rPr>
                <w:sz w:val="20"/>
                <w:szCs w:val="20"/>
                <w:color w:val="auto"/>
              </w:rPr>
            </w:pPr>
            <w:r>
              <w:rPr>
                <w:rFonts w:ascii="Times New Roman" w:cs="Times New Roman" w:eastAsia="Times New Roman" w:hAnsi="Times New Roman"/>
                <w:sz w:val="8"/>
                <w:szCs w:val="8"/>
                <w:b w:val="1"/>
                <w:bCs w:val="1"/>
                <w:color w:val="005AFF"/>
              </w:rPr>
              <w:t>Due beyond 5</w:t>
            </w:r>
          </w:p>
        </w:tc>
        <w:tc>
          <w:tcPr>
            <w:tcW w:w="780" w:type="dxa"/>
            <w:vAlign w:val="bottom"/>
            <w:vMerge w:val="restart"/>
          </w:tcPr>
          <w:p>
            <w:pPr>
              <w:jc w:val="right"/>
              <w:ind w:right="11"/>
              <w:spacing w:after="0"/>
              <w:rPr>
                <w:sz w:val="20"/>
                <w:szCs w:val="20"/>
                <w:color w:val="auto"/>
              </w:rPr>
            </w:pPr>
            <w:r>
              <w:rPr>
                <w:rFonts w:ascii="Times New Roman" w:cs="Times New Roman" w:eastAsia="Times New Roman" w:hAnsi="Times New Roman"/>
                <w:sz w:val="16"/>
                <w:szCs w:val="16"/>
                <w:b w:val="1"/>
                <w:bCs w:val="1"/>
                <w:color w:val="005AFF"/>
                <w:vertAlign w:val="subscript"/>
              </w:rPr>
              <w:t>Total</w:t>
            </w:r>
            <w:r>
              <w:rPr>
                <w:rFonts w:ascii="Times New Roman" w:cs="Times New Roman" w:eastAsia="Times New Roman" w:hAnsi="Times New Roman"/>
                <w:sz w:val="5"/>
                <w:szCs w:val="5"/>
                <w:b w:val="1"/>
                <w:bCs w:val="1"/>
                <w:color w:val="005AFF"/>
              </w:rPr>
              <w:t xml:space="preserve"> (2)(3)</w:t>
            </w:r>
          </w:p>
        </w:tc>
        <w:tc>
          <w:tcPr>
            <w:tcW w:w="0" w:type="dxa"/>
            <w:vAlign w:val="bottom"/>
          </w:tcPr>
          <w:p>
            <w:pPr>
              <w:spacing w:after="0"/>
              <w:rPr>
                <w:sz w:val="1"/>
                <w:szCs w:val="1"/>
                <w:color w:val="auto"/>
              </w:rPr>
            </w:pPr>
          </w:p>
        </w:tc>
      </w:tr>
      <w:tr>
        <w:trPr>
          <w:trHeight w:val="112"/>
        </w:trPr>
        <w:tc>
          <w:tcPr>
            <w:tcW w:w="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820" w:type="dxa"/>
            <w:vAlign w:val="bottom"/>
            <w:tcBorders>
              <w:bottom w:val="single" w:sz="8" w:color="005AFF"/>
            </w:tcBorders>
            <w:vMerge w:val="continue"/>
          </w:tcPr>
          <w:p>
            <w:pPr>
              <w:spacing w:after="0"/>
              <w:rPr>
                <w:sz w:val="9"/>
                <w:szCs w:val="9"/>
                <w:color w:val="auto"/>
              </w:rPr>
            </w:pP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Cash</w:t>
            </w:r>
          </w:p>
        </w:tc>
        <w:tc>
          <w:tcPr>
            <w:tcW w:w="7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months</w:t>
            </w:r>
          </w:p>
        </w:tc>
        <w:tc>
          <w:tcPr>
            <w:tcW w:w="780" w:type="dxa"/>
            <w:vAlign w:val="bottom"/>
            <w:tcBorders>
              <w:bottom w:val="single" w:sz="8" w:color="005AFF"/>
            </w:tcBorders>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and 12 months</w:t>
            </w:r>
          </w:p>
        </w:tc>
        <w:tc>
          <w:tcPr>
            <w:tcW w:w="7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and 3 years</w:t>
            </w:r>
          </w:p>
        </w:tc>
        <w:tc>
          <w:tcPr>
            <w:tcW w:w="7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and 5 years</w:t>
            </w:r>
          </w:p>
        </w:tc>
        <w:tc>
          <w:tcPr>
            <w:tcW w:w="78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8"/>
                <w:szCs w:val="8"/>
                <w:b w:val="1"/>
                <w:bCs w:val="1"/>
                <w:color w:val="005AFF"/>
              </w:rPr>
              <w:t>years</w:t>
            </w:r>
          </w:p>
        </w:tc>
        <w:tc>
          <w:tcPr>
            <w:tcW w:w="780" w:type="dxa"/>
            <w:vAlign w:val="bottom"/>
            <w:tcBorders>
              <w:bottom w:val="single" w:sz="8" w:color="005AFF"/>
            </w:tcBorders>
            <w:vMerge w:val="continue"/>
          </w:tcPr>
          <w:p>
            <w:pPr>
              <w:spacing w:after="0"/>
              <w:rPr>
                <w:sz w:val="9"/>
                <w:szCs w:val="9"/>
                <w:color w:val="auto"/>
              </w:rPr>
            </w:pPr>
          </w:p>
        </w:tc>
        <w:tc>
          <w:tcPr>
            <w:tcW w:w="0" w:type="dxa"/>
            <w:vAlign w:val="bottom"/>
          </w:tcPr>
          <w:p>
            <w:pPr>
              <w:spacing w:after="0"/>
              <w:rPr>
                <w:sz w:val="1"/>
                <w:szCs w:val="1"/>
                <w:color w:val="auto"/>
              </w:rPr>
            </w:pPr>
          </w:p>
        </w:tc>
      </w:tr>
      <w:tr>
        <w:trPr>
          <w:trHeight w:val="131"/>
        </w:trPr>
        <w:tc>
          <w:tcPr>
            <w:tcW w:w="3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AAA</w:t>
            </w:r>
          </w:p>
        </w:tc>
        <w:tc>
          <w:tcPr>
            <w:tcW w:w="7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1 443</w:t>
            </w:r>
          </w:p>
        </w:tc>
        <w:tc>
          <w:tcPr>
            <w:tcW w:w="7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25</w:t>
            </w:r>
          </w:p>
        </w:tc>
        <w:tc>
          <w:tcPr>
            <w:tcW w:w="7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center"/>
              <w:ind w:left="551"/>
              <w:spacing w:after="0"/>
              <w:rPr>
                <w:sz w:val="20"/>
                <w:szCs w:val="20"/>
                <w:color w:val="auto"/>
              </w:rPr>
            </w:pPr>
            <w:r>
              <w:rPr>
                <w:rFonts w:ascii="Times New Roman" w:cs="Times New Roman" w:eastAsia="Times New Roman" w:hAnsi="Times New Roman"/>
                <w:sz w:val="10"/>
                <w:szCs w:val="10"/>
                <w:color w:val="005AFF"/>
                <w:w w:val="99"/>
              </w:rPr>
              <w:t>—</w:t>
            </w:r>
          </w:p>
        </w:tc>
        <w:tc>
          <w:tcPr>
            <w:tcW w:w="780" w:type="dxa"/>
            <w:vAlign w:val="bottom"/>
            <w:shd w:val="clear" w:color="auto" w:fill="F0F5FF"/>
          </w:tcPr>
          <w:p>
            <w:pPr>
              <w:ind w:left="640"/>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1 468</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AA+ - AA-</w:t>
            </w:r>
          </w:p>
        </w:tc>
        <w:tc>
          <w:tcPr>
            <w:tcW w:w="7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1 042</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149</w:t>
            </w:r>
          </w:p>
        </w:tc>
        <w:tc>
          <w:tcPr>
            <w:tcW w:w="78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74</w:t>
            </w:r>
          </w:p>
        </w:tc>
        <w:tc>
          <w:tcPr>
            <w:tcW w:w="7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center"/>
              <w:ind w:left="551"/>
              <w:spacing w:after="0"/>
              <w:rPr>
                <w:sz w:val="20"/>
                <w:szCs w:val="20"/>
                <w:color w:val="auto"/>
              </w:rPr>
            </w:pPr>
            <w:r>
              <w:rPr>
                <w:rFonts w:ascii="Times New Roman" w:cs="Times New Roman" w:eastAsia="Times New Roman" w:hAnsi="Times New Roman"/>
                <w:sz w:val="10"/>
                <w:szCs w:val="10"/>
                <w:color w:val="005AFF"/>
              </w:rPr>
              <w:t>8</w:t>
            </w:r>
          </w:p>
        </w:tc>
        <w:tc>
          <w:tcPr>
            <w:tcW w:w="780" w:type="dxa"/>
            <w:vAlign w:val="bottom"/>
            <w:shd w:val="clear" w:color="auto" w:fill="F0F5FF"/>
          </w:tcPr>
          <w:p>
            <w:pPr>
              <w:ind w:left="640"/>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1 273</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 - A-</w:t>
            </w:r>
          </w:p>
        </w:tc>
        <w:tc>
          <w:tcPr>
            <w:tcW w:w="7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2 183</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1 340</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301</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255</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245</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23</w:t>
            </w:r>
          </w:p>
        </w:tc>
        <w:tc>
          <w:tcPr>
            <w:tcW w:w="7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4 347</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BBB+ - BBB-</w:t>
            </w:r>
          </w:p>
        </w:tc>
        <w:tc>
          <w:tcPr>
            <w:tcW w:w="7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456</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242</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134</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230</w:t>
            </w:r>
          </w:p>
        </w:tc>
        <w:tc>
          <w:tcPr>
            <w:tcW w:w="7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227</w:t>
            </w:r>
          </w:p>
        </w:tc>
        <w:tc>
          <w:tcPr>
            <w:tcW w:w="780" w:type="dxa"/>
            <w:vAlign w:val="bottom"/>
            <w:shd w:val="clear" w:color="auto" w:fill="F0F5FF"/>
          </w:tcPr>
          <w:p>
            <w:pPr>
              <w:ind w:left="640"/>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1 289</w:t>
            </w:r>
          </w:p>
        </w:tc>
        <w:tc>
          <w:tcPr>
            <w:tcW w:w="0" w:type="dxa"/>
            <w:vAlign w:val="bottom"/>
          </w:tcPr>
          <w:p>
            <w:pPr>
              <w:spacing w:after="0"/>
              <w:rPr>
                <w:sz w:val="1"/>
                <w:szCs w:val="1"/>
                <w:color w:val="auto"/>
              </w:rPr>
            </w:pPr>
          </w:p>
        </w:tc>
      </w:tr>
      <w:tr>
        <w:trPr>
          <w:trHeight w:val="167"/>
        </w:trPr>
        <w:tc>
          <w:tcPr>
            <w:tcW w:w="36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tcPr>
          <w:p>
            <w:pPr>
              <w:ind w:left="100"/>
              <w:spacing w:after="0"/>
              <w:rPr>
                <w:sz w:val="20"/>
                <w:szCs w:val="20"/>
                <w:color w:val="auto"/>
              </w:rPr>
            </w:pPr>
            <w:r>
              <w:rPr>
                <w:rFonts w:ascii="Times New Roman" w:cs="Times New Roman" w:eastAsia="Times New Roman" w:hAnsi="Times New Roman"/>
                <w:sz w:val="10"/>
                <w:szCs w:val="10"/>
                <w:color w:val="0D0D0D"/>
              </w:rPr>
              <w:t>Other</w:t>
            </w:r>
          </w:p>
        </w:tc>
        <w:tc>
          <w:tcPr>
            <w:tcW w:w="7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133</w:t>
            </w:r>
          </w:p>
        </w:tc>
        <w:tc>
          <w:tcPr>
            <w:tcW w:w="7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4</w:t>
            </w:r>
          </w:p>
        </w:tc>
        <w:tc>
          <w:tcPr>
            <w:tcW w:w="7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tcBorders>
              <w:bottom w:val="single" w:sz="8" w:color="005AFF"/>
            </w:tcBorders>
            <w:shd w:val="clear" w:color="auto" w:fill="F0F5FF"/>
          </w:tcPr>
          <w:p>
            <w:pPr>
              <w:jc w:val="center"/>
              <w:ind w:left="551"/>
              <w:spacing w:after="0"/>
              <w:rPr>
                <w:sz w:val="20"/>
                <w:szCs w:val="20"/>
                <w:color w:val="auto"/>
              </w:rPr>
            </w:pPr>
            <w:r>
              <w:rPr>
                <w:rFonts w:ascii="Times New Roman" w:cs="Times New Roman" w:eastAsia="Times New Roman" w:hAnsi="Times New Roman"/>
                <w:sz w:val="10"/>
                <w:szCs w:val="10"/>
                <w:color w:val="005AFF"/>
                <w:w w:val="99"/>
              </w:rPr>
              <w:t>—</w:t>
            </w:r>
          </w:p>
        </w:tc>
        <w:tc>
          <w:tcPr>
            <w:tcW w:w="780" w:type="dxa"/>
            <w:vAlign w:val="bottom"/>
            <w:tcBorders>
              <w:bottom w:val="single" w:sz="8" w:color="005AFF"/>
            </w:tcBorders>
            <w:shd w:val="clear" w:color="auto" w:fill="F0F5FF"/>
          </w:tcPr>
          <w:p>
            <w:pPr>
              <w:ind w:left="640"/>
              <w:spacing w:after="0"/>
              <w:rPr>
                <w:sz w:val="20"/>
                <w:szCs w:val="20"/>
                <w:color w:val="auto"/>
              </w:rPr>
            </w:pPr>
            <w:r>
              <w:rPr>
                <w:rFonts w:ascii="Times New Roman" w:cs="Times New Roman" w:eastAsia="Times New Roman" w:hAnsi="Times New Roman"/>
                <w:sz w:val="10"/>
                <w:szCs w:val="10"/>
                <w:color w:val="005AFF"/>
              </w:rPr>
              <w:t>—</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137</w:t>
            </w:r>
          </w:p>
        </w:tc>
        <w:tc>
          <w:tcPr>
            <w:tcW w:w="0" w:type="dxa"/>
            <w:vAlign w:val="bottom"/>
          </w:tcPr>
          <w:p>
            <w:pPr>
              <w:spacing w:after="0"/>
              <w:rPr>
                <w:sz w:val="1"/>
                <w:szCs w:val="1"/>
                <w:color w:val="auto"/>
              </w:rPr>
            </w:pPr>
          </w:p>
        </w:tc>
      </w:tr>
      <w:tr>
        <w:trPr>
          <w:trHeight w:val="142"/>
        </w:trPr>
        <w:tc>
          <w:tcPr>
            <w:tcW w:w="3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820" w:type="dxa"/>
            <w:vAlign w:val="bottom"/>
            <w:tcBorders>
              <w:bottom w:val="single" w:sz="8" w:color="005AFF"/>
            </w:tcBorders>
          </w:tcPr>
          <w:p>
            <w:pPr>
              <w:spacing w:after="0"/>
              <w:rPr>
                <w:sz w:val="12"/>
                <w:szCs w:val="12"/>
                <w:color w:val="auto"/>
              </w:rPr>
            </w:pPr>
          </w:p>
        </w:tc>
        <w:tc>
          <w:tcPr>
            <w:tcW w:w="7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3 814</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3 178</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534</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485</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480</w:t>
            </w:r>
          </w:p>
        </w:tc>
        <w:tc>
          <w:tcPr>
            <w:tcW w:w="7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b w:val="1"/>
                <w:bCs w:val="1"/>
                <w:color w:val="005AFF"/>
              </w:rPr>
              <w:t>23</w:t>
            </w:r>
          </w:p>
        </w:tc>
        <w:tc>
          <w:tcPr>
            <w:tcW w:w="780" w:type="dxa"/>
            <w:vAlign w:val="bottom"/>
            <w:tcBorders>
              <w:bottom w:val="single" w:sz="8" w:color="005A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b w:val="1"/>
                <w:bCs w:val="1"/>
                <w:color w:val="005AFF"/>
              </w:rPr>
              <w:t>8 514</w:t>
            </w:r>
          </w:p>
        </w:tc>
        <w:tc>
          <w:tcPr>
            <w:tcW w:w="0" w:type="dxa"/>
            <w:vAlign w:val="bottom"/>
          </w:tcPr>
          <w:p>
            <w:pPr>
              <w:spacing w:after="0"/>
              <w:rPr>
                <w:sz w:val="1"/>
                <w:szCs w:val="1"/>
                <w:color w:val="auto"/>
              </w:rPr>
            </w:pPr>
          </w:p>
        </w:tc>
      </w:tr>
      <w:tr>
        <w:trPr>
          <w:trHeight w:val="298"/>
        </w:trPr>
        <w:tc>
          <w:tcPr>
            <w:tcW w:w="3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AAA</w:t>
            </w:r>
          </w:p>
        </w:tc>
        <w:tc>
          <w:tcPr>
            <w:tcW w:w="7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1 046</w:t>
            </w:r>
          </w:p>
        </w:tc>
        <w:tc>
          <w:tcPr>
            <w:tcW w:w="7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center"/>
              <w:ind w:left="551"/>
              <w:spacing w:after="0"/>
              <w:rPr>
                <w:sz w:val="20"/>
                <w:szCs w:val="20"/>
                <w:color w:val="auto"/>
              </w:rPr>
            </w:pPr>
            <w:r>
              <w:rPr>
                <w:rFonts w:ascii="Times New Roman" w:cs="Times New Roman" w:eastAsia="Times New Roman" w:hAnsi="Times New Roman"/>
                <w:sz w:val="10"/>
                <w:szCs w:val="10"/>
                <w:color w:val="0D0D0D"/>
                <w:w w:val="99"/>
              </w:rPr>
              <w:t>—</w:t>
            </w:r>
          </w:p>
        </w:tc>
        <w:tc>
          <w:tcPr>
            <w:tcW w:w="780" w:type="dxa"/>
            <w:vAlign w:val="bottom"/>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1 046</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AA+ - AA-</w:t>
            </w:r>
          </w:p>
        </w:tc>
        <w:tc>
          <w:tcPr>
            <w:tcW w:w="7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683</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643</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250</w:t>
            </w:r>
          </w:p>
        </w:tc>
        <w:tc>
          <w:tcPr>
            <w:tcW w:w="7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center"/>
              <w:ind w:left="551"/>
              <w:spacing w:after="0"/>
              <w:rPr>
                <w:sz w:val="20"/>
                <w:szCs w:val="20"/>
                <w:color w:val="auto"/>
              </w:rPr>
            </w:pPr>
            <w:r>
              <w:rPr>
                <w:rFonts w:ascii="Times New Roman" w:cs="Times New Roman" w:eastAsia="Times New Roman" w:hAnsi="Times New Roman"/>
                <w:sz w:val="10"/>
                <w:szCs w:val="10"/>
                <w:color w:val="0D0D0D"/>
                <w:w w:val="99"/>
              </w:rPr>
              <w:t>—</w:t>
            </w:r>
          </w:p>
        </w:tc>
        <w:tc>
          <w:tcPr>
            <w:tcW w:w="780" w:type="dxa"/>
            <w:vAlign w:val="bottom"/>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1 576</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A+ - A-</w:t>
            </w:r>
          </w:p>
        </w:tc>
        <w:tc>
          <w:tcPr>
            <w:tcW w:w="78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1 553</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2 314</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865</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190</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234</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203</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5 359</w:t>
            </w:r>
          </w:p>
        </w:tc>
        <w:tc>
          <w:tcPr>
            <w:tcW w:w="0" w:type="dxa"/>
            <w:vAlign w:val="bottom"/>
          </w:tcPr>
          <w:p>
            <w:pPr>
              <w:spacing w:after="0"/>
              <w:rPr>
                <w:sz w:val="1"/>
                <w:szCs w:val="1"/>
                <w:color w:val="auto"/>
              </w:rPr>
            </w:pPr>
          </w:p>
        </w:tc>
      </w:tr>
      <w:tr>
        <w:trPr>
          <w:trHeight w:val="162"/>
        </w:trPr>
        <w:tc>
          <w:tcPr>
            <w:tcW w:w="360" w:type="dxa"/>
            <w:vAlign w:val="bottom"/>
          </w:tcPr>
          <w:p>
            <w:pPr>
              <w:spacing w:after="0"/>
              <w:rPr>
                <w:sz w:val="14"/>
                <w:szCs w:val="14"/>
                <w:color w:val="auto"/>
              </w:rPr>
            </w:pPr>
          </w:p>
        </w:tc>
        <w:tc>
          <w:tcPr>
            <w:tcW w:w="820" w:type="dxa"/>
            <w:vAlign w:val="bottom"/>
          </w:tcPr>
          <w:p>
            <w:pPr>
              <w:ind w:left="100"/>
              <w:spacing w:after="0"/>
              <w:rPr>
                <w:sz w:val="20"/>
                <w:szCs w:val="20"/>
                <w:color w:val="auto"/>
              </w:rPr>
            </w:pPr>
            <w:r>
              <w:rPr>
                <w:rFonts w:ascii="Times New Roman" w:cs="Times New Roman" w:eastAsia="Times New Roman" w:hAnsi="Times New Roman"/>
                <w:sz w:val="10"/>
                <w:szCs w:val="10"/>
                <w:color w:val="0D0D0D"/>
              </w:rPr>
              <w:t>BBB+ - BBB-</w:t>
            </w:r>
          </w:p>
        </w:tc>
        <w:tc>
          <w:tcPr>
            <w:tcW w:w="78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39</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477</w:t>
            </w:r>
          </w:p>
        </w:tc>
        <w:tc>
          <w:tcPr>
            <w:tcW w:w="7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52</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291</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197</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70</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1 126</w:t>
            </w:r>
          </w:p>
        </w:tc>
        <w:tc>
          <w:tcPr>
            <w:tcW w:w="0" w:type="dxa"/>
            <w:vAlign w:val="bottom"/>
          </w:tcPr>
          <w:p>
            <w:pPr>
              <w:spacing w:after="0"/>
              <w:rPr>
                <w:sz w:val="1"/>
                <w:szCs w:val="1"/>
                <w:color w:val="auto"/>
              </w:rPr>
            </w:pPr>
          </w:p>
        </w:tc>
      </w:tr>
      <w:tr>
        <w:trPr>
          <w:trHeight w:val="167"/>
        </w:trPr>
        <w:tc>
          <w:tcPr>
            <w:tcW w:w="360" w:type="dxa"/>
            <w:vAlign w:val="bottom"/>
            <w:tcBorders>
              <w:bottom w:val="single" w:sz="8" w:color="005AFF"/>
            </w:tcBorders>
          </w:tcPr>
          <w:p>
            <w:pPr>
              <w:spacing w:after="0"/>
              <w:rPr>
                <w:sz w:val="14"/>
                <w:szCs w:val="14"/>
                <w:color w:val="auto"/>
              </w:rPr>
            </w:pPr>
          </w:p>
        </w:tc>
        <w:tc>
          <w:tcPr>
            <w:tcW w:w="820" w:type="dxa"/>
            <w:vAlign w:val="bottom"/>
            <w:tcBorders>
              <w:bottom w:val="single" w:sz="8" w:color="005AFF"/>
            </w:tcBorders>
          </w:tcPr>
          <w:p>
            <w:pPr>
              <w:ind w:left="100"/>
              <w:spacing w:after="0"/>
              <w:rPr>
                <w:sz w:val="20"/>
                <w:szCs w:val="20"/>
                <w:color w:val="auto"/>
              </w:rPr>
            </w:pPr>
            <w:r>
              <w:rPr>
                <w:rFonts w:ascii="Times New Roman" w:cs="Times New Roman" w:eastAsia="Times New Roman" w:hAnsi="Times New Roman"/>
                <w:sz w:val="10"/>
                <w:szCs w:val="10"/>
                <w:color w:val="0D0D0D"/>
              </w:rPr>
              <w:t>Other</w:t>
            </w:r>
          </w:p>
        </w:tc>
        <w:tc>
          <w:tcPr>
            <w:tcW w:w="7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123</w:t>
            </w:r>
          </w:p>
        </w:tc>
        <w:tc>
          <w:tcPr>
            <w:tcW w:w="7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6</w:t>
            </w: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center"/>
              <w:ind w:left="551"/>
              <w:spacing w:after="0"/>
              <w:rPr>
                <w:sz w:val="20"/>
                <w:szCs w:val="20"/>
                <w:color w:val="auto"/>
              </w:rPr>
            </w:pPr>
            <w:r>
              <w:rPr>
                <w:rFonts w:ascii="Times New Roman" w:cs="Times New Roman" w:eastAsia="Times New Roman" w:hAnsi="Times New Roman"/>
                <w:sz w:val="10"/>
                <w:szCs w:val="10"/>
                <w:color w:val="0D0D0D"/>
              </w:rPr>
              <w:t>8</w:t>
            </w:r>
          </w:p>
        </w:tc>
        <w:tc>
          <w:tcPr>
            <w:tcW w:w="780" w:type="dxa"/>
            <w:vAlign w:val="bottom"/>
            <w:tcBorders>
              <w:bottom w:val="single" w:sz="8" w:color="005AFF"/>
            </w:tcBorders>
          </w:tcPr>
          <w:p>
            <w:pPr>
              <w:ind w:left="640"/>
              <w:spacing w:after="0"/>
              <w:rPr>
                <w:sz w:val="20"/>
                <w:szCs w:val="20"/>
                <w:color w:val="auto"/>
              </w:rPr>
            </w:pPr>
            <w:r>
              <w:rPr>
                <w:rFonts w:ascii="Times New Roman" w:cs="Times New Roman" w:eastAsia="Times New Roman" w:hAnsi="Times New Roman"/>
                <w:sz w:val="10"/>
                <w:szCs w:val="10"/>
                <w:color w:val="0D0D0D"/>
              </w:rPr>
              <w:t>—</w:t>
            </w:r>
          </w:p>
        </w:tc>
        <w:tc>
          <w:tcPr>
            <w:tcW w:w="7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137</w:t>
            </w:r>
          </w:p>
        </w:tc>
        <w:tc>
          <w:tcPr>
            <w:tcW w:w="0" w:type="dxa"/>
            <w:vAlign w:val="bottom"/>
          </w:tcPr>
          <w:p>
            <w:pPr>
              <w:spacing w:after="0"/>
              <w:rPr>
                <w:sz w:val="1"/>
                <w:szCs w:val="1"/>
                <w:color w:val="auto"/>
              </w:rPr>
            </w:pPr>
          </w:p>
        </w:tc>
      </w:tr>
      <w:tr>
        <w:trPr>
          <w:trHeight w:val="137"/>
        </w:trPr>
        <w:tc>
          <w:tcPr>
            <w:tcW w:w="36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820" w:type="dxa"/>
            <w:vAlign w:val="bottom"/>
          </w:tcPr>
          <w:p>
            <w:pPr>
              <w:spacing w:after="0"/>
              <w:rPr>
                <w:sz w:val="11"/>
                <w:szCs w:val="11"/>
                <w:color w:val="auto"/>
              </w:rPr>
            </w:pPr>
          </w:p>
        </w:tc>
        <w:tc>
          <w:tcPr>
            <w:tcW w:w="78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2 398</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4 486</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1 167</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481</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439</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273</w:t>
            </w:r>
          </w:p>
        </w:tc>
        <w:tc>
          <w:tcPr>
            <w:tcW w:w="780" w:type="dxa"/>
            <w:vAlign w:val="bottom"/>
          </w:tcPr>
          <w:p>
            <w:pPr>
              <w:jc w:val="right"/>
              <w:ind w:right="51"/>
              <w:spacing w:after="0"/>
              <w:rPr>
                <w:sz w:val="20"/>
                <w:szCs w:val="20"/>
                <w:color w:val="auto"/>
              </w:rPr>
            </w:pPr>
            <w:r>
              <w:rPr>
                <w:rFonts w:ascii="Times New Roman" w:cs="Times New Roman" w:eastAsia="Times New Roman" w:hAnsi="Times New Roman"/>
                <w:sz w:val="10"/>
                <w:szCs w:val="10"/>
                <w:b w:val="1"/>
                <w:bCs w:val="1"/>
                <w:color w:val="auto"/>
              </w:rPr>
              <w:t>9 244</w:t>
            </w:r>
          </w:p>
        </w:tc>
        <w:tc>
          <w:tcPr>
            <w:tcW w:w="0" w:type="dxa"/>
            <w:vAlign w:val="bottom"/>
          </w:tcPr>
          <w:p>
            <w:pPr>
              <w:spacing w:after="0"/>
              <w:rPr>
                <w:sz w:val="1"/>
                <w:szCs w:val="1"/>
                <w:color w:val="auto"/>
              </w:rPr>
            </w:pPr>
          </w:p>
        </w:tc>
      </w:tr>
    </w:tbl>
    <w:p>
      <w:pPr>
        <w:spacing w:after="0" w:line="31" w:lineRule="exact"/>
        <w:rPr>
          <w:sz w:val="20"/>
          <w:szCs w:val="20"/>
          <w:color w:val="auto"/>
        </w:rPr>
      </w:pPr>
    </w:p>
    <w:p>
      <w:pPr>
        <w:ind w:left="220" w:hanging="183"/>
        <w:spacing w:after="0"/>
        <w:tabs>
          <w:tab w:leader="none" w:pos="220" w:val="left"/>
        </w:tabs>
        <w:numPr>
          <w:ilvl w:val="0"/>
          <w:numId w:val="13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Bank Parent Company ratings are used here for bank groups. Actual bank subsidiary ratings may differ from the Bank Parent Company rating.</w:t>
      </w:r>
    </w:p>
    <w:p>
      <w:pPr>
        <w:spacing w:after="0" w:line="12" w:lineRule="exact"/>
        <w:rPr>
          <w:rFonts w:ascii="Times New Roman" w:cs="Times New Roman" w:eastAsia="Times New Roman" w:hAnsi="Times New Roman"/>
          <w:sz w:val="8"/>
          <w:szCs w:val="8"/>
          <w:color w:val="auto"/>
        </w:rPr>
      </w:pPr>
    </w:p>
    <w:p>
      <w:pPr>
        <w:ind w:left="220" w:right="1040" w:hanging="183"/>
        <w:spacing w:after="0" w:line="250" w:lineRule="auto"/>
        <w:tabs>
          <w:tab w:leader="none" w:pos="220" w:val="left"/>
        </w:tabs>
        <w:numPr>
          <w:ilvl w:val="0"/>
          <w:numId w:val="13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Non-current and current interest-bearing financial investments and cash equivalents include bank deposits, structured deposits, investments in money market funds and investments in fixed income instruments.</w:t>
      </w:r>
    </w:p>
    <w:p>
      <w:pPr>
        <w:ind w:left="40"/>
        <w:spacing w:after="0"/>
        <w:tabs>
          <w:tab w:leader="none" w:pos="200" w:val="left"/>
          <w:tab w:leader="none" w:pos="5940" w:val="left"/>
        </w:tabs>
        <w:rPr>
          <w:sz w:val="20"/>
          <w:szCs w:val="20"/>
          <w:color w:val="auto"/>
        </w:rPr>
      </w:pPr>
      <w:r>
        <w:rPr>
          <w:rFonts w:ascii="Times New Roman" w:cs="Times New Roman" w:eastAsia="Times New Roman" w:hAnsi="Times New Roman"/>
          <w:sz w:val="8"/>
          <w:szCs w:val="8"/>
          <w:color w:val="auto"/>
        </w:rPr>
        <w:t>(3)</w:t>
        <w:tab/>
        <w:t>Instruments that include a call feature have been presented at their final maturities. Instruments that are contractually due beyond three months include EUR</w:t>
      </w:r>
      <w:r>
        <w:rPr>
          <w:sz w:val="20"/>
          <w:szCs w:val="20"/>
          <w:color w:val="auto"/>
        </w:rPr>
        <w:tab/>
      </w:r>
      <w:r>
        <w:rPr>
          <w:rFonts w:ascii="Times New Roman" w:cs="Times New Roman" w:eastAsia="Times New Roman" w:hAnsi="Times New Roman"/>
          <w:sz w:val="8"/>
          <w:szCs w:val="8"/>
          <w:color w:val="auto"/>
        </w:rPr>
        <w:t>332 million</w:t>
      </w:r>
    </w:p>
    <w:p>
      <w:pPr>
        <w:spacing w:after="0" w:line="9" w:lineRule="exact"/>
        <w:rPr>
          <w:sz w:val="20"/>
          <w:szCs w:val="20"/>
          <w:color w:val="auto"/>
        </w:rPr>
      </w:pPr>
    </w:p>
    <w:p>
      <w:pPr>
        <w:ind w:left="220"/>
        <w:spacing w:after="0"/>
        <w:rPr>
          <w:sz w:val="20"/>
          <w:szCs w:val="20"/>
          <w:color w:val="auto"/>
        </w:rPr>
      </w:pPr>
      <w:r>
        <w:rPr>
          <w:rFonts w:ascii="Times New Roman" w:cs="Times New Roman" w:eastAsia="Times New Roman" w:hAnsi="Times New Roman"/>
          <w:sz w:val="8"/>
          <w:szCs w:val="8"/>
          <w:color w:val="auto"/>
        </w:rPr>
        <w:t>(EUR551 million in 2022 ) of instruments that have a call period of less than three months.</w:t>
      </w:r>
    </w:p>
    <w:p>
      <w:pPr>
        <w:spacing w:after="0" w:line="114" w:lineRule="exact"/>
        <w:rPr>
          <w:sz w:val="20"/>
          <w:szCs w:val="20"/>
          <w:color w:val="auto"/>
        </w:rPr>
      </w:pPr>
    </w:p>
    <w:p>
      <w:pPr>
        <w:ind w:left="40" w:right="960"/>
        <w:spacing w:after="0" w:line="265" w:lineRule="auto"/>
        <w:rPr>
          <w:sz w:val="20"/>
          <w:szCs w:val="20"/>
          <w:color w:val="auto"/>
        </w:rPr>
      </w:pPr>
      <w:r>
        <w:rPr>
          <w:rFonts w:ascii="Times New Roman" w:cs="Times New Roman" w:eastAsia="Times New Roman" w:hAnsi="Times New Roman"/>
          <w:sz w:val="11"/>
          <w:szCs w:val="11"/>
          <w:color w:val="auto"/>
        </w:rPr>
        <w:t>The following table sets out financial assets and liabilities subject to offsetting under enforceable master netting agreements and similar arrangements at 31 December. To reconcile the items presented to the statement of financial position, items that</w:t>
      </w:r>
    </w:p>
    <w:tbl>
      <w:tblPr>
        <w:tblLayout w:type="fixed"/>
        <w:tblInd w:w="0" w:type="dxa"/>
        <w:tblCellMar>
          <w:top w:w="0" w:type="dxa"/>
          <w:left w:w="0" w:type="dxa"/>
          <w:bottom w:w="0" w:type="dxa"/>
          <w:right w:w="0" w:type="dxa"/>
        </w:tblCellMar>
      </w:tblPr>
      <w:tr>
        <w:trPr>
          <w:trHeight w:val="148"/>
        </w:trPr>
        <w:tc>
          <w:tcPr>
            <w:tcW w:w="3200" w:type="dxa"/>
            <w:vAlign w:val="bottom"/>
            <w:gridSpan w:val="3"/>
          </w:tcPr>
          <w:p>
            <w:pPr>
              <w:ind w:left="40"/>
              <w:spacing w:after="0"/>
              <w:rPr>
                <w:sz w:val="20"/>
                <w:szCs w:val="20"/>
                <w:color w:val="auto"/>
              </w:rPr>
            </w:pPr>
            <w:r>
              <w:rPr>
                <w:rFonts w:ascii="Times New Roman" w:cs="Times New Roman" w:eastAsia="Times New Roman" w:hAnsi="Times New Roman"/>
                <w:sz w:val="11"/>
                <w:szCs w:val="11"/>
                <w:color w:val="auto"/>
              </w:rPr>
              <w:t>are not subject to offsetting would need to be included, refer to Note</w:t>
            </w:r>
          </w:p>
        </w:tc>
        <w:tc>
          <w:tcPr>
            <w:tcW w:w="3180" w:type="dxa"/>
            <w:vAlign w:val="bottom"/>
            <w:gridSpan w:val="3"/>
          </w:tcPr>
          <w:p>
            <w:pPr>
              <w:ind w:left="420"/>
              <w:spacing w:after="0"/>
              <w:rPr>
                <w:sz w:val="20"/>
                <w:szCs w:val="20"/>
                <w:color w:val="auto"/>
              </w:rPr>
            </w:pPr>
            <w:r>
              <w:rPr>
                <w:rFonts w:ascii="Times New Roman" w:cs="Times New Roman" w:eastAsia="Times New Roman" w:hAnsi="Times New Roman"/>
                <w:sz w:val="11"/>
                <w:szCs w:val="11"/>
                <w:color w:val="auto"/>
              </w:rPr>
              <w:t>5.3. Derivative and firm commitment assets and liabilities</w:t>
            </w:r>
          </w:p>
        </w:tc>
        <w:tc>
          <w:tcPr>
            <w:tcW w:w="300" w:type="dxa"/>
            <w:vAlign w:val="bottom"/>
          </w:tcPr>
          <w:p>
            <w:pPr>
              <w:jc w:val="right"/>
              <w:ind w:right="68"/>
              <w:spacing w:after="0"/>
              <w:rPr>
                <w:sz w:val="20"/>
                <w:szCs w:val="20"/>
                <w:color w:val="auto"/>
              </w:rPr>
            </w:pPr>
            <w:r>
              <w:rPr>
                <w:rFonts w:ascii="Times New Roman" w:cs="Times New Roman" w:eastAsia="Times New Roman" w:hAnsi="Times New Roman"/>
                <w:sz w:val="11"/>
                <w:szCs w:val="11"/>
                <w:color w:val="auto"/>
              </w:rPr>
              <w:t>.</w:t>
            </w:r>
          </w:p>
        </w:tc>
      </w:tr>
      <w:tr>
        <w:trPr>
          <w:trHeight w:val="162"/>
        </w:trPr>
        <w:tc>
          <w:tcPr>
            <w:tcW w:w="1200" w:type="dxa"/>
            <w:vAlign w:val="bottom"/>
          </w:tcPr>
          <w:p>
            <w:pPr>
              <w:spacing w:after="0"/>
              <w:rPr>
                <w:sz w:val="14"/>
                <w:szCs w:val="14"/>
                <w:color w:val="auto"/>
              </w:rPr>
            </w:pPr>
          </w:p>
        </w:tc>
        <w:tc>
          <w:tcPr>
            <w:tcW w:w="1380" w:type="dxa"/>
            <w:vAlign w:val="bottom"/>
          </w:tcPr>
          <w:p>
            <w:pPr>
              <w:spacing w:after="0"/>
              <w:rPr>
                <w:sz w:val="14"/>
                <w:szCs w:val="14"/>
                <w:color w:val="auto"/>
              </w:rPr>
            </w:pPr>
          </w:p>
        </w:tc>
        <w:tc>
          <w:tcPr>
            <w:tcW w:w="2720" w:type="dxa"/>
            <w:vAlign w:val="bottom"/>
            <w:tcBorders>
              <w:bottom w:val="single" w:sz="8" w:color="005AFF"/>
            </w:tcBorders>
            <w:gridSpan w:val="3"/>
          </w:tcPr>
          <w:p>
            <w:pPr>
              <w:jc w:val="right"/>
              <w:ind w:right="312"/>
              <w:spacing w:after="0"/>
              <w:rPr>
                <w:sz w:val="20"/>
                <w:szCs w:val="20"/>
                <w:color w:val="auto"/>
              </w:rPr>
            </w:pPr>
            <w:r>
              <w:rPr>
                <w:rFonts w:ascii="Times New Roman" w:cs="Times New Roman" w:eastAsia="Times New Roman" w:hAnsi="Times New Roman"/>
                <w:sz w:val="8"/>
                <w:szCs w:val="8"/>
                <w:b w:val="1"/>
                <w:bCs w:val="1"/>
                <w:color w:val="005AFF"/>
              </w:rPr>
              <w:t>Related amounts not set off in the statement of financial position</w:t>
            </w:r>
          </w:p>
        </w:tc>
        <w:tc>
          <w:tcPr>
            <w:tcW w:w="1080" w:type="dxa"/>
            <w:vAlign w:val="bottom"/>
          </w:tcPr>
          <w:p>
            <w:pPr>
              <w:spacing w:after="0"/>
              <w:rPr>
                <w:sz w:val="14"/>
                <w:szCs w:val="14"/>
                <w:color w:val="auto"/>
              </w:rPr>
            </w:pPr>
          </w:p>
        </w:tc>
        <w:tc>
          <w:tcPr>
            <w:tcW w:w="300" w:type="dxa"/>
            <w:vAlign w:val="bottom"/>
          </w:tcPr>
          <w:p>
            <w:pPr>
              <w:spacing w:after="0"/>
              <w:rPr>
                <w:sz w:val="14"/>
                <w:szCs w:val="14"/>
                <w:color w:val="auto"/>
              </w:rPr>
            </w:pPr>
          </w:p>
        </w:tc>
      </w:tr>
      <w:tr>
        <w:trPr>
          <w:trHeight w:val="110"/>
        </w:trPr>
        <w:tc>
          <w:tcPr>
            <w:tcW w:w="1200" w:type="dxa"/>
            <w:vAlign w:val="bottom"/>
          </w:tcPr>
          <w:p>
            <w:pPr>
              <w:spacing w:after="0"/>
              <w:rPr>
                <w:sz w:val="9"/>
                <w:szCs w:val="9"/>
                <w:color w:val="auto"/>
              </w:rPr>
            </w:pPr>
          </w:p>
        </w:tc>
        <w:tc>
          <w:tcPr>
            <w:tcW w:w="1380" w:type="dxa"/>
            <w:vAlign w:val="bottom"/>
          </w:tcPr>
          <w:p>
            <w:pPr>
              <w:jc w:val="right"/>
              <w:ind w:right="113"/>
              <w:spacing w:after="0"/>
              <w:rPr>
                <w:sz w:val="20"/>
                <w:szCs w:val="20"/>
                <w:color w:val="auto"/>
              </w:rPr>
            </w:pPr>
            <w:r>
              <w:rPr>
                <w:rFonts w:ascii="Times New Roman" w:cs="Times New Roman" w:eastAsia="Times New Roman" w:hAnsi="Times New Roman"/>
                <w:sz w:val="8"/>
                <w:szCs w:val="8"/>
                <w:b w:val="1"/>
                <w:bCs w:val="1"/>
                <w:color w:val="005AFF"/>
              </w:rPr>
              <w:t>Net amounts of financial assets/</w:t>
            </w:r>
          </w:p>
        </w:tc>
        <w:tc>
          <w:tcPr>
            <w:tcW w:w="620" w:type="dxa"/>
            <w:vAlign w:val="bottom"/>
          </w:tcPr>
          <w:p>
            <w:pPr>
              <w:spacing w:after="0"/>
              <w:rPr>
                <w:sz w:val="9"/>
                <w:szCs w:val="9"/>
                <w:color w:val="auto"/>
              </w:rPr>
            </w:pPr>
          </w:p>
        </w:tc>
        <w:tc>
          <w:tcPr>
            <w:tcW w:w="740" w:type="dxa"/>
            <w:vAlign w:val="bottom"/>
          </w:tcPr>
          <w:p>
            <w:pPr>
              <w:spacing w:after="0"/>
              <w:rPr>
                <w:sz w:val="9"/>
                <w:szCs w:val="9"/>
                <w:color w:val="auto"/>
              </w:rPr>
            </w:pPr>
          </w:p>
        </w:tc>
        <w:tc>
          <w:tcPr>
            <w:tcW w:w="1360" w:type="dxa"/>
            <w:vAlign w:val="bottom"/>
          </w:tcPr>
          <w:p>
            <w:pPr>
              <w:spacing w:after="0"/>
              <w:rPr>
                <w:sz w:val="9"/>
                <w:szCs w:val="9"/>
                <w:color w:val="auto"/>
              </w:rPr>
            </w:pPr>
          </w:p>
        </w:tc>
        <w:tc>
          <w:tcPr>
            <w:tcW w:w="1080" w:type="dxa"/>
            <w:vAlign w:val="bottom"/>
          </w:tcPr>
          <w:p>
            <w:pPr>
              <w:spacing w:after="0"/>
              <w:rPr>
                <w:sz w:val="9"/>
                <w:szCs w:val="9"/>
                <w:color w:val="auto"/>
              </w:rPr>
            </w:pPr>
          </w:p>
        </w:tc>
        <w:tc>
          <w:tcPr>
            <w:tcW w:w="300" w:type="dxa"/>
            <w:vAlign w:val="bottom"/>
          </w:tcPr>
          <w:p>
            <w:pPr>
              <w:spacing w:after="0"/>
              <w:rPr>
                <w:sz w:val="9"/>
                <w:szCs w:val="9"/>
                <w:color w:val="auto"/>
              </w:rPr>
            </w:pPr>
          </w:p>
        </w:tc>
      </w:tr>
      <w:tr>
        <w:trPr>
          <w:trHeight w:val="91"/>
        </w:trPr>
        <w:tc>
          <w:tcPr>
            <w:tcW w:w="1200" w:type="dxa"/>
            <w:vAlign w:val="bottom"/>
          </w:tcPr>
          <w:p>
            <w:pPr>
              <w:spacing w:after="0"/>
              <w:rPr>
                <w:sz w:val="7"/>
                <w:szCs w:val="7"/>
                <w:color w:val="auto"/>
              </w:rPr>
            </w:pPr>
          </w:p>
        </w:tc>
        <w:tc>
          <w:tcPr>
            <w:tcW w:w="1380" w:type="dxa"/>
            <w:vAlign w:val="bottom"/>
          </w:tcPr>
          <w:p>
            <w:pPr>
              <w:jc w:val="right"/>
              <w:ind w:right="73"/>
              <w:spacing w:after="0"/>
              <w:rPr>
                <w:sz w:val="20"/>
                <w:szCs w:val="20"/>
                <w:color w:val="auto"/>
              </w:rPr>
            </w:pPr>
            <w:r>
              <w:rPr>
                <w:rFonts w:ascii="Times New Roman" w:cs="Times New Roman" w:eastAsia="Times New Roman" w:hAnsi="Times New Roman"/>
                <w:sz w:val="8"/>
                <w:szCs w:val="8"/>
                <w:b w:val="1"/>
                <w:bCs w:val="1"/>
                <w:color w:val="005AFF"/>
              </w:rPr>
              <w:t>(liabilities) presented in the</w:t>
            </w:r>
          </w:p>
        </w:tc>
        <w:tc>
          <w:tcPr>
            <w:tcW w:w="1360" w:type="dxa"/>
            <w:vAlign w:val="bottom"/>
            <w:gridSpan w:val="2"/>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Financial instruments</w:t>
            </w:r>
          </w:p>
        </w:tc>
        <w:tc>
          <w:tcPr>
            <w:tcW w:w="1360" w:type="dxa"/>
            <w:vAlign w:val="bottom"/>
          </w:tcPr>
          <w:p>
            <w:pPr>
              <w:jc w:val="right"/>
              <w:ind w:right="12"/>
              <w:spacing w:after="0"/>
              <w:rPr>
                <w:sz w:val="20"/>
                <w:szCs w:val="20"/>
                <w:color w:val="auto"/>
              </w:rPr>
            </w:pPr>
            <w:r>
              <w:rPr>
                <w:rFonts w:ascii="Times New Roman" w:cs="Times New Roman" w:eastAsia="Times New Roman" w:hAnsi="Times New Roman"/>
                <w:sz w:val="8"/>
                <w:szCs w:val="8"/>
                <w:b w:val="1"/>
                <w:bCs w:val="1"/>
                <w:color w:val="005AFF"/>
              </w:rPr>
              <w:t>Cash collateral</w:t>
            </w:r>
          </w:p>
        </w:tc>
        <w:tc>
          <w:tcPr>
            <w:tcW w:w="1080" w:type="dxa"/>
            <w:vAlign w:val="bottom"/>
          </w:tcPr>
          <w:p>
            <w:pPr>
              <w:spacing w:after="0"/>
              <w:rPr>
                <w:sz w:val="7"/>
                <w:szCs w:val="7"/>
                <w:color w:val="auto"/>
              </w:rPr>
            </w:pPr>
          </w:p>
        </w:tc>
        <w:tc>
          <w:tcPr>
            <w:tcW w:w="300" w:type="dxa"/>
            <w:vAlign w:val="bottom"/>
          </w:tcPr>
          <w:p>
            <w:pPr>
              <w:spacing w:after="0"/>
              <w:rPr>
                <w:sz w:val="7"/>
                <w:szCs w:val="7"/>
                <w:color w:val="auto"/>
              </w:rPr>
            </w:pPr>
          </w:p>
        </w:tc>
      </w:tr>
      <w:tr>
        <w:trPr>
          <w:trHeight w:val="114"/>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1380" w:type="dxa"/>
            <w:vAlign w:val="bottom"/>
            <w:tcBorders>
              <w:bottom w:val="single" w:sz="8" w:color="005AFF"/>
            </w:tcBorders>
          </w:tcPr>
          <w:p>
            <w:pPr>
              <w:jc w:val="right"/>
              <w:ind w:right="93"/>
              <w:spacing w:after="0"/>
              <w:rPr>
                <w:sz w:val="20"/>
                <w:szCs w:val="20"/>
                <w:color w:val="auto"/>
              </w:rPr>
            </w:pPr>
            <w:r>
              <w:rPr>
                <w:rFonts w:ascii="Times New Roman" w:cs="Times New Roman" w:eastAsia="Times New Roman" w:hAnsi="Times New Roman"/>
                <w:sz w:val="8"/>
                <w:szCs w:val="8"/>
                <w:b w:val="1"/>
                <w:bCs w:val="1"/>
                <w:color w:val="005AFF"/>
              </w:rPr>
              <w:t>statement of financial position</w:t>
            </w:r>
          </w:p>
        </w:tc>
        <w:tc>
          <w:tcPr>
            <w:tcW w:w="620" w:type="dxa"/>
            <w:vAlign w:val="bottom"/>
            <w:tcBorders>
              <w:bottom w:val="single" w:sz="8" w:color="005AFF"/>
            </w:tcBorders>
          </w:tcPr>
          <w:p>
            <w:pPr>
              <w:spacing w:after="0"/>
              <w:rPr>
                <w:sz w:val="9"/>
                <w:szCs w:val="9"/>
                <w:color w:val="auto"/>
              </w:rPr>
            </w:pPr>
          </w:p>
        </w:tc>
        <w:tc>
          <w:tcPr>
            <w:tcW w:w="74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assets/(liabilities)</w:t>
            </w:r>
          </w:p>
        </w:tc>
        <w:tc>
          <w:tcPr>
            <w:tcW w:w="1360" w:type="dxa"/>
            <w:vAlign w:val="bottom"/>
            <w:tcBorders>
              <w:bottom w:val="single" w:sz="8" w:color="005AFF"/>
            </w:tcBorders>
          </w:tcPr>
          <w:p>
            <w:pPr>
              <w:jc w:val="right"/>
              <w:ind w:right="52"/>
              <w:spacing w:after="0"/>
              <w:rPr>
                <w:sz w:val="20"/>
                <w:szCs w:val="20"/>
                <w:color w:val="auto"/>
              </w:rPr>
            </w:pPr>
            <w:r>
              <w:rPr>
                <w:rFonts w:ascii="Times New Roman" w:cs="Times New Roman" w:eastAsia="Times New Roman" w:hAnsi="Times New Roman"/>
                <w:sz w:val="8"/>
                <w:szCs w:val="8"/>
                <w:b w:val="1"/>
                <w:bCs w:val="1"/>
                <w:color w:val="005AFF"/>
              </w:rPr>
              <w:t>(received)/pledged</w:t>
            </w:r>
          </w:p>
        </w:tc>
        <w:tc>
          <w:tcPr>
            <w:tcW w:w="1380" w:type="dxa"/>
            <w:vAlign w:val="bottom"/>
            <w:tcBorders>
              <w:bottom w:val="single" w:sz="8" w:color="005AFF"/>
            </w:tcBorders>
            <w:gridSpan w:val="2"/>
          </w:tcPr>
          <w:p>
            <w:pPr>
              <w:jc w:val="right"/>
              <w:ind w:right="28"/>
              <w:spacing w:after="0"/>
              <w:rPr>
                <w:sz w:val="20"/>
                <w:szCs w:val="20"/>
                <w:color w:val="auto"/>
              </w:rPr>
            </w:pPr>
            <w:r>
              <w:rPr>
                <w:rFonts w:ascii="Times New Roman" w:cs="Times New Roman" w:eastAsia="Times New Roman" w:hAnsi="Times New Roman"/>
                <w:sz w:val="8"/>
                <w:szCs w:val="8"/>
                <w:b w:val="1"/>
                <w:bCs w:val="1"/>
                <w:color w:val="005AFF"/>
              </w:rPr>
              <w:t>Net amount</w:t>
            </w:r>
          </w:p>
        </w:tc>
      </w:tr>
      <w:tr>
        <w:trPr>
          <w:trHeight w:val="140"/>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1380" w:type="dxa"/>
            <w:vAlign w:val="bottom"/>
            <w:shd w:val="clear" w:color="auto" w:fill="F0F5FF"/>
          </w:tcPr>
          <w:p>
            <w:pPr>
              <w:spacing w:after="0"/>
              <w:rPr>
                <w:sz w:val="12"/>
                <w:szCs w:val="12"/>
                <w:color w:val="auto"/>
              </w:rPr>
            </w:pPr>
          </w:p>
        </w:tc>
        <w:tc>
          <w:tcPr>
            <w:tcW w:w="620" w:type="dxa"/>
            <w:vAlign w:val="bottom"/>
            <w:shd w:val="clear" w:color="auto" w:fill="F0F5FF"/>
          </w:tcPr>
          <w:p>
            <w:pPr>
              <w:spacing w:after="0"/>
              <w:rPr>
                <w:sz w:val="12"/>
                <w:szCs w:val="12"/>
                <w:color w:val="auto"/>
              </w:rPr>
            </w:pPr>
          </w:p>
        </w:tc>
        <w:tc>
          <w:tcPr>
            <w:tcW w:w="740" w:type="dxa"/>
            <w:vAlign w:val="bottom"/>
            <w:shd w:val="clear" w:color="auto" w:fill="F0F5FF"/>
          </w:tcPr>
          <w:p>
            <w:pPr>
              <w:spacing w:after="0"/>
              <w:rPr>
                <w:sz w:val="12"/>
                <w:szCs w:val="12"/>
                <w:color w:val="auto"/>
              </w:rPr>
            </w:pPr>
          </w:p>
        </w:tc>
        <w:tc>
          <w:tcPr>
            <w:tcW w:w="1360" w:type="dxa"/>
            <w:vAlign w:val="bottom"/>
            <w:shd w:val="clear" w:color="auto" w:fill="F0F5FF"/>
          </w:tcPr>
          <w:p>
            <w:pPr>
              <w:spacing w:after="0"/>
              <w:rPr>
                <w:sz w:val="12"/>
                <w:szCs w:val="12"/>
                <w:color w:val="auto"/>
              </w:rPr>
            </w:pPr>
          </w:p>
        </w:tc>
        <w:tc>
          <w:tcPr>
            <w:tcW w:w="1080" w:type="dxa"/>
            <w:vAlign w:val="bottom"/>
            <w:shd w:val="clear" w:color="auto" w:fill="F0F5FF"/>
          </w:tcPr>
          <w:p>
            <w:pPr>
              <w:spacing w:after="0"/>
              <w:rPr>
                <w:sz w:val="12"/>
                <w:szCs w:val="12"/>
                <w:color w:val="auto"/>
              </w:rPr>
            </w:pPr>
          </w:p>
        </w:tc>
        <w:tc>
          <w:tcPr>
            <w:tcW w:w="300" w:type="dxa"/>
            <w:vAlign w:val="bottom"/>
            <w:shd w:val="clear" w:color="auto" w:fill="F0F5FF"/>
          </w:tcPr>
          <w:p>
            <w:pPr>
              <w:spacing w:after="0"/>
              <w:rPr>
                <w:sz w:val="12"/>
                <w:szCs w:val="12"/>
                <w:color w:val="auto"/>
              </w:rPr>
            </w:pPr>
          </w:p>
        </w:tc>
      </w:tr>
      <w:tr>
        <w:trPr>
          <w:trHeight w:val="162"/>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Derivative assets</w:t>
            </w:r>
          </w:p>
        </w:tc>
        <w:tc>
          <w:tcPr>
            <w:tcW w:w="1380" w:type="dxa"/>
            <w:vAlign w:val="bottom"/>
            <w:shd w:val="clear" w:color="auto" w:fill="F0F5FF"/>
          </w:tcPr>
          <w:p>
            <w:pPr>
              <w:jc w:val="right"/>
              <w:ind w:right="33"/>
              <w:spacing w:after="0"/>
              <w:rPr>
                <w:sz w:val="20"/>
                <w:szCs w:val="20"/>
                <w:color w:val="auto"/>
              </w:rPr>
            </w:pPr>
            <w:r>
              <w:rPr>
                <w:rFonts w:ascii="Times New Roman" w:cs="Times New Roman" w:eastAsia="Times New Roman" w:hAnsi="Times New Roman"/>
                <w:sz w:val="10"/>
                <w:szCs w:val="10"/>
                <w:color w:val="005AFF"/>
              </w:rPr>
              <w:t>131</w:t>
            </w:r>
          </w:p>
        </w:tc>
        <w:tc>
          <w:tcPr>
            <w:tcW w:w="620" w:type="dxa"/>
            <w:vAlign w:val="bottom"/>
            <w:shd w:val="clear" w:color="auto" w:fill="F0F5FF"/>
          </w:tcPr>
          <w:p>
            <w:pPr>
              <w:spacing w:after="0"/>
              <w:rPr>
                <w:sz w:val="14"/>
                <w:szCs w:val="14"/>
                <w:color w:val="auto"/>
              </w:rPr>
            </w:pP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(115)</w:t>
            </w:r>
          </w:p>
        </w:tc>
        <w:tc>
          <w:tcPr>
            <w:tcW w:w="13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w:t>
            </w:r>
          </w:p>
        </w:tc>
        <w:tc>
          <w:tcPr>
            <w:tcW w:w="1080" w:type="dxa"/>
            <w:vAlign w:val="bottom"/>
            <w:shd w:val="clear" w:color="auto" w:fill="F0F5FF"/>
          </w:tcPr>
          <w:p>
            <w:pPr>
              <w:spacing w:after="0"/>
              <w:rPr>
                <w:sz w:val="14"/>
                <w:szCs w:val="14"/>
                <w:color w:val="auto"/>
              </w:rPr>
            </w:pPr>
          </w:p>
        </w:tc>
        <w:tc>
          <w:tcPr>
            <w:tcW w:w="300" w:type="dxa"/>
            <w:vAlign w:val="bottom"/>
            <w:shd w:val="clear" w:color="auto" w:fill="F0F5FF"/>
          </w:tcPr>
          <w:p>
            <w:pPr>
              <w:jc w:val="right"/>
              <w:ind w:right="8"/>
              <w:spacing w:after="0"/>
              <w:rPr>
                <w:sz w:val="20"/>
                <w:szCs w:val="20"/>
                <w:color w:val="auto"/>
              </w:rPr>
            </w:pPr>
            <w:r>
              <w:rPr>
                <w:rFonts w:ascii="Times New Roman" w:cs="Times New Roman" w:eastAsia="Times New Roman" w:hAnsi="Times New Roman"/>
                <w:sz w:val="10"/>
                <w:szCs w:val="10"/>
                <w:color w:val="005AFF"/>
              </w:rPr>
              <w:t>1</w:t>
            </w:r>
          </w:p>
        </w:tc>
      </w:tr>
      <w:tr>
        <w:trPr>
          <w:trHeight w:val="167"/>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Derivative liabilities</w:t>
            </w:r>
          </w:p>
        </w:tc>
        <w:tc>
          <w:tcPr>
            <w:tcW w:w="13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(285)</w:t>
            </w:r>
          </w:p>
        </w:tc>
        <w:tc>
          <w:tcPr>
            <w:tcW w:w="620" w:type="dxa"/>
            <w:vAlign w:val="bottom"/>
            <w:tcBorders>
              <w:bottom w:val="single" w:sz="8" w:color="005AFF"/>
            </w:tcBorders>
            <w:shd w:val="clear" w:color="auto" w:fill="F0F5FF"/>
          </w:tcPr>
          <w:p>
            <w:pPr>
              <w:spacing w:after="0"/>
              <w:rPr>
                <w:sz w:val="14"/>
                <w:szCs w:val="14"/>
                <w:color w:val="auto"/>
              </w:rPr>
            </w:pPr>
          </w:p>
        </w:tc>
        <w:tc>
          <w:tcPr>
            <w:tcW w:w="7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115</w:t>
            </w:r>
          </w:p>
        </w:tc>
        <w:tc>
          <w:tcPr>
            <w:tcW w:w="13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color w:val="005AFF"/>
              </w:rPr>
              <w:t>164</w:t>
            </w:r>
          </w:p>
        </w:tc>
        <w:tc>
          <w:tcPr>
            <w:tcW w:w="1080" w:type="dxa"/>
            <w:vAlign w:val="bottom"/>
            <w:tcBorders>
              <w:bottom w:val="single" w:sz="8" w:color="005AFF"/>
            </w:tcBorders>
            <w:shd w:val="clear" w:color="auto" w:fill="F0F5FF"/>
          </w:tcPr>
          <w:p>
            <w:pPr>
              <w:spacing w:after="0"/>
              <w:rPr>
                <w:sz w:val="14"/>
                <w:szCs w:val="14"/>
                <w:color w:val="auto"/>
              </w:rPr>
            </w:pPr>
          </w:p>
        </w:tc>
        <w:tc>
          <w:tcPr>
            <w:tcW w:w="3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r>
      <w:tr>
        <w:trPr>
          <w:trHeight w:val="142"/>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(154)</w:t>
            </w:r>
          </w:p>
        </w:tc>
        <w:tc>
          <w:tcPr>
            <w:tcW w:w="620" w:type="dxa"/>
            <w:vAlign w:val="bottom"/>
            <w:tcBorders>
              <w:bottom w:val="single" w:sz="8" w:color="005AFF"/>
            </w:tcBorders>
            <w:shd w:val="clear" w:color="auto" w:fill="F0F5FF"/>
          </w:tcPr>
          <w:p>
            <w:pPr>
              <w:spacing w:after="0"/>
              <w:rPr>
                <w:sz w:val="12"/>
                <w:szCs w:val="12"/>
                <w:color w:val="auto"/>
              </w:rPr>
            </w:pP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w:t>
            </w:r>
          </w:p>
        </w:tc>
        <w:tc>
          <w:tcPr>
            <w:tcW w:w="1360" w:type="dxa"/>
            <w:vAlign w:val="bottom"/>
            <w:tcBorders>
              <w:bottom w:val="single" w:sz="8" w:color="005AFF"/>
            </w:tcBorders>
            <w:shd w:val="clear" w:color="auto" w:fill="F0F5FF"/>
          </w:tcPr>
          <w:p>
            <w:pPr>
              <w:jc w:val="right"/>
              <w:ind w:right="12"/>
              <w:spacing w:after="0"/>
              <w:rPr>
                <w:sz w:val="20"/>
                <w:szCs w:val="20"/>
                <w:color w:val="auto"/>
              </w:rPr>
            </w:pPr>
            <w:r>
              <w:rPr>
                <w:rFonts w:ascii="Times New Roman" w:cs="Times New Roman" w:eastAsia="Times New Roman" w:hAnsi="Times New Roman"/>
                <w:sz w:val="10"/>
                <w:szCs w:val="10"/>
                <w:b w:val="1"/>
                <w:bCs w:val="1"/>
                <w:color w:val="005AFF"/>
              </w:rPr>
              <w:t>149</w:t>
            </w:r>
          </w:p>
        </w:tc>
        <w:tc>
          <w:tcPr>
            <w:tcW w:w="1080" w:type="dxa"/>
            <w:vAlign w:val="bottom"/>
            <w:tcBorders>
              <w:bottom w:val="single" w:sz="8" w:color="005AFF"/>
            </w:tcBorders>
            <w:shd w:val="clear" w:color="auto" w:fill="F0F5FF"/>
          </w:tcPr>
          <w:p>
            <w:pPr>
              <w:spacing w:after="0"/>
              <w:rPr>
                <w:sz w:val="12"/>
                <w:szCs w:val="12"/>
                <w:color w:val="auto"/>
              </w:rPr>
            </w:pPr>
          </w:p>
        </w:tc>
        <w:tc>
          <w:tcPr>
            <w:tcW w:w="3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w:t>
            </w:r>
          </w:p>
        </w:tc>
      </w:tr>
      <w:tr>
        <w:trPr>
          <w:trHeight w:val="137"/>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1380" w:type="dxa"/>
            <w:vAlign w:val="bottom"/>
          </w:tcPr>
          <w:p>
            <w:pPr>
              <w:spacing w:after="0"/>
              <w:rPr>
                <w:sz w:val="11"/>
                <w:szCs w:val="11"/>
                <w:color w:val="auto"/>
              </w:rPr>
            </w:pPr>
          </w:p>
        </w:tc>
        <w:tc>
          <w:tcPr>
            <w:tcW w:w="620" w:type="dxa"/>
            <w:vAlign w:val="bottom"/>
          </w:tcPr>
          <w:p>
            <w:pPr>
              <w:spacing w:after="0"/>
              <w:rPr>
                <w:sz w:val="11"/>
                <w:szCs w:val="11"/>
                <w:color w:val="auto"/>
              </w:rPr>
            </w:pPr>
          </w:p>
        </w:tc>
        <w:tc>
          <w:tcPr>
            <w:tcW w:w="740" w:type="dxa"/>
            <w:vAlign w:val="bottom"/>
          </w:tcPr>
          <w:p>
            <w:pPr>
              <w:spacing w:after="0"/>
              <w:rPr>
                <w:sz w:val="11"/>
                <w:szCs w:val="11"/>
                <w:color w:val="auto"/>
              </w:rPr>
            </w:pPr>
          </w:p>
        </w:tc>
        <w:tc>
          <w:tcPr>
            <w:tcW w:w="1360" w:type="dxa"/>
            <w:vAlign w:val="bottom"/>
          </w:tcPr>
          <w:p>
            <w:pPr>
              <w:spacing w:after="0"/>
              <w:rPr>
                <w:sz w:val="11"/>
                <w:szCs w:val="11"/>
                <w:color w:val="auto"/>
              </w:rPr>
            </w:pPr>
          </w:p>
        </w:tc>
        <w:tc>
          <w:tcPr>
            <w:tcW w:w="1080" w:type="dxa"/>
            <w:vAlign w:val="bottom"/>
          </w:tcPr>
          <w:p>
            <w:pPr>
              <w:spacing w:after="0"/>
              <w:rPr>
                <w:sz w:val="11"/>
                <w:szCs w:val="11"/>
                <w:color w:val="auto"/>
              </w:rPr>
            </w:pPr>
          </w:p>
        </w:tc>
        <w:tc>
          <w:tcPr>
            <w:tcW w:w="300" w:type="dxa"/>
            <w:vAlign w:val="bottom"/>
          </w:tcPr>
          <w:p>
            <w:pPr>
              <w:spacing w:after="0"/>
              <w:rPr>
                <w:sz w:val="11"/>
                <w:szCs w:val="11"/>
                <w:color w:val="auto"/>
              </w:rPr>
            </w:pPr>
          </w:p>
        </w:tc>
      </w:tr>
      <w:tr>
        <w:trPr>
          <w:trHeight w:val="162"/>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Derivative assets</w:t>
            </w:r>
          </w:p>
        </w:tc>
        <w:tc>
          <w:tcPr>
            <w:tcW w:w="1380" w:type="dxa"/>
            <w:vAlign w:val="bottom"/>
          </w:tcPr>
          <w:p>
            <w:pPr>
              <w:jc w:val="right"/>
              <w:ind w:right="33"/>
              <w:spacing w:after="0"/>
              <w:rPr>
                <w:sz w:val="20"/>
                <w:szCs w:val="20"/>
                <w:color w:val="auto"/>
              </w:rPr>
            </w:pPr>
            <w:r>
              <w:rPr>
                <w:rFonts w:ascii="Times New Roman" w:cs="Times New Roman" w:eastAsia="Times New Roman" w:hAnsi="Times New Roman"/>
                <w:sz w:val="10"/>
                <w:szCs w:val="10"/>
                <w:color w:val="0D0D0D"/>
              </w:rPr>
              <w:t>182</w:t>
            </w:r>
          </w:p>
        </w:tc>
        <w:tc>
          <w:tcPr>
            <w:tcW w:w="620" w:type="dxa"/>
            <w:vAlign w:val="bottom"/>
          </w:tcPr>
          <w:p>
            <w:pPr>
              <w:spacing w:after="0"/>
              <w:rPr>
                <w:sz w:val="14"/>
                <w:szCs w:val="14"/>
                <w:color w:val="auto"/>
              </w:rPr>
            </w:pP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(158)</w:t>
            </w:r>
          </w:p>
        </w:tc>
        <w:tc>
          <w:tcPr>
            <w:tcW w:w="13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(20)</w:t>
            </w:r>
          </w:p>
        </w:tc>
        <w:tc>
          <w:tcPr>
            <w:tcW w:w="1080" w:type="dxa"/>
            <w:vAlign w:val="bottom"/>
          </w:tcPr>
          <w:p>
            <w:pPr>
              <w:spacing w:after="0"/>
              <w:rPr>
                <w:sz w:val="14"/>
                <w:szCs w:val="14"/>
                <w:color w:val="auto"/>
              </w:rPr>
            </w:pPr>
          </w:p>
        </w:tc>
        <w:tc>
          <w:tcPr>
            <w:tcW w:w="300" w:type="dxa"/>
            <w:vAlign w:val="bottom"/>
          </w:tcPr>
          <w:p>
            <w:pPr>
              <w:jc w:val="right"/>
              <w:ind w:right="8"/>
              <w:spacing w:after="0"/>
              <w:rPr>
                <w:sz w:val="20"/>
                <w:szCs w:val="20"/>
                <w:color w:val="auto"/>
              </w:rPr>
            </w:pPr>
            <w:r>
              <w:rPr>
                <w:rFonts w:ascii="Times New Roman" w:cs="Times New Roman" w:eastAsia="Times New Roman" w:hAnsi="Times New Roman"/>
                <w:sz w:val="10"/>
                <w:szCs w:val="10"/>
                <w:color w:val="0D0D0D"/>
              </w:rPr>
              <w:t>4</w:t>
            </w:r>
          </w:p>
        </w:tc>
      </w:tr>
      <w:tr>
        <w:trPr>
          <w:trHeight w:val="167"/>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Derivative liabilities</w:t>
            </w:r>
          </w:p>
        </w:tc>
        <w:tc>
          <w:tcPr>
            <w:tcW w:w="13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(496)</w:t>
            </w:r>
          </w:p>
        </w:tc>
        <w:tc>
          <w:tcPr>
            <w:tcW w:w="620" w:type="dxa"/>
            <w:vAlign w:val="bottom"/>
            <w:tcBorders>
              <w:bottom w:val="single" w:sz="8" w:color="005AFF"/>
            </w:tcBorders>
          </w:tcPr>
          <w:p>
            <w:pPr>
              <w:spacing w:after="0"/>
              <w:rPr>
                <w:sz w:val="14"/>
                <w:szCs w:val="14"/>
                <w:color w:val="auto"/>
              </w:rPr>
            </w:pP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158</w:t>
            </w:r>
          </w:p>
        </w:tc>
        <w:tc>
          <w:tcPr>
            <w:tcW w:w="13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color w:val="0D0D0D"/>
              </w:rPr>
              <w:t>327</w:t>
            </w:r>
          </w:p>
        </w:tc>
        <w:tc>
          <w:tcPr>
            <w:tcW w:w="1080" w:type="dxa"/>
            <w:vAlign w:val="bottom"/>
            <w:tcBorders>
              <w:bottom w:val="single" w:sz="8" w:color="005AFF"/>
            </w:tcBorders>
          </w:tcPr>
          <w:p>
            <w:pPr>
              <w:spacing w:after="0"/>
              <w:rPr>
                <w:sz w:val="14"/>
                <w:szCs w:val="14"/>
                <w:color w:val="auto"/>
              </w:rPr>
            </w:pPr>
          </w:p>
        </w:tc>
        <w:tc>
          <w:tcPr>
            <w:tcW w:w="3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(11)</w:t>
            </w:r>
          </w:p>
        </w:tc>
      </w:tr>
      <w:tr>
        <w:trPr>
          <w:trHeight w:val="142"/>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3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(314)</w:t>
            </w:r>
          </w:p>
        </w:tc>
        <w:tc>
          <w:tcPr>
            <w:tcW w:w="620" w:type="dxa"/>
            <w:vAlign w:val="bottom"/>
            <w:tcBorders>
              <w:bottom w:val="single" w:sz="8" w:color="005AFF"/>
            </w:tcBorders>
          </w:tcPr>
          <w:p>
            <w:pPr>
              <w:spacing w:after="0"/>
              <w:rPr>
                <w:sz w:val="12"/>
                <w:szCs w:val="12"/>
                <w:color w:val="auto"/>
              </w:rPr>
            </w:pP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1360" w:type="dxa"/>
            <w:vAlign w:val="bottom"/>
            <w:tcBorders>
              <w:bottom w:val="single" w:sz="8" w:color="005AFF"/>
            </w:tcBorders>
          </w:tcPr>
          <w:p>
            <w:pPr>
              <w:jc w:val="right"/>
              <w:ind w:right="12"/>
              <w:spacing w:after="0"/>
              <w:rPr>
                <w:sz w:val="20"/>
                <w:szCs w:val="20"/>
                <w:color w:val="auto"/>
              </w:rPr>
            </w:pPr>
            <w:r>
              <w:rPr>
                <w:rFonts w:ascii="Times New Roman" w:cs="Times New Roman" w:eastAsia="Times New Roman" w:hAnsi="Times New Roman"/>
                <w:sz w:val="10"/>
                <w:szCs w:val="10"/>
                <w:b w:val="1"/>
                <w:bCs w:val="1"/>
                <w:color w:val="auto"/>
              </w:rPr>
              <w:t>307</w:t>
            </w:r>
          </w:p>
        </w:tc>
        <w:tc>
          <w:tcPr>
            <w:tcW w:w="1080" w:type="dxa"/>
            <w:vAlign w:val="bottom"/>
            <w:tcBorders>
              <w:bottom w:val="single" w:sz="8" w:color="005AFF"/>
            </w:tcBorders>
          </w:tcPr>
          <w:p>
            <w:pPr>
              <w:spacing w:after="0"/>
              <w:rPr>
                <w:sz w:val="12"/>
                <w:szCs w:val="12"/>
                <w:color w:val="auto"/>
              </w:rPr>
            </w:pPr>
          </w:p>
        </w:tc>
        <w:tc>
          <w:tcPr>
            <w:tcW w:w="3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(7)</w:t>
            </w:r>
          </w:p>
        </w:tc>
      </w:tr>
    </w:tbl>
    <w:p>
      <w:pPr>
        <w:spacing w:after="0" w:line="78" w:lineRule="exact"/>
        <w:rPr>
          <w:sz w:val="20"/>
          <w:szCs w:val="20"/>
          <w:color w:val="auto"/>
        </w:rPr>
      </w:pPr>
    </w:p>
    <w:p>
      <w:pPr>
        <w:ind w:left="40" w:right="1000"/>
        <w:spacing w:after="0" w:line="290" w:lineRule="auto"/>
        <w:rPr>
          <w:sz w:val="20"/>
          <w:szCs w:val="20"/>
          <w:color w:val="auto"/>
        </w:rPr>
      </w:pPr>
      <w:r>
        <w:rPr>
          <w:rFonts w:ascii="Times New Roman" w:cs="Times New Roman" w:eastAsia="Times New Roman" w:hAnsi="Times New Roman"/>
          <w:sz w:val="11"/>
          <w:szCs w:val="11"/>
          <w:color w:val="auto"/>
        </w:rPr>
        <w:t>The financial instruments subject to enforceable master netting agreements and similar arrangements are not offset in the statement of financial position as there is no intention to settle net or realize the asset and settle the liability simultaneously.</w:t>
      </w:r>
    </w:p>
    <w:p>
      <w:pPr>
        <w:sectPr>
          <w:pgSz w:w="11900" w:h="16838" w:orient="portrait"/>
          <w:cols w:equalWidth="0" w:num="2">
            <w:col w:w="3160" w:space="240"/>
            <w:col w:w="6680"/>
          </w:cols>
          <w:pgMar w:left="960" w:top="410" w:right="859" w:bottom="1440" w:gutter="0" w:footer="0" w:header="0"/>
          <w:type w:val="continuous"/>
        </w:sectPr>
      </w:pPr>
    </w:p>
    <w:bookmarkStart w:id="204" w:name="page205"/>
    <w:bookmarkEnd w:id="204"/>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197</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40"/>
          </w:cols>
          <w:pgMar w:left="960" w:top="410" w:right="89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Liquidity risk</w:t>
      </w:r>
    </w:p>
    <w:p>
      <w:pPr>
        <w:spacing w:after="0" w:line="24" w:lineRule="exact"/>
        <w:rPr>
          <w:sz w:val="20"/>
          <w:szCs w:val="20"/>
          <w:color w:val="auto"/>
        </w:rPr>
      </w:pPr>
    </w:p>
    <w:p>
      <w:pPr>
        <w:jc w:val="both"/>
        <w:ind w:right="100"/>
        <w:spacing w:after="0" w:line="262" w:lineRule="auto"/>
        <w:rPr>
          <w:sz w:val="20"/>
          <w:szCs w:val="20"/>
          <w:color w:val="auto"/>
        </w:rPr>
      </w:pPr>
      <w:r>
        <w:rPr>
          <w:rFonts w:ascii="Times New Roman" w:cs="Times New Roman" w:eastAsia="Times New Roman" w:hAnsi="Times New Roman"/>
          <w:sz w:val="11"/>
          <w:szCs w:val="11"/>
          <w:color w:val="auto"/>
        </w:rPr>
        <w:t>Liquidity risk is defined as financial distress or extraordinarily high financing costs arising from a shortage of liquid funds in a situation where outstanding debt needs to be refinanced</w:t>
      </w:r>
    </w:p>
    <w:p>
      <w:pPr>
        <w:spacing w:after="0"/>
        <w:rPr>
          <w:sz w:val="20"/>
          <w:szCs w:val="20"/>
          <w:color w:val="auto"/>
        </w:rPr>
      </w:pPr>
      <w:r>
        <w:rPr>
          <w:rFonts w:ascii="Times New Roman" w:cs="Times New Roman" w:eastAsia="Times New Roman" w:hAnsi="Times New Roman"/>
          <w:sz w:val="11"/>
          <w:szCs w:val="11"/>
          <w:color w:val="auto"/>
        </w:rPr>
        <w:t>or where business conditions unexpectedly deteriorate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require financing. Transactional liquidity risk is defined as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risk of executing a financial transaction below fair market</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value or not being able to execute the transaction at all</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within a specific period of time. The objective of liquidity risk</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management is to maintain sufficient liquidity, and to ensure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that it is readily available without endangering its value in order</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avoid uncertainty related to financial distress at all times.</w:t>
      </w:r>
    </w:p>
    <w:p>
      <w:pPr>
        <w:spacing w:after="0" w:line="84"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Nokia aims to secure sufficient liquidity at all times through efficient cash management and by investing primarily in highly liquid money market investments. Depending on its overall liquidity position, Nokia may pre-finance or refinance upcoming debt maturities before contractual maturity dates. The transactional liquidity risk is minimized by entering into transactions where proper two-way quotes can be obtained from the market. Nokia aims to ensure flexibility in funding by maintaining committed and uncommitted credit lines.</w:t>
      </w:r>
    </w:p>
    <w:p>
      <w:pPr>
        <w:spacing w:after="0" w:line="53" w:lineRule="exact"/>
        <w:rPr>
          <w:sz w:val="20"/>
          <w:szCs w:val="20"/>
          <w:color w:val="auto"/>
        </w:rPr>
      </w:pPr>
    </w:p>
    <w:p>
      <w:pPr>
        <w:ind w:right="60"/>
        <w:spacing w:after="0" w:line="275" w:lineRule="auto"/>
        <w:rPr>
          <w:sz w:val="20"/>
          <w:szCs w:val="20"/>
          <w:color w:val="auto"/>
        </w:rPr>
      </w:pPr>
      <w:r>
        <w:rPr>
          <w:rFonts w:ascii="Times New Roman" w:cs="Times New Roman" w:eastAsia="Times New Roman" w:hAnsi="Times New Roman"/>
          <w:sz w:val="11"/>
          <w:szCs w:val="11"/>
          <w:color w:val="auto"/>
        </w:rPr>
        <w:t>Certain changes in financial liabilities do not have a direct impact on Nokia’s liquidity position. A disaggregation of cash and non-cash changes in financial liabilities has been presented in the adjacent table.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21"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Nokia’s significant credit facilities and funding programs at 31 December:</w:t>
      </w:r>
    </w:p>
    <w:p>
      <w:pPr>
        <w:spacing w:after="0" w:line="57"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200" w:type="dxa"/>
            <w:vAlign w:val="bottom"/>
          </w:tcPr>
          <w:p>
            <w:pPr>
              <w:spacing w:after="0"/>
              <w:rPr>
                <w:sz w:val="9"/>
                <w:szCs w:val="9"/>
                <w:color w:val="auto"/>
              </w:rPr>
            </w:pPr>
          </w:p>
        </w:tc>
        <w:tc>
          <w:tcPr>
            <w:tcW w:w="1100" w:type="dxa"/>
            <w:vAlign w:val="bottom"/>
          </w:tcPr>
          <w:p>
            <w:pPr>
              <w:spacing w:after="0"/>
              <w:rPr>
                <w:sz w:val="9"/>
                <w:szCs w:val="9"/>
                <w:color w:val="auto"/>
              </w:rPr>
            </w:pPr>
          </w:p>
        </w:tc>
        <w:tc>
          <w:tcPr>
            <w:tcW w:w="1520" w:type="dxa"/>
            <w:vAlign w:val="bottom"/>
          </w:tcPr>
          <w:p>
            <w:pPr>
              <w:spacing w:after="0"/>
              <w:rPr>
                <w:sz w:val="9"/>
                <w:szCs w:val="9"/>
                <w:color w:val="auto"/>
              </w:rPr>
            </w:pPr>
          </w:p>
        </w:tc>
        <w:tc>
          <w:tcPr>
            <w:tcW w:w="560" w:type="dxa"/>
            <w:vAlign w:val="bottom"/>
          </w:tcPr>
          <w:p>
            <w:pPr>
              <w:spacing w:after="0"/>
              <w:rPr>
                <w:sz w:val="9"/>
                <w:szCs w:val="9"/>
                <w:color w:val="auto"/>
              </w:rPr>
            </w:pPr>
          </w:p>
        </w:tc>
        <w:tc>
          <w:tcPr>
            <w:tcW w:w="780" w:type="dxa"/>
            <w:vAlign w:val="bottom"/>
          </w:tcPr>
          <w:p>
            <w:pPr>
              <w:spacing w:after="0"/>
              <w:rPr>
                <w:sz w:val="9"/>
                <w:szCs w:val="9"/>
                <w:color w:val="auto"/>
              </w:rPr>
            </w:pPr>
          </w:p>
        </w:tc>
        <w:tc>
          <w:tcPr>
            <w:tcW w:w="1100" w:type="dxa"/>
            <w:vAlign w:val="bottom"/>
            <w:tcBorders>
              <w:bottom w:val="single" w:sz="8" w:color="005AFF"/>
            </w:tcBorders>
            <w:gridSpan w:val="2"/>
          </w:tcPr>
          <w:p>
            <w:pPr>
              <w:ind w:left="440"/>
              <w:spacing w:after="0"/>
              <w:rPr>
                <w:sz w:val="20"/>
                <w:szCs w:val="20"/>
                <w:color w:val="auto"/>
              </w:rPr>
            </w:pPr>
            <w:r>
              <w:rPr>
                <w:rFonts w:ascii="Times New Roman" w:cs="Times New Roman" w:eastAsia="Times New Roman" w:hAnsi="Times New Roman"/>
                <w:sz w:val="8"/>
                <w:szCs w:val="8"/>
                <w:b w:val="1"/>
                <w:bCs w:val="1"/>
                <w:color w:val="005AFF"/>
              </w:rPr>
              <w:t>Utilized (million)</w:t>
            </w:r>
          </w:p>
        </w:tc>
        <w:tc>
          <w:tcPr>
            <w:tcW w:w="380" w:type="dxa"/>
            <w:vAlign w:val="bottom"/>
            <w:tcBorders>
              <w:bottom w:val="single" w:sz="8" w:color="005AFF"/>
            </w:tcBorders>
          </w:tcPr>
          <w:p>
            <w:pPr>
              <w:spacing w:after="0"/>
              <w:rPr>
                <w:sz w:val="9"/>
                <w:szCs w:val="9"/>
                <w:color w:val="auto"/>
              </w:rPr>
            </w:pPr>
          </w:p>
        </w:tc>
      </w:tr>
      <w:tr>
        <w:trPr>
          <w:trHeight w:val="137"/>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Committed/uncommitted</w:t>
            </w:r>
          </w:p>
        </w:tc>
        <w:tc>
          <w:tcPr>
            <w:tcW w:w="1100" w:type="dxa"/>
            <w:vAlign w:val="bottom"/>
            <w:tcBorders>
              <w:bottom w:val="single" w:sz="8" w:color="005AFF"/>
            </w:tcBorders>
          </w:tcPr>
          <w:p>
            <w:pPr>
              <w:ind w:left="280"/>
              <w:spacing w:after="0"/>
              <w:rPr>
                <w:sz w:val="20"/>
                <w:szCs w:val="20"/>
                <w:color w:val="auto"/>
              </w:rPr>
            </w:pPr>
            <w:r>
              <w:rPr>
                <w:rFonts w:ascii="Times New Roman" w:cs="Times New Roman" w:eastAsia="Times New Roman" w:hAnsi="Times New Roman"/>
                <w:sz w:val="8"/>
                <w:szCs w:val="8"/>
                <w:b w:val="1"/>
                <w:bCs w:val="1"/>
                <w:color w:val="005AFF"/>
                <w:w w:val="99"/>
              </w:rPr>
              <w:t>Financing arrangement</w:t>
            </w:r>
          </w:p>
        </w:tc>
        <w:tc>
          <w:tcPr>
            <w:tcW w:w="1520" w:type="dxa"/>
            <w:vAlign w:val="bottom"/>
            <w:tcBorders>
              <w:bottom w:val="single" w:sz="8" w:color="005AFF"/>
            </w:tcBorders>
          </w:tcPr>
          <w:p>
            <w:pPr>
              <w:spacing w:after="0"/>
              <w:rPr>
                <w:sz w:val="11"/>
                <w:szCs w:val="11"/>
                <w:color w:val="auto"/>
              </w:rPr>
            </w:pPr>
          </w:p>
        </w:tc>
        <w:tc>
          <w:tcPr>
            <w:tcW w:w="560" w:type="dxa"/>
            <w:vAlign w:val="bottom"/>
            <w:tcBorders>
              <w:bottom w:val="single" w:sz="8" w:color="005AFF"/>
            </w:tcBorders>
          </w:tcPr>
          <w:p>
            <w:pPr>
              <w:ind w:left="80"/>
              <w:spacing w:after="0"/>
              <w:rPr>
                <w:sz w:val="20"/>
                <w:szCs w:val="20"/>
                <w:color w:val="auto"/>
              </w:rPr>
            </w:pPr>
            <w:r>
              <w:rPr>
                <w:rFonts w:ascii="Times New Roman" w:cs="Times New Roman" w:eastAsia="Times New Roman" w:hAnsi="Times New Roman"/>
                <w:sz w:val="8"/>
                <w:szCs w:val="8"/>
                <w:b w:val="1"/>
                <w:bCs w:val="1"/>
                <w:color w:val="005AFF"/>
              </w:rPr>
              <w:t>Currency</w:t>
            </w:r>
          </w:p>
        </w:tc>
        <w:tc>
          <w:tcPr>
            <w:tcW w:w="7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Nominal (million)</w:t>
            </w:r>
          </w:p>
        </w:tc>
        <w:tc>
          <w:tcPr>
            <w:tcW w:w="74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8"/>
                <w:szCs w:val="8"/>
                <w:b w:val="1"/>
                <w:bCs w:val="1"/>
                <w:color w:val="005AFF"/>
              </w:rPr>
              <w:t>2023</w:t>
            </w:r>
          </w:p>
        </w:tc>
        <w:tc>
          <w:tcPr>
            <w:tcW w:w="360" w:type="dxa"/>
            <w:vAlign w:val="bottom"/>
            <w:tcBorders>
              <w:bottom w:val="single" w:sz="8" w:color="005AFF"/>
            </w:tcBorders>
          </w:tcPr>
          <w:p>
            <w:pPr>
              <w:spacing w:after="0"/>
              <w:rPr>
                <w:sz w:val="11"/>
                <w:szCs w:val="11"/>
                <w:color w:val="auto"/>
              </w:rPr>
            </w:pPr>
          </w:p>
        </w:tc>
        <w:tc>
          <w:tcPr>
            <w:tcW w:w="38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2022</w:t>
            </w:r>
          </w:p>
        </w:tc>
      </w:tr>
      <w:tr>
        <w:trPr>
          <w:trHeight w:val="166"/>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Committed</w:t>
            </w:r>
          </w:p>
        </w:tc>
        <w:tc>
          <w:tcPr>
            <w:tcW w:w="2620" w:type="dxa"/>
            <w:vAlign w:val="bottom"/>
            <w:gridSpan w:val="2"/>
          </w:tcPr>
          <w:p>
            <w:pPr>
              <w:ind w:left="280"/>
              <w:spacing w:after="0"/>
              <w:rPr>
                <w:sz w:val="20"/>
                <w:szCs w:val="20"/>
                <w:color w:val="auto"/>
              </w:rPr>
            </w:pPr>
            <w:r>
              <w:rPr>
                <w:rFonts w:ascii="Times New Roman" w:cs="Times New Roman" w:eastAsia="Times New Roman" w:hAnsi="Times New Roman"/>
                <w:sz w:val="10"/>
                <w:szCs w:val="10"/>
                <w:color w:val="0D0D0D"/>
              </w:rPr>
              <w:t xml:space="preserve">Revolving Credit Facility </w:t>
            </w:r>
            <w:r>
              <w:rPr>
                <w:rFonts w:ascii="Times New Roman" w:cs="Times New Roman" w:eastAsia="Times New Roman" w:hAnsi="Times New Roman"/>
                <w:sz w:val="13"/>
                <w:szCs w:val="13"/>
                <w:color w:val="0D0D0D"/>
                <w:vertAlign w:val="superscript"/>
              </w:rPr>
              <w:t>(1)</w:t>
            </w:r>
          </w:p>
        </w:tc>
        <w:tc>
          <w:tcPr>
            <w:tcW w:w="560" w:type="dxa"/>
            <w:vAlign w:val="bottom"/>
          </w:tcPr>
          <w:p>
            <w:pPr>
              <w:ind w:left="240"/>
              <w:spacing w:after="0"/>
              <w:rPr>
                <w:sz w:val="20"/>
                <w:szCs w:val="20"/>
                <w:color w:val="auto"/>
              </w:rPr>
            </w:pPr>
            <w:r>
              <w:rPr>
                <w:rFonts w:ascii="Times New Roman" w:cs="Times New Roman" w:eastAsia="Times New Roman" w:hAnsi="Times New Roman"/>
                <w:sz w:val="10"/>
                <w:szCs w:val="10"/>
                <w:color w:val="0D0D0D"/>
              </w:rPr>
              <w:t>EUR</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1 500</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99"/>
              </w:rPr>
              <w:t>—</w:t>
            </w:r>
          </w:p>
        </w:tc>
        <w:tc>
          <w:tcPr>
            <w:tcW w:w="360" w:type="dxa"/>
            <w:vAlign w:val="bottom"/>
          </w:tcPr>
          <w:p>
            <w:pPr>
              <w:spacing w:after="0"/>
              <w:rPr>
                <w:sz w:val="14"/>
                <w:szCs w:val="14"/>
                <w:color w:val="auto"/>
              </w:rPr>
            </w:pPr>
          </w:p>
        </w:tc>
        <w:tc>
          <w:tcPr>
            <w:tcW w:w="380" w:type="dxa"/>
            <w:vAlign w:val="bottom"/>
          </w:tcPr>
          <w:p>
            <w:pPr>
              <w:ind w:left="260"/>
              <w:spacing w:after="0"/>
              <w:rPr>
                <w:sz w:val="20"/>
                <w:szCs w:val="20"/>
                <w:color w:val="auto"/>
              </w:rPr>
            </w:pPr>
            <w:r>
              <w:rPr>
                <w:rFonts w:ascii="Times New Roman" w:cs="Times New Roman" w:eastAsia="Times New Roman" w:hAnsi="Times New Roman"/>
                <w:sz w:val="10"/>
                <w:szCs w:val="10"/>
                <w:color w:val="0D0D0D"/>
                <w:w w:val="99"/>
              </w:rPr>
              <w:t>—</w:t>
            </w:r>
          </w:p>
        </w:tc>
      </w:tr>
      <w:tr>
        <w:trPr>
          <w:trHeight w:val="130"/>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Uncommitted</w:t>
            </w:r>
          </w:p>
        </w:tc>
        <w:tc>
          <w:tcPr>
            <w:tcW w:w="2620" w:type="dxa"/>
            <w:vAlign w:val="bottom"/>
            <w:gridSpan w:val="2"/>
          </w:tcPr>
          <w:p>
            <w:pPr>
              <w:ind w:left="280"/>
              <w:spacing w:after="0"/>
              <w:rPr>
                <w:sz w:val="20"/>
                <w:szCs w:val="20"/>
                <w:color w:val="auto"/>
              </w:rPr>
            </w:pPr>
            <w:r>
              <w:rPr>
                <w:rFonts w:ascii="Times New Roman" w:cs="Times New Roman" w:eastAsia="Times New Roman" w:hAnsi="Times New Roman"/>
                <w:sz w:val="10"/>
                <w:szCs w:val="10"/>
                <w:color w:val="0D0D0D"/>
              </w:rPr>
              <w:t>Finnish Commercial Paper Programme</w:t>
            </w:r>
          </w:p>
        </w:tc>
        <w:tc>
          <w:tcPr>
            <w:tcW w:w="560" w:type="dxa"/>
            <w:vAlign w:val="bottom"/>
          </w:tcPr>
          <w:p>
            <w:pPr>
              <w:ind w:left="240"/>
              <w:spacing w:after="0"/>
              <w:rPr>
                <w:sz w:val="20"/>
                <w:szCs w:val="20"/>
                <w:color w:val="auto"/>
              </w:rPr>
            </w:pPr>
            <w:r>
              <w:rPr>
                <w:rFonts w:ascii="Times New Roman" w:cs="Times New Roman" w:eastAsia="Times New Roman" w:hAnsi="Times New Roman"/>
                <w:sz w:val="10"/>
                <w:szCs w:val="10"/>
                <w:color w:val="0D0D0D"/>
              </w:rPr>
              <w:t>EUR</w:t>
            </w:r>
          </w:p>
        </w:tc>
        <w:tc>
          <w:tcPr>
            <w:tcW w:w="78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750</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99"/>
              </w:rPr>
              <w:t>—</w:t>
            </w:r>
          </w:p>
        </w:tc>
        <w:tc>
          <w:tcPr>
            <w:tcW w:w="360" w:type="dxa"/>
            <w:vAlign w:val="bottom"/>
          </w:tcPr>
          <w:p>
            <w:pPr>
              <w:spacing w:after="0"/>
              <w:rPr>
                <w:sz w:val="11"/>
                <w:szCs w:val="11"/>
                <w:color w:val="auto"/>
              </w:rPr>
            </w:pPr>
          </w:p>
        </w:tc>
        <w:tc>
          <w:tcPr>
            <w:tcW w:w="380" w:type="dxa"/>
            <w:vAlign w:val="bottom"/>
          </w:tcPr>
          <w:p>
            <w:pPr>
              <w:ind w:left="260"/>
              <w:spacing w:after="0"/>
              <w:rPr>
                <w:sz w:val="20"/>
                <w:szCs w:val="20"/>
                <w:color w:val="auto"/>
              </w:rPr>
            </w:pPr>
            <w:r>
              <w:rPr>
                <w:rFonts w:ascii="Times New Roman" w:cs="Times New Roman" w:eastAsia="Times New Roman" w:hAnsi="Times New Roman"/>
                <w:sz w:val="10"/>
                <w:szCs w:val="10"/>
                <w:color w:val="0D0D0D"/>
                <w:w w:val="99"/>
              </w:rPr>
              <w:t>—</w:t>
            </w:r>
          </w:p>
        </w:tc>
      </w:tr>
      <w:tr>
        <w:trPr>
          <w:trHeight w:val="162"/>
        </w:trPr>
        <w:tc>
          <w:tcPr>
            <w:tcW w:w="12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Uncommitted</w:t>
            </w:r>
          </w:p>
        </w:tc>
        <w:tc>
          <w:tcPr>
            <w:tcW w:w="2620" w:type="dxa"/>
            <w:vAlign w:val="bottom"/>
            <w:gridSpan w:val="2"/>
          </w:tcPr>
          <w:p>
            <w:pPr>
              <w:ind w:left="280"/>
              <w:spacing w:after="0"/>
              <w:rPr>
                <w:sz w:val="20"/>
                <w:szCs w:val="20"/>
                <w:color w:val="auto"/>
              </w:rPr>
            </w:pPr>
            <w:r>
              <w:rPr>
                <w:rFonts w:ascii="Times New Roman" w:cs="Times New Roman" w:eastAsia="Times New Roman" w:hAnsi="Times New Roman"/>
                <w:sz w:val="10"/>
                <w:szCs w:val="10"/>
                <w:color w:val="0D0D0D"/>
              </w:rPr>
              <w:t>Euro-Commercial Paper Programme</w:t>
            </w:r>
          </w:p>
        </w:tc>
        <w:tc>
          <w:tcPr>
            <w:tcW w:w="560" w:type="dxa"/>
            <w:vAlign w:val="bottom"/>
          </w:tcPr>
          <w:p>
            <w:pPr>
              <w:ind w:left="240"/>
              <w:spacing w:after="0"/>
              <w:rPr>
                <w:sz w:val="20"/>
                <w:szCs w:val="20"/>
                <w:color w:val="auto"/>
              </w:rPr>
            </w:pPr>
            <w:r>
              <w:rPr>
                <w:rFonts w:ascii="Times New Roman" w:cs="Times New Roman" w:eastAsia="Times New Roman" w:hAnsi="Times New Roman"/>
                <w:sz w:val="10"/>
                <w:szCs w:val="10"/>
                <w:color w:val="0D0D0D"/>
              </w:rPr>
              <w:t>EUR</w:t>
            </w:r>
          </w:p>
        </w:tc>
        <w:tc>
          <w:tcPr>
            <w:tcW w:w="780" w:type="dxa"/>
            <w:vAlign w:val="bottom"/>
          </w:tcPr>
          <w:p>
            <w:pPr>
              <w:jc w:val="right"/>
              <w:ind w:right="31"/>
              <w:spacing w:after="0"/>
              <w:rPr>
                <w:sz w:val="20"/>
                <w:szCs w:val="20"/>
                <w:color w:val="auto"/>
              </w:rPr>
            </w:pPr>
            <w:r>
              <w:rPr>
                <w:rFonts w:ascii="Times New Roman" w:cs="Times New Roman" w:eastAsia="Times New Roman" w:hAnsi="Times New Roman"/>
                <w:sz w:val="10"/>
                <w:szCs w:val="10"/>
                <w:color w:val="0D0D0D"/>
              </w:rPr>
              <w:t>1 500</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99"/>
              </w:rPr>
              <w:t>—</w:t>
            </w:r>
          </w:p>
        </w:tc>
        <w:tc>
          <w:tcPr>
            <w:tcW w:w="360" w:type="dxa"/>
            <w:vAlign w:val="bottom"/>
          </w:tcPr>
          <w:p>
            <w:pPr>
              <w:spacing w:after="0"/>
              <w:rPr>
                <w:sz w:val="14"/>
                <w:szCs w:val="14"/>
                <w:color w:val="auto"/>
              </w:rPr>
            </w:pPr>
          </w:p>
        </w:tc>
        <w:tc>
          <w:tcPr>
            <w:tcW w:w="380" w:type="dxa"/>
            <w:vAlign w:val="bottom"/>
          </w:tcPr>
          <w:p>
            <w:pPr>
              <w:ind w:left="260"/>
              <w:spacing w:after="0"/>
              <w:rPr>
                <w:sz w:val="20"/>
                <w:szCs w:val="20"/>
                <w:color w:val="auto"/>
              </w:rPr>
            </w:pPr>
            <w:r>
              <w:rPr>
                <w:rFonts w:ascii="Times New Roman" w:cs="Times New Roman" w:eastAsia="Times New Roman" w:hAnsi="Times New Roman"/>
                <w:sz w:val="10"/>
                <w:szCs w:val="10"/>
                <w:color w:val="0D0D0D"/>
                <w:w w:val="99"/>
              </w:rPr>
              <w:t>—</w:t>
            </w:r>
          </w:p>
        </w:tc>
      </w:tr>
      <w:tr>
        <w:trPr>
          <w:trHeight w:val="172"/>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Uncommitted</w:t>
            </w:r>
          </w:p>
        </w:tc>
        <w:tc>
          <w:tcPr>
            <w:tcW w:w="2620" w:type="dxa"/>
            <w:vAlign w:val="bottom"/>
            <w:tcBorders>
              <w:bottom w:val="single" w:sz="8" w:color="005AFF"/>
            </w:tcBorders>
            <w:gridSpan w:val="2"/>
          </w:tcPr>
          <w:p>
            <w:pPr>
              <w:ind w:left="280"/>
              <w:spacing w:after="0"/>
              <w:rPr>
                <w:sz w:val="20"/>
                <w:szCs w:val="20"/>
                <w:color w:val="auto"/>
              </w:rPr>
            </w:pPr>
            <w:r>
              <w:rPr>
                <w:rFonts w:ascii="Times New Roman" w:cs="Times New Roman" w:eastAsia="Times New Roman" w:hAnsi="Times New Roman"/>
                <w:sz w:val="10"/>
                <w:szCs w:val="10"/>
                <w:color w:val="0D0D0D"/>
              </w:rPr>
              <w:t xml:space="preserve">Euro Medium Term Note Programme   </w:t>
            </w:r>
            <w:r>
              <w:rPr>
                <w:rFonts w:ascii="Times New Roman" w:cs="Times New Roman" w:eastAsia="Times New Roman" w:hAnsi="Times New Roman"/>
                <w:sz w:val="13"/>
                <w:szCs w:val="13"/>
                <w:color w:val="0D0D0D"/>
                <w:vertAlign w:val="superscript"/>
              </w:rPr>
              <w:t>(2)</w:t>
            </w:r>
          </w:p>
        </w:tc>
        <w:tc>
          <w:tcPr>
            <w:tcW w:w="560" w:type="dxa"/>
            <w:vAlign w:val="bottom"/>
            <w:tcBorders>
              <w:bottom w:val="single" w:sz="8" w:color="005AFF"/>
            </w:tcBorders>
          </w:tcPr>
          <w:p>
            <w:pPr>
              <w:ind w:left="240"/>
              <w:spacing w:after="0"/>
              <w:rPr>
                <w:sz w:val="20"/>
                <w:szCs w:val="20"/>
                <w:color w:val="auto"/>
              </w:rPr>
            </w:pPr>
            <w:r>
              <w:rPr>
                <w:rFonts w:ascii="Times New Roman" w:cs="Times New Roman" w:eastAsia="Times New Roman" w:hAnsi="Times New Roman"/>
                <w:sz w:val="10"/>
                <w:szCs w:val="10"/>
                <w:color w:val="0D0D0D"/>
              </w:rPr>
              <w:t>EUR</w:t>
            </w:r>
          </w:p>
        </w:tc>
        <w:tc>
          <w:tcPr>
            <w:tcW w:w="7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5 000</w:t>
            </w:r>
          </w:p>
        </w:tc>
        <w:tc>
          <w:tcPr>
            <w:tcW w:w="740" w:type="dxa"/>
            <w:vAlign w:val="bottom"/>
            <w:tcBorders>
              <w:bottom w:val="single" w:sz="8" w:color="005AFF"/>
            </w:tcBorders>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rPr>
              <w:t>2 300</w:t>
            </w:r>
          </w:p>
        </w:tc>
        <w:tc>
          <w:tcPr>
            <w:tcW w:w="360" w:type="dxa"/>
            <w:vAlign w:val="bottom"/>
            <w:tcBorders>
              <w:bottom w:val="single" w:sz="8" w:color="005AFF"/>
            </w:tcBorders>
          </w:tcPr>
          <w:p>
            <w:pPr>
              <w:spacing w:after="0"/>
              <w:rPr>
                <w:sz w:val="14"/>
                <w:szCs w:val="14"/>
                <w:color w:val="auto"/>
              </w:rPr>
            </w:pPr>
          </w:p>
        </w:tc>
        <w:tc>
          <w:tcPr>
            <w:tcW w:w="3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2 500</w:t>
            </w:r>
          </w:p>
        </w:tc>
      </w:tr>
      <w:tr>
        <w:trPr>
          <w:trHeight w:val="137"/>
        </w:trPr>
        <w:tc>
          <w:tcPr>
            <w:tcW w:w="12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Total</w:t>
            </w:r>
          </w:p>
        </w:tc>
        <w:tc>
          <w:tcPr>
            <w:tcW w:w="1100" w:type="dxa"/>
            <w:vAlign w:val="bottom"/>
            <w:tcBorders>
              <w:bottom w:val="single" w:sz="8" w:color="005AFF"/>
            </w:tcBorders>
          </w:tcPr>
          <w:p>
            <w:pPr>
              <w:spacing w:after="0"/>
              <w:rPr>
                <w:sz w:val="11"/>
                <w:szCs w:val="11"/>
                <w:color w:val="auto"/>
              </w:rPr>
            </w:pPr>
          </w:p>
        </w:tc>
        <w:tc>
          <w:tcPr>
            <w:tcW w:w="1520" w:type="dxa"/>
            <w:vAlign w:val="bottom"/>
            <w:tcBorders>
              <w:bottom w:val="single" w:sz="8" w:color="005AFF"/>
            </w:tcBorders>
          </w:tcPr>
          <w:p>
            <w:pPr>
              <w:spacing w:after="0"/>
              <w:rPr>
                <w:sz w:val="11"/>
                <w:szCs w:val="11"/>
                <w:color w:val="auto"/>
              </w:rPr>
            </w:pPr>
          </w:p>
        </w:tc>
        <w:tc>
          <w:tcPr>
            <w:tcW w:w="560" w:type="dxa"/>
            <w:vAlign w:val="bottom"/>
            <w:tcBorders>
              <w:bottom w:val="single" w:sz="8" w:color="005AFF"/>
            </w:tcBorders>
          </w:tcPr>
          <w:p>
            <w:pPr>
              <w:spacing w:after="0"/>
              <w:rPr>
                <w:sz w:val="11"/>
                <w:szCs w:val="11"/>
                <w:color w:val="auto"/>
              </w:rPr>
            </w:pPr>
          </w:p>
        </w:tc>
        <w:tc>
          <w:tcPr>
            <w:tcW w:w="780" w:type="dxa"/>
            <w:vAlign w:val="bottom"/>
            <w:tcBorders>
              <w:bottom w:val="single" w:sz="8" w:color="005AFF"/>
            </w:tcBorders>
          </w:tcPr>
          <w:p>
            <w:pPr>
              <w:spacing w:after="0"/>
              <w:rPr>
                <w:sz w:val="11"/>
                <w:szCs w:val="11"/>
                <w:color w:val="auto"/>
              </w:rPr>
            </w:pPr>
          </w:p>
        </w:tc>
        <w:tc>
          <w:tcPr>
            <w:tcW w:w="740" w:type="dxa"/>
            <w:vAlign w:val="bottom"/>
            <w:tcBorders>
              <w:bottom w:val="single" w:sz="8" w:color="005AFF"/>
            </w:tcBorders>
            <w:shd w:val="clear" w:color="auto" w:fill="F0F5FF"/>
          </w:tcPr>
          <w:p>
            <w:pPr>
              <w:ind w:left="440"/>
              <w:spacing w:after="0"/>
              <w:rPr>
                <w:sz w:val="20"/>
                <w:szCs w:val="20"/>
                <w:color w:val="auto"/>
              </w:rPr>
            </w:pPr>
            <w:r>
              <w:rPr>
                <w:rFonts w:ascii="Times New Roman" w:cs="Times New Roman" w:eastAsia="Times New Roman" w:hAnsi="Times New Roman"/>
                <w:sz w:val="10"/>
                <w:szCs w:val="10"/>
                <w:b w:val="1"/>
                <w:bCs w:val="1"/>
                <w:color w:val="005AFF"/>
              </w:rPr>
              <w:t>2 300</w:t>
            </w:r>
          </w:p>
        </w:tc>
        <w:tc>
          <w:tcPr>
            <w:tcW w:w="360" w:type="dxa"/>
            <w:vAlign w:val="bottom"/>
            <w:tcBorders>
              <w:bottom w:val="single" w:sz="8" w:color="005AFF"/>
            </w:tcBorders>
          </w:tcPr>
          <w:p>
            <w:pPr>
              <w:spacing w:after="0"/>
              <w:rPr>
                <w:sz w:val="11"/>
                <w:szCs w:val="11"/>
                <w:color w:val="auto"/>
              </w:rPr>
            </w:pPr>
          </w:p>
        </w:tc>
        <w:tc>
          <w:tcPr>
            <w:tcW w:w="3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2 500</w:t>
            </w:r>
          </w:p>
        </w:tc>
      </w:tr>
      <w:tr>
        <w:trPr>
          <w:trHeight w:val="120"/>
        </w:trPr>
        <w:tc>
          <w:tcPr>
            <w:tcW w:w="2300" w:type="dxa"/>
            <w:vAlign w:val="bottom"/>
            <w:gridSpan w:val="2"/>
          </w:tcPr>
          <w:p>
            <w:pPr>
              <w:ind w:left="40"/>
              <w:spacing w:after="0"/>
              <w:rPr>
                <w:sz w:val="20"/>
                <w:szCs w:val="20"/>
                <w:color w:val="auto"/>
              </w:rPr>
            </w:pPr>
            <w:r>
              <w:rPr>
                <w:rFonts w:ascii="Times New Roman" w:cs="Times New Roman" w:eastAsia="Times New Roman" w:hAnsi="Times New Roman"/>
                <w:sz w:val="8"/>
                <w:szCs w:val="8"/>
                <w:color w:val="auto"/>
              </w:rPr>
              <w:t>(1)   The facility has its maturity in June 2026, except for EUR</w:t>
            </w:r>
          </w:p>
        </w:tc>
        <w:tc>
          <w:tcPr>
            <w:tcW w:w="1520" w:type="dxa"/>
            <w:vAlign w:val="bottom"/>
          </w:tcPr>
          <w:p>
            <w:pPr>
              <w:spacing w:after="0"/>
              <w:rPr>
                <w:sz w:val="20"/>
                <w:szCs w:val="20"/>
                <w:color w:val="auto"/>
              </w:rPr>
            </w:pPr>
            <w:r>
              <w:rPr>
                <w:rFonts w:ascii="Times New Roman" w:cs="Times New Roman" w:eastAsia="Times New Roman" w:hAnsi="Times New Roman"/>
                <w:sz w:val="8"/>
                <w:szCs w:val="8"/>
                <w:color w:val="auto"/>
              </w:rPr>
              <w:t>88 million having its maturity in June 2024.</w:t>
            </w:r>
          </w:p>
        </w:tc>
        <w:tc>
          <w:tcPr>
            <w:tcW w:w="560" w:type="dxa"/>
            <w:vAlign w:val="bottom"/>
          </w:tcPr>
          <w:p>
            <w:pPr>
              <w:spacing w:after="0"/>
              <w:rPr>
                <w:sz w:val="10"/>
                <w:szCs w:val="10"/>
                <w:color w:val="auto"/>
              </w:rPr>
            </w:pPr>
          </w:p>
        </w:tc>
        <w:tc>
          <w:tcPr>
            <w:tcW w:w="780" w:type="dxa"/>
            <w:vAlign w:val="bottom"/>
          </w:tcPr>
          <w:p>
            <w:pPr>
              <w:spacing w:after="0"/>
              <w:rPr>
                <w:sz w:val="10"/>
                <w:szCs w:val="10"/>
                <w:color w:val="auto"/>
              </w:rPr>
            </w:pPr>
          </w:p>
        </w:tc>
        <w:tc>
          <w:tcPr>
            <w:tcW w:w="740" w:type="dxa"/>
            <w:vAlign w:val="bottom"/>
          </w:tcPr>
          <w:p>
            <w:pPr>
              <w:spacing w:after="0"/>
              <w:rPr>
                <w:sz w:val="10"/>
                <w:szCs w:val="10"/>
                <w:color w:val="auto"/>
              </w:rPr>
            </w:pPr>
          </w:p>
        </w:tc>
        <w:tc>
          <w:tcPr>
            <w:tcW w:w="360" w:type="dxa"/>
            <w:vAlign w:val="bottom"/>
          </w:tcPr>
          <w:p>
            <w:pPr>
              <w:spacing w:after="0"/>
              <w:rPr>
                <w:sz w:val="10"/>
                <w:szCs w:val="10"/>
                <w:color w:val="auto"/>
              </w:rPr>
            </w:pPr>
          </w:p>
        </w:tc>
        <w:tc>
          <w:tcPr>
            <w:tcW w:w="380" w:type="dxa"/>
            <w:vAlign w:val="bottom"/>
          </w:tcPr>
          <w:p>
            <w:pPr>
              <w:spacing w:after="0"/>
              <w:rPr>
                <w:sz w:val="10"/>
                <w:szCs w:val="10"/>
                <w:color w:val="auto"/>
              </w:rPr>
            </w:pPr>
          </w:p>
        </w:tc>
      </w:tr>
    </w:tbl>
    <w:p>
      <w:pPr>
        <w:ind w:left="220" w:hanging="183"/>
        <w:spacing w:after="0"/>
        <w:tabs>
          <w:tab w:leader="none" w:pos="220" w:val="left"/>
        </w:tabs>
        <w:numPr>
          <w:ilvl w:val="0"/>
          <w:numId w:val="14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All euro-denominated bonds have been issued under the Euro Medium Term Note Programme.</w:t>
      </w:r>
    </w:p>
    <w:p>
      <w:pPr>
        <w:spacing w:after="0" w:line="104"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1"/>
          <w:szCs w:val="11"/>
          <w:color w:val="auto"/>
        </w:rPr>
        <w:t>Changes in lease liabilities, interest-bearing liabilities and associated derivatives arising from financing activities:</w:t>
      </w:r>
    </w:p>
    <w:p>
      <w:pPr>
        <w:spacing w:after="0" w:line="88"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2940" w:type="dxa"/>
            <w:vAlign w:val="bottom"/>
          </w:tcPr>
          <w:p>
            <w:pPr>
              <w:spacing w:after="0"/>
              <w:rPr>
                <w:sz w:val="8"/>
                <w:szCs w:val="8"/>
                <w:color w:val="auto"/>
              </w:rPr>
            </w:pPr>
          </w:p>
        </w:tc>
        <w:tc>
          <w:tcPr>
            <w:tcW w:w="740" w:type="dxa"/>
            <w:vAlign w:val="bottom"/>
          </w:tcPr>
          <w:p>
            <w:pPr>
              <w:spacing w:after="0"/>
              <w:rPr>
                <w:sz w:val="8"/>
                <w:szCs w:val="8"/>
                <w:color w:val="auto"/>
              </w:rPr>
            </w:pPr>
          </w:p>
        </w:tc>
        <w:tc>
          <w:tcPr>
            <w:tcW w:w="740" w:type="dxa"/>
            <w:vAlign w:val="bottom"/>
          </w:tcPr>
          <w:p>
            <w:pPr>
              <w:spacing w:after="0"/>
              <w:rPr>
                <w:sz w:val="8"/>
                <w:szCs w:val="8"/>
                <w:color w:val="auto"/>
              </w:rPr>
            </w:pP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8"/>
                <w:szCs w:val="8"/>
                <w:b w:val="1"/>
                <w:bCs w:val="1"/>
                <w:color w:val="005AFF"/>
              </w:rPr>
              <w:t>Derivatives held</w:t>
            </w:r>
          </w:p>
        </w:tc>
        <w:tc>
          <w:tcPr>
            <w:tcW w:w="740" w:type="dxa"/>
            <w:vAlign w:val="bottom"/>
          </w:tcPr>
          <w:p>
            <w:pPr>
              <w:spacing w:after="0"/>
              <w:rPr>
                <w:sz w:val="8"/>
                <w:szCs w:val="8"/>
                <w:color w:val="auto"/>
              </w:rPr>
            </w:pPr>
          </w:p>
        </w:tc>
        <w:tc>
          <w:tcPr>
            <w:tcW w:w="740" w:type="dxa"/>
            <w:vAlign w:val="bottom"/>
          </w:tcPr>
          <w:p>
            <w:pPr>
              <w:spacing w:after="0"/>
              <w:rPr>
                <w:sz w:val="8"/>
                <w:szCs w:val="8"/>
                <w:color w:val="auto"/>
              </w:rPr>
            </w:pPr>
          </w:p>
        </w:tc>
      </w:tr>
      <w:tr>
        <w:trPr>
          <w:trHeight w:val="101"/>
        </w:trPr>
        <w:tc>
          <w:tcPr>
            <w:tcW w:w="2940" w:type="dxa"/>
            <w:vAlign w:val="bottom"/>
          </w:tcPr>
          <w:p>
            <w:pPr>
              <w:spacing w:after="0"/>
              <w:rPr>
                <w:sz w:val="8"/>
                <w:szCs w:val="8"/>
                <w:color w:val="auto"/>
              </w:rPr>
            </w:pP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Long-term</w:t>
            </w:r>
          </w:p>
        </w:tc>
        <w:tc>
          <w:tcPr>
            <w:tcW w:w="740" w:type="dxa"/>
            <w:vAlign w:val="bottom"/>
          </w:tcPr>
          <w:p>
            <w:pPr>
              <w:ind w:left="280"/>
              <w:spacing w:after="0"/>
              <w:rPr>
                <w:sz w:val="20"/>
                <w:szCs w:val="20"/>
                <w:color w:val="auto"/>
              </w:rPr>
            </w:pPr>
            <w:r>
              <w:rPr>
                <w:rFonts w:ascii="Times New Roman" w:cs="Times New Roman" w:eastAsia="Times New Roman" w:hAnsi="Times New Roman"/>
                <w:sz w:val="8"/>
                <w:szCs w:val="8"/>
                <w:b w:val="1"/>
                <w:bCs w:val="1"/>
                <w:color w:val="005AFF"/>
              </w:rPr>
              <w:t>Short-term</w:t>
            </w:r>
          </w:p>
        </w:tc>
        <w:tc>
          <w:tcPr>
            <w:tcW w:w="74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to hedge long-</w:t>
            </w:r>
          </w:p>
        </w:tc>
        <w:tc>
          <w:tcPr>
            <w:tcW w:w="740" w:type="dxa"/>
            <w:vAlign w:val="bottom"/>
          </w:tcPr>
          <w:p>
            <w:pPr>
              <w:spacing w:after="0"/>
              <w:rPr>
                <w:sz w:val="8"/>
                <w:szCs w:val="8"/>
                <w:color w:val="auto"/>
              </w:rPr>
            </w:pPr>
          </w:p>
        </w:tc>
        <w:tc>
          <w:tcPr>
            <w:tcW w:w="740" w:type="dxa"/>
            <w:vAlign w:val="bottom"/>
          </w:tcPr>
          <w:p>
            <w:pPr>
              <w:spacing w:after="0"/>
              <w:rPr>
                <w:sz w:val="8"/>
                <w:szCs w:val="8"/>
                <w:color w:val="auto"/>
              </w:rPr>
            </w:pPr>
          </w:p>
        </w:tc>
      </w:tr>
      <w:tr>
        <w:trPr>
          <w:trHeight w:val="91"/>
        </w:trPr>
        <w:tc>
          <w:tcPr>
            <w:tcW w:w="2940" w:type="dxa"/>
            <w:vAlign w:val="bottom"/>
          </w:tcPr>
          <w:p>
            <w:pPr>
              <w:spacing w:after="0"/>
              <w:rPr>
                <w:sz w:val="7"/>
                <w:szCs w:val="7"/>
                <w:color w:val="auto"/>
              </w:rPr>
            </w:pPr>
          </w:p>
        </w:tc>
        <w:tc>
          <w:tcPr>
            <w:tcW w:w="740" w:type="dxa"/>
            <w:vAlign w:val="bottom"/>
          </w:tcPr>
          <w:p>
            <w:pPr>
              <w:jc w:val="right"/>
              <w:ind w:right="51"/>
              <w:spacing w:after="0"/>
              <w:rPr>
                <w:sz w:val="20"/>
                <w:szCs w:val="20"/>
                <w:color w:val="auto"/>
              </w:rPr>
            </w:pPr>
            <w:r>
              <w:rPr>
                <w:rFonts w:ascii="Times New Roman" w:cs="Times New Roman" w:eastAsia="Times New Roman" w:hAnsi="Times New Roman"/>
                <w:sz w:val="8"/>
                <w:szCs w:val="8"/>
                <w:b w:val="1"/>
                <w:bCs w:val="1"/>
                <w:color w:val="005AFF"/>
              </w:rPr>
              <w:t>interest-bearing</w:t>
            </w:r>
          </w:p>
        </w:tc>
        <w:tc>
          <w:tcPr>
            <w:tcW w:w="740" w:type="dxa"/>
            <w:vAlign w:val="bottom"/>
          </w:tcPr>
          <w:p>
            <w:pPr>
              <w:ind w:left="100"/>
              <w:spacing w:after="0"/>
              <w:rPr>
                <w:sz w:val="20"/>
                <w:szCs w:val="20"/>
                <w:color w:val="auto"/>
              </w:rPr>
            </w:pPr>
            <w:r>
              <w:rPr>
                <w:rFonts w:ascii="Times New Roman" w:cs="Times New Roman" w:eastAsia="Times New Roman" w:hAnsi="Times New Roman"/>
                <w:sz w:val="8"/>
                <w:szCs w:val="8"/>
                <w:b w:val="1"/>
                <w:bCs w:val="1"/>
                <w:color w:val="005AFF"/>
              </w:rPr>
              <w:t>interest-bearing</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term</w:t>
            </w:r>
          </w:p>
        </w:tc>
        <w:tc>
          <w:tcPr>
            <w:tcW w:w="740" w:type="dxa"/>
            <w:vAlign w:val="bottom"/>
          </w:tcPr>
          <w:p>
            <w:pPr>
              <w:spacing w:after="0"/>
              <w:rPr>
                <w:sz w:val="7"/>
                <w:szCs w:val="7"/>
                <w:color w:val="auto"/>
              </w:rPr>
            </w:pPr>
          </w:p>
        </w:tc>
        <w:tc>
          <w:tcPr>
            <w:tcW w:w="740" w:type="dxa"/>
            <w:vAlign w:val="bottom"/>
          </w:tcPr>
          <w:p>
            <w:pPr>
              <w:spacing w:after="0"/>
              <w:rPr>
                <w:sz w:val="7"/>
                <w:szCs w:val="7"/>
                <w:color w:val="auto"/>
              </w:rPr>
            </w:pPr>
          </w:p>
        </w:tc>
      </w:tr>
      <w:tr>
        <w:trPr>
          <w:trHeight w:val="114"/>
        </w:trPr>
        <w:tc>
          <w:tcPr>
            <w:tcW w:w="2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liabilities</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liabilities</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borrowings </w:t>
            </w:r>
            <w:r>
              <w:rPr>
                <w:rFonts w:ascii="Times New Roman" w:cs="Times New Roman" w:eastAsia="Times New Roman" w:hAnsi="Times New Roman"/>
                <w:sz w:val="5"/>
                <w:szCs w:val="5"/>
                <w:b w:val="1"/>
                <w:bCs w:val="1"/>
                <w:color w:val="005AFF"/>
              </w:rPr>
              <w:t>(1)</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 xml:space="preserve">Lease liabilities </w:t>
            </w:r>
            <w:r>
              <w:rPr>
                <w:rFonts w:ascii="Times New Roman" w:cs="Times New Roman" w:eastAsia="Times New Roman" w:hAnsi="Times New Roman"/>
                <w:sz w:val="5"/>
                <w:szCs w:val="5"/>
                <w:b w:val="1"/>
                <w:bCs w:val="1"/>
                <w:color w:val="005AFF"/>
              </w:rPr>
              <w:t>(2)</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r>
      <w:tr>
        <w:trPr>
          <w:trHeight w:val="145"/>
        </w:trPr>
        <w:tc>
          <w:tcPr>
            <w:tcW w:w="2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2023</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4 249</w:t>
            </w:r>
          </w:p>
        </w:tc>
        <w:tc>
          <w:tcPr>
            <w:tcW w:w="74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10"/>
                <w:szCs w:val="10"/>
                <w:b w:val="1"/>
                <w:bCs w:val="1"/>
                <w:color w:val="auto"/>
              </w:rPr>
              <w:t>228</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246</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1 042</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5 765</w:t>
            </w:r>
          </w:p>
        </w:tc>
      </w:tr>
      <w:tr>
        <w:trPr>
          <w:trHeight w:val="137"/>
        </w:trPr>
        <w:tc>
          <w:tcPr>
            <w:tcW w:w="29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(283)</w:t>
            </w:r>
          </w:p>
        </w:tc>
        <w:tc>
          <w:tcPr>
            <w:tcW w:w="740" w:type="dxa"/>
            <w:vAlign w:val="bottom"/>
            <w:shd w:val="clear" w:color="auto" w:fill="F0F5FF"/>
          </w:tcPr>
          <w:p>
            <w:pPr>
              <w:ind w:left="560"/>
              <w:spacing w:after="0"/>
              <w:rPr>
                <w:sz w:val="20"/>
                <w:szCs w:val="20"/>
                <w:color w:val="auto"/>
              </w:rPr>
            </w:pPr>
            <w:r>
              <w:rPr>
                <w:rFonts w:ascii="Times New Roman" w:cs="Times New Roman" w:eastAsia="Times New Roman" w:hAnsi="Times New Roman"/>
                <w:sz w:val="10"/>
                <w:szCs w:val="10"/>
                <w:color w:val="005AFF"/>
                <w:w w:val="95"/>
              </w:rPr>
              <w:t>(40)</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(19)</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(239)</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(581)</w:t>
            </w:r>
          </w:p>
        </w:tc>
      </w:tr>
      <w:tr>
        <w:trPr>
          <w:trHeight w:val="162"/>
        </w:trPr>
        <w:tc>
          <w:tcPr>
            <w:tcW w:w="29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Non-cash changes:</w:t>
            </w: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c>
          <w:tcPr>
            <w:tcW w:w="740" w:type="dxa"/>
            <w:vAlign w:val="bottom"/>
            <w:shd w:val="clear" w:color="auto" w:fill="F0F5FF"/>
          </w:tcPr>
          <w:p>
            <w:pPr>
              <w:spacing w:after="0"/>
              <w:rPr>
                <w:sz w:val="14"/>
                <w:szCs w:val="14"/>
                <w:color w:val="auto"/>
              </w:rPr>
            </w:pP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Changes in foreign exchange rates</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(34)</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85"/>
              </w:rPr>
              <w:t>(3)</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25</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w:t>
            </w: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Changes in fair value</w:t>
            </w:r>
          </w:p>
        </w:tc>
        <w:tc>
          <w:tcPr>
            <w:tcW w:w="7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83</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99"/>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(79)</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4</w:t>
            </w: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Reclassification between long-term and short-term</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(374)</w:t>
            </w:r>
          </w:p>
        </w:tc>
        <w:tc>
          <w:tcPr>
            <w:tcW w:w="740" w:type="dxa"/>
            <w:vAlign w:val="bottom"/>
            <w:shd w:val="clear" w:color="auto" w:fill="F0F5FF"/>
          </w:tcPr>
          <w:p>
            <w:pPr>
              <w:ind w:left="520"/>
              <w:spacing w:after="0"/>
              <w:rPr>
                <w:sz w:val="20"/>
                <w:szCs w:val="20"/>
                <w:color w:val="auto"/>
              </w:rPr>
            </w:pPr>
            <w:r>
              <w:rPr>
                <w:rFonts w:ascii="Times New Roman" w:cs="Times New Roman" w:eastAsia="Times New Roman" w:hAnsi="Times New Roman"/>
                <w:sz w:val="10"/>
                <w:szCs w:val="10"/>
                <w:color w:val="005AFF"/>
              </w:rPr>
              <w:t>374</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r>
      <w:tr>
        <w:trPr>
          <w:trHeight w:val="194"/>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xml:space="preserve">Additions </w:t>
            </w:r>
            <w:r>
              <w:rPr>
                <w:rFonts w:ascii="Times New Roman" w:cs="Times New Roman" w:eastAsia="Times New Roman" w:hAnsi="Times New Roman"/>
                <w:sz w:val="13"/>
                <w:szCs w:val="13"/>
                <w:color w:val="0D0D0D"/>
                <w:vertAlign w:val="superscript"/>
              </w:rPr>
              <w:t>(3)</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99"/>
              </w:rPr>
              <w:t>—</w:t>
            </w:r>
          </w:p>
        </w:tc>
        <w:tc>
          <w:tcPr>
            <w:tcW w:w="7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206</w:t>
            </w:r>
          </w:p>
        </w:tc>
        <w:tc>
          <w:tcPr>
            <w:tcW w:w="7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206</w:t>
            </w:r>
          </w:p>
        </w:tc>
      </w:tr>
      <w:tr>
        <w:trPr>
          <w:trHeight w:val="135"/>
        </w:trPr>
        <w:tc>
          <w:tcPr>
            <w:tcW w:w="294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Other</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740" w:type="dxa"/>
            <w:vAlign w:val="bottom"/>
            <w:tcBorders>
              <w:bottom w:val="single" w:sz="8" w:color="005AFF"/>
            </w:tcBorders>
            <w:shd w:val="clear" w:color="auto" w:fill="F0F5FF"/>
          </w:tcPr>
          <w:p>
            <w:pPr>
              <w:ind w:left="620"/>
              <w:spacing w:after="0"/>
              <w:rPr>
                <w:sz w:val="20"/>
                <w:szCs w:val="20"/>
                <w:color w:val="auto"/>
              </w:rPr>
            </w:pPr>
            <w:r>
              <w:rPr>
                <w:rFonts w:ascii="Times New Roman" w:cs="Times New Roman" w:eastAsia="Times New Roman" w:hAnsi="Times New Roman"/>
                <w:sz w:val="10"/>
                <w:szCs w:val="10"/>
                <w:color w:val="005AFF"/>
                <w:w w:val="85"/>
              </w:rPr>
              <w:t>(5)</w:t>
            </w:r>
          </w:p>
        </w:tc>
        <w:tc>
          <w:tcPr>
            <w:tcW w:w="7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w:t>
            </w:r>
          </w:p>
        </w:tc>
      </w:tr>
      <w:tr>
        <w:trPr>
          <w:trHeight w:val="142"/>
        </w:trPr>
        <w:tc>
          <w:tcPr>
            <w:tcW w:w="2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2023</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3 637</w:t>
            </w:r>
          </w:p>
        </w:tc>
        <w:tc>
          <w:tcPr>
            <w:tcW w:w="740" w:type="dxa"/>
            <w:vAlign w:val="bottom"/>
            <w:tcBorders>
              <w:bottom w:val="single" w:sz="8" w:color="005AFF"/>
            </w:tcBorders>
            <w:shd w:val="clear" w:color="auto" w:fill="F0F5FF"/>
          </w:tcPr>
          <w:p>
            <w:pPr>
              <w:ind w:left="540"/>
              <w:spacing w:after="0"/>
              <w:rPr>
                <w:sz w:val="20"/>
                <w:szCs w:val="20"/>
                <w:color w:val="auto"/>
              </w:rPr>
            </w:pPr>
            <w:r>
              <w:rPr>
                <w:rFonts w:ascii="Times New Roman" w:cs="Times New Roman" w:eastAsia="Times New Roman" w:hAnsi="Times New Roman"/>
                <w:sz w:val="10"/>
                <w:szCs w:val="10"/>
                <w:b w:val="1"/>
                <w:bCs w:val="1"/>
                <w:color w:val="005AFF"/>
              </w:rPr>
              <w:t>554</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174</w:t>
            </w:r>
          </w:p>
        </w:tc>
        <w:tc>
          <w:tcPr>
            <w:tcW w:w="7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997</w:t>
            </w:r>
          </w:p>
        </w:tc>
        <w:tc>
          <w:tcPr>
            <w:tcW w:w="74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5 362</w:t>
            </w:r>
          </w:p>
        </w:tc>
      </w:tr>
      <w:tr>
        <w:trPr>
          <w:trHeight w:val="273"/>
        </w:trPr>
        <w:tc>
          <w:tcPr>
            <w:tcW w:w="29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1 January 2022</w:t>
            </w:r>
          </w:p>
        </w:tc>
        <w:tc>
          <w:tcPr>
            <w:tcW w:w="74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4 537</w:t>
            </w:r>
          </w:p>
        </w:tc>
        <w:tc>
          <w:tcPr>
            <w:tcW w:w="740" w:type="dxa"/>
            <w:vAlign w:val="bottom"/>
            <w:tcBorders>
              <w:bottom w:val="single" w:sz="8" w:color="005AFF"/>
            </w:tcBorders>
          </w:tcPr>
          <w:p>
            <w:pPr>
              <w:ind w:left="520"/>
              <w:spacing w:after="0"/>
              <w:rPr>
                <w:sz w:val="20"/>
                <w:szCs w:val="20"/>
                <w:color w:val="auto"/>
              </w:rPr>
            </w:pPr>
            <w:r>
              <w:rPr>
                <w:rFonts w:ascii="Times New Roman" w:cs="Times New Roman" w:eastAsia="Times New Roman" w:hAnsi="Times New Roman"/>
                <w:sz w:val="10"/>
                <w:szCs w:val="10"/>
                <w:b w:val="1"/>
                <w:bCs w:val="1"/>
                <w:color w:val="auto"/>
              </w:rPr>
              <w:t>116</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53</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1 009</w:t>
            </w:r>
          </w:p>
        </w:tc>
        <w:tc>
          <w:tcPr>
            <w:tcW w:w="7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5 715</w:t>
            </w:r>
          </w:p>
        </w:tc>
      </w:tr>
      <w:tr>
        <w:trPr>
          <w:trHeight w:val="137"/>
        </w:trPr>
        <w:tc>
          <w:tcPr>
            <w:tcW w:w="29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Cash flows</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27</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7</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(217)</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(184)</w:t>
            </w:r>
          </w:p>
        </w:tc>
      </w:tr>
      <w:tr>
        <w:trPr>
          <w:trHeight w:val="162"/>
        </w:trPr>
        <w:tc>
          <w:tcPr>
            <w:tcW w:w="29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Non-cash changes:</w:t>
            </w: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c>
          <w:tcPr>
            <w:tcW w:w="740" w:type="dxa"/>
            <w:vAlign w:val="bottom"/>
          </w:tcPr>
          <w:p>
            <w:pPr>
              <w:spacing w:after="0"/>
              <w:rPr>
                <w:sz w:val="14"/>
                <w:szCs w:val="14"/>
                <w:color w:val="auto"/>
              </w:rPr>
            </w:pP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Changes in foreign exchange rates</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69</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(57)</w:t>
            </w:r>
          </w:p>
        </w:tc>
        <w:tc>
          <w:tcPr>
            <w:tcW w:w="7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8</w:t>
            </w:r>
          </w:p>
        </w:tc>
        <w:tc>
          <w:tcPr>
            <w:tcW w:w="74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21</w:t>
            </w: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Changes in fair value</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(282)</w:t>
            </w:r>
          </w:p>
        </w:tc>
        <w:tc>
          <w:tcPr>
            <w:tcW w:w="740" w:type="dxa"/>
            <w:vAlign w:val="bottom"/>
          </w:tcPr>
          <w:p>
            <w:pPr>
              <w:ind w:left="620"/>
              <w:spacing w:after="0"/>
              <w:rPr>
                <w:sz w:val="20"/>
                <w:szCs w:val="20"/>
                <w:color w:val="auto"/>
              </w:rPr>
            </w:pPr>
            <w:r>
              <w:rPr>
                <w:rFonts w:ascii="Times New Roman" w:cs="Times New Roman" w:eastAsia="Times New Roman" w:hAnsi="Times New Roman"/>
                <w:sz w:val="10"/>
                <w:szCs w:val="10"/>
                <w:color w:val="0D0D0D"/>
                <w:w w:val="99"/>
              </w:rPr>
              <w:t>—</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243</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(39)</w:t>
            </w:r>
          </w:p>
        </w:tc>
      </w:tr>
      <w:tr>
        <w:trPr>
          <w:trHeight w:val="162"/>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Reclassification between long-term and short-term</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(84)</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84</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r>
      <w:tr>
        <w:trPr>
          <w:trHeight w:val="194"/>
        </w:trPr>
        <w:tc>
          <w:tcPr>
            <w:tcW w:w="2940" w:type="dxa"/>
            <w:vAlign w:val="bottom"/>
          </w:tcPr>
          <w:p>
            <w:pPr>
              <w:ind w:left="200"/>
              <w:spacing w:after="0"/>
              <w:rPr>
                <w:sz w:val="20"/>
                <w:szCs w:val="20"/>
                <w:color w:val="auto"/>
              </w:rPr>
            </w:pPr>
            <w:r>
              <w:rPr>
                <w:rFonts w:ascii="Times New Roman" w:cs="Times New Roman" w:eastAsia="Times New Roman" w:hAnsi="Times New Roman"/>
                <w:sz w:val="10"/>
                <w:szCs w:val="10"/>
                <w:color w:val="0D0D0D"/>
              </w:rPr>
              <w:t xml:space="preserve">Additions </w:t>
            </w:r>
            <w:r>
              <w:rPr>
                <w:rFonts w:ascii="Times New Roman" w:cs="Times New Roman" w:eastAsia="Times New Roman" w:hAnsi="Times New Roman"/>
                <w:sz w:val="13"/>
                <w:szCs w:val="13"/>
                <w:color w:val="0D0D0D"/>
                <w:vertAlign w:val="superscript"/>
              </w:rPr>
              <w:t>(3)</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ind w:left="620"/>
              <w:spacing w:after="0"/>
              <w:rPr>
                <w:sz w:val="20"/>
                <w:szCs w:val="20"/>
                <w:color w:val="auto"/>
              </w:rPr>
            </w:pPr>
            <w:r>
              <w:rPr>
                <w:rFonts w:ascii="Times New Roman" w:cs="Times New Roman" w:eastAsia="Times New Roman" w:hAnsi="Times New Roman"/>
                <w:sz w:val="10"/>
                <w:szCs w:val="10"/>
                <w:color w:val="0D0D0D"/>
                <w:w w:val="99"/>
              </w:rPr>
              <w:t>—</w:t>
            </w:r>
          </w:p>
        </w:tc>
        <w:tc>
          <w:tcPr>
            <w:tcW w:w="7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242</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242</w:t>
            </w:r>
          </w:p>
        </w:tc>
      </w:tr>
      <w:tr>
        <w:trPr>
          <w:trHeight w:val="135"/>
        </w:trPr>
        <w:tc>
          <w:tcPr>
            <w:tcW w:w="2940" w:type="dxa"/>
            <w:vAlign w:val="bottom"/>
            <w:tcBorders>
              <w:bottom w:val="single" w:sz="8" w:color="005AFF"/>
            </w:tcBorders>
          </w:tcPr>
          <w:p>
            <w:pPr>
              <w:ind w:left="200"/>
              <w:spacing w:after="0"/>
              <w:rPr>
                <w:sz w:val="20"/>
                <w:szCs w:val="20"/>
                <w:color w:val="auto"/>
              </w:rPr>
            </w:pPr>
            <w:r>
              <w:rPr>
                <w:rFonts w:ascii="Times New Roman" w:cs="Times New Roman" w:eastAsia="Times New Roman" w:hAnsi="Times New Roman"/>
                <w:sz w:val="10"/>
                <w:szCs w:val="10"/>
                <w:color w:val="0D0D0D"/>
              </w:rPr>
              <w:t>Other</w:t>
            </w:r>
          </w:p>
        </w:tc>
        <w:tc>
          <w:tcPr>
            <w:tcW w:w="74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10"/>
                <w:szCs w:val="10"/>
                <w:color w:val="0D0D0D"/>
              </w:rPr>
              <w:t>10</w:t>
            </w:r>
          </w:p>
        </w:tc>
        <w:tc>
          <w:tcPr>
            <w:tcW w:w="740" w:type="dxa"/>
            <w:vAlign w:val="bottom"/>
            <w:tcBorders>
              <w:bottom w:val="single" w:sz="8" w:color="005AFF"/>
            </w:tcBorders>
          </w:tcPr>
          <w:p>
            <w:pPr>
              <w:ind w:left="620"/>
              <w:spacing w:after="0"/>
              <w:rPr>
                <w:sz w:val="20"/>
                <w:szCs w:val="20"/>
                <w:color w:val="auto"/>
              </w:rPr>
            </w:pPr>
            <w:r>
              <w:rPr>
                <w:rFonts w:ascii="Times New Roman" w:cs="Times New Roman" w:eastAsia="Times New Roman" w:hAnsi="Times New Roman"/>
                <w:sz w:val="10"/>
                <w:szCs w:val="10"/>
                <w:color w:val="0D0D0D"/>
                <w:w w:val="99"/>
              </w:rPr>
              <w:t>—</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w:t>
            </w:r>
          </w:p>
        </w:tc>
        <w:tc>
          <w:tcPr>
            <w:tcW w:w="7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10</w:t>
            </w:r>
          </w:p>
        </w:tc>
      </w:tr>
      <w:tr>
        <w:trPr>
          <w:trHeight w:val="137"/>
        </w:trPr>
        <w:tc>
          <w:tcPr>
            <w:tcW w:w="29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31 December 2022</w:t>
            </w:r>
          </w:p>
        </w:tc>
        <w:tc>
          <w:tcPr>
            <w:tcW w:w="740" w:type="dxa"/>
            <w:vAlign w:val="bottom"/>
          </w:tcPr>
          <w:p>
            <w:pPr>
              <w:jc w:val="right"/>
              <w:ind w:right="31"/>
              <w:spacing w:after="0"/>
              <w:rPr>
                <w:sz w:val="20"/>
                <w:szCs w:val="20"/>
                <w:color w:val="auto"/>
              </w:rPr>
            </w:pPr>
            <w:r>
              <w:rPr>
                <w:rFonts w:ascii="Times New Roman" w:cs="Times New Roman" w:eastAsia="Times New Roman" w:hAnsi="Times New Roman"/>
                <w:sz w:val="10"/>
                <w:szCs w:val="10"/>
                <w:b w:val="1"/>
                <w:bCs w:val="1"/>
                <w:color w:val="auto"/>
              </w:rPr>
              <w:t>4 249</w:t>
            </w:r>
          </w:p>
        </w:tc>
        <w:tc>
          <w:tcPr>
            <w:tcW w:w="740" w:type="dxa"/>
            <w:vAlign w:val="bottom"/>
          </w:tcPr>
          <w:p>
            <w:pPr>
              <w:ind w:left="520"/>
              <w:spacing w:after="0"/>
              <w:rPr>
                <w:sz w:val="20"/>
                <w:szCs w:val="20"/>
                <w:color w:val="auto"/>
              </w:rPr>
            </w:pPr>
            <w:r>
              <w:rPr>
                <w:rFonts w:ascii="Times New Roman" w:cs="Times New Roman" w:eastAsia="Times New Roman" w:hAnsi="Times New Roman"/>
                <w:sz w:val="10"/>
                <w:szCs w:val="10"/>
                <w:b w:val="1"/>
                <w:bCs w:val="1"/>
                <w:color w:val="auto"/>
              </w:rPr>
              <w:t>228</w:t>
            </w:r>
          </w:p>
        </w:tc>
        <w:tc>
          <w:tcPr>
            <w:tcW w:w="740" w:type="dxa"/>
            <w:vAlign w:val="bottom"/>
          </w:tcPr>
          <w:p>
            <w:pPr>
              <w:jc w:val="right"/>
              <w:ind w:right="11"/>
              <w:spacing w:after="0"/>
              <w:rPr>
                <w:sz w:val="20"/>
                <w:szCs w:val="20"/>
                <w:color w:val="auto"/>
              </w:rPr>
            </w:pPr>
            <w:r>
              <w:rPr>
                <w:rFonts w:ascii="Times New Roman" w:cs="Times New Roman" w:eastAsia="Times New Roman" w:hAnsi="Times New Roman"/>
                <w:sz w:val="10"/>
                <w:szCs w:val="10"/>
                <w:b w:val="1"/>
                <w:bCs w:val="1"/>
                <w:color w:val="auto"/>
              </w:rPr>
              <w:t>246</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1 042</w:t>
            </w:r>
          </w:p>
        </w:tc>
        <w:tc>
          <w:tcPr>
            <w:tcW w:w="74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5 765</w:t>
            </w:r>
          </w:p>
        </w:tc>
      </w:tr>
    </w:tbl>
    <w:p>
      <w:pPr>
        <w:spacing w:after="0" w:line="31" w:lineRule="exact"/>
        <w:rPr>
          <w:sz w:val="20"/>
          <w:szCs w:val="20"/>
          <w:color w:val="auto"/>
        </w:rPr>
      </w:pPr>
    </w:p>
    <w:p>
      <w:pPr>
        <w:ind w:left="220" w:right="820" w:hanging="183"/>
        <w:spacing w:after="0" w:line="267" w:lineRule="auto"/>
        <w:tabs>
          <w:tab w:leader="none" w:pos="220" w:val="left"/>
        </w:tabs>
        <w:numPr>
          <w:ilvl w:val="0"/>
          <w:numId w:val="1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derivatives designated in fair value and cash flow hedge accounting relationships as well as derivatives not designated in hedge accounting relationship but hedging identifiable long-term borrowing exposure.</w:t>
      </w:r>
    </w:p>
    <w:p>
      <w:pPr>
        <w:ind w:left="220" w:hanging="183"/>
        <w:spacing w:after="0"/>
        <w:tabs>
          <w:tab w:leader="none" w:pos="220" w:val="left"/>
        </w:tabs>
        <w:numPr>
          <w:ilvl w:val="0"/>
          <w:numId w:val="1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non-current and current lease liabilities.</w:t>
      </w:r>
    </w:p>
    <w:p>
      <w:pPr>
        <w:spacing w:after="0" w:line="4" w:lineRule="exact"/>
        <w:rPr>
          <w:rFonts w:ascii="Times New Roman" w:cs="Times New Roman" w:eastAsia="Times New Roman" w:hAnsi="Times New Roman"/>
          <w:sz w:val="8"/>
          <w:szCs w:val="8"/>
          <w:color w:val="auto"/>
        </w:rPr>
      </w:pPr>
    </w:p>
    <w:p>
      <w:pPr>
        <w:ind w:left="220" w:hanging="183"/>
        <w:spacing w:after="0"/>
        <w:tabs>
          <w:tab w:leader="none" w:pos="220" w:val="left"/>
        </w:tabs>
        <w:numPr>
          <w:ilvl w:val="0"/>
          <w:numId w:val="14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new lease contracts as well as modifications and remeasurements of existing lease contracts.</w:t>
      </w:r>
    </w:p>
    <w:p>
      <w:pPr>
        <w:sectPr>
          <w:pgSz w:w="11900" w:h="16838" w:orient="portrait"/>
          <w:cols w:equalWidth="0" w:num="2">
            <w:col w:w="2960" w:space="440"/>
            <w:col w:w="6640"/>
          </w:cols>
          <w:pgMar w:left="960" w:top="410" w:right="899" w:bottom="1440" w:gutter="0" w:footer="0" w:header="0"/>
          <w:type w:val="continuous"/>
        </w:sectPr>
      </w:pPr>
    </w:p>
    <w:bookmarkStart w:id="205" w:name="page206"/>
    <w:bookmarkEnd w:id="205"/>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198</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30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ind w:right="1180"/>
        <w:spacing w:after="0" w:line="299" w:lineRule="auto"/>
        <w:rPr>
          <w:sz w:val="20"/>
          <w:szCs w:val="20"/>
          <w:color w:val="auto"/>
        </w:rPr>
      </w:pPr>
      <w:r>
        <w:rPr>
          <w:rFonts w:ascii="Times New Roman" w:cs="Times New Roman" w:eastAsia="Times New Roman" w:hAnsi="Times New Roman"/>
          <w:sz w:val="11"/>
          <w:szCs w:val="11"/>
          <w:color w:val="auto"/>
        </w:rPr>
        <w:t>The following table presents an undiscounted, contractual cash flow analysis for lease liabilities, financial liabilities and financial assets presented on the statement of financial position as well as loan commitments given and obtained. The line-by-line analysis does not directly reconcile with the statement of financial position.</w:t>
      </w:r>
    </w:p>
    <w:tbl>
      <w:tblPr>
        <w:tblLayout w:type="fixed"/>
        <w:tblInd w:w="0" w:type="dxa"/>
        <w:tblCellMar>
          <w:top w:w="0" w:type="dxa"/>
          <w:left w:w="0" w:type="dxa"/>
          <w:bottom w:w="0" w:type="dxa"/>
          <w:right w:w="0" w:type="dxa"/>
        </w:tblCellMar>
      </w:tblPr>
      <w:tr>
        <w:trPr>
          <w:trHeight w:val="114"/>
        </w:trPr>
        <w:tc>
          <w:tcPr>
            <w:tcW w:w="1160" w:type="dxa"/>
            <w:vAlign w:val="bottom"/>
          </w:tcPr>
          <w:p>
            <w:pPr>
              <w:spacing w:after="0"/>
              <w:rPr>
                <w:sz w:val="9"/>
                <w:szCs w:val="9"/>
                <w:color w:val="auto"/>
              </w:rPr>
            </w:pPr>
          </w:p>
        </w:tc>
        <w:tc>
          <w:tcPr>
            <w:tcW w:w="420" w:type="dxa"/>
            <w:vAlign w:val="bottom"/>
          </w:tcPr>
          <w:p>
            <w:pPr>
              <w:spacing w:after="0"/>
              <w:rPr>
                <w:sz w:val="9"/>
                <w:szCs w:val="9"/>
                <w:color w:val="auto"/>
              </w:rPr>
            </w:pPr>
          </w:p>
        </w:tc>
        <w:tc>
          <w:tcPr>
            <w:tcW w:w="120" w:type="dxa"/>
            <w:vAlign w:val="bottom"/>
          </w:tcPr>
          <w:p>
            <w:pPr>
              <w:spacing w:after="0"/>
              <w:rPr>
                <w:sz w:val="9"/>
                <w:szCs w:val="9"/>
                <w:color w:val="auto"/>
              </w:rPr>
            </w:pPr>
          </w:p>
        </w:tc>
        <w:tc>
          <w:tcPr>
            <w:tcW w:w="300" w:type="dxa"/>
            <w:vAlign w:val="bottom"/>
          </w:tcPr>
          <w:p>
            <w:pPr>
              <w:spacing w:after="0"/>
              <w:rPr>
                <w:sz w:val="9"/>
                <w:szCs w:val="9"/>
                <w:color w:val="auto"/>
              </w:rPr>
            </w:pPr>
          </w:p>
        </w:tc>
        <w:tc>
          <w:tcPr>
            <w:tcW w:w="120" w:type="dxa"/>
            <w:vAlign w:val="bottom"/>
          </w:tcPr>
          <w:p>
            <w:pPr>
              <w:spacing w:after="0"/>
              <w:rPr>
                <w:sz w:val="9"/>
                <w:szCs w:val="9"/>
                <w:color w:val="auto"/>
              </w:rPr>
            </w:pPr>
          </w:p>
        </w:tc>
        <w:tc>
          <w:tcPr>
            <w:tcW w:w="140" w:type="dxa"/>
            <w:vAlign w:val="bottom"/>
          </w:tcPr>
          <w:p>
            <w:pPr>
              <w:spacing w:after="0"/>
              <w:rPr>
                <w:sz w:val="9"/>
                <w:szCs w:val="9"/>
                <w:color w:val="auto"/>
              </w:rPr>
            </w:pPr>
          </w:p>
        </w:tc>
        <w:tc>
          <w:tcPr>
            <w:tcW w:w="840" w:type="dxa"/>
            <w:vAlign w:val="bottom"/>
          </w:tcPr>
          <w:p>
            <w:pPr>
              <w:spacing w:after="0"/>
              <w:rPr>
                <w:sz w:val="9"/>
                <w:szCs w:val="9"/>
                <w:color w:val="auto"/>
              </w:rPr>
            </w:pPr>
          </w:p>
        </w:tc>
        <w:tc>
          <w:tcPr>
            <w:tcW w:w="560" w:type="dxa"/>
            <w:vAlign w:val="bottom"/>
            <w:tcBorders>
              <w:bottom w:val="single" w:sz="8" w:color="005AFF"/>
            </w:tcBorders>
          </w:tcPr>
          <w:p>
            <w:pPr>
              <w:spacing w:after="0"/>
              <w:rPr>
                <w:sz w:val="9"/>
                <w:szCs w:val="9"/>
                <w:color w:val="auto"/>
              </w:rPr>
            </w:pPr>
          </w:p>
        </w:tc>
        <w:tc>
          <w:tcPr>
            <w:tcW w:w="68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gridSpan w:val="2"/>
          </w:tcPr>
          <w:p>
            <w:pPr>
              <w:jc w:val="right"/>
              <w:ind w:right="20"/>
              <w:spacing w:after="0"/>
              <w:rPr>
                <w:sz w:val="20"/>
                <w:szCs w:val="20"/>
                <w:color w:val="auto"/>
              </w:rPr>
            </w:pPr>
            <w:r>
              <w:rPr>
                <w:rFonts w:ascii="Times New Roman" w:cs="Times New Roman" w:eastAsia="Times New Roman" w:hAnsi="Times New Roman"/>
                <w:sz w:val="8"/>
                <w:szCs w:val="8"/>
                <w:b w:val="1"/>
                <w:bCs w:val="1"/>
                <w:color w:val="005AFF"/>
              </w:rPr>
              <w:t>2023</w:t>
            </w:r>
          </w:p>
        </w:tc>
        <w:tc>
          <w:tcPr>
            <w:tcW w:w="500" w:type="dxa"/>
            <w:vAlign w:val="bottom"/>
            <w:tcBorders>
              <w:bottom w:val="single" w:sz="8" w:color="005AFF"/>
            </w:tcBorders>
          </w:tcPr>
          <w:p>
            <w:pPr>
              <w:spacing w:after="0"/>
              <w:rPr>
                <w:sz w:val="9"/>
                <w:szCs w:val="9"/>
                <w:color w:val="auto"/>
              </w:rPr>
            </w:pPr>
          </w:p>
        </w:tc>
        <w:tc>
          <w:tcPr>
            <w:tcW w:w="56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tcPr>
          <w:p>
            <w:pPr>
              <w:spacing w:after="0"/>
              <w:rPr>
                <w:sz w:val="9"/>
                <w:szCs w:val="9"/>
                <w:color w:val="auto"/>
              </w:rPr>
            </w:pPr>
          </w:p>
        </w:tc>
        <w:tc>
          <w:tcPr>
            <w:tcW w:w="40" w:type="dxa"/>
            <w:vAlign w:val="bottom"/>
          </w:tcPr>
          <w:p>
            <w:pPr>
              <w:spacing w:after="0"/>
              <w:rPr>
                <w:sz w:val="9"/>
                <w:szCs w:val="9"/>
                <w:color w:val="auto"/>
              </w:rPr>
            </w:pPr>
          </w:p>
        </w:tc>
        <w:tc>
          <w:tcPr>
            <w:tcW w:w="600" w:type="dxa"/>
            <w:vAlign w:val="bottom"/>
            <w:tcBorders>
              <w:bottom w:val="single" w:sz="8" w:color="005AFF"/>
            </w:tcBorders>
          </w:tcPr>
          <w:p>
            <w:pPr>
              <w:spacing w:after="0"/>
              <w:rPr>
                <w:sz w:val="9"/>
                <w:szCs w:val="9"/>
                <w:color w:val="auto"/>
              </w:rPr>
            </w:pPr>
          </w:p>
        </w:tc>
        <w:tc>
          <w:tcPr>
            <w:tcW w:w="66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2022</w:t>
            </w:r>
          </w:p>
        </w:tc>
        <w:tc>
          <w:tcPr>
            <w:tcW w:w="600" w:type="dxa"/>
            <w:vAlign w:val="bottom"/>
            <w:tcBorders>
              <w:bottom w:val="single" w:sz="8" w:color="005AFF"/>
            </w:tcBorders>
          </w:tcPr>
          <w:p>
            <w:pPr>
              <w:spacing w:after="0"/>
              <w:rPr>
                <w:sz w:val="9"/>
                <w:szCs w:val="9"/>
                <w:color w:val="auto"/>
              </w:rPr>
            </w:pPr>
          </w:p>
        </w:tc>
        <w:tc>
          <w:tcPr>
            <w:tcW w:w="460" w:type="dxa"/>
            <w:vAlign w:val="bottom"/>
            <w:tcBorders>
              <w:bottom w:val="single" w:sz="8" w:color="005AFF"/>
            </w:tcBorders>
          </w:tcPr>
          <w:p>
            <w:pPr>
              <w:spacing w:after="0"/>
              <w:rPr>
                <w:sz w:val="9"/>
                <w:szCs w:val="9"/>
                <w:color w:val="auto"/>
              </w:rPr>
            </w:pPr>
          </w:p>
        </w:tc>
        <w:tc>
          <w:tcPr>
            <w:tcW w:w="580" w:type="dxa"/>
            <w:vAlign w:val="bottom"/>
            <w:tcBorders>
              <w:bottom w:val="single" w:sz="8" w:color="005AFF"/>
            </w:tcBorders>
          </w:tcPr>
          <w:p>
            <w:pPr>
              <w:spacing w:after="0"/>
              <w:rPr>
                <w:sz w:val="9"/>
                <w:szCs w:val="9"/>
                <w:color w:val="auto"/>
              </w:rPr>
            </w:pPr>
          </w:p>
        </w:tc>
        <w:tc>
          <w:tcPr>
            <w:tcW w:w="0" w:type="dxa"/>
            <w:vAlign w:val="bottom"/>
          </w:tcPr>
          <w:p>
            <w:pPr>
              <w:spacing w:after="0"/>
              <w:rPr>
                <w:sz w:val="1"/>
                <w:szCs w:val="1"/>
                <w:color w:val="auto"/>
              </w:rPr>
            </w:pPr>
          </w:p>
        </w:tc>
      </w:tr>
      <w:tr>
        <w:trPr>
          <w:trHeight w:val="132"/>
        </w:trPr>
        <w:tc>
          <w:tcPr>
            <w:tcW w:w="1160" w:type="dxa"/>
            <w:vAlign w:val="bottom"/>
          </w:tcPr>
          <w:p>
            <w:pPr>
              <w:spacing w:after="0"/>
              <w:rPr>
                <w:sz w:val="11"/>
                <w:szCs w:val="11"/>
                <w:color w:val="auto"/>
              </w:rPr>
            </w:pPr>
          </w:p>
        </w:tc>
        <w:tc>
          <w:tcPr>
            <w:tcW w:w="42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tcBorders>
              <w:bottom w:val="single" w:sz="8" w:color="005AFF"/>
            </w:tcBorders>
          </w:tcPr>
          <w:p>
            <w:pPr>
              <w:spacing w:after="0"/>
              <w:rPr>
                <w:sz w:val="11"/>
                <w:szCs w:val="11"/>
                <w:color w:val="auto"/>
              </w:rPr>
            </w:pPr>
          </w:p>
        </w:tc>
        <w:tc>
          <w:tcPr>
            <w:tcW w:w="680" w:type="dxa"/>
            <w:vAlign w:val="bottom"/>
            <w:tcBorders>
              <w:bottom w:val="single" w:sz="8" w:color="005AFF"/>
            </w:tcBorders>
          </w:tcPr>
          <w:p>
            <w:pPr>
              <w:spacing w:after="0"/>
              <w:rPr>
                <w:sz w:val="11"/>
                <w:szCs w:val="11"/>
                <w:color w:val="auto"/>
              </w:rPr>
            </w:pPr>
          </w:p>
        </w:tc>
        <w:tc>
          <w:tcPr>
            <w:tcW w:w="580" w:type="dxa"/>
            <w:vAlign w:val="bottom"/>
            <w:tcBorders>
              <w:bottom w:val="single" w:sz="8" w:color="005AFF"/>
            </w:tcBorders>
            <w:gridSpan w:val="2"/>
          </w:tcPr>
          <w:p>
            <w:pPr>
              <w:ind w:left="140"/>
              <w:spacing w:after="0"/>
              <w:rPr>
                <w:sz w:val="20"/>
                <w:szCs w:val="20"/>
                <w:color w:val="auto"/>
              </w:rPr>
            </w:pPr>
            <w:r>
              <w:rPr>
                <w:rFonts w:ascii="Times New Roman" w:cs="Times New Roman" w:eastAsia="Times New Roman" w:hAnsi="Times New Roman"/>
                <w:sz w:val="8"/>
                <w:szCs w:val="8"/>
                <w:b w:val="1"/>
                <w:bCs w:val="1"/>
                <w:color w:val="005AFF"/>
              </w:rPr>
              <w:t>Due</w:t>
            </w:r>
          </w:p>
        </w:tc>
        <w:tc>
          <w:tcPr>
            <w:tcW w:w="500" w:type="dxa"/>
            <w:vAlign w:val="bottom"/>
            <w:tcBorders>
              <w:bottom w:val="single" w:sz="8" w:color="005AFF"/>
            </w:tcBorders>
          </w:tcPr>
          <w:p>
            <w:pPr>
              <w:spacing w:after="0"/>
              <w:rPr>
                <w:sz w:val="11"/>
                <w:szCs w:val="11"/>
                <w:color w:val="auto"/>
              </w:rPr>
            </w:pPr>
          </w:p>
        </w:tc>
        <w:tc>
          <w:tcPr>
            <w:tcW w:w="560" w:type="dxa"/>
            <w:vAlign w:val="bottom"/>
            <w:tcBorders>
              <w:bottom w:val="single" w:sz="8" w:color="005AFF"/>
            </w:tcBorders>
          </w:tcPr>
          <w:p>
            <w:pPr>
              <w:spacing w:after="0"/>
              <w:rPr>
                <w:sz w:val="11"/>
                <w:szCs w:val="11"/>
                <w:color w:val="auto"/>
              </w:rPr>
            </w:pPr>
          </w:p>
        </w:tc>
        <w:tc>
          <w:tcPr>
            <w:tcW w:w="580" w:type="dxa"/>
            <w:vAlign w:val="bottom"/>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Borders>
              <w:bottom w:val="single" w:sz="8" w:color="005AFF"/>
            </w:tcBorders>
          </w:tcPr>
          <w:p>
            <w:pPr>
              <w:spacing w:after="0"/>
              <w:rPr>
                <w:sz w:val="11"/>
                <w:szCs w:val="11"/>
                <w:color w:val="auto"/>
              </w:rPr>
            </w:pPr>
          </w:p>
        </w:tc>
        <w:tc>
          <w:tcPr>
            <w:tcW w:w="660" w:type="dxa"/>
            <w:vAlign w:val="bottom"/>
            <w:tcBorders>
              <w:bottom w:val="single" w:sz="8" w:color="005AFF"/>
            </w:tcBorders>
          </w:tcPr>
          <w:p>
            <w:pPr>
              <w:spacing w:after="0"/>
              <w:rPr>
                <w:sz w:val="11"/>
                <w:szCs w:val="11"/>
                <w:color w:val="auto"/>
              </w:rPr>
            </w:pPr>
          </w:p>
        </w:tc>
        <w:tc>
          <w:tcPr>
            <w:tcW w:w="580" w:type="dxa"/>
            <w:vAlign w:val="bottom"/>
            <w:tcBorders>
              <w:bottom w:val="single" w:sz="8" w:color="005AFF"/>
            </w:tcBorders>
          </w:tcPr>
          <w:p>
            <w:pPr>
              <w:jc w:val="right"/>
              <w:ind w:right="271"/>
              <w:spacing w:after="0"/>
              <w:rPr>
                <w:sz w:val="20"/>
                <w:szCs w:val="20"/>
                <w:color w:val="auto"/>
              </w:rPr>
            </w:pPr>
            <w:r>
              <w:rPr>
                <w:rFonts w:ascii="Times New Roman" w:cs="Times New Roman" w:eastAsia="Times New Roman" w:hAnsi="Times New Roman"/>
                <w:sz w:val="8"/>
                <w:szCs w:val="8"/>
                <w:b w:val="1"/>
                <w:bCs w:val="1"/>
                <w:color w:val="005AFF"/>
              </w:rPr>
              <w:t>Due</w:t>
            </w:r>
          </w:p>
        </w:tc>
        <w:tc>
          <w:tcPr>
            <w:tcW w:w="600" w:type="dxa"/>
            <w:vAlign w:val="bottom"/>
            <w:tcBorders>
              <w:bottom w:val="single" w:sz="8" w:color="005AFF"/>
            </w:tcBorders>
          </w:tcPr>
          <w:p>
            <w:pPr>
              <w:spacing w:after="0"/>
              <w:rPr>
                <w:sz w:val="11"/>
                <w:szCs w:val="11"/>
                <w:color w:val="auto"/>
              </w:rPr>
            </w:pPr>
          </w:p>
        </w:tc>
        <w:tc>
          <w:tcPr>
            <w:tcW w:w="460" w:type="dxa"/>
            <w:vAlign w:val="bottom"/>
            <w:tcBorders>
              <w:bottom w:val="single" w:sz="8" w:color="005AFF"/>
            </w:tcBorders>
          </w:tcPr>
          <w:p>
            <w:pPr>
              <w:spacing w:after="0"/>
              <w:rPr>
                <w:sz w:val="11"/>
                <w:szCs w:val="11"/>
                <w:color w:val="auto"/>
              </w:rPr>
            </w:pPr>
          </w:p>
        </w:tc>
        <w:tc>
          <w:tcPr>
            <w:tcW w:w="5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08"/>
        </w:trPr>
        <w:tc>
          <w:tcPr>
            <w:tcW w:w="1160" w:type="dxa"/>
            <w:vAlign w:val="bottom"/>
            <w:vMerge w:val="restart"/>
          </w:tcPr>
          <w:p>
            <w:pPr>
              <w:ind w:left="40"/>
              <w:spacing w:after="0"/>
              <w:rPr>
                <w:sz w:val="20"/>
                <w:szCs w:val="20"/>
                <w:color w:val="auto"/>
              </w:rPr>
            </w:pPr>
            <w:r>
              <w:rPr>
                <w:rFonts w:ascii="Times New Roman" w:cs="Times New Roman" w:eastAsia="Times New Roman" w:hAnsi="Times New Roman"/>
                <w:sz w:val="10"/>
                <w:szCs w:val="10"/>
                <w:b w:val="1"/>
                <w:bCs w:val="1"/>
                <w:color w:val="005AFF"/>
              </w:rPr>
              <w:t>EURm</w:t>
            </w:r>
          </w:p>
        </w:tc>
        <w:tc>
          <w:tcPr>
            <w:tcW w:w="420" w:type="dxa"/>
            <w:vAlign w:val="bottom"/>
          </w:tcPr>
          <w:p>
            <w:pPr>
              <w:spacing w:after="0"/>
              <w:rPr>
                <w:sz w:val="9"/>
                <w:szCs w:val="9"/>
                <w:color w:val="auto"/>
              </w:rPr>
            </w:pPr>
          </w:p>
        </w:tc>
        <w:tc>
          <w:tcPr>
            <w:tcW w:w="120" w:type="dxa"/>
            <w:vAlign w:val="bottom"/>
          </w:tcPr>
          <w:p>
            <w:pPr>
              <w:spacing w:after="0"/>
              <w:rPr>
                <w:sz w:val="9"/>
                <w:szCs w:val="9"/>
                <w:color w:val="auto"/>
              </w:rPr>
            </w:pPr>
          </w:p>
        </w:tc>
        <w:tc>
          <w:tcPr>
            <w:tcW w:w="300" w:type="dxa"/>
            <w:vAlign w:val="bottom"/>
          </w:tcPr>
          <w:p>
            <w:pPr>
              <w:spacing w:after="0"/>
              <w:rPr>
                <w:sz w:val="9"/>
                <w:szCs w:val="9"/>
                <w:color w:val="auto"/>
              </w:rPr>
            </w:pPr>
          </w:p>
        </w:tc>
        <w:tc>
          <w:tcPr>
            <w:tcW w:w="120" w:type="dxa"/>
            <w:vAlign w:val="bottom"/>
          </w:tcPr>
          <w:p>
            <w:pPr>
              <w:spacing w:after="0"/>
              <w:rPr>
                <w:sz w:val="9"/>
                <w:szCs w:val="9"/>
                <w:color w:val="auto"/>
              </w:rPr>
            </w:pPr>
          </w:p>
        </w:tc>
        <w:tc>
          <w:tcPr>
            <w:tcW w:w="140" w:type="dxa"/>
            <w:vAlign w:val="bottom"/>
          </w:tcPr>
          <w:p>
            <w:pPr>
              <w:spacing w:after="0"/>
              <w:rPr>
                <w:sz w:val="9"/>
                <w:szCs w:val="9"/>
                <w:color w:val="auto"/>
              </w:rPr>
            </w:pPr>
          </w:p>
        </w:tc>
        <w:tc>
          <w:tcPr>
            <w:tcW w:w="840" w:type="dxa"/>
            <w:vAlign w:val="bottom"/>
          </w:tcPr>
          <w:p>
            <w:pPr>
              <w:spacing w:after="0"/>
              <w:rPr>
                <w:sz w:val="9"/>
                <w:szCs w:val="9"/>
                <w:color w:val="auto"/>
              </w:rPr>
            </w:pPr>
          </w:p>
        </w:tc>
        <w:tc>
          <w:tcPr>
            <w:tcW w:w="560" w:type="dxa"/>
            <w:vAlign w:val="bottom"/>
          </w:tcPr>
          <w:p>
            <w:pPr>
              <w:jc w:val="right"/>
              <w:spacing w:after="0"/>
              <w:rPr>
                <w:sz w:val="20"/>
                <w:szCs w:val="20"/>
                <w:color w:val="auto"/>
              </w:rPr>
            </w:pPr>
            <w:r>
              <w:rPr>
                <w:rFonts w:ascii="Times New Roman" w:cs="Times New Roman" w:eastAsia="Times New Roman" w:hAnsi="Times New Roman"/>
                <w:sz w:val="8"/>
                <w:szCs w:val="8"/>
                <w:b w:val="1"/>
                <w:bCs w:val="1"/>
                <w:color w:val="005AFF"/>
              </w:rPr>
              <w:t>within 3</w:t>
            </w:r>
          </w:p>
        </w:tc>
        <w:tc>
          <w:tcPr>
            <w:tcW w:w="680" w:type="dxa"/>
            <w:vAlign w:val="bottom"/>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between 3 and</w:t>
            </w:r>
          </w:p>
        </w:tc>
        <w:tc>
          <w:tcPr>
            <w:tcW w:w="580" w:type="dxa"/>
            <w:vAlign w:val="bottom"/>
            <w:gridSpan w:val="2"/>
          </w:tcPr>
          <w:p>
            <w:pPr>
              <w:ind w:left="120"/>
              <w:spacing w:after="0"/>
              <w:rPr>
                <w:sz w:val="20"/>
                <w:szCs w:val="20"/>
                <w:color w:val="auto"/>
              </w:rPr>
            </w:pPr>
            <w:r>
              <w:rPr>
                <w:rFonts w:ascii="Times New Roman" w:cs="Times New Roman" w:eastAsia="Times New Roman" w:hAnsi="Times New Roman"/>
                <w:sz w:val="8"/>
                <w:szCs w:val="8"/>
                <w:b w:val="1"/>
                <w:bCs w:val="1"/>
                <w:color w:val="005AFF"/>
              </w:rPr>
              <w:t>between 1</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between 3</w:t>
            </w:r>
          </w:p>
        </w:tc>
        <w:tc>
          <w:tcPr>
            <w:tcW w:w="560" w:type="dxa"/>
            <w:vAlign w:val="bottom"/>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beyond 5</w:t>
            </w:r>
          </w:p>
        </w:tc>
        <w:tc>
          <w:tcPr>
            <w:tcW w:w="580" w:type="dxa"/>
            <w:vAlign w:val="bottom"/>
          </w:tcPr>
          <w:p>
            <w:pPr>
              <w:spacing w:after="0"/>
              <w:rPr>
                <w:sz w:val="9"/>
                <w:szCs w:val="9"/>
                <w:color w:val="auto"/>
              </w:rPr>
            </w:pPr>
          </w:p>
        </w:tc>
        <w:tc>
          <w:tcPr>
            <w:tcW w:w="40" w:type="dxa"/>
            <w:vAlign w:val="bottom"/>
          </w:tcPr>
          <w:p>
            <w:pPr>
              <w:spacing w:after="0"/>
              <w:rPr>
                <w:sz w:val="9"/>
                <w:szCs w:val="9"/>
                <w:color w:val="auto"/>
              </w:rPr>
            </w:pPr>
          </w:p>
        </w:tc>
        <w:tc>
          <w:tcPr>
            <w:tcW w:w="600" w:type="dxa"/>
            <w:vAlign w:val="bottom"/>
          </w:tcPr>
          <w:p>
            <w:pPr>
              <w:jc w:val="center"/>
              <w:ind w:left="113"/>
              <w:spacing w:after="0"/>
              <w:rPr>
                <w:sz w:val="20"/>
                <w:szCs w:val="20"/>
                <w:color w:val="auto"/>
              </w:rPr>
            </w:pPr>
            <w:r>
              <w:rPr>
                <w:rFonts w:ascii="Times New Roman" w:cs="Times New Roman" w:eastAsia="Times New Roman" w:hAnsi="Times New Roman"/>
                <w:sz w:val="8"/>
                <w:szCs w:val="8"/>
                <w:b w:val="1"/>
                <w:bCs w:val="1"/>
                <w:color w:val="005AFF"/>
              </w:rPr>
              <w:t>within 3</w:t>
            </w:r>
          </w:p>
        </w:tc>
        <w:tc>
          <w:tcPr>
            <w:tcW w:w="660" w:type="dxa"/>
            <w:vAlign w:val="bottom"/>
          </w:tcPr>
          <w:p>
            <w:pPr>
              <w:jc w:val="right"/>
              <w:ind w:right="90"/>
              <w:spacing w:after="0"/>
              <w:rPr>
                <w:sz w:val="20"/>
                <w:szCs w:val="20"/>
                <w:color w:val="auto"/>
              </w:rPr>
            </w:pPr>
            <w:r>
              <w:rPr>
                <w:rFonts w:ascii="Times New Roman" w:cs="Times New Roman" w:eastAsia="Times New Roman" w:hAnsi="Times New Roman"/>
                <w:sz w:val="8"/>
                <w:szCs w:val="8"/>
                <w:b w:val="1"/>
                <w:bCs w:val="1"/>
                <w:color w:val="005AFF"/>
              </w:rPr>
              <w:t>between 3 and</w:t>
            </w:r>
          </w:p>
        </w:tc>
        <w:tc>
          <w:tcPr>
            <w:tcW w:w="580" w:type="dxa"/>
            <w:vAlign w:val="bottom"/>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between 1</w:t>
            </w:r>
          </w:p>
        </w:tc>
        <w:tc>
          <w:tcPr>
            <w:tcW w:w="600" w:type="dxa"/>
            <w:vAlign w:val="bottom"/>
          </w:tcPr>
          <w:p>
            <w:pPr>
              <w:jc w:val="right"/>
              <w:ind w:right="130"/>
              <w:spacing w:after="0"/>
              <w:rPr>
                <w:sz w:val="20"/>
                <w:szCs w:val="20"/>
                <w:color w:val="auto"/>
              </w:rPr>
            </w:pPr>
            <w:r>
              <w:rPr>
                <w:rFonts w:ascii="Times New Roman" w:cs="Times New Roman" w:eastAsia="Times New Roman" w:hAnsi="Times New Roman"/>
                <w:sz w:val="8"/>
                <w:szCs w:val="8"/>
                <w:b w:val="1"/>
                <w:bCs w:val="1"/>
                <w:color w:val="005AFF"/>
              </w:rPr>
              <w:t>between 3</w:t>
            </w:r>
          </w:p>
        </w:tc>
        <w:tc>
          <w:tcPr>
            <w:tcW w:w="460" w:type="dxa"/>
            <w:vAlign w:val="bottom"/>
          </w:tcPr>
          <w:p>
            <w:pPr>
              <w:ind w:left="80"/>
              <w:spacing w:after="0"/>
              <w:rPr>
                <w:sz w:val="20"/>
                <w:szCs w:val="20"/>
                <w:color w:val="auto"/>
              </w:rPr>
            </w:pPr>
            <w:r>
              <w:rPr>
                <w:rFonts w:ascii="Times New Roman" w:cs="Times New Roman" w:eastAsia="Times New Roman" w:hAnsi="Times New Roman"/>
                <w:sz w:val="8"/>
                <w:szCs w:val="8"/>
                <w:b w:val="1"/>
                <w:bCs w:val="1"/>
                <w:color w:val="005AFF"/>
              </w:rPr>
              <w:t>beyond 5</w:t>
            </w:r>
          </w:p>
        </w:tc>
        <w:tc>
          <w:tcPr>
            <w:tcW w:w="58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117"/>
        </w:trPr>
        <w:tc>
          <w:tcPr>
            <w:tcW w:w="1160" w:type="dxa"/>
            <w:vAlign w:val="bottom"/>
            <w:tcBorders>
              <w:bottom w:val="single" w:sz="8" w:color="005AFF"/>
            </w:tcBorders>
            <w:vMerge w:val="continue"/>
          </w:tcPr>
          <w:p>
            <w:pPr>
              <w:spacing w:after="0"/>
              <w:rPr>
                <w:sz w:val="10"/>
                <w:szCs w:val="10"/>
                <w:color w:val="auto"/>
              </w:rPr>
            </w:pPr>
          </w:p>
        </w:tc>
        <w:tc>
          <w:tcPr>
            <w:tcW w:w="420" w:type="dxa"/>
            <w:vAlign w:val="bottom"/>
            <w:tcBorders>
              <w:bottom w:val="single" w:sz="8" w:color="005AFF"/>
            </w:tcBorders>
          </w:tcPr>
          <w:p>
            <w:pPr>
              <w:spacing w:after="0"/>
              <w:rPr>
                <w:sz w:val="10"/>
                <w:szCs w:val="10"/>
                <w:color w:val="auto"/>
              </w:rPr>
            </w:pPr>
          </w:p>
        </w:tc>
        <w:tc>
          <w:tcPr>
            <w:tcW w:w="120" w:type="dxa"/>
            <w:vAlign w:val="bottom"/>
            <w:tcBorders>
              <w:bottom w:val="single" w:sz="8" w:color="005AFF"/>
            </w:tcBorders>
          </w:tcPr>
          <w:p>
            <w:pPr>
              <w:spacing w:after="0"/>
              <w:rPr>
                <w:sz w:val="10"/>
                <w:szCs w:val="10"/>
                <w:color w:val="auto"/>
              </w:rPr>
            </w:pPr>
          </w:p>
        </w:tc>
        <w:tc>
          <w:tcPr>
            <w:tcW w:w="300" w:type="dxa"/>
            <w:vAlign w:val="bottom"/>
            <w:tcBorders>
              <w:bottom w:val="single" w:sz="8" w:color="005AFF"/>
            </w:tcBorders>
          </w:tcPr>
          <w:p>
            <w:pPr>
              <w:spacing w:after="0"/>
              <w:rPr>
                <w:sz w:val="10"/>
                <w:szCs w:val="10"/>
                <w:color w:val="auto"/>
              </w:rPr>
            </w:pPr>
          </w:p>
        </w:tc>
        <w:tc>
          <w:tcPr>
            <w:tcW w:w="120" w:type="dxa"/>
            <w:vAlign w:val="bottom"/>
            <w:tcBorders>
              <w:bottom w:val="single" w:sz="8" w:color="005AFF"/>
            </w:tcBorders>
          </w:tcPr>
          <w:p>
            <w:pPr>
              <w:spacing w:after="0"/>
              <w:rPr>
                <w:sz w:val="10"/>
                <w:szCs w:val="10"/>
                <w:color w:val="auto"/>
              </w:rPr>
            </w:pPr>
          </w:p>
        </w:tc>
        <w:tc>
          <w:tcPr>
            <w:tcW w:w="140" w:type="dxa"/>
            <w:vAlign w:val="bottom"/>
            <w:tcBorders>
              <w:bottom w:val="single" w:sz="8" w:color="005AFF"/>
            </w:tcBorders>
          </w:tcPr>
          <w:p>
            <w:pPr>
              <w:spacing w:after="0"/>
              <w:rPr>
                <w:sz w:val="10"/>
                <w:szCs w:val="10"/>
                <w:color w:val="auto"/>
              </w:rPr>
            </w:pPr>
          </w:p>
        </w:tc>
        <w:tc>
          <w:tcPr>
            <w:tcW w:w="840" w:type="dxa"/>
            <w:vAlign w:val="bottom"/>
            <w:tcBorders>
              <w:bottom w:val="single" w:sz="8" w:color="005AFF"/>
            </w:tcBorders>
          </w:tcPr>
          <w:p>
            <w:pPr>
              <w:spacing w:after="0"/>
              <w:rPr>
                <w:sz w:val="10"/>
                <w:szCs w:val="10"/>
                <w:color w:val="auto"/>
              </w:rPr>
            </w:pP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months</w:t>
            </w:r>
          </w:p>
        </w:tc>
        <w:tc>
          <w:tcPr>
            <w:tcW w:w="6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12 months</w:t>
            </w:r>
          </w:p>
        </w:tc>
        <w:tc>
          <w:tcPr>
            <w:tcW w:w="580" w:type="dxa"/>
            <w:vAlign w:val="bottom"/>
            <w:tcBorders>
              <w:bottom w:val="single" w:sz="8" w:color="005AFF"/>
            </w:tcBorders>
            <w:gridSpan w:val="2"/>
          </w:tcPr>
          <w:p>
            <w:pPr>
              <w:ind w:left="80"/>
              <w:spacing w:after="0"/>
              <w:rPr>
                <w:sz w:val="20"/>
                <w:szCs w:val="20"/>
                <w:color w:val="auto"/>
              </w:rPr>
            </w:pPr>
            <w:r>
              <w:rPr>
                <w:rFonts w:ascii="Times New Roman" w:cs="Times New Roman" w:eastAsia="Times New Roman" w:hAnsi="Times New Roman"/>
                <w:sz w:val="8"/>
                <w:szCs w:val="8"/>
                <w:b w:val="1"/>
                <w:bCs w:val="1"/>
                <w:color w:val="005AFF"/>
              </w:rPr>
              <w:t>and 3 years</w:t>
            </w:r>
          </w:p>
        </w:tc>
        <w:tc>
          <w:tcPr>
            <w:tcW w:w="5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and 5 years</w:t>
            </w:r>
          </w:p>
        </w:tc>
        <w:tc>
          <w:tcPr>
            <w:tcW w:w="56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8"/>
                <w:szCs w:val="8"/>
                <w:b w:val="1"/>
                <w:bCs w:val="1"/>
                <w:color w:val="005AFF"/>
              </w:rPr>
              <w:t>years</w:t>
            </w:r>
          </w:p>
        </w:tc>
        <w:tc>
          <w:tcPr>
            <w:tcW w:w="5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40" w:type="dxa"/>
            <w:vAlign w:val="bottom"/>
            <w:tcBorders>
              <w:bottom w:val="single" w:sz="8" w:color="005AFF"/>
            </w:tcBorders>
          </w:tcPr>
          <w:p>
            <w:pPr>
              <w:spacing w:after="0"/>
              <w:rPr>
                <w:sz w:val="10"/>
                <w:szCs w:val="10"/>
                <w:color w:val="auto"/>
              </w:rPr>
            </w:pPr>
          </w:p>
        </w:tc>
        <w:tc>
          <w:tcPr>
            <w:tcW w:w="600" w:type="dxa"/>
            <w:vAlign w:val="bottom"/>
            <w:tcBorders>
              <w:bottom w:val="single" w:sz="8" w:color="005AFF"/>
            </w:tcBorders>
          </w:tcPr>
          <w:p>
            <w:pPr>
              <w:jc w:val="center"/>
              <w:ind w:left="93"/>
              <w:spacing w:after="0"/>
              <w:rPr>
                <w:sz w:val="20"/>
                <w:szCs w:val="20"/>
                <w:color w:val="auto"/>
              </w:rPr>
            </w:pPr>
            <w:r>
              <w:rPr>
                <w:rFonts w:ascii="Times New Roman" w:cs="Times New Roman" w:eastAsia="Times New Roman" w:hAnsi="Times New Roman"/>
                <w:sz w:val="8"/>
                <w:szCs w:val="8"/>
                <w:b w:val="1"/>
                <w:bCs w:val="1"/>
                <w:color w:val="005AFF"/>
              </w:rPr>
              <w:t>months</w:t>
            </w:r>
          </w:p>
        </w:tc>
        <w:tc>
          <w:tcPr>
            <w:tcW w:w="6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8"/>
                <w:szCs w:val="8"/>
                <w:b w:val="1"/>
                <w:bCs w:val="1"/>
                <w:color w:val="005AFF"/>
              </w:rPr>
              <w:t>12 months</w:t>
            </w:r>
          </w:p>
        </w:tc>
        <w:tc>
          <w:tcPr>
            <w:tcW w:w="5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8"/>
                <w:szCs w:val="8"/>
                <w:b w:val="1"/>
                <w:bCs w:val="1"/>
                <w:color w:val="005AFF"/>
              </w:rPr>
              <w:t>and 3 years</w:t>
            </w:r>
          </w:p>
        </w:tc>
        <w:tc>
          <w:tcPr>
            <w:tcW w:w="600" w:type="dxa"/>
            <w:vAlign w:val="bottom"/>
            <w:tcBorders>
              <w:bottom w:val="single" w:sz="8" w:color="005AFF"/>
            </w:tcBorders>
          </w:tcPr>
          <w:p>
            <w:pPr>
              <w:jc w:val="right"/>
              <w:ind w:right="110"/>
              <w:spacing w:after="0"/>
              <w:rPr>
                <w:sz w:val="20"/>
                <w:szCs w:val="20"/>
                <w:color w:val="auto"/>
              </w:rPr>
            </w:pPr>
            <w:r>
              <w:rPr>
                <w:rFonts w:ascii="Times New Roman" w:cs="Times New Roman" w:eastAsia="Times New Roman" w:hAnsi="Times New Roman"/>
                <w:sz w:val="8"/>
                <w:szCs w:val="8"/>
                <w:b w:val="1"/>
                <w:bCs w:val="1"/>
                <w:color w:val="005AFF"/>
              </w:rPr>
              <w:t>and 5 years</w:t>
            </w:r>
          </w:p>
        </w:tc>
        <w:tc>
          <w:tcPr>
            <w:tcW w:w="460" w:type="dxa"/>
            <w:vAlign w:val="bottom"/>
            <w:tcBorders>
              <w:bottom w:val="single" w:sz="8" w:color="005AFF"/>
            </w:tcBorders>
          </w:tcPr>
          <w:p>
            <w:pPr>
              <w:ind w:left="220"/>
              <w:spacing w:after="0"/>
              <w:rPr>
                <w:sz w:val="20"/>
                <w:szCs w:val="20"/>
                <w:color w:val="auto"/>
              </w:rPr>
            </w:pPr>
            <w:r>
              <w:rPr>
                <w:rFonts w:ascii="Times New Roman" w:cs="Times New Roman" w:eastAsia="Times New Roman" w:hAnsi="Times New Roman"/>
                <w:sz w:val="8"/>
                <w:szCs w:val="8"/>
                <w:b w:val="1"/>
                <w:bCs w:val="1"/>
                <w:color w:val="005AFF"/>
              </w:rPr>
              <w:t>years</w:t>
            </w:r>
          </w:p>
        </w:tc>
        <w:tc>
          <w:tcPr>
            <w:tcW w:w="58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Total</w:t>
            </w:r>
          </w:p>
        </w:tc>
        <w:tc>
          <w:tcPr>
            <w:tcW w:w="0" w:type="dxa"/>
            <w:vAlign w:val="bottom"/>
          </w:tcPr>
          <w:p>
            <w:pPr>
              <w:spacing w:after="0"/>
              <w:rPr>
                <w:sz w:val="1"/>
                <w:szCs w:val="1"/>
                <w:color w:val="auto"/>
              </w:rPr>
            </w:pPr>
          </w:p>
        </w:tc>
      </w:tr>
      <w:tr>
        <w:trPr>
          <w:trHeight w:val="127"/>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Non-current financial assets</w:t>
            </w:r>
          </w:p>
        </w:tc>
        <w:tc>
          <w:tcPr>
            <w:tcW w:w="12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1"/>
        </w:trPr>
        <w:tc>
          <w:tcPr>
            <w:tcW w:w="2120" w:type="dxa"/>
            <w:vAlign w:val="bottom"/>
            <w:gridSpan w:val="5"/>
          </w:tcPr>
          <w:p>
            <w:pPr>
              <w:ind w:left="40"/>
              <w:spacing w:after="0"/>
              <w:rPr>
                <w:sz w:val="20"/>
                <w:szCs w:val="20"/>
                <w:color w:val="auto"/>
              </w:rPr>
            </w:pPr>
            <w:r>
              <w:rPr>
                <w:rFonts w:ascii="Times New Roman" w:cs="Times New Roman" w:eastAsia="Times New Roman" w:hAnsi="Times New Roman"/>
                <w:sz w:val="10"/>
                <w:szCs w:val="10"/>
                <w:color w:val="0D0D0D"/>
              </w:rPr>
              <w:t>Non-current interest-bearing financial investments</w:t>
            </w: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394</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385</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779</w:t>
            </w:r>
          </w:p>
        </w:tc>
        <w:tc>
          <w:tcPr>
            <w:tcW w:w="64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5</w:t>
            </w:r>
          </w:p>
        </w:tc>
        <w:tc>
          <w:tcPr>
            <w:tcW w:w="66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7</w:t>
            </w:r>
          </w:p>
        </w:tc>
        <w:tc>
          <w:tcPr>
            <w:tcW w:w="5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376</w:t>
            </w:r>
          </w:p>
        </w:tc>
        <w:tc>
          <w:tcPr>
            <w:tcW w:w="60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275</w:t>
            </w:r>
          </w:p>
        </w:tc>
        <w:tc>
          <w:tcPr>
            <w:tcW w:w="4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104</w:t>
            </w:r>
          </w:p>
        </w:tc>
        <w:tc>
          <w:tcPr>
            <w:tcW w:w="58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767</w:t>
            </w:r>
          </w:p>
        </w:tc>
        <w:tc>
          <w:tcPr>
            <w:tcW w:w="0" w:type="dxa"/>
            <w:vAlign w:val="bottom"/>
          </w:tcPr>
          <w:p>
            <w:pPr>
              <w:spacing w:after="0"/>
              <w:rPr>
                <w:sz w:val="1"/>
                <w:szCs w:val="1"/>
                <w:color w:val="auto"/>
              </w:rPr>
            </w:pPr>
          </w:p>
        </w:tc>
      </w:tr>
      <w:tr>
        <w:trPr>
          <w:trHeight w:val="157"/>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Other non-current financial assets</w:t>
            </w:r>
          </w:p>
        </w:tc>
        <w:tc>
          <w:tcPr>
            <w:tcW w:w="120" w:type="dxa"/>
            <w:vAlign w:val="bottom"/>
          </w:tcPr>
          <w:p>
            <w:pPr>
              <w:jc w:val="right"/>
              <w:ind w:right="7"/>
              <w:spacing w:after="0"/>
              <w:rPr>
                <w:sz w:val="20"/>
                <w:szCs w:val="20"/>
                <w:color w:val="auto"/>
              </w:rPr>
            </w:pPr>
            <w:r>
              <w:rPr>
                <w:rFonts w:ascii="Times New Roman" w:cs="Times New Roman" w:eastAsia="Times New Roman" w:hAnsi="Times New Roman"/>
                <w:sz w:val="7"/>
                <w:szCs w:val="7"/>
                <w:color w:val="0D0D0D"/>
                <w:w w:val="72"/>
              </w:rPr>
              <w:t>(1)</w:t>
            </w: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tcBorders>
              <w:bottom w:val="single" w:sz="8" w:color="F0F5FF"/>
            </w:tcBorders>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tcBorders>
              <w:bottom w:val="single" w:sz="8" w:color="F0F5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60</w:t>
            </w:r>
          </w:p>
        </w:tc>
        <w:tc>
          <w:tcPr>
            <w:tcW w:w="40" w:type="dxa"/>
            <w:vAlign w:val="bottom"/>
            <w:tcBorders>
              <w:bottom w:val="single" w:sz="8" w:color="F0F5FF"/>
            </w:tcBorders>
            <w:shd w:val="clear" w:color="auto" w:fill="F0F5FF"/>
          </w:tcPr>
          <w:p>
            <w:pPr>
              <w:spacing w:after="0"/>
              <w:rPr>
                <w:sz w:val="13"/>
                <w:szCs w:val="13"/>
                <w:color w:val="auto"/>
              </w:rPr>
            </w:pPr>
          </w:p>
        </w:tc>
        <w:tc>
          <w:tcPr>
            <w:tcW w:w="50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w:t>
            </w:r>
          </w:p>
        </w:tc>
        <w:tc>
          <w:tcPr>
            <w:tcW w:w="56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46</w:t>
            </w:r>
          </w:p>
        </w:tc>
        <w:tc>
          <w:tcPr>
            <w:tcW w:w="580" w:type="dxa"/>
            <w:vAlign w:val="bottom"/>
            <w:tcBorders>
              <w:bottom w:val="single" w:sz="8" w:color="F0F5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114</w:t>
            </w:r>
          </w:p>
        </w:tc>
        <w:tc>
          <w:tcPr>
            <w:tcW w:w="40" w:type="dxa"/>
            <w:vAlign w:val="bottom"/>
          </w:tcPr>
          <w:p>
            <w:pPr>
              <w:spacing w:after="0"/>
              <w:rPr>
                <w:sz w:val="13"/>
                <w:szCs w:val="13"/>
                <w:color w:val="auto"/>
              </w:rPr>
            </w:pPr>
          </w:p>
        </w:tc>
        <w:tc>
          <w:tcPr>
            <w:tcW w:w="60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30</w:t>
            </w:r>
          </w:p>
        </w:tc>
        <w:tc>
          <w:tcPr>
            <w:tcW w:w="600" w:type="dxa"/>
            <w:vAlign w:val="bottom"/>
          </w:tcPr>
          <w:p>
            <w:pPr>
              <w:jc w:val="center"/>
              <w:ind w:left="210"/>
              <w:spacing w:after="0"/>
              <w:rPr>
                <w:sz w:val="20"/>
                <w:szCs w:val="20"/>
                <w:color w:val="auto"/>
              </w:rPr>
            </w:pPr>
            <w:r>
              <w:rPr>
                <w:rFonts w:ascii="Times New Roman" w:cs="Times New Roman" w:eastAsia="Times New Roman" w:hAnsi="Times New Roman"/>
                <w:sz w:val="10"/>
                <w:szCs w:val="10"/>
                <w:color w:val="0D0D0D"/>
              </w:rPr>
              <w:t>2</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46</w:t>
            </w:r>
          </w:p>
        </w:tc>
        <w:tc>
          <w:tcPr>
            <w:tcW w:w="580" w:type="dxa"/>
            <w:vAlign w:val="bottom"/>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78</w:t>
            </w:r>
          </w:p>
        </w:tc>
        <w:tc>
          <w:tcPr>
            <w:tcW w:w="0" w:type="dxa"/>
            <w:vAlign w:val="bottom"/>
          </w:tcPr>
          <w:p>
            <w:pPr>
              <w:spacing w:after="0"/>
              <w:rPr>
                <w:sz w:val="1"/>
                <w:szCs w:val="1"/>
                <w:color w:val="auto"/>
              </w:rPr>
            </w:pPr>
          </w:p>
        </w:tc>
      </w:tr>
      <w:tr>
        <w:trPr>
          <w:trHeight w:val="127"/>
        </w:trPr>
        <w:tc>
          <w:tcPr>
            <w:tcW w:w="1160" w:type="dxa"/>
            <w:vAlign w:val="bottom"/>
            <w:tcBorders>
              <w:top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Current financial assets</w:t>
            </w:r>
          </w:p>
        </w:tc>
        <w:tc>
          <w:tcPr>
            <w:tcW w:w="420" w:type="dxa"/>
            <w:vAlign w:val="bottom"/>
            <w:tcBorders>
              <w:top w:val="single" w:sz="8" w:color="005AFF"/>
            </w:tcBorders>
          </w:tcPr>
          <w:p>
            <w:pPr>
              <w:spacing w:after="0"/>
              <w:rPr>
                <w:sz w:val="11"/>
                <w:szCs w:val="11"/>
                <w:color w:val="auto"/>
              </w:rPr>
            </w:pPr>
          </w:p>
        </w:tc>
        <w:tc>
          <w:tcPr>
            <w:tcW w:w="120" w:type="dxa"/>
            <w:vAlign w:val="bottom"/>
            <w:tcBorders>
              <w:top w:val="single" w:sz="8" w:color="005AFF"/>
            </w:tcBorders>
          </w:tcPr>
          <w:p>
            <w:pPr>
              <w:spacing w:after="0"/>
              <w:rPr>
                <w:sz w:val="11"/>
                <w:szCs w:val="11"/>
                <w:color w:val="auto"/>
              </w:rPr>
            </w:pPr>
          </w:p>
        </w:tc>
        <w:tc>
          <w:tcPr>
            <w:tcW w:w="300" w:type="dxa"/>
            <w:vAlign w:val="bottom"/>
            <w:tcBorders>
              <w:top w:val="single" w:sz="8" w:color="005AFF"/>
            </w:tcBorders>
          </w:tcPr>
          <w:p>
            <w:pPr>
              <w:spacing w:after="0"/>
              <w:rPr>
                <w:sz w:val="11"/>
                <w:szCs w:val="11"/>
                <w:color w:val="auto"/>
              </w:rPr>
            </w:pPr>
          </w:p>
        </w:tc>
        <w:tc>
          <w:tcPr>
            <w:tcW w:w="120" w:type="dxa"/>
            <w:vAlign w:val="bottom"/>
            <w:tcBorders>
              <w:top w:val="single" w:sz="8" w:color="005AFF"/>
            </w:tcBorders>
          </w:tcPr>
          <w:p>
            <w:pPr>
              <w:spacing w:after="0"/>
              <w:rPr>
                <w:sz w:val="11"/>
                <w:szCs w:val="11"/>
                <w:color w:val="auto"/>
              </w:rPr>
            </w:pPr>
          </w:p>
        </w:tc>
        <w:tc>
          <w:tcPr>
            <w:tcW w:w="140" w:type="dxa"/>
            <w:vAlign w:val="bottom"/>
            <w:tcBorders>
              <w:top w:val="single" w:sz="8" w:color="005AFF"/>
            </w:tcBorders>
          </w:tcPr>
          <w:p>
            <w:pPr>
              <w:spacing w:after="0"/>
              <w:rPr>
                <w:sz w:val="11"/>
                <w:szCs w:val="11"/>
                <w:color w:val="auto"/>
              </w:rPr>
            </w:pPr>
          </w:p>
        </w:tc>
        <w:tc>
          <w:tcPr>
            <w:tcW w:w="840" w:type="dxa"/>
            <w:vAlign w:val="bottom"/>
            <w:tcBorders>
              <w:top w:val="single" w:sz="8" w:color="005AFF"/>
            </w:tcBorders>
          </w:tcPr>
          <w:p>
            <w:pPr>
              <w:spacing w:after="0"/>
              <w:rPr>
                <w:sz w:val="11"/>
                <w:szCs w:val="11"/>
                <w:color w:val="auto"/>
              </w:rPr>
            </w:pPr>
          </w:p>
        </w:tc>
        <w:tc>
          <w:tcPr>
            <w:tcW w:w="560" w:type="dxa"/>
            <w:vAlign w:val="bottom"/>
            <w:tcBorders>
              <w:top w:val="single" w:sz="8" w:color="005AFF"/>
            </w:tcBorders>
            <w:shd w:val="clear" w:color="auto" w:fill="F0F5FF"/>
          </w:tcPr>
          <w:p>
            <w:pPr>
              <w:spacing w:after="0"/>
              <w:rPr>
                <w:sz w:val="11"/>
                <w:szCs w:val="11"/>
                <w:color w:val="auto"/>
              </w:rPr>
            </w:pPr>
          </w:p>
        </w:tc>
        <w:tc>
          <w:tcPr>
            <w:tcW w:w="680" w:type="dxa"/>
            <w:vAlign w:val="bottom"/>
            <w:tcBorders>
              <w:top w:val="single" w:sz="8" w:color="005AFF"/>
            </w:tcBorders>
            <w:shd w:val="clear" w:color="auto" w:fill="F0F5FF"/>
          </w:tcPr>
          <w:p>
            <w:pPr>
              <w:spacing w:after="0"/>
              <w:rPr>
                <w:sz w:val="11"/>
                <w:szCs w:val="11"/>
                <w:color w:val="auto"/>
              </w:rPr>
            </w:pPr>
          </w:p>
        </w:tc>
        <w:tc>
          <w:tcPr>
            <w:tcW w:w="540" w:type="dxa"/>
            <w:vAlign w:val="bottom"/>
            <w:tcBorders>
              <w:top w:val="single" w:sz="8" w:color="005AFF"/>
            </w:tcBorders>
            <w:shd w:val="clear" w:color="auto" w:fill="F0F5FF"/>
          </w:tcPr>
          <w:p>
            <w:pPr>
              <w:spacing w:after="0"/>
              <w:rPr>
                <w:sz w:val="11"/>
                <w:szCs w:val="11"/>
                <w:color w:val="auto"/>
              </w:rPr>
            </w:pPr>
          </w:p>
        </w:tc>
        <w:tc>
          <w:tcPr>
            <w:tcW w:w="40" w:type="dxa"/>
            <w:vAlign w:val="bottom"/>
            <w:tcBorders>
              <w:top w:val="single" w:sz="8" w:color="005AFF"/>
            </w:tcBorders>
            <w:shd w:val="clear" w:color="auto" w:fill="F0F5FF"/>
          </w:tcPr>
          <w:p>
            <w:pPr>
              <w:spacing w:after="0"/>
              <w:rPr>
                <w:sz w:val="11"/>
                <w:szCs w:val="11"/>
                <w:color w:val="auto"/>
              </w:rPr>
            </w:pPr>
          </w:p>
        </w:tc>
        <w:tc>
          <w:tcPr>
            <w:tcW w:w="500" w:type="dxa"/>
            <w:vAlign w:val="bottom"/>
            <w:tcBorders>
              <w:top w:val="single" w:sz="8" w:color="005AFF"/>
            </w:tcBorders>
            <w:shd w:val="clear" w:color="auto" w:fill="F0F5FF"/>
          </w:tcPr>
          <w:p>
            <w:pPr>
              <w:spacing w:after="0"/>
              <w:rPr>
                <w:sz w:val="11"/>
                <w:szCs w:val="11"/>
                <w:color w:val="auto"/>
              </w:rPr>
            </w:pPr>
          </w:p>
        </w:tc>
        <w:tc>
          <w:tcPr>
            <w:tcW w:w="560" w:type="dxa"/>
            <w:vAlign w:val="bottom"/>
            <w:tcBorders>
              <w:top w:val="single" w:sz="8" w:color="005AFF"/>
            </w:tcBorders>
            <w:shd w:val="clear" w:color="auto" w:fill="F0F5FF"/>
          </w:tcPr>
          <w:p>
            <w:pPr>
              <w:spacing w:after="0"/>
              <w:rPr>
                <w:sz w:val="11"/>
                <w:szCs w:val="11"/>
                <w:color w:val="auto"/>
              </w:rPr>
            </w:pPr>
          </w:p>
        </w:tc>
        <w:tc>
          <w:tcPr>
            <w:tcW w:w="580" w:type="dxa"/>
            <w:vAlign w:val="bottom"/>
            <w:tcBorders>
              <w:top w:val="single" w:sz="8" w:color="005AFF"/>
            </w:tcBorders>
            <w:shd w:val="clear" w:color="auto" w:fill="F0F5FF"/>
          </w:tcPr>
          <w:p>
            <w:pPr>
              <w:spacing w:after="0"/>
              <w:rPr>
                <w:sz w:val="11"/>
                <w:szCs w:val="11"/>
                <w:color w:val="auto"/>
              </w:rPr>
            </w:pPr>
          </w:p>
        </w:tc>
        <w:tc>
          <w:tcPr>
            <w:tcW w:w="40" w:type="dxa"/>
            <w:vAlign w:val="bottom"/>
            <w:tcBorders>
              <w:top w:val="single" w:sz="8" w:color="005AFF"/>
            </w:tcBorders>
          </w:tcPr>
          <w:p>
            <w:pPr>
              <w:spacing w:after="0"/>
              <w:rPr>
                <w:sz w:val="11"/>
                <w:szCs w:val="11"/>
                <w:color w:val="auto"/>
              </w:rPr>
            </w:pPr>
          </w:p>
        </w:tc>
        <w:tc>
          <w:tcPr>
            <w:tcW w:w="600" w:type="dxa"/>
            <w:vAlign w:val="bottom"/>
            <w:tcBorders>
              <w:top w:val="single" w:sz="8" w:color="005AFF"/>
            </w:tcBorders>
          </w:tcPr>
          <w:p>
            <w:pPr>
              <w:spacing w:after="0"/>
              <w:rPr>
                <w:sz w:val="11"/>
                <w:szCs w:val="11"/>
                <w:color w:val="auto"/>
              </w:rPr>
            </w:pPr>
          </w:p>
        </w:tc>
        <w:tc>
          <w:tcPr>
            <w:tcW w:w="660" w:type="dxa"/>
            <w:vAlign w:val="bottom"/>
            <w:tcBorders>
              <w:top w:val="single" w:sz="8" w:color="005AFF"/>
            </w:tcBorders>
          </w:tcPr>
          <w:p>
            <w:pPr>
              <w:spacing w:after="0"/>
              <w:rPr>
                <w:sz w:val="11"/>
                <w:szCs w:val="11"/>
                <w:color w:val="auto"/>
              </w:rPr>
            </w:pPr>
          </w:p>
        </w:tc>
        <w:tc>
          <w:tcPr>
            <w:tcW w:w="580" w:type="dxa"/>
            <w:vAlign w:val="bottom"/>
            <w:tcBorders>
              <w:top w:val="single" w:sz="8" w:color="005AFF"/>
            </w:tcBorders>
          </w:tcPr>
          <w:p>
            <w:pPr>
              <w:spacing w:after="0"/>
              <w:rPr>
                <w:sz w:val="11"/>
                <w:szCs w:val="11"/>
                <w:color w:val="auto"/>
              </w:rPr>
            </w:pPr>
          </w:p>
        </w:tc>
        <w:tc>
          <w:tcPr>
            <w:tcW w:w="600" w:type="dxa"/>
            <w:vAlign w:val="bottom"/>
            <w:tcBorders>
              <w:top w:val="single" w:sz="8" w:color="005AFF"/>
            </w:tcBorders>
          </w:tcPr>
          <w:p>
            <w:pPr>
              <w:spacing w:after="0"/>
              <w:rPr>
                <w:sz w:val="11"/>
                <w:szCs w:val="11"/>
                <w:color w:val="auto"/>
              </w:rPr>
            </w:pPr>
          </w:p>
        </w:tc>
        <w:tc>
          <w:tcPr>
            <w:tcW w:w="460" w:type="dxa"/>
            <w:vAlign w:val="bottom"/>
            <w:tcBorders>
              <w:top w:val="single" w:sz="8" w:color="005AFF"/>
            </w:tcBorders>
          </w:tcPr>
          <w:p>
            <w:pPr>
              <w:spacing w:after="0"/>
              <w:rPr>
                <w:sz w:val="11"/>
                <w:szCs w:val="11"/>
                <w:color w:val="auto"/>
              </w:rPr>
            </w:pPr>
          </w:p>
        </w:tc>
        <w:tc>
          <w:tcPr>
            <w:tcW w:w="580" w:type="dxa"/>
            <w:vAlign w:val="bottom"/>
            <w:tcBorders>
              <w:top w:val="single" w:sz="8" w:color="005AFF"/>
            </w:tcBorders>
          </w:tcPr>
          <w:p>
            <w:pPr>
              <w:spacing w:after="0"/>
              <w:rPr>
                <w:sz w:val="11"/>
                <w:szCs w:val="11"/>
                <w:color w:val="auto"/>
              </w:rPr>
            </w:pPr>
          </w:p>
        </w:tc>
        <w:tc>
          <w:tcPr>
            <w:tcW w:w="0" w:type="dxa"/>
            <w:vAlign w:val="bottom"/>
          </w:tcPr>
          <w:p>
            <w:pPr>
              <w:spacing w:after="0"/>
              <w:rPr>
                <w:sz w:val="1"/>
                <w:szCs w:val="1"/>
                <w:color w:val="auto"/>
              </w:rPr>
            </w:pPr>
          </w:p>
        </w:tc>
      </w:tr>
      <w:tr>
        <w:trPr>
          <w:trHeight w:val="100"/>
        </w:trPr>
        <w:tc>
          <w:tcPr>
            <w:tcW w:w="2120" w:type="dxa"/>
            <w:vAlign w:val="bottom"/>
            <w:gridSpan w:val="5"/>
            <w:vMerge w:val="restart"/>
          </w:tcPr>
          <w:p>
            <w:pPr>
              <w:ind w:left="40"/>
              <w:spacing w:after="0"/>
              <w:rPr>
                <w:sz w:val="20"/>
                <w:szCs w:val="20"/>
                <w:color w:val="auto"/>
              </w:rPr>
            </w:pPr>
            <w:r>
              <w:rPr>
                <w:rFonts w:ascii="Times New Roman" w:cs="Times New Roman" w:eastAsia="Times New Roman" w:hAnsi="Times New Roman"/>
                <w:sz w:val="10"/>
                <w:szCs w:val="10"/>
                <w:color w:val="0D0D0D"/>
              </w:rPr>
              <w:t>Other current financial assets excluding derivatives</w:t>
            </w:r>
          </w:p>
        </w:tc>
        <w:tc>
          <w:tcPr>
            <w:tcW w:w="140" w:type="dxa"/>
            <w:vAlign w:val="bottom"/>
          </w:tcPr>
          <w:p>
            <w:pPr>
              <w:spacing w:after="0"/>
              <w:rPr>
                <w:sz w:val="8"/>
                <w:szCs w:val="8"/>
                <w:color w:val="auto"/>
              </w:rPr>
            </w:pPr>
          </w:p>
        </w:tc>
        <w:tc>
          <w:tcPr>
            <w:tcW w:w="840" w:type="dxa"/>
            <w:vAlign w:val="bottom"/>
          </w:tcPr>
          <w:p>
            <w:pPr>
              <w:jc w:val="right"/>
              <w:ind w:right="667"/>
              <w:spacing w:after="0"/>
              <w:rPr>
                <w:sz w:val="20"/>
                <w:szCs w:val="20"/>
                <w:color w:val="auto"/>
              </w:rPr>
            </w:pPr>
            <w:r>
              <w:rPr>
                <w:rFonts w:ascii="Times New Roman" w:cs="Times New Roman" w:eastAsia="Times New Roman" w:hAnsi="Times New Roman"/>
                <w:sz w:val="7"/>
                <w:szCs w:val="7"/>
                <w:color w:val="0D0D0D"/>
              </w:rPr>
              <w:t>(1)</w:t>
            </w:r>
          </w:p>
        </w:tc>
        <w:tc>
          <w:tcPr>
            <w:tcW w:w="56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216</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31</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8"/>
                <w:szCs w:val="8"/>
                <w:color w:val="auto"/>
              </w:rPr>
            </w:pPr>
          </w:p>
        </w:tc>
        <w:tc>
          <w:tcPr>
            <w:tcW w:w="50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247</w:t>
            </w:r>
          </w:p>
        </w:tc>
        <w:tc>
          <w:tcPr>
            <w:tcW w:w="640" w:type="dxa"/>
            <w:vAlign w:val="bottom"/>
            <w:gridSpan w:val="2"/>
            <w:vMerge w:val="restart"/>
          </w:tcPr>
          <w:p>
            <w:pPr>
              <w:jc w:val="right"/>
              <w:ind w:right="53"/>
              <w:spacing w:after="0"/>
              <w:rPr>
                <w:sz w:val="20"/>
                <w:szCs w:val="20"/>
                <w:color w:val="auto"/>
              </w:rPr>
            </w:pPr>
            <w:r>
              <w:rPr>
                <w:rFonts w:ascii="Times New Roman" w:cs="Times New Roman" w:eastAsia="Times New Roman" w:hAnsi="Times New Roman"/>
                <w:sz w:val="10"/>
                <w:szCs w:val="10"/>
                <w:color w:val="0D0D0D"/>
              </w:rPr>
              <w:t>207</w:t>
            </w:r>
          </w:p>
        </w:tc>
        <w:tc>
          <w:tcPr>
            <w:tcW w:w="660" w:type="dxa"/>
            <w:vAlign w:val="bottom"/>
            <w:vMerge w:val="restart"/>
          </w:tcPr>
          <w:p>
            <w:pPr>
              <w:jc w:val="right"/>
              <w:ind w:right="50"/>
              <w:spacing w:after="0"/>
              <w:rPr>
                <w:sz w:val="20"/>
                <w:szCs w:val="20"/>
                <w:color w:val="auto"/>
              </w:rPr>
            </w:pPr>
            <w:r>
              <w:rPr>
                <w:rFonts w:ascii="Times New Roman" w:cs="Times New Roman" w:eastAsia="Times New Roman" w:hAnsi="Times New Roman"/>
                <w:sz w:val="10"/>
                <w:szCs w:val="10"/>
                <w:color w:val="0D0D0D"/>
              </w:rPr>
              <w:t>77</w:t>
            </w:r>
          </w:p>
        </w:tc>
        <w:tc>
          <w:tcPr>
            <w:tcW w:w="58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vMerge w:val="restart"/>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284</w:t>
            </w:r>
          </w:p>
        </w:tc>
        <w:tc>
          <w:tcPr>
            <w:tcW w:w="0" w:type="dxa"/>
            <w:vAlign w:val="bottom"/>
          </w:tcPr>
          <w:p>
            <w:pPr>
              <w:spacing w:after="0"/>
              <w:rPr>
                <w:sz w:val="1"/>
                <w:szCs w:val="1"/>
                <w:color w:val="auto"/>
              </w:rPr>
            </w:pPr>
          </w:p>
        </w:tc>
      </w:tr>
      <w:tr>
        <w:trPr>
          <w:trHeight w:val="50"/>
        </w:trPr>
        <w:tc>
          <w:tcPr>
            <w:tcW w:w="2120" w:type="dxa"/>
            <w:vAlign w:val="bottom"/>
            <w:gridSpan w:val="5"/>
            <w:vMerge w:val="continue"/>
          </w:tcPr>
          <w:p>
            <w:pPr>
              <w:spacing w:after="0"/>
              <w:rPr>
                <w:sz w:val="4"/>
                <w:szCs w:val="4"/>
                <w:color w:val="auto"/>
              </w:rPr>
            </w:pPr>
          </w:p>
        </w:tc>
        <w:tc>
          <w:tcPr>
            <w:tcW w:w="140" w:type="dxa"/>
            <w:vAlign w:val="bottom"/>
          </w:tcPr>
          <w:p>
            <w:pPr>
              <w:spacing w:after="0"/>
              <w:rPr>
                <w:sz w:val="4"/>
                <w:szCs w:val="4"/>
                <w:color w:val="auto"/>
              </w:rPr>
            </w:pPr>
          </w:p>
        </w:tc>
        <w:tc>
          <w:tcPr>
            <w:tcW w:w="840" w:type="dxa"/>
            <w:vAlign w:val="bottom"/>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500" w:type="dxa"/>
            <w:vAlign w:val="bottom"/>
            <w:vMerge w:val="continue"/>
            <w:shd w:val="clear" w:color="auto" w:fill="F0F5FF"/>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40" w:type="dxa"/>
            <w:vAlign w:val="bottom"/>
            <w:gridSpan w:val="2"/>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60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01"/>
        </w:trPr>
        <w:tc>
          <w:tcPr>
            <w:tcW w:w="2000" w:type="dxa"/>
            <w:vAlign w:val="bottom"/>
            <w:gridSpan w:val="4"/>
            <w:vMerge w:val="restart"/>
          </w:tcPr>
          <w:p>
            <w:pPr>
              <w:ind w:left="40"/>
              <w:spacing w:after="0"/>
              <w:rPr>
                <w:sz w:val="20"/>
                <w:szCs w:val="20"/>
                <w:color w:val="auto"/>
              </w:rPr>
            </w:pPr>
            <w:r>
              <w:rPr>
                <w:rFonts w:ascii="Times New Roman" w:cs="Times New Roman" w:eastAsia="Times New Roman" w:hAnsi="Times New Roman"/>
                <w:sz w:val="10"/>
                <w:szCs w:val="10"/>
                <w:color w:val="0D0D0D"/>
              </w:rPr>
              <w:t>Current interest-bearing financial investments</w:t>
            </w:r>
          </w:p>
        </w:tc>
        <w:tc>
          <w:tcPr>
            <w:tcW w:w="120" w:type="dxa"/>
            <w:vAlign w:val="bottom"/>
          </w:tcPr>
          <w:p>
            <w:pPr>
              <w:spacing w:after="0"/>
              <w:rPr>
                <w:sz w:val="8"/>
                <w:szCs w:val="8"/>
                <w:color w:val="auto"/>
              </w:rPr>
            </w:pPr>
          </w:p>
        </w:tc>
        <w:tc>
          <w:tcPr>
            <w:tcW w:w="140" w:type="dxa"/>
            <w:vAlign w:val="bottom"/>
          </w:tcPr>
          <w:p>
            <w:pPr>
              <w:jc w:val="right"/>
              <w:ind w:right="27"/>
              <w:spacing w:after="0"/>
              <w:rPr>
                <w:sz w:val="20"/>
                <w:szCs w:val="20"/>
                <w:color w:val="auto"/>
              </w:rPr>
            </w:pPr>
            <w:r>
              <w:rPr>
                <w:rFonts w:ascii="Times New Roman" w:cs="Times New Roman" w:eastAsia="Times New Roman" w:hAnsi="Times New Roman"/>
                <w:sz w:val="7"/>
                <w:szCs w:val="7"/>
                <w:color w:val="0D0D0D"/>
                <w:w w:val="72"/>
              </w:rPr>
              <w:t>(2)</w:t>
            </w:r>
          </w:p>
        </w:tc>
        <w:tc>
          <w:tcPr>
            <w:tcW w:w="840" w:type="dxa"/>
            <w:vAlign w:val="bottom"/>
          </w:tcPr>
          <w:p>
            <w:pPr>
              <w:spacing w:after="0"/>
              <w:rPr>
                <w:sz w:val="8"/>
                <w:szCs w:val="8"/>
                <w:color w:val="auto"/>
              </w:rPr>
            </w:pPr>
          </w:p>
        </w:tc>
        <w:tc>
          <w:tcPr>
            <w:tcW w:w="56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998</w:t>
            </w:r>
          </w:p>
        </w:tc>
        <w:tc>
          <w:tcPr>
            <w:tcW w:w="68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595</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8"/>
                <w:szCs w:val="8"/>
                <w:color w:val="auto"/>
              </w:rPr>
            </w:pPr>
          </w:p>
        </w:tc>
        <w:tc>
          <w:tcPr>
            <w:tcW w:w="50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1 593</w:t>
            </w:r>
          </w:p>
        </w:tc>
        <w:tc>
          <w:tcPr>
            <w:tcW w:w="640" w:type="dxa"/>
            <w:vAlign w:val="bottom"/>
            <w:gridSpan w:val="2"/>
            <w:vMerge w:val="restart"/>
          </w:tcPr>
          <w:p>
            <w:pPr>
              <w:jc w:val="center"/>
              <w:ind w:left="129"/>
              <w:spacing w:after="0"/>
              <w:rPr>
                <w:sz w:val="20"/>
                <w:szCs w:val="20"/>
                <w:color w:val="auto"/>
              </w:rPr>
            </w:pPr>
            <w:r>
              <w:rPr>
                <w:rFonts w:ascii="Times New Roman" w:cs="Times New Roman" w:eastAsia="Times New Roman" w:hAnsi="Times New Roman"/>
                <w:sz w:val="10"/>
                <w:szCs w:val="10"/>
                <w:color w:val="0D0D0D"/>
                <w:w w:val="97"/>
              </w:rPr>
              <w:t>2 146</w:t>
            </w:r>
          </w:p>
        </w:tc>
        <w:tc>
          <w:tcPr>
            <w:tcW w:w="660" w:type="dxa"/>
            <w:vAlign w:val="bottom"/>
            <w:vMerge w:val="restart"/>
          </w:tcPr>
          <w:p>
            <w:pPr>
              <w:jc w:val="right"/>
              <w:ind w:right="70"/>
              <w:spacing w:after="0"/>
              <w:rPr>
                <w:sz w:val="20"/>
                <w:szCs w:val="20"/>
                <w:color w:val="auto"/>
              </w:rPr>
            </w:pPr>
            <w:r>
              <w:rPr>
                <w:rFonts w:ascii="Times New Roman" w:cs="Times New Roman" w:eastAsia="Times New Roman" w:hAnsi="Times New Roman"/>
                <w:sz w:val="10"/>
                <w:szCs w:val="10"/>
                <w:color w:val="0D0D0D"/>
              </w:rPr>
              <w:t>946</w:t>
            </w:r>
          </w:p>
        </w:tc>
        <w:tc>
          <w:tcPr>
            <w:tcW w:w="58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vMerge w:val="restart"/>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3 092</w:t>
            </w:r>
          </w:p>
        </w:tc>
        <w:tc>
          <w:tcPr>
            <w:tcW w:w="0" w:type="dxa"/>
            <w:vAlign w:val="bottom"/>
          </w:tcPr>
          <w:p>
            <w:pPr>
              <w:spacing w:after="0"/>
              <w:rPr>
                <w:sz w:val="1"/>
                <w:szCs w:val="1"/>
                <w:color w:val="auto"/>
              </w:rPr>
            </w:pPr>
          </w:p>
        </w:tc>
      </w:tr>
      <w:tr>
        <w:trPr>
          <w:trHeight w:val="50"/>
        </w:trPr>
        <w:tc>
          <w:tcPr>
            <w:tcW w:w="2000" w:type="dxa"/>
            <w:vAlign w:val="bottom"/>
            <w:gridSpan w:val="4"/>
            <w:vMerge w:val="continue"/>
          </w:tcPr>
          <w:p>
            <w:pPr>
              <w:spacing w:after="0"/>
              <w:rPr>
                <w:sz w:val="4"/>
                <w:szCs w:val="4"/>
                <w:color w:val="auto"/>
              </w:rPr>
            </w:pPr>
          </w:p>
        </w:tc>
        <w:tc>
          <w:tcPr>
            <w:tcW w:w="120" w:type="dxa"/>
            <w:vAlign w:val="bottom"/>
          </w:tcPr>
          <w:p>
            <w:pPr>
              <w:spacing w:after="0"/>
              <w:rPr>
                <w:sz w:val="4"/>
                <w:szCs w:val="4"/>
                <w:color w:val="auto"/>
              </w:rPr>
            </w:pPr>
          </w:p>
        </w:tc>
        <w:tc>
          <w:tcPr>
            <w:tcW w:w="140" w:type="dxa"/>
            <w:vAlign w:val="bottom"/>
          </w:tcPr>
          <w:p>
            <w:pPr>
              <w:spacing w:after="0"/>
              <w:rPr>
                <w:sz w:val="4"/>
                <w:szCs w:val="4"/>
                <w:color w:val="auto"/>
              </w:rPr>
            </w:pPr>
          </w:p>
        </w:tc>
        <w:tc>
          <w:tcPr>
            <w:tcW w:w="840" w:type="dxa"/>
            <w:vAlign w:val="bottom"/>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500" w:type="dxa"/>
            <w:vAlign w:val="bottom"/>
            <w:vMerge w:val="continue"/>
            <w:shd w:val="clear" w:color="auto" w:fill="F0F5FF"/>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40" w:type="dxa"/>
            <w:vAlign w:val="bottom"/>
            <w:gridSpan w:val="2"/>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60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01"/>
        </w:trPr>
        <w:tc>
          <w:tcPr>
            <w:tcW w:w="116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Cash and cash equivalents</w:t>
            </w:r>
          </w:p>
        </w:tc>
        <w:tc>
          <w:tcPr>
            <w:tcW w:w="420" w:type="dxa"/>
            <w:vAlign w:val="bottom"/>
          </w:tcPr>
          <w:p>
            <w:pPr>
              <w:jc w:val="right"/>
              <w:ind w:right="247"/>
              <w:spacing w:after="0"/>
              <w:rPr>
                <w:sz w:val="20"/>
                <w:szCs w:val="20"/>
                <w:color w:val="auto"/>
              </w:rPr>
            </w:pPr>
            <w:r>
              <w:rPr>
                <w:rFonts w:ascii="Times New Roman" w:cs="Times New Roman" w:eastAsia="Times New Roman" w:hAnsi="Times New Roman"/>
                <w:sz w:val="7"/>
                <w:szCs w:val="7"/>
                <w:color w:val="0D0D0D"/>
              </w:rPr>
              <w:t>(2)</w:t>
            </w:r>
          </w:p>
        </w:tc>
        <w:tc>
          <w:tcPr>
            <w:tcW w:w="120" w:type="dxa"/>
            <w:vAlign w:val="bottom"/>
          </w:tcPr>
          <w:p>
            <w:pPr>
              <w:spacing w:after="0"/>
              <w:rPr>
                <w:sz w:val="8"/>
                <w:szCs w:val="8"/>
                <w:color w:val="auto"/>
              </w:rPr>
            </w:pPr>
          </w:p>
        </w:tc>
        <w:tc>
          <w:tcPr>
            <w:tcW w:w="300" w:type="dxa"/>
            <w:vAlign w:val="bottom"/>
          </w:tcPr>
          <w:p>
            <w:pPr>
              <w:spacing w:after="0"/>
              <w:rPr>
                <w:sz w:val="8"/>
                <w:szCs w:val="8"/>
                <w:color w:val="auto"/>
              </w:rPr>
            </w:pPr>
          </w:p>
        </w:tc>
        <w:tc>
          <w:tcPr>
            <w:tcW w:w="120" w:type="dxa"/>
            <w:vAlign w:val="bottom"/>
          </w:tcPr>
          <w:p>
            <w:pPr>
              <w:spacing w:after="0"/>
              <w:rPr>
                <w:sz w:val="8"/>
                <w:szCs w:val="8"/>
                <w:color w:val="auto"/>
              </w:rPr>
            </w:pPr>
          </w:p>
        </w:tc>
        <w:tc>
          <w:tcPr>
            <w:tcW w:w="140" w:type="dxa"/>
            <w:vAlign w:val="bottom"/>
          </w:tcPr>
          <w:p>
            <w:pPr>
              <w:spacing w:after="0"/>
              <w:rPr>
                <w:sz w:val="8"/>
                <w:szCs w:val="8"/>
                <w:color w:val="auto"/>
              </w:rPr>
            </w:pPr>
          </w:p>
        </w:tc>
        <w:tc>
          <w:tcPr>
            <w:tcW w:w="840" w:type="dxa"/>
            <w:vAlign w:val="bottom"/>
          </w:tcPr>
          <w:p>
            <w:pPr>
              <w:spacing w:after="0"/>
              <w:rPr>
                <w:sz w:val="8"/>
                <w:szCs w:val="8"/>
                <w:color w:val="auto"/>
              </w:rPr>
            </w:pPr>
          </w:p>
        </w:tc>
        <w:tc>
          <w:tcPr>
            <w:tcW w:w="56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6 017</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52</w:t>
            </w:r>
          </w:p>
        </w:tc>
        <w:tc>
          <w:tcPr>
            <w:tcW w:w="540" w:type="dxa"/>
            <w:vAlign w:val="bottom"/>
            <w:vMerge w:val="restart"/>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30</w:t>
            </w:r>
          </w:p>
        </w:tc>
        <w:tc>
          <w:tcPr>
            <w:tcW w:w="40" w:type="dxa"/>
            <w:vAlign w:val="bottom"/>
            <w:shd w:val="clear" w:color="auto" w:fill="F0F5FF"/>
          </w:tcPr>
          <w:p>
            <w:pPr>
              <w:spacing w:after="0"/>
              <w:rPr>
                <w:sz w:val="8"/>
                <w:szCs w:val="8"/>
                <w:color w:val="auto"/>
              </w:rPr>
            </w:pPr>
          </w:p>
        </w:tc>
        <w:tc>
          <w:tcPr>
            <w:tcW w:w="500" w:type="dxa"/>
            <w:vAlign w:val="bottom"/>
            <w:vMerge w:val="restart"/>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138</w:t>
            </w: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580" w:type="dxa"/>
            <w:vAlign w:val="bottom"/>
            <w:vMerge w:val="restart"/>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6 263</w:t>
            </w:r>
          </w:p>
        </w:tc>
        <w:tc>
          <w:tcPr>
            <w:tcW w:w="640" w:type="dxa"/>
            <w:vAlign w:val="bottom"/>
            <w:gridSpan w:val="2"/>
            <w:vMerge w:val="restart"/>
          </w:tcPr>
          <w:p>
            <w:pPr>
              <w:jc w:val="center"/>
              <w:ind w:left="129"/>
              <w:spacing w:after="0"/>
              <w:rPr>
                <w:sz w:val="20"/>
                <w:szCs w:val="20"/>
                <w:color w:val="auto"/>
              </w:rPr>
            </w:pPr>
            <w:r>
              <w:rPr>
                <w:rFonts w:ascii="Times New Roman" w:cs="Times New Roman" w:eastAsia="Times New Roman" w:hAnsi="Times New Roman"/>
                <w:sz w:val="10"/>
                <w:szCs w:val="10"/>
                <w:color w:val="0D0D0D"/>
                <w:w w:val="97"/>
              </w:rPr>
              <w:t>4 947</w:t>
            </w:r>
          </w:p>
        </w:tc>
        <w:tc>
          <w:tcPr>
            <w:tcW w:w="660" w:type="dxa"/>
            <w:vAlign w:val="bottom"/>
            <w:vMerge w:val="restart"/>
          </w:tcPr>
          <w:p>
            <w:pPr>
              <w:jc w:val="right"/>
              <w:ind w:right="50"/>
              <w:spacing w:after="0"/>
              <w:rPr>
                <w:sz w:val="20"/>
                <w:szCs w:val="20"/>
                <w:color w:val="auto"/>
              </w:rPr>
            </w:pPr>
            <w:r>
              <w:rPr>
                <w:rFonts w:ascii="Times New Roman" w:cs="Times New Roman" w:eastAsia="Times New Roman" w:hAnsi="Times New Roman"/>
                <w:sz w:val="10"/>
                <w:szCs w:val="10"/>
                <w:color w:val="0D0D0D"/>
              </w:rPr>
              <w:t>31</w:t>
            </w:r>
          </w:p>
        </w:tc>
        <w:tc>
          <w:tcPr>
            <w:tcW w:w="580" w:type="dxa"/>
            <w:vAlign w:val="bottom"/>
            <w:vMerge w:val="restart"/>
          </w:tcPr>
          <w:p>
            <w:pPr>
              <w:jc w:val="right"/>
              <w:ind w:right="91"/>
              <w:spacing w:after="0"/>
              <w:rPr>
                <w:sz w:val="20"/>
                <w:szCs w:val="20"/>
                <w:color w:val="auto"/>
              </w:rPr>
            </w:pPr>
            <w:r>
              <w:rPr>
                <w:rFonts w:ascii="Times New Roman" w:cs="Times New Roman" w:eastAsia="Times New Roman" w:hAnsi="Times New Roman"/>
                <w:sz w:val="10"/>
                <w:szCs w:val="10"/>
                <w:color w:val="0D0D0D"/>
              </w:rPr>
              <w:t>136</w:t>
            </w:r>
          </w:p>
        </w:tc>
        <w:tc>
          <w:tcPr>
            <w:tcW w:w="600" w:type="dxa"/>
            <w:vAlign w:val="bottom"/>
            <w:vMerge w:val="restart"/>
          </w:tcPr>
          <w:p>
            <w:pPr>
              <w:jc w:val="right"/>
              <w:ind w:right="110"/>
              <w:spacing w:after="0"/>
              <w:rPr>
                <w:sz w:val="20"/>
                <w:szCs w:val="20"/>
                <w:color w:val="auto"/>
              </w:rPr>
            </w:pPr>
            <w:r>
              <w:rPr>
                <w:rFonts w:ascii="Times New Roman" w:cs="Times New Roman" w:eastAsia="Times New Roman" w:hAnsi="Times New Roman"/>
                <w:sz w:val="10"/>
                <w:szCs w:val="10"/>
                <w:color w:val="0D0D0D"/>
              </w:rPr>
              <w:t>200</w:t>
            </w:r>
          </w:p>
        </w:tc>
        <w:tc>
          <w:tcPr>
            <w:tcW w:w="46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color w:val="0D0D0D"/>
              </w:rPr>
              <w:t>195</w:t>
            </w:r>
          </w:p>
        </w:tc>
        <w:tc>
          <w:tcPr>
            <w:tcW w:w="58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5 509</w:t>
            </w:r>
          </w:p>
        </w:tc>
        <w:tc>
          <w:tcPr>
            <w:tcW w:w="0" w:type="dxa"/>
            <w:vAlign w:val="bottom"/>
          </w:tcPr>
          <w:p>
            <w:pPr>
              <w:spacing w:after="0"/>
              <w:rPr>
                <w:sz w:val="1"/>
                <w:szCs w:val="1"/>
                <w:color w:val="auto"/>
              </w:rPr>
            </w:pPr>
          </w:p>
        </w:tc>
      </w:tr>
      <w:tr>
        <w:trPr>
          <w:trHeight w:val="50"/>
        </w:trPr>
        <w:tc>
          <w:tcPr>
            <w:tcW w:w="1160" w:type="dxa"/>
            <w:vAlign w:val="bottom"/>
            <w:vMerge w:val="continue"/>
          </w:tcPr>
          <w:p>
            <w:pPr>
              <w:spacing w:after="0"/>
              <w:rPr>
                <w:sz w:val="4"/>
                <w:szCs w:val="4"/>
                <w:color w:val="auto"/>
              </w:rPr>
            </w:pPr>
          </w:p>
        </w:tc>
        <w:tc>
          <w:tcPr>
            <w:tcW w:w="420" w:type="dxa"/>
            <w:vAlign w:val="bottom"/>
          </w:tcPr>
          <w:p>
            <w:pPr>
              <w:spacing w:after="0"/>
              <w:rPr>
                <w:sz w:val="4"/>
                <w:szCs w:val="4"/>
                <w:color w:val="auto"/>
              </w:rPr>
            </w:pPr>
          </w:p>
        </w:tc>
        <w:tc>
          <w:tcPr>
            <w:tcW w:w="120" w:type="dxa"/>
            <w:vAlign w:val="bottom"/>
          </w:tcPr>
          <w:p>
            <w:pPr>
              <w:spacing w:after="0"/>
              <w:rPr>
                <w:sz w:val="4"/>
                <w:szCs w:val="4"/>
                <w:color w:val="auto"/>
              </w:rPr>
            </w:pPr>
          </w:p>
        </w:tc>
        <w:tc>
          <w:tcPr>
            <w:tcW w:w="300" w:type="dxa"/>
            <w:vAlign w:val="bottom"/>
          </w:tcPr>
          <w:p>
            <w:pPr>
              <w:spacing w:after="0"/>
              <w:rPr>
                <w:sz w:val="4"/>
                <w:szCs w:val="4"/>
                <w:color w:val="auto"/>
              </w:rPr>
            </w:pPr>
          </w:p>
        </w:tc>
        <w:tc>
          <w:tcPr>
            <w:tcW w:w="120" w:type="dxa"/>
            <w:vAlign w:val="bottom"/>
          </w:tcPr>
          <w:p>
            <w:pPr>
              <w:spacing w:after="0"/>
              <w:rPr>
                <w:sz w:val="4"/>
                <w:szCs w:val="4"/>
                <w:color w:val="auto"/>
              </w:rPr>
            </w:pPr>
          </w:p>
        </w:tc>
        <w:tc>
          <w:tcPr>
            <w:tcW w:w="140" w:type="dxa"/>
            <w:vAlign w:val="bottom"/>
          </w:tcPr>
          <w:p>
            <w:pPr>
              <w:spacing w:after="0"/>
              <w:rPr>
                <w:sz w:val="4"/>
                <w:szCs w:val="4"/>
                <w:color w:val="auto"/>
              </w:rPr>
            </w:pPr>
          </w:p>
        </w:tc>
        <w:tc>
          <w:tcPr>
            <w:tcW w:w="840" w:type="dxa"/>
            <w:vAlign w:val="bottom"/>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500" w:type="dxa"/>
            <w:vAlign w:val="bottom"/>
            <w:vMerge w:val="continue"/>
            <w:shd w:val="clear" w:color="auto" w:fill="F0F5FF"/>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40" w:type="dxa"/>
            <w:vAlign w:val="bottom"/>
            <w:gridSpan w:val="2"/>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60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52"/>
        </w:trPr>
        <w:tc>
          <w:tcPr>
            <w:tcW w:w="3100" w:type="dxa"/>
            <w:vAlign w:val="bottom"/>
            <w:gridSpan w:val="7"/>
          </w:tcPr>
          <w:p>
            <w:pPr>
              <w:ind w:left="40"/>
              <w:spacing w:after="0"/>
              <w:rPr>
                <w:sz w:val="20"/>
                <w:szCs w:val="20"/>
                <w:color w:val="auto"/>
              </w:rPr>
            </w:pPr>
            <w:r>
              <w:rPr>
                <w:rFonts w:ascii="Times New Roman" w:cs="Times New Roman" w:eastAsia="Times New Roman" w:hAnsi="Times New Roman"/>
                <w:sz w:val="10"/>
                <w:szCs w:val="10"/>
                <w:color w:val="0D0D0D"/>
              </w:rPr>
              <w:t>Cash flows related to derivative financial assets net settled:</w:t>
            </w:r>
          </w:p>
        </w:tc>
        <w:tc>
          <w:tcPr>
            <w:tcW w:w="5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56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4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receipts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85"/>
              </w:rPr>
              <w:t>(7)</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(42)</w:t>
            </w:r>
          </w:p>
        </w:tc>
        <w:tc>
          <w:tcPr>
            <w:tcW w:w="40" w:type="dxa"/>
            <w:vAlign w:val="bottom"/>
          </w:tcPr>
          <w:p>
            <w:pPr>
              <w:spacing w:after="0"/>
              <w:rPr>
                <w:sz w:val="13"/>
                <w:szCs w:val="13"/>
                <w:color w:val="auto"/>
              </w:rPr>
            </w:pPr>
          </w:p>
        </w:tc>
        <w:tc>
          <w:tcPr>
            <w:tcW w:w="60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w:t>
            </w:r>
          </w:p>
        </w:tc>
        <w:tc>
          <w:tcPr>
            <w:tcW w:w="0" w:type="dxa"/>
            <w:vAlign w:val="bottom"/>
          </w:tcPr>
          <w:p>
            <w:pPr>
              <w:spacing w:after="0"/>
              <w:rPr>
                <w:sz w:val="1"/>
                <w:szCs w:val="1"/>
                <w:color w:val="auto"/>
              </w:rPr>
            </w:pPr>
          </w:p>
        </w:tc>
      </w:tr>
      <w:tr>
        <w:trPr>
          <w:trHeight w:val="152"/>
        </w:trPr>
        <w:tc>
          <w:tcPr>
            <w:tcW w:w="3100" w:type="dxa"/>
            <w:vAlign w:val="bottom"/>
            <w:gridSpan w:val="7"/>
          </w:tcPr>
          <w:p>
            <w:pPr>
              <w:ind w:left="40"/>
              <w:spacing w:after="0"/>
              <w:rPr>
                <w:sz w:val="20"/>
                <w:szCs w:val="20"/>
                <w:color w:val="auto"/>
              </w:rPr>
            </w:pPr>
            <w:r>
              <w:rPr>
                <w:rFonts w:ascii="Times New Roman" w:cs="Times New Roman" w:eastAsia="Times New Roman" w:hAnsi="Times New Roman"/>
                <w:sz w:val="10"/>
                <w:szCs w:val="10"/>
                <w:color w:val="0D0D0D"/>
              </w:rPr>
              <w:t>Cash flows related to derivative financial assets gross settled:</w:t>
            </w:r>
          </w:p>
        </w:tc>
        <w:tc>
          <w:tcPr>
            <w:tcW w:w="5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56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4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receipts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8 407</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1 582</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358</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ind w:right="50"/>
              <w:spacing w:after="0"/>
              <w:rPr>
                <w:sz w:val="20"/>
                <w:szCs w:val="20"/>
                <w:color w:val="auto"/>
              </w:rPr>
            </w:pPr>
            <w:r>
              <w:rPr>
                <w:rFonts w:ascii="Times New Roman" w:cs="Times New Roman" w:eastAsia="Times New Roman" w:hAnsi="Times New Roman"/>
                <w:sz w:val="10"/>
                <w:szCs w:val="10"/>
                <w:b w:val="1"/>
                <w:bCs w:val="1"/>
                <w:color w:val="005AFF"/>
              </w:rPr>
              <w:t>10 353</w:t>
            </w:r>
          </w:p>
        </w:tc>
        <w:tc>
          <w:tcPr>
            <w:tcW w:w="640" w:type="dxa"/>
            <w:vAlign w:val="bottom"/>
            <w:gridSpan w:val="2"/>
          </w:tcPr>
          <w:p>
            <w:pPr>
              <w:jc w:val="center"/>
              <w:ind w:left="129"/>
              <w:spacing w:after="0"/>
              <w:rPr>
                <w:sz w:val="20"/>
                <w:szCs w:val="20"/>
                <w:color w:val="auto"/>
              </w:rPr>
            </w:pPr>
            <w:r>
              <w:rPr>
                <w:rFonts w:ascii="Times New Roman" w:cs="Times New Roman" w:eastAsia="Times New Roman" w:hAnsi="Times New Roman"/>
                <w:sz w:val="10"/>
                <w:szCs w:val="10"/>
                <w:color w:val="0D0D0D"/>
                <w:w w:val="97"/>
              </w:rPr>
              <w:t>9 170</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2 109</w:t>
            </w:r>
          </w:p>
        </w:tc>
        <w:tc>
          <w:tcPr>
            <w:tcW w:w="5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297</w:t>
            </w:r>
          </w:p>
        </w:tc>
        <w:tc>
          <w:tcPr>
            <w:tcW w:w="60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20</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11 596</w:t>
            </w: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payments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(8 349)</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(1 560)</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(353)</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(10 268)</w:t>
            </w:r>
          </w:p>
        </w:tc>
        <w:tc>
          <w:tcPr>
            <w:tcW w:w="64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(9 089)</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(2 038)</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(282)</w:t>
            </w:r>
          </w:p>
        </w:tc>
        <w:tc>
          <w:tcPr>
            <w:tcW w:w="60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(11 429)</w:t>
            </w:r>
          </w:p>
        </w:tc>
        <w:tc>
          <w:tcPr>
            <w:tcW w:w="0" w:type="dxa"/>
            <w:vAlign w:val="bottom"/>
          </w:tcPr>
          <w:p>
            <w:pPr>
              <w:spacing w:after="0"/>
              <w:rPr>
                <w:sz w:val="1"/>
                <w:szCs w:val="1"/>
                <w:color w:val="auto"/>
              </w:rPr>
            </w:pPr>
          </w:p>
        </w:tc>
      </w:tr>
      <w:tr>
        <w:trPr>
          <w:trHeight w:val="157"/>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Trade receivables</w:t>
            </w:r>
          </w:p>
        </w:tc>
        <w:tc>
          <w:tcPr>
            <w:tcW w:w="420" w:type="dxa"/>
            <w:vAlign w:val="bottom"/>
            <w:tcBorders>
              <w:bottom w:val="single" w:sz="8" w:color="005AFF"/>
            </w:tcBorders>
          </w:tcPr>
          <w:p>
            <w:pPr>
              <w:spacing w:after="0"/>
              <w:rPr>
                <w:sz w:val="13"/>
                <w:szCs w:val="13"/>
                <w:color w:val="auto"/>
              </w:rPr>
            </w:pPr>
          </w:p>
        </w:tc>
        <w:tc>
          <w:tcPr>
            <w:tcW w:w="120" w:type="dxa"/>
            <w:vAlign w:val="bottom"/>
            <w:tcBorders>
              <w:bottom w:val="single" w:sz="8" w:color="005AFF"/>
            </w:tcBorders>
          </w:tcPr>
          <w:p>
            <w:pPr>
              <w:spacing w:after="0"/>
              <w:rPr>
                <w:sz w:val="13"/>
                <w:szCs w:val="13"/>
                <w:color w:val="auto"/>
              </w:rPr>
            </w:pPr>
          </w:p>
        </w:tc>
        <w:tc>
          <w:tcPr>
            <w:tcW w:w="300" w:type="dxa"/>
            <w:vAlign w:val="bottom"/>
            <w:tcBorders>
              <w:bottom w:val="single" w:sz="8" w:color="005AFF"/>
            </w:tcBorders>
          </w:tcPr>
          <w:p>
            <w:pPr>
              <w:spacing w:after="0"/>
              <w:rPr>
                <w:sz w:val="13"/>
                <w:szCs w:val="13"/>
                <w:color w:val="auto"/>
              </w:rPr>
            </w:pPr>
          </w:p>
        </w:tc>
        <w:tc>
          <w:tcPr>
            <w:tcW w:w="120" w:type="dxa"/>
            <w:vAlign w:val="bottom"/>
            <w:tcBorders>
              <w:bottom w:val="single" w:sz="8" w:color="005AFF"/>
            </w:tcBorders>
          </w:tcPr>
          <w:p>
            <w:pPr>
              <w:spacing w:after="0"/>
              <w:rPr>
                <w:sz w:val="13"/>
                <w:szCs w:val="13"/>
                <w:color w:val="auto"/>
              </w:rPr>
            </w:pPr>
          </w:p>
        </w:tc>
        <w:tc>
          <w:tcPr>
            <w:tcW w:w="140" w:type="dxa"/>
            <w:vAlign w:val="bottom"/>
            <w:tcBorders>
              <w:bottom w:val="single" w:sz="8" w:color="005AFF"/>
            </w:tcBorders>
          </w:tcPr>
          <w:p>
            <w:pPr>
              <w:spacing w:after="0"/>
              <w:rPr>
                <w:sz w:val="13"/>
                <w:szCs w:val="13"/>
                <w:color w:val="auto"/>
              </w:rPr>
            </w:pPr>
          </w:p>
        </w:tc>
        <w:tc>
          <w:tcPr>
            <w:tcW w:w="840" w:type="dxa"/>
            <w:vAlign w:val="bottom"/>
            <w:tcBorders>
              <w:bottom w:val="single" w:sz="8" w:color="005AFF"/>
            </w:tcBorders>
          </w:tcPr>
          <w:p>
            <w:pPr>
              <w:spacing w:after="0"/>
              <w:rPr>
                <w:sz w:val="13"/>
                <w:szCs w:val="13"/>
                <w:color w:val="auto"/>
              </w:rPr>
            </w:pPr>
          </w:p>
        </w:tc>
        <w:tc>
          <w:tcPr>
            <w:tcW w:w="56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3 834</w:t>
            </w:r>
          </w:p>
        </w:tc>
        <w:tc>
          <w:tcPr>
            <w:tcW w:w="680" w:type="dxa"/>
            <w:vAlign w:val="bottom"/>
            <w:tcBorders>
              <w:bottom w:val="single" w:sz="8" w:color="005AFF"/>
            </w:tcBorders>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1 316</w:t>
            </w:r>
          </w:p>
        </w:tc>
        <w:tc>
          <w:tcPr>
            <w:tcW w:w="54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184</w:t>
            </w:r>
          </w:p>
        </w:tc>
        <w:tc>
          <w:tcPr>
            <w:tcW w:w="40" w:type="dxa"/>
            <w:vAlign w:val="bottom"/>
            <w:tcBorders>
              <w:bottom w:val="single" w:sz="8" w:color="005AFF"/>
            </w:tcBorders>
            <w:shd w:val="clear" w:color="auto" w:fill="F0F5FF"/>
          </w:tcPr>
          <w:p>
            <w:pPr>
              <w:spacing w:after="0"/>
              <w:rPr>
                <w:sz w:val="13"/>
                <w:szCs w:val="13"/>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5 334</w:t>
            </w:r>
          </w:p>
        </w:tc>
        <w:tc>
          <w:tcPr>
            <w:tcW w:w="640" w:type="dxa"/>
            <w:vAlign w:val="bottom"/>
            <w:tcBorders>
              <w:bottom w:val="single" w:sz="8" w:color="005AFF"/>
            </w:tcBorders>
            <w:gridSpan w:val="2"/>
          </w:tcPr>
          <w:p>
            <w:pPr>
              <w:jc w:val="center"/>
              <w:ind w:left="129"/>
              <w:spacing w:after="0"/>
              <w:rPr>
                <w:sz w:val="20"/>
                <w:szCs w:val="20"/>
                <w:color w:val="auto"/>
              </w:rPr>
            </w:pPr>
            <w:r>
              <w:rPr>
                <w:rFonts w:ascii="Times New Roman" w:cs="Times New Roman" w:eastAsia="Times New Roman" w:hAnsi="Times New Roman"/>
                <w:sz w:val="10"/>
                <w:szCs w:val="10"/>
                <w:color w:val="0D0D0D"/>
                <w:w w:val="97"/>
              </w:rPr>
              <w:t>4 885</w:t>
            </w:r>
          </w:p>
        </w:tc>
        <w:tc>
          <w:tcPr>
            <w:tcW w:w="660" w:type="dxa"/>
            <w:vAlign w:val="bottom"/>
            <w:tcBorders>
              <w:bottom w:val="single" w:sz="8" w:color="005AFF"/>
            </w:tcBorders>
          </w:tcPr>
          <w:p>
            <w:pPr>
              <w:jc w:val="right"/>
              <w:ind w:right="70"/>
              <w:spacing w:after="0"/>
              <w:rPr>
                <w:sz w:val="20"/>
                <w:szCs w:val="20"/>
                <w:color w:val="auto"/>
              </w:rPr>
            </w:pPr>
            <w:r>
              <w:rPr>
                <w:rFonts w:ascii="Times New Roman" w:cs="Times New Roman" w:eastAsia="Times New Roman" w:hAnsi="Times New Roman"/>
                <w:sz w:val="10"/>
                <w:szCs w:val="10"/>
                <w:color w:val="0D0D0D"/>
              </w:rPr>
              <w:t>1 004</w:t>
            </w:r>
          </w:p>
        </w:tc>
        <w:tc>
          <w:tcPr>
            <w:tcW w:w="58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123</w:t>
            </w:r>
          </w:p>
        </w:tc>
        <w:tc>
          <w:tcPr>
            <w:tcW w:w="600" w:type="dxa"/>
            <w:vAlign w:val="bottom"/>
            <w:tcBorders>
              <w:bottom w:val="single" w:sz="8" w:color="005AFF"/>
            </w:tcBorders>
          </w:tcPr>
          <w:p>
            <w:pPr>
              <w:jc w:val="center"/>
              <w:ind w:left="210"/>
              <w:spacing w:after="0"/>
              <w:rPr>
                <w:sz w:val="20"/>
                <w:szCs w:val="20"/>
                <w:color w:val="auto"/>
              </w:rPr>
            </w:pPr>
            <w:r>
              <w:rPr>
                <w:rFonts w:ascii="Times New Roman" w:cs="Times New Roman" w:eastAsia="Times New Roman" w:hAnsi="Times New Roman"/>
                <w:sz w:val="10"/>
                <w:szCs w:val="10"/>
                <w:color w:val="0D0D0D"/>
              </w:rPr>
              <w:t>2</w:t>
            </w:r>
          </w:p>
        </w:tc>
        <w:tc>
          <w:tcPr>
            <w:tcW w:w="460" w:type="dxa"/>
            <w:vAlign w:val="bottom"/>
            <w:tcBorders>
              <w:bottom w:val="single" w:sz="8" w:color="005AFF"/>
            </w:tcBorders>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6 014</w:t>
            </w:r>
          </w:p>
        </w:tc>
        <w:tc>
          <w:tcPr>
            <w:tcW w:w="0" w:type="dxa"/>
            <w:vAlign w:val="bottom"/>
          </w:tcPr>
          <w:p>
            <w:pPr>
              <w:spacing w:after="0"/>
              <w:rPr>
                <w:sz w:val="1"/>
                <w:szCs w:val="1"/>
                <w:color w:val="auto"/>
              </w:rPr>
            </w:pPr>
          </w:p>
        </w:tc>
      </w:tr>
      <w:tr>
        <w:trPr>
          <w:trHeight w:val="127"/>
        </w:trPr>
        <w:tc>
          <w:tcPr>
            <w:tcW w:w="2000" w:type="dxa"/>
            <w:vAlign w:val="bottom"/>
            <w:gridSpan w:val="4"/>
          </w:tcPr>
          <w:p>
            <w:pPr>
              <w:ind w:left="40"/>
              <w:spacing w:after="0"/>
              <w:rPr>
                <w:sz w:val="20"/>
                <w:szCs w:val="20"/>
                <w:color w:val="auto"/>
              </w:rPr>
            </w:pPr>
            <w:r>
              <w:rPr>
                <w:rFonts w:ascii="Times New Roman" w:cs="Times New Roman" w:eastAsia="Times New Roman" w:hAnsi="Times New Roman"/>
                <w:sz w:val="10"/>
                <w:szCs w:val="10"/>
                <w:b w:val="1"/>
                <w:bCs w:val="1"/>
                <w:color w:val="005AFF"/>
              </w:rPr>
              <w:t>Non-current financial and lease liabilities</w:t>
            </w: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1"/>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Long-term interest-bearing liabilities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(115)</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(1 766)</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(1 200)</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(1 528)</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(4 642)</w:t>
            </w:r>
          </w:p>
        </w:tc>
        <w:tc>
          <w:tcPr>
            <w:tcW w:w="64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(43)</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(98)</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(2 182)</w:t>
            </w:r>
          </w:p>
        </w:tc>
        <w:tc>
          <w:tcPr>
            <w:tcW w:w="600" w:type="dxa"/>
            <w:vAlign w:val="bottom"/>
          </w:tcPr>
          <w:p>
            <w:pPr>
              <w:jc w:val="right"/>
              <w:ind w:right="90"/>
              <w:spacing w:after="0"/>
              <w:rPr>
                <w:sz w:val="20"/>
                <w:szCs w:val="20"/>
                <w:color w:val="auto"/>
              </w:rPr>
            </w:pPr>
            <w:r>
              <w:rPr>
                <w:rFonts w:ascii="Times New Roman" w:cs="Times New Roman" w:eastAsia="Times New Roman" w:hAnsi="Times New Roman"/>
                <w:sz w:val="10"/>
                <w:szCs w:val="10"/>
                <w:color w:val="0D0D0D"/>
              </w:rPr>
              <w:t>(1 397)</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(1 628)</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(5 348)</w:t>
            </w:r>
          </w:p>
        </w:tc>
        <w:tc>
          <w:tcPr>
            <w:tcW w:w="0" w:type="dxa"/>
            <w:vAlign w:val="bottom"/>
          </w:tcPr>
          <w:p>
            <w:pPr>
              <w:spacing w:after="0"/>
              <w:rPr>
                <w:sz w:val="1"/>
                <w:szCs w:val="1"/>
                <w:color w:val="auto"/>
              </w:rPr>
            </w:pPr>
          </w:p>
        </w:tc>
      </w:tr>
      <w:tr>
        <w:trPr>
          <w:trHeight w:val="15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Long-term lease liabilities</w:t>
            </w:r>
          </w:p>
        </w:tc>
        <w:tc>
          <w:tcPr>
            <w:tcW w:w="42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(353)</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(199)</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(304)</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(856)</w:t>
            </w:r>
          </w:p>
        </w:tc>
        <w:tc>
          <w:tcPr>
            <w:tcW w:w="40" w:type="dxa"/>
            <w:vAlign w:val="bottom"/>
          </w:tcPr>
          <w:p>
            <w:pPr>
              <w:spacing w:after="0"/>
              <w:rPr>
                <w:sz w:val="13"/>
                <w:szCs w:val="13"/>
                <w:color w:val="auto"/>
              </w:rPr>
            </w:pPr>
          </w:p>
        </w:tc>
        <w:tc>
          <w:tcPr>
            <w:tcW w:w="600" w:type="dxa"/>
            <w:vAlign w:val="bottom"/>
          </w:tcPr>
          <w:p>
            <w:pPr>
              <w:jc w:val="right"/>
              <w:ind w:right="13"/>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(340)</w:t>
            </w:r>
          </w:p>
        </w:tc>
        <w:tc>
          <w:tcPr>
            <w:tcW w:w="60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(200)</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(327)</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(867)</w:t>
            </w:r>
          </w:p>
        </w:tc>
        <w:tc>
          <w:tcPr>
            <w:tcW w:w="0" w:type="dxa"/>
            <w:vAlign w:val="bottom"/>
          </w:tcPr>
          <w:p>
            <w:pPr>
              <w:spacing w:after="0"/>
              <w:rPr>
                <w:sz w:val="1"/>
                <w:szCs w:val="1"/>
                <w:color w:val="auto"/>
              </w:rPr>
            </w:pPr>
          </w:p>
        </w:tc>
      </w:tr>
      <w:tr>
        <w:trPr>
          <w:trHeight w:val="157"/>
        </w:trPr>
        <w:tc>
          <w:tcPr>
            <w:tcW w:w="1580" w:type="dxa"/>
            <w:vAlign w:val="bottom"/>
            <w:tcBorders>
              <w:bottom w:val="single" w:sz="8" w:color="005AFF"/>
            </w:tcBorders>
            <w:gridSpan w:val="2"/>
          </w:tcPr>
          <w:p>
            <w:pPr>
              <w:ind w:left="40"/>
              <w:spacing w:after="0"/>
              <w:rPr>
                <w:sz w:val="20"/>
                <w:szCs w:val="20"/>
                <w:color w:val="auto"/>
              </w:rPr>
            </w:pPr>
            <w:r>
              <w:rPr>
                <w:rFonts w:ascii="Times New Roman" w:cs="Times New Roman" w:eastAsia="Times New Roman" w:hAnsi="Times New Roman"/>
                <w:sz w:val="10"/>
                <w:szCs w:val="10"/>
                <w:color w:val="0D0D0D"/>
              </w:rPr>
              <w:t>Other non-current financial liabilities</w:t>
            </w:r>
          </w:p>
        </w:tc>
        <w:tc>
          <w:tcPr>
            <w:tcW w:w="120" w:type="dxa"/>
            <w:vAlign w:val="bottom"/>
            <w:tcBorders>
              <w:bottom w:val="single" w:sz="8" w:color="005AFF"/>
            </w:tcBorders>
          </w:tcPr>
          <w:p>
            <w:pPr>
              <w:spacing w:after="0"/>
              <w:rPr>
                <w:sz w:val="13"/>
                <w:szCs w:val="13"/>
                <w:color w:val="auto"/>
              </w:rPr>
            </w:pPr>
          </w:p>
        </w:tc>
        <w:tc>
          <w:tcPr>
            <w:tcW w:w="300" w:type="dxa"/>
            <w:vAlign w:val="bottom"/>
            <w:tcBorders>
              <w:bottom w:val="single" w:sz="8" w:color="005AFF"/>
            </w:tcBorders>
          </w:tcPr>
          <w:p>
            <w:pPr>
              <w:spacing w:after="0"/>
              <w:rPr>
                <w:sz w:val="13"/>
                <w:szCs w:val="13"/>
                <w:color w:val="auto"/>
              </w:rPr>
            </w:pPr>
          </w:p>
        </w:tc>
        <w:tc>
          <w:tcPr>
            <w:tcW w:w="120" w:type="dxa"/>
            <w:vAlign w:val="bottom"/>
            <w:tcBorders>
              <w:bottom w:val="single" w:sz="8" w:color="005AFF"/>
            </w:tcBorders>
          </w:tcPr>
          <w:p>
            <w:pPr>
              <w:spacing w:after="0"/>
              <w:rPr>
                <w:sz w:val="13"/>
                <w:szCs w:val="13"/>
                <w:color w:val="auto"/>
              </w:rPr>
            </w:pPr>
          </w:p>
        </w:tc>
        <w:tc>
          <w:tcPr>
            <w:tcW w:w="140" w:type="dxa"/>
            <w:vAlign w:val="bottom"/>
            <w:tcBorders>
              <w:bottom w:val="single" w:sz="8" w:color="005AFF"/>
            </w:tcBorders>
          </w:tcPr>
          <w:p>
            <w:pPr>
              <w:spacing w:after="0"/>
              <w:rPr>
                <w:sz w:val="13"/>
                <w:szCs w:val="13"/>
                <w:color w:val="auto"/>
              </w:rPr>
            </w:pPr>
          </w:p>
        </w:tc>
        <w:tc>
          <w:tcPr>
            <w:tcW w:w="840" w:type="dxa"/>
            <w:vAlign w:val="bottom"/>
            <w:tcBorders>
              <w:bottom w:val="single" w:sz="8" w:color="005AFF"/>
            </w:tcBorders>
          </w:tcPr>
          <w:p>
            <w:pPr>
              <w:spacing w:after="0"/>
              <w:rPr>
                <w:sz w:val="13"/>
                <w:szCs w:val="13"/>
                <w:color w:val="auto"/>
              </w:rPr>
            </w:pPr>
          </w:p>
        </w:tc>
        <w:tc>
          <w:tcPr>
            <w:tcW w:w="560" w:type="dxa"/>
            <w:vAlign w:val="bottom"/>
            <w:tcBorders>
              <w:bottom w:val="single" w:sz="8" w:color="005AFF"/>
            </w:tcBorders>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99"/>
              </w:rPr>
              <w:t>—</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40" w:type="dxa"/>
            <w:vAlign w:val="bottom"/>
            <w:tcBorders>
              <w:bottom w:val="single" w:sz="8" w:color="005AFF"/>
            </w:tcBorders>
            <w:shd w:val="clear" w:color="auto" w:fill="F0F5FF"/>
          </w:tcPr>
          <w:p>
            <w:pPr>
              <w:spacing w:after="0"/>
              <w:rPr>
                <w:sz w:val="13"/>
                <w:szCs w:val="13"/>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(11)</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(33)</w:t>
            </w:r>
          </w:p>
        </w:tc>
        <w:tc>
          <w:tcPr>
            <w:tcW w:w="40" w:type="dxa"/>
            <w:vAlign w:val="bottom"/>
            <w:tcBorders>
              <w:bottom w:val="single" w:sz="8" w:color="005AFF"/>
            </w:tcBorders>
          </w:tcPr>
          <w:p>
            <w:pPr>
              <w:spacing w:after="0"/>
              <w:rPr>
                <w:sz w:val="13"/>
                <w:szCs w:val="13"/>
                <w:color w:val="auto"/>
              </w:rPr>
            </w:pPr>
          </w:p>
        </w:tc>
        <w:tc>
          <w:tcPr>
            <w:tcW w:w="600" w:type="dxa"/>
            <w:vAlign w:val="bottom"/>
            <w:tcBorders>
              <w:bottom w:val="single" w:sz="8" w:color="005AFF"/>
            </w:tcBorders>
          </w:tcPr>
          <w:p>
            <w:pPr>
              <w:jc w:val="right"/>
              <w:ind w:right="13"/>
              <w:spacing w:after="0"/>
              <w:rPr>
                <w:sz w:val="20"/>
                <w:szCs w:val="20"/>
                <w:color w:val="auto"/>
              </w:rPr>
            </w:pPr>
            <w:r>
              <w:rPr>
                <w:rFonts w:ascii="Times New Roman" w:cs="Times New Roman" w:eastAsia="Times New Roman" w:hAnsi="Times New Roman"/>
                <w:sz w:val="10"/>
                <w:szCs w:val="10"/>
                <w:color w:val="0D0D0D"/>
              </w:rPr>
              <w:t>—</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Borders>
              <w:bottom w:val="single" w:sz="8" w:color="005AFF"/>
            </w:tcBorders>
          </w:tcPr>
          <w:p>
            <w:pPr>
              <w:jc w:val="right"/>
              <w:ind w:right="31"/>
              <w:spacing w:after="0"/>
              <w:rPr>
                <w:sz w:val="20"/>
                <w:szCs w:val="20"/>
                <w:color w:val="auto"/>
              </w:rPr>
            </w:pPr>
            <w:r>
              <w:rPr>
                <w:rFonts w:ascii="Times New Roman" w:cs="Times New Roman" w:eastAsia="Times New Roman" w:hAnsi="Times New Roman"/>
                <w:sz w:val="10"/>
                <w:szCs w:val="10"/>
                <w:color w:val="0D0D0D"/>
              </w:rPr>
              <w:t>(17)</w:t>
            </w:r>
          </w:p>
        </w:tc>
        <w:tc>
          <w:tcPr>
            <w:tcW w:w="600" w:type="dxa"/>
            <w:vAlign w:val="bottom"/>
            <w:tcBorders>
              <w:bottom w:val="single" w:sz="8" w:color="005AFF"/>
            </w:tcBorders>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Borders>
              <w:bottom w:val="single" w:sz="8" w:color="005AFF"/>
            </w:tcBorders>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(17)</w:t>
            </w:r>
          </w:p>
        </w:tc>
        <w:tc>
          <w:tcPr>
            <w:tcW w:w="0" w:type="dxa"/>
            <w:vAlign w:val="bottom"/>
          </w:tcPr>
          <w:p>
            <w:pPr>
              <w:spacing w:after="0"/>
              <w:rPr>
                <w:sz w:val="1"/>
                <w:szCs w:val="1"/>
                <w:color w:val="auto"/>
              </w:rPr>
            </w:pPr>
          </w:p>
        </w:tc>
      </w:tr>
      <w:tr>
        <w:trPr>
          <w:trHeight w:val="127"/>
        </w:trPr>
        <w:tc>
          <w:tcPr>
            <w:tcW w:w="1700" w:type="dxa"/>
            <w:vAlign w:val="bottom"/>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Current financial and lease liabilities</w:t>
            </w:r>
          </w:p>
        </w:tc>
        <w:tc>
          <w:tcPr>
            <w:tcW w:w="30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51"/>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Short-term interest-bearing liabilities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(473)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(98)</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(571)</w:t>
            </w:r>
          </w:p>
        </w:tc>
        <w:tc>
          <w:tcPr>
            <w:tcW w:w="64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(131)</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(99)</w:t>
            </w:r>
          </w:p>
        </w:tc>
        <w:tc>
          <w:tcPr>
            <w:tcW w:w="580" w:type="dxa"/>
            <w:vAlign w:val="bottom"/>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(230)</w:t>
            </w:r>
          </w:p>
        </w:tc>
        <w:tc>
          <w:tcPr>
            <w:tcW w:w="0" w:type="dxa"/>
            <w:vAlign w:val="bottom"/>
          </w:tcPr>
          <w:p>
            <w:pPr>
              <w:spacing w:after="0"/>
              <w:rPr>
                <w:sz w:val="1"/>
                <w:szCs w:val="1"/>
                <w:color w:val="auto"/>
              </w:rPr>
            </w:pPr>
          </w:p>
        </w:tc>
      </w:tr>
      <w:tr>
        <w:trPr>
          <w:trHeight w:val="152"/>
        </w:trPr>
        <w:tc>
          <w:tcPr>
            <w:tcW w:w="11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Short-term lease liabilities</w:t>
            </w:r>
          </w:p>
        </w:tc>
        <w:tc>
          <w:tcPr>
            <w:tcW w:w="42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(179)</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(223)</w:t>
            </w:r>
          </w:p>
        </w:tc>
        <w:tc>
          <w:tcPr>
            <w:tcW w:w="64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(61)</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(162)</w:t>
            </w:r>
          </w:p>
        </w:tc>
        <w:tc>
          <w:tcPr>
            <w:tcW w:w="580" w:type="dxa"/>
            <w:vAlign w:val="bottom"/>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(223)</w:t>
            </w:r>
          </w:p>
        </w:tc>
        <w:tc>
          <w:tcPr>
            <w:tcW w:w="0" w:type="dxa"/>
            <w:vAlign w:val="bottom"/>
          </w:tcPr>
          <w:p>
            <w:pPr>
              <w:spacing w:after="0"/>
              <w:rPr>
                <w:sz w:val="1"/>
                <w:szCs w:val="1"/>
                <w:color w:val="auto"/>
              </w:rPr>
            </w:pPr>
          </w:p>
        </w:tc>
      </w:tr>
      <w:tr>
        <w:trPr>
          <w:trHeight w:val="101"/>
        </w:trPr>
        <w:tc>
          <w:tcPr>
            <w:tcW w:w="2000" w:type="dxa"/>
            <w:vAlign w:val="bottom"/>
            <w:gridSpan w:val="4"/>
            <w:vMerge w:val="restart"/>
          </w:tcPr>
          <w:p>
            <w:pPr>
              <w:ind w:left="40"/>
              <w:spacing w:after="0"/>
              <w:rPr>
                <w:sz w:val="20"/>
                <w:szCs w:val="20"/>
                <w:color w:val="auto"/>
              </w:rPr>
            </w:pPr>
            <w:r>
              <w:rPr>
                <w:rFonts w:ascii="Times New Roman" w:cs="Times New Roman" w:eastAsia="Times New Roman" w:hAnsi="Times New Roman"/>
                <w:sz w:val="10"/>
                <w:szCs w:val="10"/>
                <w:color w:val="0D0D0D"/>
              </w:rPr>
              <w:t>Other financial liabilities excluding derivatives</w:t>
            </w:r>
          </w:p>
        </w:tc>
        <w:tc>
          <w:tcPr>
            <w:tcW w:w="260" w:type="dxa"/>
            <w:vAlign w:val="bottom"/>
            <w:gridSpan w:val="2"/>
          </w:tcPr>
          <w:p>
            <w:pPr>
              <w:jc w:val="right"/>
              <w:ind w:right="67"/>
              <w:spacing w:after="0"/>
              <w:rPr>
                <w:sz w:val="20"/>
                <w:szCs w:val="20"/>
                <w:color w:val="auto"/>
              </w:rPr>
            </w:pPr>
            <w:r>
              <w:rPr>
                <w:rFonts w:ascii="Times New Roman" w:cs="Times New Roman" w:eastAsia="Times New Roman" w:hAnsi="Times New Roman"/>
                <w:sz w:val="7"/>
                <w:szCs w:val="7"/>
                <w:color w:val="0D0D0D"/>
              </w:rPr>
              <w:t>(3)</w:t>
            </w:r>
          </w:p>
        </w:tc>
        <w:tc>
          <w:tcPr>
            <w:tcW w:w="840" w:type="dxa"/>
            <w:vAlign w:val="bottom"/>
          </w:tcPr>
          <w:p>
            <w:pPr>
              <w:spacing w:after="0"/>
              <w:rPr>
                <w:sz w:val="8"/>
                <w:szCs w:val="8"/>
                <w:color w:val="auto"/>
              </w:rPr>
            </w:pP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(458)</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(24)</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8"/>
                <w:szCs w:val="8"/>
                <w:color w:val="auto"/>
              </w:rPr>
            </w:pPr>
          </w:p>
        </w:tc>
        <w:tc>
          <w:tcPr>
            <w:tcW w:w="50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(482)</w:t>
            </w:r>
          </w:p>
        </w:tc>
        <w:tc>
          <w:tcPr>
            <w:tcW w:w="640" w:type="dxa"/>
            <w:vAlign w:val="bottom"/>
            <w:gridSpan w:val="2"/>
            <w:vMerge w:val="restart"/>
          </w:tcPr>
          <w:p>
            <w:pPr>
              <w:jc w:val="right"/>
              <w:ind w:right="13"/>
              <w:spacing w:after="0"/>
              <w:rPr>
                <w:sz w:val="20"/>
                <w:szCs w:val="20"/>
                <w:color w:val="auto"/>
              </w:rPr>
            </w:pPr>
            <w:r>
              <w:rPr>
                <w:rFonts w:ascii="Times New Roman" w:cs="Times New Roman" w:eastAsia="Times New Roman" w:hAnsi="Times New Roman"/>
                <w:sz w:val="10"/>
                <w:szCs w:val="10"/>
                <w:color w:val="0D0D0D"/>
              </w:rPr>
              <w:t>(482)</w:t>
            </w:r>
          </w:p>
        </w:tc>
        <w:tc>
          <w:tcPr>
            <w:tcW w:w="66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color w:val="0D0D0D"/>
              </w:rPr>
              <w:t>(20)</w:t>
            </w:r>
          </w:p>
        </w:tc>
        <w:tc>
          <w:tcPr>
            <w:tcW w:w="58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vMerge w:val="restart"/>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vMerge w:val="restart"/>
          </w:tcPr>
          <w:p>
            <w:pPr>
              <w:jc w:val="right"/>
              <w:spacing w:after="0"/>
              <w:rPr>
                <w:sz w:val="20"/>
                <w:szCs w:val="20"/>
                <w:color w:val="auto"/>
              </w:rPr>
            </w:pPr>
            <w:r>
              <w:rPr>
                <w:rFonts w:ascii="Times New Roman" w:cs="Times New Roman" w:eastAsia="Times New Roman" w:hAnsi="Times New Roman"/>
                <w:sz w:val="10"/>
                <w:szCs w:val="10"/>
                <w:b w:val="1"/>
                <w:bCs w:val="1"/>
                <w:color w:val="auto"/>
              </w:rPr>
              <w:t>(502)</w:t>
            </w:r>
          </w:p>
        </w:tc>
        <w:tc>
          <w:tcPr>
            <w:tcW w:w="0" w:type="dxa"/>
            <w:vAlign w:val="bottom"/>
          </w:tcPr>
          <w:p>
            <w:pPr>
              <w:spacing w:after="0"/>
              <w:rPr>
                <w:sz w:val="1"/>
                <w:szCs w:val="1"/>
                <w:color w:val="auto"/>
              </w:rPr>
            </w:pPr>
          </w:p>
        </w:tc>
      </w:tr>
      <w:tr>
        <w:trPr>
          <w:trHeight w:val="50"/>
        </w:trPr>
        <w:tc>
          <w:tcPr>
            <w:tcW w:w="2000" w:type="dxa"/>
            <w:vAlign w:val="bottom"/>
            <w:gridSpan w:val="4"/>
            <w:vMerge w:val="continue"/>
          </w:tcPr>
          <w:p>
            <w:pPr>
              <w:spacing w:after="0"/>
              <w:rPr>
                <w:sz w:val="4"/>
                <w:szCs w:val="4"/>
                <w:color w:val="auto"/>
              </w:rPr>
            </w:pPr>
          </w:p>
        </w:tc>
        <w:tc>
          <w:tcPr>
            <w:tcW w:w="120" w:type="dxa"/>
            <w:vAlign w:val="bottom"/>
          </w:tcPr>
          <w:p>
            <w:pPr>
              <w:spacing w:after="0"/>
              <w:rPr>
                <w:sz w:val="4"/>
                <w:szCs w:val="4"/>
                <w:color w:val="auto"/>
              </w:rPr>
            </w:pPr>
          </w:p>
        </w:tc>
        <w:tc>
          <w:tcPr>
            <w:tcW w:w="140" w:type="dxa"/>
            <w:vAlign w:val="bottom"/>
          </w:tcPr>
          <w:p>
            <w:pPr>
              <w:spacing w:after="0"/>
              <w:rPr>
                <w:sz w:val="4"/>
                <w:szCs w:val="4"/>
                <w:color w:val="auto"/>
              </w:rPr>
            </w:pPr>
          </w:p>
        </w:tc>
        <w:tc>
          <w:tcPr>
            <w:tcW w:w="840" w:type="dxa"/>
            <w:vAlign w:val="bottom"/>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500" w:type="dxa"/>
            <w:vAlign w:val="bottom"/>
            <w:vMerge w:val="continue"/>
            <w:shd w:val="clear" w:color="auto" w:fill="F0F5FF"/>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40" w:type="dxa"/>
            <w:vAlign w:val="bottom"/>
            <w:gridSpan w:val="2"/>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60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52"/>
        </w:trPr>
        <w:tc>
          <w:tcPr>
            <w:tcW w:w="3100" w:type="dxa"/>
            <w:vAlign w:val="bottom"/>
            <w:gridSpan w:val="7"/>
          </w:tcPr>
          <w:p>
            <w:pPr>
              <w:ind w:left="40"/>
              <w:spacing w:after="0"/>
              <w:rPr>
                <w:sz w:val="20"/>
                <w:szCs w:val="20"/>
                <w:color w:val="auto"/>
              </w:rPr>
            </w:pPr>
            <w:r>
              <w:rPr>
                <w:rFonts w:ascii="Times New Roman" w:cs="Times New Roman" w:eastAsia="Times New Roman" w:hAnsi="Times New Roman"/>
                <w:sz w:val="10"/>
                <w:szCs w:val="10"/>
                <w:color w:val="0D0D0D"/>
              </w:rPr>
              <w:t>Cash flows related to derivative financial liabilities net settled:</w:t>
            </w:r>
          </w:p>
        </w:tc>
        <w:tc>
          <w:tcPr>
            <w:tcW w:w="5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56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4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payments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85"/>
              </w:rPr>
              <w:t>(4)</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(29)</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(41)</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(12)</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(86)</w:t>
            </w:r>
          </w:p>
        </w:tc>
        <w:tc>
          <w:tcPr>
            <w:tcW w:w="64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5</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(31)</w:t>
            </w:r>
          </w:p>
        </w:tc>
        <w:tc>
          <w:tcPr>
            <w:tcW w:w="580" w:type="dxa"/>
            <w:vAlign w:val="bottom"/>
          </w:tcPr>
          <w:p>
            <w:pPr>
              <w:ind w:left="380"/>
              <w:spacing w:after="0"/>
              <w:rPr>
                <w:sz w:val="20"/>
                <w:szCs w:val="20"/>
                <w:color w:val="auto"/>
              </w:rPr>
            </w:pPr>
            <w:r>
              <w:rPr>
                <w:rFonts w:ascii="Times New Roman" w:cs="Times New Roman" w:eastAsia="Times New Roman" w:hAnsi="Times New Roman"/>
                <w:sz w:val="10"/>
                <w:szCs w:val="10"/>
                <w:color w:val="0D0D0D"/>
              </w:rPr>
              <w:t>(1)</w:t>
            </w:r>
          </w:p>
        </w:tc>
        <w:tc>
          <w:tcPr>
            <w:tcW w:w="600" w:type="dxa"/>
            <w:vAlign w:val="bottom"/>
          </w:tcPr>
          <w:p>
            <w:pPr>
              <w:jc w:val="center"/>
              <w:ind w:left="210"/>
              <w:spacing w:after="0"/>
              <w:rPr>
                <w:sz w:val="20"/>
                <w:szCs w:val="20"/>
                <w:color w:val="auto"/>
              </w:rPr>
            </w:pPr>
            <w:r>
              <w:rPr>
                <w:rFonts w:ascii="Times New Roman" w:cs="Times New Roman" w:eastAsia="Times New Roman" w:hAnsi="Times New Roman"/>
                <w:sz w:val="10"/>
                <w:szCs w:val="10"/>
                <w:color w:val="0D0D0D"/>
              </w:rPr>
              <w:t>7</w:t>
            </w:r>
          </w:p>
        </w:tc>
        <w:tc>
          <w:tcPr>
            <w:tcW w:w="460" w:type="dxa"/>
            <w:vAlign w:val="bottom"/>
          </w:tcPr>
          <w:p>
            <w:pPr>
              <w:ind w:left="360"/>
              <w:spacing w:after="0"/>
              <w:rPr>
                <w:sz w:val="20"/>
                <w:szCs w:val="20"/>
                <w:color w:val="auto"/>
              </w:rPr>
            </w:pPr>
            <w:r>
              <w:rPr>
                <w:rFonts w:ascii="Times New Roman" w:cs="Times New Roman" w:eastAsia="Times New Roman" w:hAnsi="Times New Roman"/>
                <w:sz w:val="10"/>
                <w:szCs w:val="10"/>
                <w:color w:val="0D0D0D"/>
              </w:rPr>
              <w:t>7</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(13)</w:t>
            </w:r>
          </w:p>
        </w:tc>
        <w:tc>
          <w:tcPr>
            <w:tcW w:w="0" w:type="dxa"/>
            <w:vAlign w:val="bottom"/>
          </w:tcPr>
          <w:p>
            <w:pPr>
              <w:spacing w:after="0"/>
              <w:rPr>
                <w:sz w:val="1"/>
                <w:szCs w:val="1"/>
                <w:color w:val="auto"/>
              </w:rPr>
            </w:pPr>
          </w:p>
        </w:tc>
      </w:tr>
      <w:tr>
        <w:trPr>
          <w:trHeight w:val="152"/>
        </w:trPr>
        <w:tc>
          <w:tcPr>
            <w:tcW w:w="3100" w:type="dxa"/>
            <w:vAlign w:val="bottom"/>
            <w:gridSpan w:val="7"/>
          </w:tcPr>
          <w:p>
            <w:pPr>
              <w:ind w:left="40"/>
              <w:spacing w:after="0"/>
              <w:rPr>
                <w:sz w:val="20"/>
                <w:szCs w:val="20"/>
                <w:color w:val="auto"/>
              </w:rPr>
            </w:pPr>
            <w:r>
              <w:rPr>
                <w:rFonts w:ascii="Times New Roman" w:cs="Times New Roman" w:eastAsia="Times New Roman" w:hAnsi="Times New Roman"/>
                <w:sz w:val="10"/>
                <w:szCs w:val="10"/>
                <w:color w:val="0D0D0D"/>
              </w:rPr>
              <w:t>Cash flows related to derivative financial liabilities gross settled:</w:t>
            </w:r>
          </w:p>
        </w:tc>
        <w:tc>
          <w:tcPr>
            <w:tcW w:w="560" w:type="dxa"/>
            <w:vAlign w:val="bottom"/>
            <w:shd w:val="clear" w:color="auto" w:fill="F0F5FF"/>
          </w:tcPr>
          <w:p>
            <w:pPr>
              <w:spacing w:after="0"/>
              <w:rPr>
                <w:sz w:val="13"/>
                <w:szCs w:val="13"/>
                <w:color w:val="auto"/>
              </w:rPr>
            </w:pPr>
          </w:p>
        </w:tc>
        <w:tc>
          <w:tcPr>
            <w:tcW w:w="680" w:type="dxa"/>
            <w:vAlign w:val="bottom"/>
            <w:shd w:val="clear" w:color="auto" w:fill="F0F5FF"/>
          </w:tcPr>
          <w:p>
            <w:pPr>
              <w:spacing w:after="0"/>
              <w:rPr>
                <w:sz w:val="13"/>
                <w:szCs w:val="13"/>
                <w:color w:val="auto"/>
              </w:rPr>
            </w:pPr>
          </w:p>
        </w:tc>
        <w:tc>
          <w:tcPr>
            <w:tcW w:w="540" w:type="dxa"/>
            <w:vAlign w:val="bottom"/>
            <w:shd w:val="clear" w:color="auto" w:fill="F0F5FF"/>
          </w:tcPr>
          <w:p>
            <w:pPr>
              <w:spacing w:after="0"/>
              <w:rPr>
                <w:sz w:val="13"/>
                <w:szCs w:val="13"/>
                <w:color w:val="auto"/>
              </w:rPr>
            </w:pP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spacing w:after="0"/>
              <w:rPr>
                <w:sz w:val="13"/>
                <w:szCs w:val="13"/>
                <w:color w:val="auto"/>
              </w:rPr>
            </w:pPr>
          </w:p>
        </w:tc>
        <w:tc>
          <w:tcPr>
            <w:tcW w:w="560" w:type="dxa"/>
            <w:vAlign w:val="bottom"/>
            <w:shd w:val="clear" w:color="auto" w:fill="F0F5FF"/>
          </w:tcPr>
          <w:p>
            <w:pPr>
              <w:spacing w:after="0"/>
              <w:rPr>
                <w:sz w:val="13"/>
                <w:szCs w:val="13"/>
                <w:color w:val="auto"/>
              </w:rPr>
            </w:pPr>
          </w:p>
        </w:tc>
        <w:tc>
          <w:tcPr>
            <w:tcW w:w="580" w:type="dxa"/>
            <w:vAlign w:val="bottom"/>
            <w:shd w:val="clear" w:color="auto" w:fill="F0F5FF"/>
          </w:tcPr>
          <w:p>
            <w:pPr>
              <w:spacing w:after="0"/>
              <w:rPr>
                <w:sz w:val="13"/>
                <w:szCs w:val="13"/>
                <w:color w:val="auto"/>
              </w:rPr>
            </w:pPr>
          </w:p>
        </w:tc>
        <w:tc>
          <w:tcPr>
            <w:tcW w:w="4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6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600" w:type="dxa"/>
            <w:vAlign w:val="bottom"/>
          </w:tcPr>
          <w:p>
            <w:pPr>
              <w:spacing w:after="0"/>
              <w:rPr>
                <w:sz w:val="13"/>
                <w:szCs w:val="13"/>
                <w:color w:val="auto"/>
              </w:rPr>
            </w:pPr>
          </w:p>
        </w:tc>
        <w:tc>
          <w:tcPr>
            <w:tcW w:w="460" w:type="dxa"/>
            <w:vAlign w:val="bottom"/>
          </w:tcPr>
          <w:p>
            <w:pPr>
              <w:spacing w:after="0"/>
              <w:rPr>
                <w:sz w:val="13"/>
                <w:szCs w:val="13"/>
                <w:color w:val="auto"/>
              </w:rPr>
            </w:pPr>
          </w:p>
        </w:tc>
        <w:tc>
          <w:tcPr>
            <w:tcW w:w="580" w:type="dxa"/>
            <w:vAlign w:val="bottom"/>
          </w:tcPr>
          <w:p>
            <w:pPr>
              <w:spacing w:after="0"/>
              <w:rPr>
                <w:sz w:val="13"/>
                <w:szCs w:val="13"/>
                <w:color w:val="auto"/>
              </w:rPr>
            </w:pP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receipts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6 475</w:t>
            </w:r>
          </w:p>
        </w:tc>
        <w:tc>
          <w:tcPr>
            <w:tcW w:w="6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1 322</w:t>
            </w:r>
          </w:p>
        </w:tc>
        <w:tc>
          <w:tcPr>
            <w:tcW w:w="540" w:type="dxa"/>
            <w:vAlign w:val="bottom"/>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735</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541</w:t>
            </w:r>
          </w:p>
        </w:tc>
        <w:tc>
          <w:tcPr>
            <w:tcW w:w="56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767</w:t>
            </w:r>
          </w:p>
        </w:tc>
        <w:tc>
          <w:tcPr>
            <w:tcW w:w="58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9 840</w:t>
            </w:r>
          </w:p>
        </w:tc>
        <w:tc>
          <w:tcPr>
            <w:tcW w:w="640" w:type="dxa"/>
            <w:vAlign w:val="bottom"/>
            <w:gridSpan w:val="2"/>
          </w:tcPr>
          <w:p>
            <w:pPr>
              <w:jc w:val="center"/>
              <w:ind w:left="129"/>
              <w:spacing w:after="0"/>
              <w:rPr>
                <w:sz w:val="20"/>
                <w:szCs w:val="20"/>
                <w:color w:val="auto"/>
              </w:rPr>
            </w:pPr>
            <w:r>
              <w:rPr>
                <w:rFonts w:ascii="Times New Roman" w:cs="Times New Roman" w:eastAsia="Times New Roman" w:hAnsi="Times New Roman"/>
                <w:sz w:val="10"/>
                <w:szCs w:val="10"/>
                <w:color w:val="0D0D0D"/>
                <w:w w:val="97"/>
              </w:rPr>
              <w:t>8 832</w:t>
            </w:r>
          </w:p>
        </w:tc>
        <w:tc>
          <w:tcPr>
            <w:tcW w:w="66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1 271</w:t>
            </w:r>
          </w:p>
        </w:tc>
        <w:tc>
          <w:tcPr>
            <w:tcW w:w="580" w:type="dxa"/>
            <w:vAlign w:val="bottom"/>
          </w:tcPr>
          <w:p>
            <w:pPr>
              <w:jc w:val="right"/>
              <w:ind w:right="91"/>
              <w:spacing w:after="0"/>
              <w:rPr>
                <w:sz w:val="20"/>
                <w:szCs w:val="20"/>
                <w:color w:val="auto"/>
              </w:rPr>
            </w:pPr>
            <w:r>
              <w:rPr>
                <w:rFonts w:ascii="Times New Roman" w:cs="Times New Roman" w:eastAsia="Times New Roman" w:hAnsi="Times New Roman"/>
                <w:sz w:val="10"/>
                <w:szCs w:val="10"/>
                <w:color w:val="0D0D0D"/>
              </w:rPr>
              <w:t>919</w:t>
            </w:r>
          </w:p>
        </w:tc>
        <w:tc>
          <w:tcPr>
            <w:tcW w:w="600" w:type="dxa"/>
            <w:vAlign w:val="bottom"/>
          </w:tcPr>
          <w:p>
            <w:pPr>
              <w:jc w:val="right"/>
              <w:ind w:right="110"/>
              <w:spacing w:after="0"/>
              <w:rPr>
                <w:sz w:val="20"/>
                <w:szCs w:val="20"/>
                <w:color w:val="auto"/>
              </w:rPr>
            </w:pPr>
            <w:r>
              <w:rPr>
                <w:rFonts w:ascii="Times New Roman" w:cs="Times New Roman" w:eastAsia="Times New Roman" w:hAnsi="Times New Roman"/>
                <w:sz w:val="10"/>
                <w:szCs w:val="10"/>
                <w:color w:val="0D0D0D"/>
              </w:rPr>
              <w:t>573</w:t>
            </w:r>
          </w:p>
        </w:tc>
        <w:tc>
          <w:tcPr>
            <w:tcW w:w="4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826</w:t>
            </w:r>
          </w:p>
        </w:tc>
        <w:tc>
          <w:tcPr>
            <w:tcW w:w="580" w:type="dxa"/>
            <w:vAlign w:val="bottom"/>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12 421</w:t>
            </w:r>
          </w:p>
        </w:tc>
        <w:tc>
          <w:tcPr>
            <w:tcW w:w="0" w:type="dxa"/>
            <w:vAlign w:val="bottom"/>
          </w:tcPr>
          <w:p>
            <w:pPr>
              <w:spacing w:after="0"/>
              <w:rPr>
                <w:sz w:val="1"/>
                <w:szCs w:val="1"/>
                <w:color w:val="auto"/>
              </w:rPr>
            </w:pPr>
          </w:p>
        </w:tc>
      </w:tr>
      <w:tr>
        <w:trPr>
          <w:trHeight w:val="152"/>
        </w:trPr>
        <w:tc>
          <w:tcPr>
            <w:tcW w:w="1580" w:type="dxa"/>
            <w:vAlign w:val="bottom"/>
            <w:gridSpan w:val="2"/>
          </w:tcPr>
          <w:p>
            <w:pPr>
              <w:ind w:left="120"/>
              <w:spacing w:after="0"/>
              <w:rPr>
                <w:sz w:val="20"/>
                <w:szCs w:val="20"/>
                <w:color w:val="auto"/>
              </w:rPr>
            </w:pPr>
            <w:r>
              <w:rPr>
                <w:rFonts w:ascii="Times New Roman" w:cs="Times New Roman" w:eastAsia="Times New Roman" w:hAnsi="Times New Roman"/>
                <w:sz w:val="10"/>
                <w:szCs w:val="10"/>
                <w:color w:val="0D0D0D"/>
              </w:rPr>
              <w:t>Derivative contracts – payments</w:t>
            </w:r>
          </w:p>
        </w:tc>
        <w:tc>
          <w:tcPr>
            <w:tcW w:w="120" w:type="dxa"/>
            <w:vAlign w:val="bottom"/>
          </w:tcPr>
          <w:p>
            <w:pPr>
              <w:spacing w:after="0"/>
              <w:rPr>
                <w:sz w:val="13"/>
                <w:szCs w:val="13"/>
                <w:color w:val="auto"/>
              </w:rPr>
            </w:pPr>
          </w:p>
        </w:tc>
        <w:tc>
          <w:tcPr>
            <w:tcW w:w="300" w:type="dxa"/>
            <w:vAlign w:val="bottom"/>
          </w:tcPr>
          <w:p>
            <w:pPr>
              <w:spacing w:after="0"/>
              <w:rPr>
                <w:sz w:val="13"/>
                <w:szCs w:val="13"/>
                <w:color w:val="auto"/>
              </w:rPr>
            </w:pP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(6 553)</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(1 353)</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(806)</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(551)</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(858)</w:t>
            </w:r>
          </w:p>
        </w:tc>
        <w:tc>
          <w:tcPr>
            <w:tcW w:w="58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b w:val="1"/>
                <w:bCs w:val="1"/>
                <w:color w:val="005AFF"/>
              </w:rPr>
              <w:t>(10 121)</w:t>
            </w:r>
          </w:p>
        </w:tc>
        <w:tc>
          <w:tcPr>
            <w:tcW w:w="640" w:type="dxa"/>
            <w:vAlign w:val="bottom"/>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(8 992)</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(1 303)</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(1 003)</w:t>
            </w:r>
          </w:p>
        </w:tc>
        <w:tc>
          <w:tcPr>
            <w:tcW w:w="600" w:type="dxa"/>
            <w:vAlign w:val="bottom"/>
          </w:tcPr>
          <w:p>
            <w:pPr>
              <w:jc w:val="right"/>
              <w:ind w:right="70"/>
              <w:spacing w:after="0"/>
              <w:rPr>
                <w:sz w:val="20"/>
                <w:szCs w:val="20"/>
                <w:color w:val="auto"/>
              </w:rPr>
            </w:pPr>
            <w:r>
              <w:rPr>
                <w:rFonts w:ascii="Times New Roman" w:cs="Times New Roman" w:eastAsia="Times New Roman" w:hAnsi="Times New Roman"/>
                <w:sz w:val="10"/>
                <w:szCs w:val="10"/>
                <w:color w:val="0D0D0D"/>
              </w:rPr>
              <w:t>(542)</w:t>
            </w:r>
          </w:p>
        </w:tc>
        <w:tc>
          <w:tcPr>
            <w:tcW w:w="46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(778)</w:t>
            </w:r>
          </w:p>
        </w:tc>
        <w:tc>
          <w:tcPr>
            <w:tcW w:w="580" w:type="dxa"/>
            <w:vAlign w:val="bottom"/>
          </w:tcPr>
          <w:p>
            <w:pPr>
              <w:jc w:val="right"/>
              <w:ind w:right="10"/>
              <w:spacing w:after="0"/>
              <w:rPr>
                <w:sz w:val="20"/>
                <w:szCs w:val="20"/>
                <w:color w:val="auto"/>
              </w:rPr>
            </w:pPr>
            <w:r>
              <w:rPr>
                <w:rFonts w:ascii="Times New Roman" w:cs="Times New Roman" w:eastAsia="Times New Roman" w:hAnsi="Times New Roman"/>
                <w:sz w:val="10"/>
                <w:szCs w:val="10"/>
                <w:b w:val="1"/>
                <w:bCs w:val="1"/>
                <w:color w:val="auto"/>
              </w:rPr>
              <w:t>(12 618)</w:t>
            </w:r>
          </w:p>
        </w:tc>
        <w:tc>
          <w:tcPr>
            <w:tcW w:w="0" w:type="dxa"/>
            <w:vAlign w:val="bottom"/>
          </w:tcPr>
          <w:p>
            <w:pPr>
              <w:spacing w:after="0"/>
              <w:rPr>
                <w:sz w:val="1"/>
                <w:szCs w:val="1"/>
                <w:color w:val="auto"/>
              </w:rPr>
            </w:pPr>
          </w:p>
        </w:tc>
      </w:tr>
      <w:tr>
        <w:trPr>
          <w:trHeight w:val="152"/>
        </w:trPr>
        <w:tc>
          <w:tcPr>
            <w:tcW w:w="2000" w:type="dxa"/>
            <w:vAlign w:val="bottom"/>
            <w:gridSpan w:val="4"/>
          </w:tcPr>
          <w:p>
            <w:pPr>
              <w:ind w:left="40"/>
              <w:spacing w:after="0"/>
              <w:rPr>
                <w:sz w:val="20"/>
                <w:szCs w:val="20"/>
                <w:color w:val="auto"/>
              </w:rPr>
            </w:pPr>
            <w:r>
              <w:rPr>
                <w:rFonts w:ascii="Times New Roman" w:cs="Times New Roman" w:eastAsia="Times New Roman" w:hAnsi="Times New Roman"/>
                <w:sz w:val="10"/>
                <w:szCs w:val="10"/>
                <w:color w:val="0D0D0D"/>
              </w:rPr>
              <w:t>Discounts without performance obligations</w:t>
            </w:r>
          </w:p>
        </w:tc>
        <w:tc>
          <w:tcPr>
            <w:tcW w:w="120" w:type="dxa"/>
            <w:vAlign w:val="bottom"/>
          </w:tcPr>
          <w:p>
            <w:pPr>
              <w:spacing w:after="0"/>
              <w:rPr>
                <w:sz w:val="13"/>
                <w:szCs w:val="13"/>
                <w:color w:val="auto"/>
              </w:rPr>
            </w:pPr>
          </w:p>
        </w:tc>
        <w:tc>
          <w:tcPr>
            <w:tcW w:w="140" w:type="dxa"/>
            <w:vAlign w:val="bottom"/>
          </w:tcPr>
          <w:p>
            <w:pPr>
              <w:spacing w:after="0"/>
              <w:rPr>
                <w:sz w:val="13"/>
                <w:szCs w:val="13"/>
                <w:color w:val="auto"/>
              </w:rPr>
            </w:pPr>
          </w:p>
        </w:tc>
        <w:tc>
          <w:tcPr>
            <w:tcW w:w="840" w:type="dxa"/>
            <w:vAlign w:val="bottom"/>
          </w:tcPr>
          <w:p>
            <w:pPr>
              <w:spacing w:after="0"/>
              <w:rPr>
                <w:sz w:val="13"/>
                <w:szCs w:val="13"/>
                <w:color w:val="auto"/>
              </w:rPr>
            </w:pP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(151)</w:t>
            </w:r>
          </w:p>
        </w:tc>
        <w:tc>
          <w:tcPr>
            <w:tcW w:w="6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(212)</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(40)</w:t>
            </w:r>
          </w:p>
        </w:tc>
        <w:tc>
          <w:tcPr>
            <w:tcW w:w="40" w:type="dxa"/>
            <w:vAlign w:val="bottom"/>
            <w:shd w:val="clear" w:color="auto" w:fill="F0F5FF"/>
          </w:tcPr>
          <w:p>
            <w:pPr>
              <w:spacing w:after="0"/>
              <w:rPr>
                <w:sz w:val="13"/>
                <w:szCs w:val="13"/>
                <w:color w:val="auto"/>
              </w:rPr>
            </w:pPr>
          </w:p>
        </w:tc>
        <w:tc>
          <w:tcPr>
            <w:tcW w:w="50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56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(404)</w:t>
            </w:r>
          </w:p>
        </w:tc>
        <w:tc>
          <w:tcPr>
            <w:tcW w:w="640" w:type="dxa"/>
            <w:vAlign w:val="bottom"/>
            <w:gridSpan w:val="2"/>
          </w:tcPr>
          <w:p>
            <w:pPr>
              <w:jc w:val="right"/>
              <w:ind w:right="13"/>
              <w:spacing w:after="0"/>
              <w:rPr>
                <w:sz w:val="20"/>
                <w:szCs w:val="20"/>
                <w:color w:val="auto"/>
              </w:rPr>
            </w:pPr>
            <w:r>
              <w:rPr>
                <w:rFonts w:ascii="Times New Roman" w:cs="Times New Roman" w:eastAsia="Times New Roman" w:hAnsi="Times New Roman"/>
                <w:sz w:val="10"/>
                <w:szCs w:val="10"/>
                <w:color w:val="0D0D0D"/>
              </w:rPr>
              <w:t>(205)</w:t>
            </w:r>
          </w:p>
        </w:tc>
        <w:tc>
          <w:tcPr>
            <w:tcW w:w="66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(211)</w:t>
            </w:r>
          </w:p>
        </w:tc>
        <w:tc>
          <w:tcPr>
            <w:tcW w:w="580" w:type="dxa"/>
            <w:vAlign w:val="bottom"/>
          </w:tcPr>
          <w:p>
            <w:pPr>
              <w:jc w:val="right"/>
              <w:ind w:right="51"/>
              <w:spacing w:after="0"/>
              <w:rPr>
                <w:sz w:val="20"/>
                <w:szCs w:val="20"/>
                <w:color w:val="auto"/>
              </w:rPr>
            </w:pPr>
            <w:r>
              <w:rPr>
                <w:rFonts w:ascii="Times New Roman" w:cs="Times New Roman" w:eastAsia="Times New Roman" w:hAnsi="Times New Roman"/>
                <w:sz w:val="10"/>
                <w:szCs w:val="10"/>
                <w:color w:val="0D0D0D"/>
              </w:rPr>
              <w:t>(121)</w:t>
            </w:r>
          </w:p>
        </w:tc>
        <w:tc>
          <w:tcPr>
            <w:tcW w:w="60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(2)</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spacing w:after="0"/>
              <w:rPr>
                <w:sz w:val="20"/>
                <w:szCs w:val="20"/>
                <w:color w:val="auto"/>
              </w:rPr>
            </w:pPr>
            <w:r>
              <w:rPr>
                <w:rFonts w:ascii="Times New Roman" w:cs="Times New Roman" w:eastAsia="Times New Roman" w:hAnsi="Times New Roman"/>
                <w:sz w:val="10"/>
                <w:szCs w:val="10"/>
                <w:b w:val="1"/>
                <w:bCs w:val="1"/>
                <w:color w:val="auto"/>
              </w:rPr>
              <w:t>(539)</w:t>
            </w:r>
          </w:p>
        </w:tc>
        <w:tc>
          <w:tcPr>
            <w:tcW w:w="0" w:type="dxa"/>
            <w:vAlign w:val="bottom"/>
          </w:tcPr>
          <w:p>
            <w:pPr>
              <w:spacing w:after="0"/>
              <w:rPr>
                <w:sz w:val="1"/>
                <w:szCs w:val="1"/>
                <w:color w:val="auto"/>
              </w:rPr>
            </w:pPr>
          </w:p>
        </w:tc>
      </w:tr>
      <w:tr>
        <w:trPr>
          <w:trHeight w:val="157"/>
        </w:trPr>
        <w:tc>
          <w:tcPr>
            <w:tcW w:w="11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Trade payables</w:t>
            </w:r>
          </w:p>
        </w:tc>
        <w:tc>
          <w:tcPr>
            <w:tcW w:w="420" w:type="dxa"/>
            <w:vAlign w:val="bottom"/>
            <w:tcBorders>
              <w:bottom w:val="single" w:sz="8" w:color="005AFF"/>
            </w:tcBorders>
          </w:tcPr>
          <w:p>
            <w:pPr>
              <w:spacing w:after="0"/>
              <w:rPr>
                <w:sz w:val="13"/>
                <w:szCs w:val="13"/>
                <w:color w:val="auto"/>
              </w:rPr>
            </w:pPr>
          </w:p>
        </w:tc>
        <w:tc>
          <w:tcPr>
            <w:tcW w:w="120" w:type="dxa"/>
            <w:vAlign w:val="bottom"/>
            <w:tcBorders>
              <w:bottom w:val="single" w:sz="8" w:color="005AFF"/>
            </w:tcBorders>
          </w:tcPr>
          <w:p>
            <w:pPr>
              <w:spacing w:after="0"/>
              <w:rPr>
                <w:sz w:val="13"/>
                <w:szCs w:val="13"/>
                <w:color w:val="auto"/>
              </w:rPr>
            </w:pPr>
          </w:p>
        </w:tc>
        <w:tc>
          <w:tcPr>
            <w:tcW w:w="300" w:type="dxa"/>
            <w:vAlign w:val="bottom"/>
            <w:tcBorders>
              <w:bottom w:val="single" w:sz="8" w:color="005AFF"/>
            </w:tcBorders>
          </w:tcPr>
          <w:p>
            <w:pPr>
              <w:spacing w:after="0"/>
              <w:rPr>
                <w:sz w:val="13"/>
                <w:szCs w:val="13"/>
                <w:color w:val="auto"/>
              </w:rPr>
            </w:pPr>
          </w:p>
        </w:tc>
        <w:tc>
          <w:tcPr>
            <w:tcW w:w="120" w:type="dxa"/>
            <w:vAlign w:val="bottom"/>
            <w:tcBorders>
              <w:bottom w:val="single" w:sz="8" w:color="005AFF"/>
            </w:tcBorders>
          </w:tcPr>
          <w:p>
            <w:pPr>
              <w:spacing w:after="0"/>
              <w:rPr>
                <w:sz w:val="13"/>
                <w:szCs w:val="13"/>
                <w:color w:val="auto"/>
              </w:rPr>
            </w:pPr>
          </w:p>
        </w:tc>
        <w:tc>
          <w:tcPr>
            <w:tcW w:w="140" w:type="dxa"/>
            <w:vAlign w:val="bottom"/>
            <w:tcBorders>
              <w:bottom w:val="single" w:sz="8" w:color="005AFF"/>
            </w:tcBorders>
          </w:tcPr>
          <w:p>
            <w:pPr>
              <w:spacing w:after="0"/>
              <w:rPr>
                <w:sz w:val="13"/>
                <w:szCs w:val="13"/>
                <w:color w:val="auto"/>
              </w:rPr>
            </w:pPr>
          </w:p>
        </w:tc>
        <w:tc>
          <w:tcPr>
            <w:tcW w:w="840" w:type="dxa"/>
            <w:vAlign w:val="bottom"/>
            <w:tcBorders>
              <w:bottom w:val="single" w:sz="8" w:color="005AFF"/>
            </w:tcBorders>
          </w:tcPr>
          <w:p>
            <w:pPr>
              <w:spacing w:after="0"/>
              <w:rPr>
                <w:sz w:val="13"/>
                <w:szCs w:val="13"/>
                <w:color w:val="auto"/>
              </w:rPr>
            </w:pP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(3 154)</w:t>
            </w:r>
          </w:p>
        </w:tc>
        <w:tc>
          <w:tcPr>
            <w:tcW w:w="6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(204)</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(64)</w:t>
            </w:r>
          </w:p>
        </w:tc>
        <w:tc>
          <w:tcPr>
            <w:tcW w:w="40" w:type="dxa"/>
            <w:vAlign w:val="bottom"/>
            <w:tcBorders>
              <w:bottom w:val="single" w:sz="8" w:color="005AFF"/>
            </w:tcBorders>
            <w:shd w:val="clear" w:color="auto" w:fill="F0F5FF"/>
          </w:tcPr>
          <w:p>
            <w:pPr>
              <w:spacing w:after="0"/>
              <w:rPr>
                <w:sz w:val="13"/>
                <w:szCs w:val="13"/>
                <w:color w:val="auto"/>
              </w:rPr>
            </w:pPr>
          </w:p>
        </w:tc>
        <w:tc>
          <w:tcPr>
            <w:tcW w:w="50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w:t>
            </w:r>
          </w:p>
        </w:tc>
        <w:tc>
          <w:tcPr>
            <w:tcW w:w="58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(3 423)</w:t>
            </w:r>
          </w:p>
        </w:tc>
        <w:tc>
          <w:tcPr>
            <w:tcW w:w="640" w:type="dxa"/>
            <w:vAlign w:val="bottom"/>
            <w:tcBorders>
              <w:bottom w:val="single" w:sz="8" w:color="005AFF"/>
            </w:tcBorders>
            <w:gridSpan w:val="2"/>
          </w:tcPr>
          <w:p>
            <w:pPr>
              <w:jc w:val="right"/>
              <w:ind w:right="33"/>
              <w:spacing w:after="0"/>
              <w:rPr>
                <w:sz w:val="20"/>
                <w:szCs w:val="20"/>
                <w:color w:val="auto"/>
              </w:rPr>
            </w:pPr>
            <w:r>
              <w:rPr>
                <w:rFonts w:ascii="Times New Roman" w:cs="Times New Roman" w:eastAsia="Times New Roman" w:hAnsi="Times New Roman"/>
                <w:sz w:val="10"/>
                <w:szCs w:val="10"/>
                <w:color w:val="0D0D0D"/>
              </w:rPr>
              <w:t>(4 561)</w:t>
            </w:r>
          </w:p>
        </w:tc>
        <w:tc>
          <w:tcPr>
            <w:tcW w:w="66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(165)</w:t>
            </w:r>
          </w:p>
        </w:tc>
        <w:tc>
          <w:tcPr>
            <w:tcW w:w="580" w:type="dxa"/>
            <w:vAlign w:val="bottom"/>
            <w:tcBorders>
              <w:bottom w:val="single" w:sz="8" w:color="005AFF"/>
            </w:tcBorders>
          </w:tcPr>
          <w:p>
            <w:pPr>
              <w:ind w:left="380"/>
              <w:spacing w:after="0"/>
              <w:rPr>
                <w:sz w:val="20"/>
                <w:szCs w:val="20"/>
                <w:color w:val="auto"/>
              </w:rPr>
            </w:pPr>
            <w:r>
              <w:rPr>
                <w:rFonts w:ascii="Times New Roman" w:cs="Times New Roman" w:eastAsia="Times New Roman" w:hAnsi="Times New Roman"/>
                <w:sz w:val="10"/>
                <w:szCs w:val="10"/>
                <w:color w:val="0D0D0D"/>
              </w:rPr>
              <w:t>(3)</w:t>
            </w:r>
          </w:p>
        </w:tc>
        <w:tc>
          <w:tcPr>
            <w:tcW w:w="600" w:type="dxa"/>
            <w:vAlign w:val="bottom"/>
            <w:tcBorders>
              <w:bottom w:val="single" w:sz="8" w:color="005AFF"/>
            </w:tcBorders>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tcBorders>
              <w:bottom w:val="single" w:sz="8" w:color="005AFF"/>
            </w:tcBorders>
          </w:tcPr>
          <w:p>
            <w:pPr>
              <w:ind w:left="340"/>
              <w:spacing w:after="0"/>
              <w:rPr>
                <w:sz w:val="20"/>
                <w:szCs w:val="20"/>
                <w:color w:val="auto"/>
              </w:rPr>
            </w:pPr>
            <w:r>
              <w:rPr>
                <w:rFonts w:ascii="Times New Roman" w:cs="Times New Roman" w:eastAsia="Times New Roman" w:hAnsi="Times New Roman"/>
                <w:sz w:val="10"/>
                <w:szCs w:val="10"/>
                <w:color w:val="0D0D0D"/>
                <w:w w:val="85"/>
              </w:rPr>
              <w:t>(1)</w:t>
            </w:r>
          </w:p>
        </w:tc>
        <w:tc>
          <w:tcPr>
            <w:tcW w:w="58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b w:val="1"/>
                <w:bCs w:val="1"/>
                <w:color w:val="auto"/>
              </w:rPr>
              <w:t>(4 730)</w:t>
            </w:r>
          </w:p>
        </w:tc>
        <w:tc>
          <w:tcPr>
            <w:tcW w:w="0" w:type="dxa"/>
            <w:vAlign w:val="bottom"/>
          </w:tcPr>
          <w:p>
            <w:pPr>
              <w:spacing w:after="0"/>
              <w:rPr>
                <w:sz w:val="1"/>
                <w:szCs w:val="1"/>
                <w:color w:val="auto"/>
              </w:rPr>
            </w:pPr>
          </w:p>
        </w:tc>
      </w:tr>
      <w:tr>
        <w:trPr>
          <w:trHeight w:val="127"/>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b w:val="1"/>
                <w:bCs w:val="1"/>
                <w:color w:val="005AFF"/>
              </w:rPr>
              <w:t>Commitments given and obtained</w:t>
            </w:r>
          </w:p>
        </w:tc>
        <w:tc>
          <w:tcPr>
            <w:tcW w:w="120" w:type="dxa"/>
            <w:vAlign w:val="bottom"/>
          </w:tcPr>
          <w:p>
            <w:pPr>
              <w:spacing w:after="0"/>
              <w:rPr>
                <w:sz w:val="11"/>
                <w:szCs w:val="11"/>
                <w:color w:val="auto"/>
              </w:rPr>
            </w:pPr>
          </w:p>
        </w:tc>
        <w:tc>
          <w:tcPr>
            <w:tcW w:w="300" w:type="dxa"/>
            <w:vAlign w:val="bottom"/>
          </w:tcPr>
          <w:p>
            <w:pPr>
              <w:spacing w:after="0"/>
              <w:rPr>
                <w:sz w:val="11"/>
                <w:szCs w:val="11"/>
                <w:color w:val="auto"/>
              </w:rPr>
            </w:pP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680" w:type="dxa"/>
            <w:vAlign w:val="bottom"/>
            <w:shd w:val="clear" w:color="auto" w:fill="F0F5FF"/>
          </w:tcPr>
          <w:p>
            <w:pPr>
              <w:spacing w:after="0"/>
              <w:rPr>
                <w:sz w:val="11"/>
                <w:szCs w:val="11"/>
                <w:color w:val="auto"/>
              </w:rPr>
            </w:pPr>
          </w:p>
        </w:tc>
        <w:tc>
          <w:tcPr>
            <w:tcW w:w="540" w:type="dxa"/>
            <w:vAlign w:val="bottom"/>
            <w:shd w:val="clear" w:color="auto" w:fill="F0F5FF"/>
          </w:tcPr>
          <w:p>
            <w:pPr>
              <w:spacing w:after="0"/>
              <w:rPr>
                <w:sz w:val="11"/>
                <w:szCs w:val="11"/>
                <w:color w:val="auto"/>
              </w:rPr>
            </w:pPr>
          </w:p>
        </w:tc>
        <w:tc>
          <w:tcPr>
            <w:tcW w:w="40" w:type="dxa"/>
            <w:vAlign w:val="bottom"/>
            <w:shd w:val="clear" w:color="auto" w:fill="F0F5FF"/>
          </w:tcPr>
          <w:p>
            <w:pPr>
              <w:spacing w:after="0"/>
              <w:rPr>
                <w:sz w:val="11"/>
                <w:szCs w:val="11"/>
                <w:color w:val="auto"/>
              </w:rPr>
            </w:pPr>
          </w:p>
        </w:tc>
        <w:tc>
          <w:tcPr>
            <w:tcW w:w="500" w:type="dxa"/>
            <w:vAlign w:val="bottom"/>
            <w:shd w:val="clear" w:color="auto" w:fill="F0F5FF"/>
          </w:tcPr>
          <w:p>
            <w:pPr>
              <w:spacing w:after="0"/>
              <w:rPr>
                <w:sz w:val="11"/>
                <w:szCs w:val="11"/>
                <w:color w:val="auto"/>
              </w:rPr>
            </w:pPr>
          </w:p>
        </w:tc>
        <w:tc>
          <w:tcPr>
            <w:tcW w:w="560" w:type="dxa"/>
            <w:vAlign w:val="bottom"/>
            <w:shd w:val="clear" w:color="auto" w:fill="F0F5FF"/>
          </w:tcPr>
          <w:p>
            <w:pPr>
              <w:spacing w:after="0"/>
              <w:rPr>
                <w:sz w:val="11"/>
                <w:szCs w:val="11"/>
                <w:color w:val="auto"/>
              </w:rPr>
            </w:pPr>
          </w:p>
        </w:tc>
        <w:tc>
          <w:tcPr>
            <w:tcW w:w="580" w:type="dxa"/>
            <w:vAlign w:val="bottom"/>
            <w:shd w:val="clear" w:color="auto" w:fill="F0F5FF"/>
          </w:tcPr>
          <w:p>
            <w:pPr>
              <w:spacing w:after="0"/>
              <w:rPr>
                <w:sz w:val="11"/>
                <w:szCs w:val="11"/>
                <w:color w:val="auto"/>
              </w:rPr>
            </w:pPr>
          </w:p>
        </w:tc>
        <w:tc>
          <w:tcPr>
            <w:tcW w:w="4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6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600" w:type="dxa"/>
            <w:vAlign w:val="bottom"/>
          </w:tcPr>
          <w:p>
            <w:pPr>
              <w:spacing w:after="0"/>
              <w:rPr>
                <w:sz w:val="11"/>
                <w:szCs w:val="11"/>
                <w:color w:val="auto"/>
              </w:rPr>
            </w:pPr>
          </w:p>
        </w:tc>
        <w:tc>
          <w:tcPr>
            <w:tcW w:w="46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00"/>
        </w:trPr>
        <w:tc>
          <w:tcPr>
            <w:tcW w:w="158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Loan commitments given undrawn</w:t>
            </w:r>
          </w:p>
        </w:tc>
        <w:tc>
          <w:tcPr>
            <w:tcW w:w="120" w:type="dxa"/>
            <w:vAlign w:val="bottom"/>
          </w:tcPr>
          <w:p>
            <w:pPr>
              <w:jc w:val="right"/>
              <w:ind w:right="7"/>
              <w:spacing w:after="0"/>
              <w:rPr>
                <w:sz w:val="20"/>
                <w:szCs w:val="20"/>
                <w:color w:val="auto"/>
              </w:rPr>
            </w:pPr>
            <w:r>
              <w:rPr>
                <w:rFonts w:ascii="Times New Roman" w:cs="Times New Roman" w:eastAsia="Times New Roman" w:hAnsi="Times New Roman"/>
                <w:sz w:val="7"/>
                <w:szCs w:val="7"/>
                <w:color w:val="0D0D0D"/>
                <w:w w:val="72"/>
              </w:rPr>
              <w:t>(4)</w:t>
            </w:r>
          </w:p>
        </w:tc>
        <w:tc>
          <w:tcPr>
            <w:tcW w:w="300" w:type="dxa"/>
            <w:vAlign w:val="bottom"/>
          </w:tcPr>
          <w:p>
            <w:pPr>
              <w:spacing w:after="0"/>
              <w:rPr>
                <w:sz w:val="8"/>
                <w:szCs w:val="8"/>
                <w:color w:val="auto"/>
              </w:rPr>
            </w:pPr>
          </w:p>
        </w:tc>
        <w:tc>
          <w:tcPr>
            <w:tcW w:w="120" w:type="dxa"/>
            <w:vAlign w:val="bottom"/>
          </w:tcPr>
          <w:p>
            <w:pPr>
              <w:spacing w:after="0"/>
              <w:rPr>
                <w:sz w:val="8"/>
                <w:szCs w:val="8"/>
                <w:color w:val="auto"/>
              </w:rPr>
            </w:pPr>
          </w:p>
        </w:tc>
        <w:tc>
          <w:tcPr>
            <w:tcW w:w="140" w:type="dxa"/>
            <w:vAlign w:val="bottom"/>
          </w:tcPr>
          <w:p>
            <w:pPr>
              <w:spacing w:after="0"/>
              <w:rPr>
                <w:sz w:val="8"/>
                <w:szCs w:val="8"/>
                <w:color w:val="auto"/>
              </w:rPr>
            </w:pPr>
          </w:p>
        </w:tc>
        <w:tc>
          <w:tcPr>
            <w:tcW w:w="840" w:type="dxa"/>
            <w:vAlign w:val="bottom"/>
          </w:tcPr>
          <w:p>
            <w:pPr>
              <w:spacing w:after="0"/>
              <w:rPr>
                <w:sz w:val="8"/>
                <w:szCs w:val="8"/>
                <w:color w:val="auto"/>
              </w:rPr>
            </w:pPr>
          </w:p>
        </w:tc>
        <w:tc>
          <w:tcPr>
            <w:tcW w:w="560" w:type="dxa"/>
            <w:vAlign w:val="bottom"/>
            <w:vMerge w:val="restart"/>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85"/>
              </w:rPr>
              <w:t>(1)</w:t>
            </w:r>
          </w:p>
        </w:tc>
        <w:tc>
          <w:tcPr>
            <w:tcW w:w="6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40" w:type="dxa"/>
            <w:vAlign w:val="bottom"/>
            <w:shd w:val="clear" w:color="auto" w:fill="F0F5FF"/>
          </w:tcPr>
          <w:p>
            <w:pPr>
              <w:spacing w:after="0"/>
              <w:rPr>
                <w:sz w:val="8"/>
                <w:szCs w:val="8"/>
                <w:color w:val="auto"/>
              </w:rPr>
            </w:pPr>
          </w:p>
        </w:tc>
        <w:tc>
          <w:tcPr>
            <w:tcW w:w="50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(5)</w:t>
            </w:r>
          </w:p>
        </w:tc>
        <w:tc>
          <w:tcPr>
            <w:tcW w:w="640" w:type="dxa"/>
            <w:vAlign w:val="bottom"/>
            <w:gridSpan w:val="2"/>
            <w:vMerge w:val="restart"/>
          </w:tcPr>
          <w:p>
            <w:pPr>
              <w:jc w:val="right"/>
              <w:ind w:right="13"/>
              <w:spacing w:after="0"/>
              <w:rPr>
                <w:sz w:val="20"/>
                <w:szCs w:val="20"/>
                <w:color w:val="auto"/>
              </w:rPr>
            </w:pPr>
            <w:r>
              <w:rPr>
                <w:rFonts w:ascii="Times New Roman" w:cs="Times New Roman" w:eastAsia="Times New Roman" w:hAnsi="Times New Roman"/>
                <w:sz w:val="10"/>
                <w:szCs w:val="10"/>
                <w:color w:val="0D0D0D"/>
              </w:rPr>
              <w:t>(13)</w:t>
            </w:r>
          </w:p>
        </w:tc>
        <w:tc>
          <w:tcPr>
            <w:tcW w:w="660" w:type="dxa"/>
            <w:vAlign w:val="bottom"/>
            <w:vMerge w:val="restart"/>
          </w:tcPr>
          <w:p>
            <w:pPr>
              <w:jc w:val="right"/>
              <w:ind w:right="30"/>
              <w:spacing w:after="0"/>
              <w:rPr>
                <w:sz w:val="20"/>
                <w:szCs w:val="20"/>
                <w:color w:val="auto"/>
              </w:rPr>
            </w:pPr>
            <w:r>
              <w:rPr>
                <w:rFonts w:ascii="Times New Roman" w:cs="Times New Roman" w:eastAsia="Times New Roman" w:hAnsi="Times New Roman"/>
                <w:sz w:val="10"/>
                <w:szCs w:val="10"/>
                <w:color w:val="0D0D0D"/>
              </w:rPr>
              <w:t>(13)</w:t>
            </w:r>
          </w:p>
        </w:tc>
        <w:tc>
          <w:tcPr>
            <w:tcW w:w="58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600" w:type="dxa"/>
            <w:vAlign w:val="bottom"/>
            <w:vMerge w:val="restart"/>
          </w:tcPr>
          <w:p>
            <w:pPr>
              <w:jc w:val="center"/>
              <w:ind w:left="210"/>
              <w:spacing w:after="0"/>
              <w:rPr>
                <w:sz w:val="20"/>
                <w:szCs w:val="20"/>
                <w:color w:val="auto"/>
              </w:rPr>
            </w:pPr>
            <w:r>
              <w:rPr>
                <w:rFonts w:ascii="Times New Roman" w:cs="Times New Roman" w:eastAsia="Times New Roman" w:hAnsi="Times New Roman"/>
                <w:sz w:val="10"/>
                <w:szCs w:val="10"/>
                <w:color w:val="0D0D0D"/>
                <w:w w:val="99"/>
              </w:rPr>
              <w:t>—</w:t>
            </w:r>
          </w:p>
        </w:tc>
        <w:tc>
          <w:tcPr>
            <w:tcW w:w="46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vMerge w:val="restart"/>
          </w:tcPr>
          <w:p>
            <w:pPr>
              <w:jc w:val="right"/>
              <w:spacing w:after="0"/>
              <w:rPr>
                <w:sz w:val="20"/>
                <w:szCs w:val="20"/>
                <w:color w:val="auto"/>
              </w:rPr>
            </w:pPr>
            <w:r>
              <w:rPr>
                <w:rFonts w:ascii="Times New Roman" w:cs="Times New Roman" w:eastAsia="Times New Roman" w:hAnsi="Times New Roman"/>
                <w:sz w:val="10"/>
                <w:szCs w:val="10"/>
                <w:b w:val="1"/>
                <w:bCs w:val="1"/>
                <w:color w:val="auto"/>
              </w:rPr>
              <w:t>(26)</w:t>
            </w:r>
          </w:p>
        </w:tc>
        <w:tc>
          <w:tcPr>
            <w:tcW w:w="0" w:type="dxa"/>
            <w:vAlign w:val="bottom"/>
          </w:tcPr>
          <w:p>
            <w:pPr>
              <w:spacing w:after="0"/>
              <w:rPr>
                <w:sz w:val="1"/>
                <w:szCs w:val="1"/>
                <w:color w:val="auto"/>
              </w:rPr>
            </w:pPr>
          </w:p>
        </w:tc>
      </w:tr>
      <w:tr>
        <w:trPr>
          <w:trHeight w:val="50"/>
        </w:trPr>
        <w:tc>
          <w:tcPr>
            <w:tcW w:w="1580" w:type="dxa"/>
            <w:vAlign w:val="bottom"/>
            <w:gridSpan w:val="2"/>
            <w:vMerge w:val="continue"/>
          </w:tcPr>
          <w:p>
            <w:pPr>
              <w:spacing w:after="0"/>
              <w:rPr>
                <w:sz w:val="4"/>
                <w:szCs w:val="4"/>
                <w:color w:val="auto"/>
              </w:rPr>
            </w:pPr>
          </w:p>
        </w:tc>
        <w:tc>
          <w:tcPr>
            <w:tcW w:w="120" w:type="dxa"/>
            <w:vAlign w:val="bottom"/>
          </w:tcPr>
          <w:p>
            <w:pPr>
              <w:spacing w:after="0"/>
              <w:rPr>
                <w:sz w:val="4"/>
                <w:szCs w:val="4"/>
                <w:color w:val="auto"/>
              </w:rPr>
            </w:pPr>
          </w:p>
        </w:tc>
        <w:tc>
          <w:tcPr>
            <w:tcW w:w="300" w:type="dxa"/>
            <w:vAlign w:val="bottom"/>
          </w:tcPr>
          <w:p>
            <w:pPr>
              <w:spacing w:after="0"/>
              <w:rPr>
                <w:sz w:val="4"/>
                <w:szCs w:val="4"/>
                <w:color w:val="auto"/>
              </w:rPr>
            </w:pPr>
          </w:p>
        </w:tc>
        <w:tc>
          <w:tcPr>
            <w:tcW w:w="120" w:type="dxa"/>
            <w:vAlign w:val="bottom"/>
          </w:tcPr>
          <w:p>
            <w:pPr>
              <w:spacing w:after="0"/>
              <w:rPr>
                <w:sz w:val="4"/>
                <w:szCs w:val="4"/>
                <w:color w:val="auto"/>
              </w:rPr>
            </w:pPr>
          </w:p>
        </w:tc>
        <w:tc>
          <w:tcPr>
            <w:tcW w:w="140" w:type="dxa"/>
            <w:vAlign w:val="bottom"/>
          </w:tcPr>
          <w:p>
            <w:pPr>
              <w:spacing w:after="0"/>
              <w:rPr>
                <w:sz w:val="4"/>
                <w:szCs w:val="4"/>
                <w:color w:val="auto"/>
              </w:rPr>
            </w:pPr>
          </w:p>
        </w:tc>
        <w:tc>
          <w:tcPr>
            <w:tcW w:w="840" w:type="dxa"/>
            <w:vAlign w:val="bottom"/>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680" w:type="dxa"/>
            <w:vAlign w:val="bottom"/>
            <w:vMerge w:val="continue"/>
            <w:shd w:val="clear" w:color="auto" w:fill="F0F5FF"/>
          </w:tcPr>
          <w:p>
            <w:pPr>
              <w:spacing w:after="0"/>
              <w:rPr>
                <w:sz w:val="4"/>
                <w:szCs w:val="4"/>
                <w:color w:val="auto"/>
              </w:rPr>
            </w:pPr>
          </w:p>
        </w:tc>
        <w:tc>
          <w:tcPr>
            <w:tcW w:w="540" w:type="dxa"/>
            <w:vAlign w:val="bottom"/>
            <w:vMerge w:val="continue"/>
            <w:shd w:val="clear" w:color="auto" w:fill="F0F5FF"/>
          </w:tcPr>
          <w:p>
            <w:pPr>
              <w:spacing w:after="0"/>
              <w:rPr>
                <w:sz w:val="4"/>
                <w:szCs w:val="4"/>
                <w:color w:val="auto"/>
              </w:rPr>
            </w:pPr>
          </w:p>
        </w:tc>
        <w:tc>
          <w:tcPr>
            <w:tcW w:w="40" w:type="dxa"/>
            <w:vAlign w:val="bottom"/>
            <w:shd w:val="clear" w:color="auto" w:fill="F0F5FF"/>
          </w:tcPr>
          <w:p>
            <w:pPr>
              <w:spacing w:after="0"/>
              <w:rPr>
                <w:sz w:val="4"/>
                <w:szCs w:val="4"/>
                <w:color w:val="auto"/>
              </w:rPr>
            </w:pPr>
          </w:p>
        </w:tc>
        <w:tc>
          <w:tcPr>
            <w:tcW w:w="500" w:type="dxa"/>
            <w:vAlign w:val="bottom"/>
            <w:vMerge w:val="continue"/>
            <w:shd w:val="clear" w:color="auto" w:fill="F0F5FF"/>
          </w:tcPr>
          <w:p>
            <w:pPr>
              <w:spacing w:after="0"/>
              <w:rPr>
                <w:sz w:val="4"/>
                <w:szCs w:val="4"/>
                <w:color w:val="auto"/>
              </w:rPr>
            </w:pPr>
          </w:p>
        </w:tc>
        <w:tc>
          <w:tcPr>
            <w:tcW w:w="560" w:type="dxa"/>
            <w:vAlign w:val="bottom"/>
            <w:vMerge w:val="continue"/>
            <w:shd w:val="clear" w:color="auto" w:fill="F0F5FF"/>
          </w:tcPr>
          <w:p>
            <w:pPr>
              <w:spacing w:after="0"/>
              <w:rPr>
                <w:sz w:val="4"/>
                <w:szCs w:val="4"/>
                <w:color w:val="auto"/>
              </w:rPr>
            </w:pPr>
          </w:p>
        </w:tc>
        <w:tc>
          <w:tcPr>
            <w:tcW w:w="580" w:type="dxa"/>
            <w:vAlign w:val="bottom"/>
            <w:vMerge w:val="continue"/>
            <w:shd w:val="clear" w:color="auto" w:fill="F0F5FF"/>
          </w:tcPr>
          <w:p>
            <w:pPr>
              <w:spacing w:after="0"/>
              <w:rPr>
                <w:sz w:val="4"/>
                <w:szCs w:val="4"/>
                <w:color w:val="auto"/>
              </w:rPr>
            </w:pPr>
          </w:p>
        </w:tc>
        <w:tc>
          <w:tcPr>
            <w:tcW w:w="640" w:type="dxa"/>
            <w:vAlign w:val="bottom"/>
            <w:gridSpan w:val="2"/>
            <w:vMerge w:val="continue"/>
          </w:tcPr>
          <w:p>
            <w:pPr>
              <w:spacing w:after="0"/>
              <w:rPr>
                <w:sz w:val="4"/>
                <w:szCs w:val="4"/>
                <w:color w:val="auto"/>
              </w:rPr>
            </w:pPr>
          </w:p>
        </w:tc>
        <w:tc>
          <w:tcPr>
            <w:tcW w:w="6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600" w:type="dxa"/>
            <w:vAlign w:val="bottom"/>
            <w:vMerge w:val="continue"/>
          </w:tcPr>
          <w:p>
            <w:pPr>
              <w:spacing w:after="0"/>
              <w:rPr>
                <w:sz w:val="4"/>
                <w:szCs w:val="4"/>
                <w:color w:val="auto"/>
              </w:rPr>
            </w:pPr>
          </w:p>
        </w:tc>
        <w:tc>
          <w:tcPr>
            <w:tcW w:w="460" w:type="dxa"/>
            <w:vAlign w:val="bottom"/>
            <w:vMerge w:val="continue"/>
          </w:tcPr>
          <w:p>
            <w:pPr>
              <w:spacing w:after="0"/>
              <w:rPr>
                <w:sz w:val="4"/>
                <w:szCs w:val="4"/>
                <w:color w:val="auto"/>
              </w:rPr>
            </w:pPr>
          </w:p>
        </w:tc>
        <w:tc>
          <w:tcPr>
            <w:tcW w:w="58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37"/>
        </w:trPr>
        <w:tc>
          <w:tcPr>
            <w:tcW w:w="1580" w:type="dxa"/>
            <w:vAlign w:val="bottom"/>
            <w:gridSpan w:val="2"/>
          </w:tcPr>
          <w:p>
            <w:pPr>
              <w:ind w:left="40"/>
              <w:spacing w:after="0"/>
              <w:rPr>
                <w:sz w:val="20"/>
                <w:szCs w:val="20"/>
                <w:color w:val="auto"/>
              </w:rPr>
            </w:pPr>
            <w:r>
              <w:rPr>
                <w:rFonts w:ascii="Times New Roman" w:cs="Times New Roman" w:eastAsia="Times New Roman" w:hAnsi="Times New Roman"/>
                <w:sz w:val="10"/>
                <w:szCs w:val="10"/>
                <w:color w:val="0D0D0D"/>
              </w:rPr>
              <w:t>Loan commitments obtained undrawn</w:t>
            </w:r>
          </w:p>
        </w:tc>
        <w:tc>
          <w:tcPr>
            <w:tcW w:w="120" w:type="dxa"/>
            <w:vAlign w:val="bottom"/>
          </w:tcPr>
          <w:p>
            <w:pPr>
              <w:spacing w:after="0"/>
              <w:rPr>
                <w:sz w:val="11"/>
                <w:szCs w:val="11"/>
                <w:color w:val="auto"/>
              </w:rPr>
            </w:pPr>
          </w:p>
        </w:tc>
        <w:tc>
          <w:tcPr>
            <w:tcW w:w="300" w:type="dxa"/>
            <w:vAlign w:val="bottom"/>
          </w:tcPr>
          <w:p>
            <w:pPr>
              <w:jc w:val="right"/>
              <w:ind w:right="147"/>
              <w:spacing w:after="0"/>
              <w:rPr>
                <w:sz w:val="20"/>
                <w:szCs w:val="20"/>
                <w:color w:val="auto"/>
              </w:rPr>
            </w:pPr>
            <w:r>
              <w:rPr>
                <w:rFonts w:ascii="Times New Roman" w:cs="Times New Roman" w:eastAsia="Times New Roman" w:hAnsi="Times New Roman"/>
                <w:sz w:val="7"/>
                <w:szCs w:val="7"/>
                <w:color w:val="0D0D0D"/>
              </w:rPr>
              <w:t>(5)</w:t>
            </w:r>
          </w:p>
        </w:tc>
        <w:tc>
          <w:tcPr>
            <w:tcW w:w="120" w:type="dxa"/>
            <w:vAlign w:val="bottom"/>
          </w:tcPr>
          <w:p>
            <w:pPr>
              <w:spacing w:after="0"/>
              <w:rPr>
                <w:sz w:val="11"/>
                <w:szCs w:val="11"/>
                <w:color w:val="auto"/>
              </w:rPr>
            </w:pPr>
          </w:p>
        </w:tc>
        <w:tc>
          <w:tcPr>
            <w:tcW w:w="14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60" w:type="dxa"/>
            <w:vAlign w:val="bottom"/>
            <w:tcBorders>
              <w:bottom w:val="single" w:sz="8" w:color="F0F5FF"/>
            </w:tcBorders>
            <w:shd w:val="clear" w:color="auto" w:fill="F0F5FF"/>
          </w:tcPr>
          <w:p>
            <w:pPr>
              <w:ind w:left="440"/>
              <w:spacing w:after="0"/>
              <w:rPr>
                <w:sz w:val="20"/>
                <w:szCs w:val="20"/>
                <w:color w:val="auto"/>
              </w:rPr>
            </w:pPr>
            <w:r>
              <w:rPr>
                <w:rFonts w:ascii="Times New Roman" w:cs="Times New Roman" w:eastAsia="Times New Roman" w:hAnsi="Times New Roman"/>
                <w:sz w:val="10"/>
                <w:szCs w:val="10"/>
                <w:color w:val="005AFF"/>
                <w:w w:val="85"/>
              </w:rPr>
              <w:t>(1)</w:t>
            </w:r>
          </w:p>
        </w:tc>
        <w:tc>
          <w:tcPr>
            <w:tcW w:w="68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86</w:t>
            </w:r>
          </w:p>
        </w:tc>
        <w:tc>
          <w:tcPr>
            <w:tcW w:w="540" w:type="dxa"/>
            <w:vAlign w:val="bottom"/>
            <w:tcBorders>
              <w:bottom w:val="single" w:sz="8" w:color="F0F5FF"/>
            </w:tcBorders>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1 408</w:t>
            </w:r>
          </w:p>
        </w:tc>
        <w:tc>
          <w:tcPr>
            <w:tcW w:w="40" w:type="dxa"/>
            <w:vAlign w:val="bottom"/>
            <w:tcBorders>
              <w:bottom w:val="single" w:sz="8" w:color="F0F5FF"/>
            </w:tcBorders>
            <w:shd w:val="clear" w:color="auto" w:fill="F0F5FF"/>
          </w:tcPr>
          <w:p>
            <w:pPr>
              <w:spacing w:after="0"/>
              <w:rPr>
                <w:sz w:val="11"/>
                <w:szCs w:val="11"/>
                <w:color w:val="auto"/>
              </w:rPr>
            </w:pPr>
          </w:p>
        </w:tc>
        <w:tc>
          <w:tcPr>
            <w:tcW w:w="50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60" w:type="dxa"/>
            <w:vAlign w:val="bottom"/>
            <w:tcBorders>
              <w:bottom w:val="single" w:sz="8" w:color="F0F5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tcBorders>
              <w:bottom w:val="single" w:sz="8" w:color="F0F5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1 493</w:t>
            </w:r>
          </w:p>
        </w:tc>
        <w:tc>
          <w:tcPr>
            <w:tcW w:w="640" w:type="dxa"/>
            <w:vAlign w:val="bottom"/>
            <w:gridSpan w:val="2"/>
          </w:tcPr>
          <w:p>
            <w:pPr>
              <w:jc w:val="right"/>
              <w:spacing w:after="0"/>
              <w:rPr>
                <w:sz w:val="20"/>
                <w:szCs w:val="20"/>
                <w:color w:val="auto"/>
              </w:rPr>
            </w:pPr>
            <w:r>
              <w:rPr>
                <w:rFonts w:ascii="Times New Roman" w:cs="Times New Roman" w:eastAsia="Times New Roman" w:hAnsi="Times New Roman"/>
                <w:sz w:val="10"/>
                <w:szCs w:val="10"/>
                <w:color w:val="0D0D0D"/>
              </w:rPr>
              <w:t>(1)</w:t>
            </w:r>
          </w:p>
        </w:tc>
        <w:tc>
          <w:tcPr>
            <w:tcW w:w="66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(3)</w:t>
            </w:r>
          </w:p>
        </w:tc>
        <w:tc>
          <w:tcPr>
            <w:tcW w:w="580" w:type="dxa"/>
            <w:vAlign w:val="bottom"/>
          </w:tcPr>
          <w:p>
            <w:pPr>
              <w:jc w:val="right"/>
              <w:ind w:right="71"/>
              <w:spacing w:after="0"/>
              <w:rPr>
                <w:sz w:val="20"/>
                <w:szCs w:val="20"/>
                <w:color w:val="auto"/>
              </w:rPr>
            </w:pPr>
            <w:r>
              <w:rPr>
                <w:rFonts w:ascii="Times New Roman" w:cs="Times New Roman" w:eastAsia="Times New Roman" w:hAnsi="Times New Roman"/>
                <w:sz w:val="10"/>
                <w:szCs w:val="10"/>
                <w:color w:val="0D0D0D"/>
              </w:rPr>
              <w:t>80</w:t>
            </w:r>
          </w:p>
        </w:tc>
        <w:tc>
          <w:tcPr>
            <w:tcW w:w="600" w:type="dxa"/>
            <w:vAlign w:val="bottom"/>
          </w:tcPr>
          <w:p>
            <w:pPr>
              <w:jc w:val="right"/>
              <w:ind w:right="130"/>
              <w:spacing w:after="0"/>
              <w:rPr>
                <w:sz w:val="20"/>
                <w:szCs w:val="20"/>
                <w:color w:val="auto"/>
              </w:rPr>
            </w:pPr>
            <w:r>
              <w:rPr>
                <w:rFonts w:ascii="Times New Roman" w:cs="Times New Roman" w:eastAsia="Times New Roman" w:hAnsi="Times New Roman"/>
                <w:sz w:val="10"/>
                <w:szCs w:val="10"/>
                <w:color w:val="0D0D0D"/>
              </w:rPr>
              <w:t>1 410</w:t>
            </w:r>
          </w:p>
        </w:tc>
        <w:tc>
          <w:tcPr>
            <w:tcW w:w="460" w:type="dxa"/>
            <w:vAlign w:val="bottom"/>
          </w:tcPr>
          <w:p>
            <w:pPr>
              <w:ind w:left="340"/>
              <w:spacing w:after="0"/>
              <w:rPr>
                <w:sz w:val="20"/>
                <w:szCs w:val="20"/>
                <w:color w:val="auto"/>
              </w:rPr>
            </w:pPr>
            <w:r>
              <w:rPr>
                <w:rFonts w:ascii="Times New Roman" w:cs="Times New Roman" w:eastAsia="Times New Roman" w:hAnsi="Times New Roman"/>
                <w:sz w:val="10"/>
                <w:szCs w:val="10"/>
                <w:color w:val="0D0D0D"/>
                <w:w w:val="99"/>
              </w:rPr>
              <w:t>—</w:t>
            </w:r>
          </w:p>
        </w:tc>
        <w:tc>
          <w:tcPr>
            <w:tcW w:w="580" w:type="dxa"/>
            <w:vAlign w:val="bottom"/>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1 486</w:t>
            </w:r>
          </w:p>
        </w:tc>
        <w:tc>
          <w:tcPr>
            <w:tcW w:w="0" w:type="dxa"/>
            <w:vAlign w:val="bottom"/>
          </w:tcPr>
          <w:p>
            <w:pPr>
              <w:spacing w:after="0"/>
              <w:rPr>
                <w:sz w:val="1"/>
                <w:szCs w:val="1"/>
                <w:color w:val="auto"/>
              </w:rPr>
            </w:pPr>
          </w:p>
        </w:tc>
      </w:tr>
      <w:tr>
        <w:trPr>
          <w:trHeight w:val="20"/>
        </w:trPr>
        <w:tc>
          <w:tcPr>
            <w:tcW w:w="1160" w:type="dxa"/>
            <w:vAlign w:val="bottom"/>
            <w:shd w:val="clear" w:color="auto" w:fill="005AFF"/>
          </w:tcPr>
          <w:p>
            <w:pPr>
              <w:spacing w:after="0" w:line="20" w:lineRule="exact"/>
              <w:rPr>
                <w:sz w:val="1"/>
                <w:szCs w:val="1"/>
                <w:color w:val="auto"/>
              </w:rPr>
            </w:pPr>
          </w:p>
        </w:tc>
        <w:tc>
          <w:tcPr>
            <w:tcW w:w="420" w:type="dxa"/>
            <w:vAlign w:val="bottom"/>
            <w:shd w:val="clear" w:color="auto" w:fill="005AFF"/>
          </w:tcPr>
          <w:p>
            <w:pPr>
              <w:spacing w:after="0" w:line="20" w:lineRule="exact"/>
              <w:rPr>
                <w:sz w:val="1"/>
                <w:szCs w:val="1"/>
                <w:color w:val="auto"/>
              </w:rPr>
            </w:pPr>
          </w:p>
        </w:tc>
        <w:tc>
          <w:tcPr>
            <w:tcW w:w="120" w:type="dxa"/>
            <w:vAlign w:val="bottom"/>
            <w:shd w:val="clear" w:color="auto" w:fill="005AFF"/>
          </w:tcPr>
          <w:p>
            <w:pPr>
              <w:spacing w:after="0" w:line="20" w:lineRule="exact"/>
              <w:rPr>
                <w:sz w:val="1"/>
                <w:szCs w:val="1"/>
                <w:color w:val="auto"/>
              </w:rPr>
            </w:pPr>
          </w:p>
        </w:tc>
        <w:tc>
          <w:tcPr>
            <w:tcW w:w="300" w:type="dxa"/>
            <w:vAlign w:val="bottom"/>
            <w:shd w:val="clear" w:color="auto" w:fill="005AFF"/>
          </w:tcPr>
          <w:p>
            <w:pPr>
              <w:spacing w:after="0" w:line="20" w:lineRule="exact"/>
              <w:rPr>
                <w:sz w:val="1"/>
                <w:szCs w:val="1"/>
                <w:color w:val="auto"/>
              </w:rPr>
            </w:pPr>
          </w:p>
        </w:tc>
        <w:tc>
          <w:tcPr>
            <w:tcW w:w="120" w:type="dxa"/>
            <w:vAlign w:val="bottom"/>
            <w:shd w:val="clear" w:color="auto" w:fill="005AFF"/>
          </w:tcPr>
          <w:p>
            <w:pPr>
              <w:spacing w:after="0" w:line="20" w:lineRule="exact"/>
              <w:rPr>
                <w:sz w:val="1"/>
                <w:szCs w:val="1"/>
                <w:color w:val="auto"/>
              </w:rPr>
            </w:pPr>
          </w:p>
        </w:tc>
        <w:tc>
          <w:tcPr>
            <w:tcW w:w="140" w:type="dxa"/>
            <w:vAlign w:val="bottom"/>
            <w:shd w:val="clear" w:color="auto" w:fill="005AFF"/>
          </w:tcPr>
          <w:p>
            <w:pPr>
              <w:spacing w:after="0" w:line="20" w:lineRule="exact"/>
              <w:rPr>
                <w:sz w:val="1"/>
                <w:szCs w:val="1"/>
                <w:color w:val="auto"/>
              </w:rPr>
            </w:pPr>
          </w:p>
        </w:tc>
        <w:tc>
          <w:tcPr>
            <w:tcW w:w="840" w:type="dxa"/>
            <w:vAlign w:val="bottom"/>
            <w:shd w:val="clear" w:color="auto" w:fill="005AFF"/>
          </w:tcPr>
          <w:p>
            <w:pPr>
              <w:spacing w:after="0" w:line="20" w:lineRule="exact"/>
              <w:rPr>
                <w:sz w:val="1"/>
                <w:szCs w:val="1"/>
                <w:color w:val="auto"/>
              </w:rPr>
            </w:pPr>
          </w:p>
        </w:tc>
        <w:tc>
          <w:tcPr>
            <w:tcW w:w="560" w:type="dxa"/>
            <w:vAlign w:val="bottom"/>
            <w:shd w:val="clear" w:color="auto" w:fill="005AFF"/>
          </w:tcPr>
          <w:p>
            <w:pPr>
              <w:spacing w:after="0" w:line="20" w:lineRule="exact"/>
              <w:rPr>
                <w:sz w:val="1"/>
                <w:szCs w:val="1"/>
                <w:color w:val="auto"/>
              </w:rPr>
            </w:pPr>
          </w:p>
        </w:tc>
        <w:tc>
          <w:tcPr>
            <w:tcW w:w="680" w:type="dxa"/>
            <w:vAlign w:val="bottom"/>
            <w:shd w:val="clear" w:color="auto" w:fill="005AFF"/>
          </w:tcPr>
          <w:p>
            <w:pPr>
              <w:spacing w:after="0" w:line="20" w:lineRule="exact"/>
              <w:rPr>
                <w:sz w:val="1"/>
                <w:szCs w:val="1"/>
                <w:color w:val="auto"/>
              </w:rPr>
            </w:pPr>
          </w:p>
        </w:tc>
        <w:tc>
          <w:tcPr>
            <w:tcW w:w="540" w:type="dxa"/>
            <w:vAlign w:val="bottom"/>
            <w:shd w:val="clear" w:color="auto" w:fill="005AFF"/>
          </w:tcPr>
          <w:p>
            <w:pPr>
              <w:spacing w:after="0" w:line="20" w:lineRule="exact"/>
              <w:rPr>
                <w:sz w:val="1"/>
                <w:szCs w:val="1"/>
                <w:color w:val="auto"/>
              </w:rPr>
            </w:pPr>
          </w:p>
        </w:tc>
        <w:tc>
          <w:tcPr>
            <w:tcW w:w="40" w:type="dxa"/>
            <w:vAlign w:val="bottom"/>
            <w:shd w:val="clear" w:color="auto" w:fill="005AFF"/>
          </w:tcPr>
          <w:p>
            <w:pPr>
              <w:spacing w:after="0" w:line="20" w:lineRule="exact"/>
              <w:rPr>
                <w:sz w:val="1"/>
                <w:szCs w:val="1"/>
                <w:color w:val="auto"/>
              </w:rPr>
            </w:pPr>
          </w:p>
        </w:tc>
        <w:tc>
          <w:tcPr>
            <w:tcW w:w="500" w:type="dxa"/>
            <w:vAlign w:val="bottom"/>
            <w:shd w:val="clear" w:color="auto" w:fill="005AFF"/>
          </w:tcPr>
          <w:p>
            <w:pPr>
              <w:spacing w:after="0" w:line="20" w:lineRule="exact"/>
              <w:rPr>
                <w:sz w:val="1"/>
                <w:szCs w:val="1"/>
                <w:color w:val="auto"/>
              </w:rPr>
            </w:pPr>
          </w:p>
        </w:tc>
        <w:tc>
          <w:tcPr>
            <w:tcW w:w="560" w:type="dxa"/>
            <w:vAlign w:val="bottom"/>
            <w:shd w:val="clear" w:color="auto" w:fill="005AFF"/>
          </w:tcPr>
          <w:p>
            <w:pPr>
              <w:spacing w:after="0" w:line="20" w:lineRule="exact"/>
              <w:rPr>
                <w:sz w:val="1"/>
                <w:szCs w:val="1"/>
                <w:color w:val="auto"/>
              </w:rPr>
            </w:pPr>
          </w:p>
        </w:tc>
        <w:tc>
          <w:tcPr>
            <w:tcW w:w="580" w:type="dxa"/>
            <w:vAlign w:val="bottom"/>
            <w:shd w:val="clear" w:color="auto" w:fill="005AFF"/>
          </w:tcPr>
          <w:p>
            <w:pPr>
              <w:spacing w:after="0" w:line="20" w:lineRule="exact"/>
              <w:rPr>
                <w:sz w:val="1"/>
                <w:szCs w:val="1"/>
                <w:color w:val="auto"/>
              </w:rPr>
            </w:pPr>
          </w:p>
        </w:tc>
        <w:tc>
          <w:tcPr>
            <w:tcW w:w="40" w:type="dxa"/>
            <w:vAlign w:val="bottom"/>
            <w:shd w:val="clear" w:color="auto" w:fill="005AFF"/>
          </w:tcPr>
          <w:p>
            <w:pPr>
              <w:spacing w:after="0" w:line="20" w:lineRule="exact"/>
              <w:rPr>
                <w:sz w:val="1"/>
                <w:szCs w:val="1"/>
                <w:color w:val="auto"/>
              </w:rPr>
            </w:pPr>
          </w:p>
        </w:tc>
        <w:tc>
          <w:tcPr>
            <w:tcW w:w="600" w:type="dxa"/>
            <w:vAlign w:val="bottom"/>
            <w:shd w:val="clear" w:color="auto" w:fill="005AFF"/>
          </w:tcPr>
          <w:p>
            <w:pPr>
              <w:spacing w:after="0" w:line="20" w:lineRule="exact"/>
              <w:rPr>
                <w:sz w:val="1"/>
                <w:szCs w:val="1"/>
                <w:color w:val="auto"/>
              </w:rPr>
            </w:pPr>
          </w:p>
        </w:tc>
        <w:tc>
          <w:tcPr>
            <w:tcW w:w="660" w:type="dxa"/>
            <w:vAlign w:val="bottom"/>
            <w:shd w:val="clear" w:color="auto" w:fill="005AFF"/>
          </w:tcPr>
          <w:p>
            <w:pPr>
              <w:spacing w:after="0" w:line="20" w:lineRule="exact"/>
              <w:rPr>
                <w:sz w:val="1"/>
                <w:szCs w:val="1"/>
                <w:color w:val="auto"/>
              </w:rPr>
            </w:pPr>
          </w:p>
        </w:tc>
        <w:tc>
          <w:tcPr>
            <w:tcW w:w="580" w:type="dxa"/>
            <w:vAlign w:val="bottom"/>
            <w:shd w:val="clear" w:color="auto" w:fill="005AFF"/>
          </w:tcPr>
          <w:p>
            <w:pPr>
              <w:spacing w:after="0" w:line="20" w:lineRule="exact"/>
              <w:rPr>
                <w:sz w:val="1"/>
                <w:szCs w:val="1"/>
                <w:color w:val="auto"/>
              </w:rPr>
            </w:pPr>
          </w:p>
        </w:tc>
        <w:tc>
          <w:tcPr>
            <w:tcW w:w="600" w:type="dxa"/>
            <w:vAlign w:val="bottom"/>
            <w:shd w:val="clear" w:color="auto" w:fill="005AFF"/>
          </w:tcPr>
          <w:p>
            <w:pPr>
              <w:spacing w:after="0" w:line="20" w:lineRule="exact"/>
              <w:rPr>
                <w:sz w:val="1"/>
                <w:szCs w:val="1"/>
                <w:color w:val="auto"/>
              </w:rPr>
            </w:pPr>
          </w:p>
        </w:tc>
        <w:tc>
          <w:tcPr>
            <w:tcW w:w="460" w:type="dxa"/>
            <w:vAlign w:val="bottom"/>
            <w:shd w:val="clear" w:color="auto" w:fill="005AFF"/>
          </w:tcPr>
          <w:p>
            <w:pPr>
              <w:spacing w:after="0" w:line="20" w:lineRule="exact"/>
              <w:rPr>
                <w:sz w:val="1"/>
                <w:szCs w:val="1"/>
                <w:color w:val="auto"/>
              </w:rPr>
            </w:pPr>
          </w:p>
        </w:tc>
        <w:tc>
          <w:tcPr>
            <w:tcW w:w="580" w:type="dxa"/>
            <w:vAlign w:val="bottom"/>
            <w:shd w:val="clear" w:color="auto" w:fill="005AFF"/>
          </w:tcPr>
          <w:p>
            <w:pPr>
              <w:spacing w:after="0" w:line="20" w:lineRule="exact"/>
              <w:rPr>
                <w:sz w:val="1"/>
                <w:szCs w:val="1"/>
                <w:color w:val="auto"/>
              </w:rPr>
            </w:pPr>
          </w:p>
        </w:tc>
        <w:tc>
          <w:tcPr>
            <w:tcW w:w="0" w:type="dxa"/>
            <w:vAlign w:val="bottom"/>
          </w:tcPr>
          <w:p>
            <w:pPr>
              <w:spacing w:after="0" w:line="20" w:lineRule="exact"/>
              <w:rPr>
                <w:sz w:val="1"/>
                <w:szCs w:val="1"/>
                <w:color w:val="auto"/>
              </w:rPr>
            </w:pPr>
          </w:p>
        </w:tc>
      </w:tr>
    </w:tbl>
    <w:p>
      <w:pPr>
        <w:spacing w:after="0" w:line="1" w:lineRule="exact"/>
        <w:rPr>
          <w:sz w:val="20"/>
          <w:szCs w:val="20"/>
          <w:color w:val="auto"/>
        </w:rPr>
      </w:pPr>
    </w:p>
    <w:p>
      <w:pPr>
        <w:ind w:left="220" w:hanging="184"/>
        <w:spacing w:after="0"/>
        <w:tabs>
          <w:tab w:leader="none" w:pos="220" w:val="left"/>
        </w:tabs>
        <w:numPr>
          <w:ilvl w:val="0"/>
          <w:numId w:val="14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Other non-current financial assets and other current financial assets excluding derivatives include mainly customer financing-related loan receivables.</w:t>
      </w:r>
    </w:p>
    <w:p>
      <w:pPr>
        <w:spacing w:after="0" w:line="12" w:lineRule="exact"/>
        <w:rPr>
          <w:sz w:val="20"/>
          <w:szCs w:val="20"/>
          <w:color w:val="auto"/>
        </w:rPr>
      </w:pPr>
    </w:p>
    <w:p>
      <w:pPr>
        <w:ind w:left="40"/>
        <w:spacing w:after="0"/>
        <w:tabs>
          <w:tab w:leader="none" w:pos="200" w:val="left"/>
          <w:tab w:leader="none" w:pos="5940" w:val="left"/>
        </w:tabs>
        <w:rPr>
          <w:sz w:val="20"/>
          <w:szCs w:val="20"/>
          <w:color w:val="auto"/>
        </w:rPr>
      </w:pPr>
      <w:r>
        <w:rPr>
          <w:rFonts w:ascii="Times New Roman" w:cs="Times New Roman" w:eastAsia="Times New Roman" w:hAnsi="Times New Roman"/>
          <w:sz w:val="8"/>
          <w:szCs w:val="8"/>
          <w:color w:val="auto"/>
        </w:rPr>
        <w:t>(2)</w:t>
        <w:tab/>
        <w:t>Instruments that include a call feature have been presented at their final maturities. Instruments that are contractually due beyond three months include EUR</w:t>
      </w:r>
      <w:r>
        <w:rPr>
          <w:sz w:val="20"/>
          <w:szCs w:val="20"/>
          <w:color w:val="auto"/>
        </w:rPr>
        <w:tab/>
      </w:r>
      <w:r>
        <w:rPr>
          <w:rFonts w:ascii="Times New Roman" w:cs="Times New Roman" w:eastAsia="Times New Roman" w:hAnsi="Times New Roman"/>
          <w:sz w:val="8"/>
          <w:szCs w:val="8"/>
          <w:color w:val="auto"/>
        </w:rPr>
        <w:t>332 million (EUR 551 million in 2022 ) of instruments that have a call period of less than three months.</w:t>
      </w:r>
    </w:p>
    <w:p>
      <w:pPr>
        <w:spacing w:after="0" w:line="9" w:lineRule="exact"/>
        <w:rPr>
          <w:sz w:val="20"/>
          <w:szCs w:val="20"/>
          <w:color w:val="auto"/>
        </w:rPr>
      </w:pPr>
    </w:p>
    <w:p>
      <w:pPr>
        <w:ind w:left="220" w:hanging="184"/>
        <w:spacing w:after="0"/>
        <w:tabs>
          <w:tab w:leader="none" w:pos="220" w:val="left"/>
        </w:tabs>
        <w:numPr>
          <w:ilvl w:val="0"/>
          <w:numId w:val="1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Other financial liabilities excluding derivatives include a conditional obligation to China Huaxin presented in the earliest period as the exercise period is open.</w:t>
      </w:r>
    </w:p>
    <w:p>
      <w:pPr>
        <w:spacing w:after="0" w:line="4" w:lineRule="exact"/>
        <w:rPr>
          <w:rFonts w:ascii="Times New Roman" w:cs="Times New Roman" w:eastAsia="Times New Roman" w:hAnsi="Times New Roman"/>
          <w:sz w:val="8"/>
          <w:szCs w:val="8"/>
          <w:color w:val="auto"/>
        </w:rPr>
      </w:pPr>
    </w:p>
    <w:p>
      <w:pPr>
        <w:ind w:left="220" w:hanging="184"/>
        <w:spacing w:after="0"/>
        <w:tabs>
          <w:tab w:leader="none" w:pos="220" w:val="left"/>
        </w:tabs>
        <w:numPr>
          <w:ilvl w:val="0"/>
          <w:numId w:val="1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Loan commitments given undrawn have been included in the earliest period in which they could be drawn or called.</w:t>
      </w:r>
    </w:p>
    <w:p>
      <w:pPr>
        <w:spacing w:after="0" w:line="4" w:lineRule="exact"/>
        <w:rPr>
          <w:rFonts w:ascii="Times New Roman" w:cs="Times New Roman" w:eastAsia="Times New Roman" w:hAnsi="Times New Roman"/>
          <w:sz w:val="8"/>
          <w:szCs w:val="8"/>
          <w:color w:val="auto"/>
        </w:rPr>
      </w:pPr>
    </w:p>
    <w:p>
      <w:pPr>
        <w:ind w:left="220" w:hanging="184"/>
        <w:spacing w:after="0"/>
        <w:tabs>
          <w:tab w:leader="none" w:pos="220" w:val="left"/>
        </w:tabs>
        <w:numPr>
          <w:ilvl w:val="0"/>
          <w:numId w:val="143"/>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Loan commitments obtained undrawn have been included based on the period in which they expire. These amounts include related commitment fees.</w:t>
      </w:r>
    </w:p>
    <w:p>
      <w:pPr>
        <w:spacing w:after="0" w:line="200" w:lineRule="exact"/>
        <w:rPr>
          <w:sz w:val="20"/>
          <w:szCs w:val="20"/>
          <w:color w:val="auto"/>
        </w:rPr>
      </w:pPr>
    </w:p>
    <w:p>
      <w:pPr>
        <w:spacing w:after="0" w:line="31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10080"/>
          </w:cols>
          <w:pgMar w:left="960" w:top="410" w:right="859" w:bottom="1440" w:gutter="0" w:footer="0" w:header="0"/>
        </w:sectPr>
      </w:pPr>
    </w:p>
    <w:bookmarkStart w:id="206" w:name="page207"/>
    <w:bookmarkEnd w:id="206"/>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3"/>
          <w:szCs w:val="13"/>
          <w:color w:val="005AFF"/>
        </w:rPr>
        <w:t>Notes to the consolidated financial statements</w:t>
        <w:tab/>
        <w:t>continued</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199</w:t>
            </w:r>
          </w:p>
        </w:tc>
        <w:tc>
          <w:tcPr>
            <w:tcW w:w="0" w:type="dxa"/>
            <w:vAlign w:val="bottom"/>
          </w:tcPr>
          <w:p>
            <w:pPr>
              <w:spacing w:after="0"/>
              <w:rPr>
                <w:sz w:val="1"/>
                <w:szCs w:val="1"/>
                <w:color w:val="auto"/>
              </w:rPr>
            </w:pPr>
          </w:p>
        </w:tc>
      </w:tr>
      <w:tr>
        <w:trPr>
          <w:trHeight w:val="130"/>
        </w:trPr>
        <w:tc>
          <w:tcPr>
            <w:tcW w:w="106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106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7">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538" w:lineRule="exact"/>
        <w:rPr>
          <w:sz w:val="20"/>
          <w:szCs w:val="20"/>
          <w:color w:val="auto"/>
        </w:rPr>
      </w:pPr>
    </w:p>
    <w:p>
      <w:pPr>
        <w:sectPr>
          <w:pgSz w:w="11900" w:h="16838" w:orient="portrait"/>
          <w:cols w:equalWidth="0" w:num="2">
            <w:col w:w="3120" w:space="280"/>
            <w:col w:w="6660"/>
          </w:cols>
          <w:pgMar w:left="960" w:top="409" w:right="879" w:bottom="1440" w:gutter="0" w:footer="0" w:header="0"/>
        </w:sectPr>
      </w:pPr>
    </w:p>
    <w:p>
      <w:pPr>
        <w:spacing w:after="0" w:line="203" w:lineRule="exact"/>
        <w:rPr>
          <w:sz w:val="20"/>
          <w:szCs w:val="20"/>
          <w:color w:val="auto"/>
        </w:rPr>
      </w:pPr>
    </w:p>
    <w:p>
      <w:pPr>
        <w:ind w:left="60"/>
        <w:spacing w:after="0"/>
        <w:rPr>
          <w:sz w:val="20"/>
          <w:szCs w:val="20"/>
          <w:color w:val="auto"/>
        </w:rPr>
      </w:pPr>
      <w:r>
        <w:rPr>
          <w:rFonts w:ascii="Times New Roman" w:cs="Times New Roman" w:eastAsia="Times New Roman" w:hAnsi="Times New Roman"/>
          <w:sz w:val="13"/>
          <w:szCs w:val="13"/>
          <w:b w:val="1"/>
          <w:bCs w:val="1"/>
          <w:color w:val="FFFFFF"/>
        </w:rPr>
        <w:t>Section 6</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46"/>
          <w:szCs w:val="46"/>
          <w:color w:val="auto"/>
        </w:rPr>
        <w:t>Other</w:t>
      </w:r>
    </w:p>
    <w:p>
      <w:pPr>
        <w:spacing w:after="0" w:line="185" w:lineRule="auto"/>
        <w:rPr>
          <w:sz w:val="20"/>
          <w:szCs w:val="20"/>
          <w:color w:val="auto"/>
        </w:rPr>
      </w:pPr>
      <w:r>
        <w:rPr>
          <w:rFonts w:ascii="Times New Roman" w:cs="Times New Roman" w:eastAsia="Times New Roman" w:hAnsi="Times New Roman"/>
          <w:sz w:val="45"/>
          <w:szCs w:val="45"/>
          <w:color w:val="auto"/>
        </w:rPr>
        <w:t>information</w:t>
      </w:r>
    </w:p>
    <w:p>
      <w:pPr>
        <w:spacing w:after="0" w:line="20" w:lineRule="exact"/>
        <w:rPr>
          <w:sz w:val="20"/>
          <w:szCs w:val="20"/>
          <w:color w:val="auto"/>
        </w:rPr>
      </w:pPr>
      <w:r>
        <w:rPr>
          <w:sz w:val="20"/>
          <w:szCs w:val="20"/>
          <w:color w:val="auto"/>
        </w:rPr>
        <w:br w:type="column"/>
      </w:r>
    </w:p>
    <w:p>
      <w:pPr>
        <w:spacing w:after="0" w:line="98" w:lineRule="exact"/>
        <w:rPr>
          <w:sz w:val="20"/>
          <w:szCs w:val="20"/>
          <w:color w:val="auto"/>
        </w:rPr>
      </w:pPr>
    </w:p>
    <w:p>
      <w:pPr>
        <w:ind w:right="460"/>
        <w:spacing w:after="0" w:line="275" w:lineRule="auto"/>
        <w:rPr>
          <w:sz w:val="20"/>
          <w:szCs w:val="20"/>
          <w:color w:val="auto"/>
        </w:rPr>
      </w:pPr>
      <w:r>
        <w:rPr>
          <w:rFonts w:ascii="Times New Roman" w:cs="Times New Roman" w:eastAsia="Times New Roman" w:hAnsi="Times New Roman"/>
          <w:sz w:val="16"/>
          <w:szCs w:val="16"/>
          <w:color w:val="005AFF"/>
        </w:rPr>
        <w:t>6.1. Commitments, contingencies and legal proceedings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Contractual obligations</w:t>
      </w:r>
    </w:p>
    <w:p>
      <w:pPr>
        <w:spacing w:after="0" w:line="74"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1440" w:type="dxa"/>
            <w:vAlign w:val="bottom"/>
          </w:tcPr>
          <w:p>
            <w:pPr>
              <w:spacing w:after="0"/>
              <w:rPr>
                <w:sz w:val="8"/>
                <w:szCs w:val="8"/>
                <w:color w:val="auto"/>
              </w:rPr>
            </w:pPr>
          </w:p>
        </w:tc>
        <w:tc>
          <w:tcPr>
            <w:tcW w:w="600" w:type="dxa"/>
            <w:vAlign w:val="bottom"/>
          </w:tcPr>
          <w:p>
            <w:pPr>
              <w:spacing w:after="0"/>
              <w:rPr>
                <w:sz w:val="8"/>
                <w:szCs w:val="8"/>
                <w:color w:val="auto"/>
              </w:rPr>
            </w:pPr>
          </w:p>
        </w:tc>
        <w:tc>
          <w:tcPr>
            <w:tcW w:w="620" w:type="dxa"/>
            <w:vAlign w:val="bottom"/>
          </w:tcPr>
          <w:p>
            <w:pPr>
              <w:spacing w:after="0"/>
              <w:rPr>
                <w:sz w:val="8"/>
                <w:szCs w:val="8"/>
                <w:color w:val="auto"/>
              </w:rPr>
            </w:pPr>
          </w:p>
        </w:tc>
        <w:tc>
          <w:tcPr>
            <w:tcW w:w="600" w:type="dxa"/>
            <w:vAlign w:val="bottom"/>
          </w:tcPr>
          <w:p>
            <w:pPr>
              <w:jc w:val="right"/>
              <w:ind w:right="16"/>
              <w:spacing w:after="0"/>
              <w:rPr>
                <w:sz w:val="20"/>
                <w:szCs w:val="20"/>
                <w:color w:val="auto"/>
              </w:rPr>
            </w:pPr>
            <w:r>
              <w:rPr>
                <w:rFonts w:ascii="Times New Roman" w:cs="Times New Roman" w:eastAsia="Times New Roman" w:hAnsi="Times New Roman"/>
                <w:sz w:val="8"/>
                <w:szCs w:val="8"/>
                <w:b w:val="1"/>
                <w:bCs w:val="1"/>
                <w:color w:val="005AFF"/>
              </w:rPr>
              <w:t>More than 5</w:t>
            </w:r>
          </w:p>
        </w:tc>
      </w:tr>
      <w:tr>
        <w:trPr>
          <w:trHeight w:val="114"/>
        </w:trPr>
        <w:tc>
          <w:tcPr>
            <w:tcW w:w="14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600" w:type="dxa"/>
            <w:vAlign w:val="bottom"/>
            <w:tcBorders>
              <w:bottom w:val="single" w:sz="8" w:color="005AFF"/>
            </w:tcBorders>
          </w:tcPr>
          <w:p>
            <w:pPr>
              <w:jc w:val="right"/>
              <w:ind w:right="14"/>
              <w:spacing w:after="0"/>
              <w:rPr>
                <w:sz w:val="20"/>
                <w:szCs w:val="20"/>
                <w:color w:val="auto"/>
              </w:rPr>
            </w:pPr>
            <w:r>
              <w:rPr>
                <w:rFonts w:ascii="Times New Roman" w:cs="Times New Roman" w:eastAsia="Times New Roman" w:hAnsi="Times New Roman"/>
                <w:sz w:val="8"/>
                <w:szCs w:val="8"/>
                <w:b w:val="1"/>
                <w:bCs w:val="1"/>
                <w:color w:val="005AFF"/>
              </w:rPr>
              <w:t>Within 1 year</w:t>
            </w:r>
          </w:p>
        </w:tc>
        <w:tc>
          <w:tcPr>
            <w:tcW w:w="620" w:type="dxa"/>
            <w:vAlign w:val="bottom"/>
            <w:tcBorders>
              <w:bottom w:val="single" w:sz="8" w:color="005AFF"/>
            </w:tcBorders>
          </w:tcPr>
          <w:p>
            <w:pPr>
              <w:jc w:val="right"/>
              <w:ind w:right="54"/>
              <w:spacing w:after="0"/>
              <w:rPr>
                <w:sz w:val="20"/>
                <w:szCs w:val="20"/>
                <w:color w:val="auto"/>
              </w:rPr>
            </w:pPr>
            <w:r>
              <w:rPr>
                <w:rFonts w:ascii="Times New Roman" w:cs="Times New Roman" w:eastAsia="Times New Roman" w:hAnsi="Times New Roman"/>
                <w:sz w:val="8"/>
                <w:szCs w:val="8"/>
                <w:b w:val="1"/>
                <w:bCs w:val="1"/>
                <w:color w:val="005AFF"/>
              </w:rPr>
              <w:t>1-5 years</w:t>
            </w:r>
          </w:p>
        </w:tc>
        <w:tc>
          <w:tcPr>
            <w:tcW w:w="600" w:type="dxa"/>
            <w:vAlign w:val="bottom"/>
            <w:tcBorders>
              <w:bottom w:val="single" w:sz="8" w:color="005AFF"/>
            </w:tcBorders>
          </w:tcPr>
          <w:p>
            <w:pPr>
              <w:jc w:val="right"/>
              <w:ind w:right="16"/>
              <w:spacing w:after="0"/>
              <w:rPr>
                <w:sz w:val="20"/>
                <w:szCs w:val="20"/>
                <w:color w:val="auto"/>
              </w:rPr>
            </w:pPr>
            <w:r>
              <w:rPr>
                <w:rFonts w:ascii="Times New Roman" w:cs="Times New Roman" w:eastAsia="Times New Roman" w:hAnsi="Times New Roman"/>
                <w:sz w:val="8"/>
                <w:szCs w:val="8"/>
                <w:b w:val="1"/>
                <w:bCs w:val="1"/>
                <w:color w:val="005AFF"/>
              </w:rPr>
              <w:t>years</w:t>
            </w:r>
          </w:p>
        </w:tc>
      </w:tr>
      <w:tr>
        <w:trPr>
          <w:trHeight w:val="150"/>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2023</w:t>
            </w:r>
          </w:p>
        </w:tc>
        <w:tc>
          <w:tcPr>
            <w:tcW w:w="600" w:type="dxa"/>
            <w:vAlign w:val="bottom"/>
            <w:shd w:val="clear" w:color="auto" w:fill="F0F5FF"/>
          </w:tcPr>
          <w:p>
            <w:pPr>
              <w:spacing w:after="0"/>
              <w:rPr>
                <w:sz w:val="13"/>
                <w:szCs w:val="13"/>
                <w:color w:val="auto"/>
              </w:rPr>
            </w:pPr>
          </w:p>
        </w:tc>
        <w:tc>
          <w:tcPr>
            <w:tcW w:w="620" w:type="dxa"/>
            <w:vAlign w:val="bottom"/>
            <w:shd w:val="clear" w:color="auto" w:fill="F0F5FF"/>
          </w:tcPr>
          <w:p>
            <w:pPr>
              <w:spacing w:after="0"/>
              <w:rPr>
                <w:sz w:val="13"/>
                <w:szCs w:val="13"/>
                <w:color w:val="auto"/>
              </w:rPr>
            </w:pPr>
          </w:p>
        </w:tc>
        <w:tc>
          <w:tcPr>
            <w:tcW w:w="600" w:type="dxa"/>
            <w:vAlign w:val="bottom"/>
            <w:shd w:val="clear" w:color="auto" w:fill="F0F5FF"/>
          </w:tcPr>
          <w:p>
            <w:pPr>
              <w:spacing w:after="0"/>
              <w:rPr>
                <w:sz w:val="13"/>
                <w:szCs w:val="13"/>
                <w:color w:val="auto"/>
              </w:rPr>
            </w:pPr>
          </w:p>
        </w:tc>
      </w:tr>
      <w:tr>
        <w:trPr>
          <w:trHeight w:val="162"/>
        </w:trPr>
        <w:tc>
          <w:tcPr>
            <w:tcW w:w="14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obligations</w:t>
            </w:r>
          </w:p>
        </w:tc>
        <w:tc>
          <w:tcPr>
            <w:tcW w:w="600" w:type="dxa"/>
            <w:vAlign w:val="bottom"/>
          </w:tcPr>
          <w:p>
            <w:pPr>
              <w:jc w:val="right"/>
              <w:ind w:right="34"/>
              <w:spacing w:after="0"/>
              <w:rPr>
                <w:sz w:val="20"/>
                <w:szCs w:val="20"/>
                <w:color w:val="auto"/>
              </w:rPr>
            </w:pPr>
            <w:r>
              <w:rPr>
                <w:rFonts w:ascii="Times New Roman" w:cs="Times New Roman" w:eastAsia="Times New Roman" w:hAnsi="Times New Roman"/>
                <w:sz w:val="10"/>
                <w:szCs w:val="10"/>
                <w:color w:val="005AFF"/>
              </w:rPr>
              <w:t>3 630</w:t>
            </w:r>
          </w:p>
        </w:tc>
        <w:tc>
          <w:tcPr>
            <w:tcW w:w="620" w:type="dxa"/>
            <w:vAlign w:val="bottom"/>
            <w:shd w:val="clear" w:color="auto" w:fill="F0F5FF"/>
          </w:tcPr>
          <w:p>
            <w:pPr>
              <w:jc w:val="right"/>
              <w:ind w:right="34"/>
              <w:spacing w:after="0"/>
              <w:rPr>
                <w:sz w:val="20"/>
                <w:szCs w:val="20"/>
                <w:color w:val="auto"/>
              </w:rPr>
            </w:pPr>
            <w:r>
              <w:rPr>
                <w:rFonts w:ascii="Times New Roman" w:cs="Times New Roman" w:eastAsia="Times New Roman" w:hAnsi="Times New Roman"/>
                <w:sz w:val="10"/>
                <w:szCs w:val="10"/>
                <w:color w:val="005AFF"/>
              </w:rPr>
              <w:t>767</w:t>
            </w:r>
          </w:p>
        </w:tc>
        <w:tc>
          <w:tcPr>
            <w:tcW w:w="600" w:type="dxa"/>
            <w:vAlign w:val="bottom"/>
            <w:shd w:val="clear" w:color="auto" w:fill="F0F5FF"/>
          </w:tcPr>
          <w:p>
            <w:pPr>
              <w:jc w:val="right"/>
              <w:ind w:right="16"/>
              <w:spacing w:after="0"/>
              <w:rPr>
                <w:sz w:val="20"/>
                <w:szCs w:val="20"/>
                <w:color w:val="auto"/>
              </w:rPr>
            </w:pPr>
            <w:r>
              <w:rPr>
                <w:rFonts w:ascii="Times New Roman" w:cs="Times New Roman" w:eastAsia="Times New Roman" w:hAnsi="Times New Roman"/>
                <w:sz w:val="10"/>
                <w:szCs w:val="10"/>
                <w:color w:val="005AFF"/>
              </w:rPr>
              <w:t>14</w:t>
            </w:r>
          </w:p>
        </w:tc>
      </w:tr>
    </w:tbl>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tabs>
          <w:tab w:leader="none" w:pos="980" w:val="left"/>
        </w:tabs>
        <w:rPr>
          <w:sz w:val="20"/>
          <w:szCs w:val="20"/>
          <w:color w:val="auto"/>
        </w:rPr>
      </w:pPr>
      <w:r>
        <w:rPr>
          <w:rFonts w:ascii="Times New Roman" w:cs="Times New Roman" w:eastAsia="Times New Roman" w:hAnsi="Times New Roman"/>
          <w:sz w:val="13"/>
          <w:szCs w:val="13"/>
          <w:color w:val="auto"/>
        </w:rPr>
        <w:t>Guarantees and</w:t>
        <w:tab/>
        <w:t>financing commitments</w:t>
      </w:r>
    </w:p>
    <w:p>
      <w:pPr>
        <w:spacing w:after="0" w:line="32" w:lineRule="exact"/>
        <w:rPr>
          <w:sz w:val="20"/>
          <w:szCs w:val="20"/>
          <w:color w:val="auto"/>
        </w:rPr>
      </w:pPr>
    </w:p>
    <w:p>
      <w:pPr>
        <w:spacing w:after="0"/>
        <w:tabs>
          <w:tab w:leader="none" w:pos="2720" w:val="left"/>
        </w:tabs>
        <w:rPr>
          <w:sz w:val="20"/>
          <w:szCs w:val="20"/>
          <w:color w:val="auto"/>
        </w:rPr>
      </w:pPr>
      <w:r>
        <w:rPr>
          <w:rFonts w:ascii="Times New Roman" w:cs="Times New Roman" w:eastAsia="Times New Roman" w:hAnsi="Times New Roman"/>
          <w:sz w:val="11"/>
          <w:szCs w:val="11"/>
          <w:color w:val="auto"/>
        </w:rPr>
        <w:t>The contingent liabilities in the table below represent</w:t>
      </w:r>
      <w:r>
        <w:rPr>
          <w:sz w:val="20"/>
          <w:szCs w:val="20"/>
          <w:color w:val="auto"/>
        </w:rPr>
        <w:tab/>
      </w:r>
      <w:r>
        <w:rPr>
          <w:rFonts w:ascii="Times New Roman" w:cs="Times New Roman" w:eastAsia="Times New Roman" w:hAnsi="Times New Roman"/>
          <w:sz w:val="11"/>
          <w:szCs w:val="11"/>
          <w:color w:val="auto"/>
        </w:rPr>
        <w:t>the</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maximum principal amount of guarantees and financing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commitments, and do not reflect management’s expected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outcomes.</w:t>
      </w:r>
    </w:p>
    <w:p>
      <w:pPr>
        <w:spacing w:after="0" w:line="136" w:lineRule="exact"/>
        <w:rPr>
          <w:sz w:val="20"/>
          <w:szCs w:val="20"/>
          <w:color w:val="auto"/>
        </w:rPr>
      </w:pPr>
    </w:p>
    <w:p>
      <w:pPr>
        <w:ind w:left="40"/>
        <w:spacing w:after="0"/>
        <w:tabs>
          <w:tab w:leader="none" w:pos="2460" w:val="left"/>
          <w:tab w:leader="none" w:pos="3000" w:val="left"/>
        </w:tabs>
        <w:rPr>
          <w:sz w:val="20"/>
          <w:szCs w:val="20"/>
          <w:color w:val="auto"/>
        </w:rPr>
      </w:pPr>
      <w:r>
        <w:rPr>
          <w:rFonts w:ascii="Times New Roman" w:cs="Times New Roman" w:eastAsia="Times New Roman" w:hAnsi="Times New Roman"/>
          <w:sz w:val="8"/>
          <w:szCs w:val="8"/>
          <w:b w:val="1"/>
          <w:bCs w:val="1"/>
          <w:color w:val="005AFF"/>
        </w:rPr>
        <w:t>EURm</w:t>
      </w:r>
      <w:r>
        <w:rPr>
          <w:sz w:val="20"/>
          <w:szCs w:val="20"/>
          <w:color w:val="auto"/>
        </w:rPr>
        <w:tab/>
      </w:r>
      <w:r>
        <w:rPr>
          <w:rFonts w:ascii="Times New Roman" w:cs="Times New Roman" w:eastAsia="Times New Roman" w:hAnsi="Times New Roman"/>
          <w:sz w:val="8"/>
          <w:szCs w:val="8"/>
          <w:b w:val="1"/>
          <w:bCs w:val="1"/>
          <w:color w:val="005AFF"/>
        </w:rPr>
        <w:t>2023</w:t>
      </w:r>
      <w:r>
        <w:rPr>
          <w:sz w:val="20"/>
          <w:szCs w:val="20"/>
          <w:color w:val="auto"/>
        </w:rPr>
        <w:tab/>
      </w:r>
      <w:r>
        <w:rPr>
          <w:rFonts w:ascii="Times New Roman" w:cs="Times New Roman" w:eastAsia="Times New Roman" w:hAnsi="Times New Roman"/>
          <w:sz w:val="8"/>
          <w:szCs w:val="8"/>
          <w:b w:val="1"/>
          <w:bCs w:val="1"/>
          <w:color w:val="005AFF"/>
        </w:rPr>
        <w:t>2022</w:t>
      </w:r>
    </w:p>
    <w:p>
      <w:pPr>
        <w:spacing w:after="0" w:line="50" w:lineRule="exact"/>
        <w:rPr>
          <w:sz w:val="20"/>
          <w:szCs w:val="20"/>
          <w:color w:val="auto"/>
        </w:rPr>
      </w:pPr>
    </w:p>
    <w:p>
      <w:pPr>
        <w:ind w:left="40"/>
        <w:spacing w:after="0"/>
        <w:rPr>
          <w:sz w:val="20"/>
          <w:szCs w:val="20"/>
          <w:color w:val="auto"/>
        </w:rPr>
      </w:pPr>
      <w:r>
        <w:rPr>
          <w:rFonts w:ascii="Times New Roman" w:cs="Times New Roman" w:eastAsia="Times New Roman" w:hAnsi="Times New Roman"/>
          <w:sz w:val="10"/>
          <w:szCs w:val="10"/>
          <w:b w:val="1"/>
          <w:bCs w:val="1"/>
          <w:color w:val="005AFF"/>
        </w:rPr>
        <w:t>Guarantees on behalf of Group companies</w:t>
      </w:r>
    </w:p>
    <w:p>
      <w:pPr>
        <w:spacing w:after="0" w:line="59" w:lineRule="exact"/>
        <w:rPr>
          <w:sz w:val="20"/>
          <w:szCs w:val="20"/>
          <w:color w:val="auto"/>
        </w:rPr>
      </w:pPr>
    </w:p>
    <w:p>
      <w:pPr>
        <w:sectPr>
          <w:pgSz w:w="11900" w:h="16838" w:orient="portrait"/>
          <w:cols w:equalWidth="0" w:num="3">
            <w:col w:w="2680" w:space="720"/>
            <w:col w:w="3260" w:space="140"/>
            <w:col w:w="3260"/>
          </w:cols>
          <w:pgMar w:left="960" w:top="409" w:right="879" w:bottom="1440" w:gutter="0" w:footer="0" w:header="0"/>
          <w:type w:val="continuous"/>
        </w:sectPr>
      </w:pPr>
    </w:p>
    <w:p>
      <w:pPr>
        <w:spacing w:after="0" w:line="239" w:lineRule="exact"/>
        <w:rPr>
          <w:sz w:val="20"/>
          <w:szCs w:val="20"/>
          <w:color w:val="auto"/>
        </w:rPr>
      </w:pPr>
    </w:p>
    <w:p>
      <w:pPr>
        <w:ind w:right="540"/>
        <w:spacing w:after="0" w:line="269" w:lineRule="auto"/>
        <w:rPr>
          <w:sz w:val="20"/>
          <w:szCs w:val="20"/>
          <w:color w:val="auto"/>
        </w:rPr>
      </w:pPr>
      <w:r>
        <w:rPr>
          <w:rFonts w:ascii="Times New Roman" w:cs="Times New Roman" w:eastAsia="Times New Roman" w:hAnsi="Times New Roman"/>
          <w:sz w:val="13"/>
          <w:szCs w:val="13"/>
          <w:color w:val="auto"/>
        </w:rPr>
        <w:t>This section contains information on Nokia’s off-balance sheet commitments</w:t>
      </w:r>
    </w:p>
    <w:p>
      <w:pPr>
        <w:spacing w:after="0" w:line="1" w:lineRule="exact"/>
        <w:rPr>
          <w:sz w:val="20"/>
          <w:szCs w:val="20"/>
          <w:color w:val="auto"/>
        </w:rPr>
      </w:pPr>
    </w:p>
    <w:p>
      <w:pPr>
        <w:ind w:right="160"/>
        <w:spacing w:after="0" w:line="211" w:lineRule="auto"/>
        <w:rPr>
          <w:sz w:val="20"/>
          <w:szCs w:val="20"/>
          <w:color w:val="auto"/>
        </w:rPr>
      </w:pPr>
      <w:r>
        <w:rPr>
          <w:rFonts w:ascii="Times New Roman" w:cs="Times New Roman" w:eastAsia="Times New Roman" w:hAnsi="Times New Roman"/>
          <w:sz w:val="13"/>
          <w:szCs w:val="13"/>
          <w:color w:val="auto"/>
        </w:rPr>
        <w:t>and contingencies, Group structure and related party transactions, as well as post reporting date events.</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40"/>
        </w:trPr>
        <w:tc>
          <w:tcPr>
            <w:tcW w:w="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Lease commitments</w:t>
            </w:r>
          </w:p>
        </w:tc>
        <w:tc>
          <w:tcPr>
            <w:tcW w:w="460" w:type="dxa"/>
            <w:vAlign w:val="bottom"/>
            <w:tcBorders>
              <w:bottom w:val="single" w:sz="8" w:color="005AFF"/>
            </w:tcBorders>
          </w:tcPr>
          <w:p>
            <w:pPr>
              <w:jc w:val="right"/>
              <w:ind w:right="327"/>
              <w:spacing w:after="0"/>
              <w:rPr>
                <w:sz w:val="20"/>
                <w:szCs w:val="20"/>
                <w:color w:val="auto"/>
              </w:rPr>
            </w:pPr>
            <w:r>
              <w:rPr>
                <w:rFonts w:ascii="Times New Roman" w:cs="Times New Roman" w:eastAsia="Times New Roman" w:hAnsi="Times New Roman"/>
                <w:sz w:val="7"/>
                <w:szCs w:val="7"/>
                <w:color w:val="0D0D0D"/>
                <w:w w:val="97"/>
              </w:rPr>
              <w:t>(1)</w:t>
            </w:r>
          </w:p>
        </w:tc>
        <w:tc>
          <w:tcPr>
            <w:tcW w:w="84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color w:val="005AFF"/>
              </w:rPr>
              <w:t>—</w:t>
            </w:r>
          </w:p>
        </w:tc>
        <w:tc>
          <w:tcPr>
            <w:tcW w:w="58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color w:val="005AFF"/>
              </w:rPr>
              <w:t>54</w:t>
            </w:r>
          </w:p>
        </w:tc>
        <w:tc>
          <w:tcPr>
            <w:tcW w:w="4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05AFF"/>
              </w:rPr>
              <w:t>570</w:t>
            </w:r>
          </w:p>
        </w:tc>
      </w:tr>
      <w:tr>
        <w:trPr>
          <w:trHeight w:val="137"/>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b w:val="1"/>
                <w:bCs w:val="1"/>
                <w:color w:val="005AFF"/>
              </w:rPr>
              <w:t>2022</w:t>
            </w:r>
          </w:p>
        </w:tc>
        <w:tc>
          <w:tcPr>
            <w:tcW w:w="460" w:type="dxa"/>
            <w:vAlign w:val="bottom"/>
          </w:tcPr>
          <w:p>
            <w:pPr>
              <w:spacing w:after="0"/>
              <w:rPr>
                <w:sz w:val="11"/>
                <w:szCs w:val="11"/>
                <w:color w:val="auto"/>
              </w:rPr>
            </w:pPr>
          </w:p>
        </w:tc>
        <w:tc>
          <w:tcPr>
            <w:tcW w:w="840" w:type="dxa"/>
            <w:vAlign w:val="bottom"/>
          </w:tcPr>
          <w:p>
            <w:pPr>
              <w:spacing w:after="0"/>
              <w:rPr>
                <w:sz w:val="11"/>
                <w:szCs w:val="11"/>
                <w:color w:val="auto"/>
              </w:rPr>
            </w:pPr>
          </w:p>
        </w:tc>
        <w:tc>
          <w:tcPr>
            <w:tcW w:w="580" w:type="dxa"/>
            <w:vAlign w:val="bottom"/>
          </w:tcPr>
          <w:p>
            <w:pPr>
              <w:spacing w:after="0"/>
              <w:rPr>
                <w:sz w:val="11"/>
                <w:szCs w:val="11"/>
                <w:color w:val="auto"/>
              </w:rPr>
            </w:pPr>
          </w:p>
        </w:tc>
        <w:tc>
          <w:tcPr>
            <w:tcW w:w="460" w:type="dxa"/>
            <w:vAlign w:val="bottom"/>
          </w:tcPr>
          <w:p>
            <w:pPr>
              <w:spacing w:after="0"/>
              <w:rPr>
                <w:sz w:val="11"/>
                <w:szCs w:val="11"/>
                <w:color w:val="auto"/>
              </w:rPr>
            </w:pPr>
          </w:p>
        </w:tc>
      </w:tr>
      <w:tr>
        <w:trPr>
          <w:trHeight w:val="162"/>
        </w:trPr>
        <w:tc>
          <w:tcPr>
            <w:tcW w:w="92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 obligations</w:t>
            </w:r>
          </w:p>
        </w:tc>
        <w:tc>
          <w:tcPr>
            <w:tcW w:w="460" w:type="dxa"/>
            <w:vAlign w:val="bottom"/>
          </w:tcPr>
          <w:p>
            <w:pPr>
              <w:spacing w:after="0"/>
              <w:rPr>
                <w:sz w:val="14"/>
                <w:szCs w:val="14"/>
                <w:color w:val="auto"/>
              </w:rPr>
            </w:pPr>
          </w:p>
        </w:tc>
        <w:tc>
          <w:tcPr>
            <w:tcW w:w="840" w:type="dxa"/>
            <w:vAlign w:val="bottom"/>
          </w:tcPr>
          <w:p>
            <w:pPr>
              <w:jc w:val="right"/>
              <w:ind w:right="209"/>
              <w:spacing w:after="0"/>
              <w:rPr>
                <w:sz w:val="20"/>
                <w:szCs w:val="20"/>
                <w:color w:val="auto"/>
              </w:rPr>
            </w:pPr>
            <w:r>
              <w:rPr>
                <w:rFonts w:ascii="Times New Roman" w:cs="Times New Roman" w:eastAsia="Times New Roman" w:hAnsi="Times New Roman"/>
                <w:sz w:val="10"/>
                <w:szCs w:val="10"/>
                <w:color w:val="0D0D0D"/>
              </w:rPr>
              <w:t>5 308</w:t>
            </w:r>
          </w:p>
        </w:tc>
        <w:tc>
          <w:tcPr>
            <w:tcW w:w="580" w:type="dxa"/>
            <w:vAlign w:val="bottom"/>
          </w:tcPr>
          <w:p>
            <w:pPr>
              <w:jc w:val="right"/>
              <w:ind w:right="169"/>
              <w:spacing w:after="0"/>
              <w:rPr>
                <w:sz w:val="20"/>
                <w:szCs w:val="20"/>
                <w:color w:val="auto"/>
              </w:rPr>
            </w:pPr>
            <w:r>
              <w:rPr>
                <w:rFonts w:ascii="Times New Roman" w:cs="Times New Roman" w:eastAsia="Times New Roman" w:hAnsi="Times New Roman"/>
                <w:sz w:val="10"/>
                <w:szCs w:val="10"/>
                <w:color w:val="0D0D0D"/>
              </w:rPr>
              <w:t>509</w:t>
            </w:r>
          </w:p>
        </w:tc>
        <w:tc>
          <w:tcPr>
            <w:tcW w:w="460" w:type="dxa"/>
            <w:vAlign w:val="bottom"/>
          </w:tcPr>
          <w:p>
            <w:pPr>
              <w:jc w:val="right"/>
              <w:ind w:right="9"/>
              <w:spacing w:after="0"/>
              <w:rPr>
                <w:sz w:val="20"/>
                <w:szCs w:val="20"/>
                <w:color w:val="auto"/>
              </w:rPr>
            </w:pPr>
            <w:r>
              <w:rPr>
                <w:rFonts w:ascii="Times New Roman" w:cs="Times New Roman" w:eastAsia="Times New Roman" w:hAnsi="Times New Roman"/>
                <w:sz w:val="10"/>
                <w:szCs w:val="10"/>
                <w:color w:val="0D0D0D"/>
              </w:rPr>
              <w:t>79</w:t>
            </w:r>
          </w:p>
        </w:tc>
      </w:tr>
      <w:tr>
        <w:trPr>
          <w:trHeight w:val="167"/>
        </w:trPr>
        <w:tc>
          <w:tcPr>
            <w:tcW w:w="92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Lease commitments</w:t>
            </w:r>
          </w:p>
        </w:tc>
        <w:tc>
          <w:tcPr>
            <w:tcW w:w="460" w:type="dxa"/>
            <w:vAlign w:val="bottom"/>
            <w:tcBorders>
              <w:bottom w:val="single" w:sz="8" w:color="005AFF"/>
            </w:tcBorders>
          </w:tcPr>
          <w:p>
            <w:pPr>
              <w:jc w:val="right"/>
              <w:ind w:right="327"/>
              <w:spacing w:after="0"/>
              <w:rPr>
                <w:sz w:val="20"/>
                <w:szCs w:val="20"/>
                <w:color w:val="auto"/>
              </w:rPr>
            </w:pPr>
            <w:r>
              <w:rPr>
                <w:rFonts w:ascii="Times New Roman" w:cs="Times New Roman" w:eastAsia="Times New Roman" w:hAnsi="Times New Roman"/>
                <w:sz w:val="7"/>
                <w:szCs w:val="7"/>
                <w:color w:val="0D0D0D"/>
                <w:w w:val="97"/>
              </w:rPr>
              <w:t>(1)</w:t>
            </w:r>
          </w:p>
        </w:tc>
        <w:tc>
          <w:tcPr>
            <w:tcW w:w="840" w:type="dxa"/>
            <w:vAlign w:val="bottom"/>
            <w:tcBorders>
              <w:bottom w:val="single" w:sz="8" w:color="005AFF"/>
            </w:tcBorders>
          </w:tcPr>
          <w:p>
            <w:pPr>
              <w:ind w:left="540"/>
              <w:spacing w:after="0"/>
              <w:rPr>
                <w:sz w:val="20"/>
                <w:szCs w:val="20"/>
                <w:color w:val="auto"/>
              </w:rPr>
            </w:pPr>
            <w:r>
              <w:rPr>
                <w:rFonts w:ascii="Times New Roman" w:cs="Times New Roman" w:eastAsia="Times New Roman" w:hAnsi="Times New Roman"/>
                <w:sz w:val="10"/>
                <w:szCs w:val="10"/>
                <w:color w:val="0D0D0D"/>
              </w:rPr>
              <w:t>—</w:t>
            </w:r>
          </w:p>
        </w:tc>
        <w:tc>
          <w:tcPr>
            <w:tcW w:w="580" w:type="dxa"/>
            <w:vAlign w:val="bottom"/>
            <w:tcBorders>
              <w:bottom w:val="single" w:sz="8" w:color="005AFF"/>
            </w:tcBorders>
          </w:tcPr>
          <w:p>
            <w:pPr>
              <w:jc w:val="right"/>
              <w:ind w:right="169"/>
              <w:spacing w:after="0"/>
              <w:rPr>
                <w:sz w:val="20"/>
                <w:szCs w:val="20"/>
                <w:color w:val="auto"/>
              </w:rPr>
            </w:pPr>
            <w:r>
              <w:rPr>
                <w:rFonts w:ascii="Times New Roman" w:cs="Times New Roman" w:eastAsia="Times New Roman" w:hAnsi="Times New Roman"/>
                <w:sz w:val="10"/>
                <w:szCs w:val="10"/>
                <w:color w:val="0D0D0D"/>
              </w:rPr>
              <w:t>31</w:t>
            </w:r>
          </w:p>
        </w:tc>
        <w:tc>
          <w:tcPr>
            <w:tcW w:w="460" w:type="dxa"/>
            <w:vAlign w:val="bottom"/>
            <w:tcBorders>
              <w:bottom w:val="single" w:sz="8" w:color="005AFF"/>
            </w:tcBorders>
          </w:tcPr>
          <w:p>
            <w:pPr>
              <w:jc w:val="right"/>
              <w:ind w:right="29"/>
              <w:spacing w:after="0"/>
              <w:rPr>
                <w:sz w:val="20"/>
                <w:szCs w:val="20"/>
                <w:color w:val="auto"/>
              </w:rPr>
            </w:pPr>
            <w:r>
              <w:rPr>
                <w:rFonts w:ascii="Times New Roman" w:cs="Times New Roman" w:eastAsia="Times New Roman" w:hAnsi="Times New Roman"/>
                <w:sz w:val="10"/>
                <w:szCs w:val="10"/>
                <w:color w:val="0D0D0D"/>
              </w:rPr>
              <w:t>192</w:t>
            </w:r>
          </w:p>
        </w:tc>
      </w:tr>
    </w:tbl>
    <w:p>
      <w:pPr>
        <w:spacing w:after="0" w:line="41" w:lineRule="exact"/>
        <w:rPr>
          <w:sz w:val="20"/>
          <w:szCs w:val="20"/>
          <w:color w:val="auto"/>
        </w:rPr>
      </w:pPr>
    </w:p>
    <w:p>
      <w:pPr>
        <w:ind w:left="200" w:hanging="199"/>
        <w:spacing w:after="0"/>
        <w:tabs>
          <w:tab w:leader="none" w:pos="200" w:val="left"/>
        </w:tabs>
        <w:numPr>
          <w:ilvl w:val="0"/>
          <w:numId w:val="144"/>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Relates to lease contracts that had not yet commenced as at the reporting date.</w:t>
      </w:r>
    </w:p>
    <w:p>
      <w:pPr>
        <w:spacing w:after="0" w:line="55" w:lineRule="exact"/>
        <w:rPr>
          <w:sz w:val="20"/>
          <w:szCs w:val="20"/>
          <w:color w:val="auto"/>
        </w:rPr>
      </w:pPr>
    </w:p>
    <w:p>
      <w:pPr>
        <w:spacing w:after="0"/>
        <w:tabs>
          <w:tab w:leader="none" w:pos="1120" w:val="left"/>
          <w:tab w:leader="none" w:pos="2180" w:val="left"/>
          <w:tab w:leader="none" w:pos="2900" w:val="left"/>
        </w:tabs>
        <w:rPr>
          <w:sz w:val="20"/>
          <w:szCs w:val="20"/>
          <w:color w:val="auto"/>
        </w:rPr>
      </w:pPr>
      <w:r>
        <w:rPr>
          <w:rFonts w:ascii="Times New Roman" w:cs="Times New Roman" w:eastAsia="Times New Roman" w:hAnsi="Times New Roman"/>
          <w:sz w:val="11"/>
          <w:szCs w:val="11"/>
          <w:color w:val="auto"/>
        </w:rPr>
        <w:t>At 31 December 2023</w:t>
        <w:tab/>
        <w:t>, Nokia has potential</w:t>
        <w:tab/>
        <w:t>undiscounted</w:t>
        <w:tab/>
        <w:t>future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0"/>
          <w:szCs w:val="10"/>
          <w:color w:val="0D0D0D"/>
        </w:rPr>
        <w:t>Guarantees issued by financial institutions</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85"/>
        </w:trPr>
        <w:tc>
          <w:tcPr>
            <w:tcW w:w="1180" w:type="dxa"/>
            <w:vAlign w:val="bottom"/>
            <w:gridSpan w:val="2"/>
            <w:vMerge w:val="restart"/>
          </w:tcPr>
          <w:p>
            <w:pPr>
              <w:ind w:left="160"/>
              <w:spacing w:after="0"/>
              <w:rPr>
                <w:sz w:val="20"/>
                <w:szCs w:val="20"/>
                <w:color w:val="auto"/>
              </w:rPr>
            </w:pPr>
            <w:r>
              <w:rPr>
                <w:rFonts w:ascii="Times New Roman" w:cs="Times New Roman" w:eastAsia="Times New Roman" w:hAnsi="Times New Roman"/>
                <w:sz w:val="10"/>
                <w:szCs w:val="10"/>
                <w:color w:val="0D0D0D"/>
              </w:rPr>
              <w:t>Commercial guarantees</w:t>
            </w:r>
          </w:p>
        </w:tc>
        <w:tc>
          <w:tcPr>
            <w:tcW w:w="120" w:type="dxa"/>
            <w:vAlign w:val="bottom"/>
          </w:tcPr>
          <w:p>
            <w:pPr>
              <w:jc w:val="right"/>
              <w:spacing w:after="0"/>
              <w:rPr>
                <w:sz w:val="20"/>
                <w:szCs w:val="20"/>
                <w:color w:val="auto"/>
              </w:rPr>
            </w:pPr>
            <w:r>
              <w:rPr>
                <w:rFonts w:ascii="Times New Roman" w:cs="Times New Roman" w:eastAsia="Times New Roman" w:hAnsi="Times New Roman"/>
                <w:sz w:val="7"/>
                <w:szCs w:val="7"/>
                <w:color w:val="0D0D0D"/>
              </w:rPr>
              <w:t>(1)</w:t>
            </w:r>
          </w:p>
        </w:tc>
        <w:tc>
          <w:tcPr>
            <w:tcW w:w="0" w:type="dxa"/>
            <w:vAlign w:val="bottom"/>
          </w:tcPr>
          <w:p>
            <w:pPr>
              <w:spacing w:after="0"/>
              <w:rPr>
                <w:sz w:val="1"/>
                <w:szCs w:val="1"/>
                <w:color w:val="auto"/>
              </w:rPr>
            </w:pPr>
          </w:p>
        </w:tc>
      </w:tr>
      <w:tr>
        <w:trPr>
          <w:trHeight w:val="50"/>
        </w:trPr>
        <w:tc>
          <w:tcPr>
            <w:tcW w:w="1180" w:type="dxa"/>
            <w:vAlign w:val="bottom"/>
            <w:gridSpan w:val="2"/>
            <w:vMerge w:val="continue"/>
          </w:tcPr>
          <w:p>
            <w:pPr>
              <w:spacing w:after="0"/>
              <w:rPr>
                <w:sz w:val="4"/>
                <w:szCs w:val="4"/>
                <w:color w:val="auto"/>
              </w:rPr>
            </w:pPr>
          </w:p>
        </w:tc>
        <w:tc>
          <w:tcPr>
            <w:tcW w:w="12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1300" w:type="dxa"/>
            <w:vAlign w:val="bottom"/>
            <w:gridSpan w:val="3"/>
          </w:tcPr>
          <w:p>
            <w:pPr>
              <w:jc w:val="right"/>
              <w:spacing w:after="0"/>
              <w:rPr>
                <w:sz w:val="20"/>
                <w:szCs w:val="20"/>
                <w:color w:val="auto"/>
              </w:rPr>
            </w:pPr>
            <w:r>
              <w:rPr>
                <w:rFonts w:ascii="Times New Roman" w:cs="Times New Roman" w:eastAsia="Times New Roman" w:hAnsi="Times New Roman"/>
                <w:sz w:val="10"/>
                <w:szCs w:val="10"/>
                <w:color w:val="0D0D0D"/>
              </w:rPr>
              <w:t>Non-commercial guarantees</w:t>
            </w:r>
          </w:p>
        </w:tc>
        <w:tc>
          <w:tcPr>
            <w:tcW w:w="0" w:type="dxa"/>
            <w:vAlign w:val="bottom"/>
          </w:tcPr>
          <w:p>
            <w:pPr>
              <w:spacing w:after="0"/>
              <w:rPr>
                <w:sz w:val="1"/>
                <w:szCs w:val="1"/>
                <w:color w:val="auto"/>
              </w:rPr>
            </w:pPr>
          </w:p>
        </w:tc>
      </w:tr>
      <w:tr>
        <w:trPr>
          <w:trHeight w:val="111"/>
        </w:trPr>
        <w:tc>
          <w:tcPr>
            <w:tcW w:w="920" w:type="dxa"/>
            <w:vAlign w:val="bottom"/>
            <w:vMerge w:val="restart"/>
          </w:tcPr>
          <w:p>
            <w:pPr>
              <w:spacing w:after="0"/>
              <w:rPr>
                <w:sz w:val="20"/>
                <w:szCs w:val="20"/>
                <w:color w:val="auto"/>
              </w:rPr>
            </w:pPr>
            <w:r>
              <w:rPr>
                <w:rFonts w:ascii="Times New Roman" w:cs="Times New Roman" w:eastAsia="Times New Roman" w:hAnsi="Times New Roman"/>
                <w:sz w:val="10"/>
                <w:szCs w:val="10"/>
                <w:color w:val="0D0D0D"/>
              </w:rPr>
              <w:t>Corporate guarantees</w:t>
            </w:r>
          </w:p>
        </w:tc>
        <w:tc>
          <w:tcPr>
            <w:tcW w:w="260" w:type="dxa"/>
            <w:vAlign w:val="bottom"/>
          </w:tcPr>
          <w:p>
            <w:pPr>
              <w:jc w:val="right"/>
              <w:ind w:right="87"/>
              <w:spacing w:after="0"/>
              <w:rPr>
                <w:sz w:val="20"/>
                <w:szCs w:val="20"/>
                <w:color w:val="auto"/>
              </w:rPr>
            </w:pPr>
            <w:r>
              <w:rPr>
                <w:rFonts w:ascii="Times New Roman" w:cs="Times New Roman" w:eastAsia="Times New Roman" w:hAnsi="Times New Roman"/>
                <w:sz w:val="7"/>
                <w:szCs w:val="7"/>
                <w:color w:val="0D0D0D"/>
              </w:rPr>
              <w:t>(2)</w:t>
            </w:r>
          </w:p>
        </w:tc>
        <w:tc>
          <w:tcPr>
            <w:tcW w:w="12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50"/>
        </w:trPr>
        <w:tc>
          <w:tcPr>
            <w:tcW w:w="920" w:type="dxa"/>
            <w:vAlign w:val="bottom"/>
            <w:vMerge w:val="continue"/>
          </w:tcPr>
          <w:p>
            <w:pPr>
              <w:spacing w:after="0"/>
              <w:rPr>
                <w:sz w:val="4"/>
                <w:szCs w:val="4"/>
                <w:color w:val="auto"/>
              </w:rPr>
            </w:pPr>
          </w:p>
        </w:tc>
        <w:tc>
          <w:tcPr>
            <w:tcW w:w="260" w:type="dxa"/>
            <w:vAlign w:val="bottom"/>
          </w:tcPr>
          <w:p>
            <w:pPr>
              <w:spacing w:after="0"/>
              <w:rPr>
                <w:sz w:val="4"/>
                <w:szCs w:val="4"/>
                <w:color w:val="auto"/>
              </w:rPr>
            </w:pPr>
          </w:p>
        </w:tc>
        <w:tc>
          <w:tcPr>
            <w:tcW w:w="12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1180" w:type="dxa"/>
            <w:vAlign w:val="bottom"/>
            <w:gridSpan w:val="2"/>
            <w:vMerge w:val="restart"/>
          </w:tcPr>
          <w:p>
            <w:pPr>
              <w:ind w:left="160"/>
              <w:spacing w:after="0"/>
              <w:rPr>
                <w:sz w:val="20"/>
                <w:szCs w:val="20"/>
                <w:color w:val="auto"/>
              </w:rPr>
            </w:pPr>
            <w:r>
              <w:rPr>
                <w:rFonts w:ascii="Times New Roman" w:cs="Times New Roman" w:eastAsia="Times New Roman" w:hAnsi="Times New Roman"/>
                <w:sz w:val="10"/>
                <w:szCs w:val="10"/>
                <w:color w:val="0D0D0D"/>
              </w:rPr>
              <w:t>Commercial guarantees</w:t>
            </w:r>
          </w:p>
        </w:tc>
        <w:tc>
          <w:tcPr>
            <w:tcW w:w="120" w:type="dxa"/>
            <w:vAlign w:val="bottom"/>
          </w:tcPr>
          <w:p>
            <w:pPr>
              <w:jc w:val="right"/>
              <w:spacing w:after="0"/>
              <w:rPr>
                <w:sz w:val="20"/>
                <w:szCs w:val="20"/>
                <w:color w:val="auto"/>
              </w:rPr>
            </w:pPr>
            <w:r>
              <w:rPr>
                <w:rFonts w:ascii="Times New Roman" w:cs="Times New Roman" w:eastAsia="Times New Roman" w:hAnsi="Times New Roman"/>
                <w:sz w:val="7"/>
                <w:szCs w:val="7"/>
                <w:color w:val="0D0D0D"/>
              </w:rPr>
              <w:t>(1)</w:t>
            </w:r>
          </w:p>
        </w:tc>
        <w:tc>
          <w:tcPr>
            <w:tcW w:w="0" w:type="dxa"/>
            <w:vAlign w:val="bottom"/>
          </w:tcPr>
          <w:p>
            <w:pPr>
              <w:spacing w:after="0"/>
              <w:rPr>
                <w:sz w:val="1"/>
                <w:szCs w:val="1"/>
                <w:color w:val="auto"/>
              </w:rPr>
            </w:pPr>
          </w:p>
        </w:tc>
      </w:tr>
      <w:tr>
        <w:trPr>
          <w:trHeight w:val="50"/>
        </w:trPr>
        <w:tc>
          <w:tcPr>
            <w:tcW w:w="1180" w:type="dxa"/>
            <w:vAlign w:val="bottom"/>
            <w:gridSpan w:val="2"/>
            <w:vMerge w:val="continue"/>
          </w:tcPr>
          <w:p>
            <w:pPr>
              <w:spacing w:after="0"/>
              <w:rPr>
                <w:sz w:val="4"/>
                <w:szCs w:val="4"/>
                <w:color w:val="auto"/>
              </w:rPr>
            </w:pPr>
          </w:p>
        </w:tc>
        <w:tc>
          <w:tcPr>
            <w:tcW w:w="120" w:type="dxa"/>
            <w:vAlign w:val="bottom"/>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1300" w:type="dxa"/>
            <w:vAlign w:val="bottom"/>
            <w:gridSpan w:val="3"/>
          </w:tcPr>
          <w:p>
            <w:pPr>
              <w:jc w:val="right"/>
              <w:spacing w:after="0"/>
              <w:rPr>
                <w:sz w:val="20"/>
                <w:szCs w:val="20"/>
                <w:color w:val="auto"/>
              </w:rPr>
            </w:pPr>
            <w:r>
              <w:rPr>
                <w:rFonts w:ascii="Times New Roman" w:cs="Times New Roman" w:eastAsia="Times New Roman" w:hAnsi="Times New Roman"/>
                <w:sz w:val="10"/>
                <w:szCs w:val="10"/>
                <w:color w:val="0D0D0D"/>
              </w:rPr>
              <w:t>Non-commercial guarantees</w:t>
            </w:r>
          </w:p>
        </w:tc>
        <w:tc>
          <w:tcPr>
            <w:tcW w:w="0" w:type="dxa"/>
            <w:vAlign w:val="bottom"/>
          </w:tcPr>
          <w:p>
            <w:pPr>
              <w:spacing w:after="0"/>
              <w:rPr>
                <w:sz w:val="1"/>
                <w:szCs w:val="1"/>
                <w:color w:val="auto"/>
              </w:rPr>
            </w:pPr>
          </w:p>
        </w:tc>
      </w:tr>
    </w:tbl>
    <w:p>
      <w:pPr>
        <w:spacing w:after="0" w:line="20" w:lineRule="exact"/>
        <w:rPr>
          <w:sz w:val="20"/>
          <w:szCs w:val="20"/>
          <w:color w:val="auto"/>
        </w:rPr>
      </w:pPr>
      <w:r>
        <w:rPr>
          <w:sz w:val="20"/>
          <w:szCs w:val="20"/>
          <w:color w:val="auto"/>
        </w:rPr>
        <w:br w:type="column"/>
      </w:r>
    </w:p>
    <w:p>
      <w:pPr>
        <w:spacing w:after="0" w:line="131"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30"/>
        </w:trPr>
        <w:tc>
          <w:tcPr>
            <w:tcW w:w="400" w:type="dxa"/>
            <w:vAlign w:val="bottom"/>
          </w:tcPr>
          <w:p>
            <w:pPr>
              <w:jc w:val="right"/>
              <w:ind w:right="109"/>
              <w:spacing w:after="0"/>
              <w:rPr>
                <w:sz w:val="20"/>
                <w:szCs w:val="20"/>
                <w:color w:val="auto"/>
              </w:rPr>
            </w:pPr>
            <w:r>
              <w:rPr>
                <w:rFonts w:ascii="Times New Roman" w:cs="Times New Roman" w:eastAsia="Times New Roman" w:hAnsi="Times New Roman"/>
                <w:sz w:val="10"/>
                <w:szCs w:val="10"/>
                <w:color w:val="005AFF"/>
                <w:w w:val="97"/>
              </w:rPr>
              <w:t>1 477</w:t>
            </w:r>
          </w:p>
        </w:tc>
        <w:tc>
          <w:tcPr>
            <w:tcW w:w="38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1 238</w:t>
            </w:r>
          </w:p>
        </w:tc>
      </w:tr>
    </w:tbl>
    <w:p>
      <w:pPr>
        <w:spacing w:after="0" w:line="32" w:lineRule="exact"/>
        <w:rPr>
          <w:sz w:val="20"/>
          <w:szCs w:val="20"/>
          <w:color w:val="auto"/>
        </w:rPr>
      </w:pPr>
    </w:p>
    <w:p>
      <w:pPr>
        <w:ind w:left="640" w:hanging="546"/>
        <w:spacing w:after="0"/>
        <w:tabs>
          <w:tab w:leader="none" w:pos="640" w:val="left"/>
        </w:tabs>
        <w:numPr>
          <w:ilvl w:val="0"/>
          <w:numId w:val="145"/>
        </w:numPr>
        <w:rPr>
          <w:rFonts w:ascii="Times New Roman" w:cs="Times New Roman" w:eastAsia="Times New Roman" w:hAnsi="Times New Roman"/>
          <w:sz w:val="10"/>
          <w:szCs w:val="10"/>
          <w:color w:val="005AFF"/>
        </w:rPr>
      </w:pPr>
      <w:r>
        <w:rPr>
          <w:rFonts w:ascii="Times New Roman" w:cs="Times New Roman" w:eastAsia="Times New Roman" w:hAnsi="Times New Roman"/>
          <w:sz w:val="10"/>
          <w:szCs w:val="10"/>
          <w:color w:val="0D0D0D"/>
        </w:rPr>
        <w:t>538</w:t>
      </w:r>
    </w:p>
    <w:p>
      <w:pPr>
        <w:spacing w:after="0" w:line="209" w:lineRule="exact"/>
        <w:rPr>
          <w:sz w:val="20"/>
          <w:szCs w:val="20"/>
          <w:color w:val="auto"/>
        </w:rPr>
      </w:pPr>
    </w:p>
    <w:p>
      <w:pPr>
        <w:ind w:left="640" w:hanging="546"/>
        <w:spacing w:after="0"/>
        <w:tabs>
          <w:tab w:leader="none" w:pos="640" w:val="left"/>
        </w:tabs>
        <w:numPr>
          <w:ilvl w:val="0"/>
          <w:numId w:val="146"/>
        </w:numPr>
        <w:rPr>
          <w:rFonts w:ascii="Times New Roman" w:cs="Times New Roman" w:eastAsia="Times New Roman" w:hAnsi="Times New Roman"/>
          <w:sz w:val="10"/>
          <w:szCs w:val="10"/>
          <w:color w:val="005AFF"/>
        </w:rPr>
      </w:pPr>
      <w:r>
        <w:rPr>
          <w:rFonts w:ascii="Times New Roman" w:cs="Times New Roman" w:eastAsia="Times New Roman" w:hAnsi="Times New Roman"/>
          <w:sz w:val="10"/>
          <w:szCs w:val="10"/>
          <w:color w:val="0D0D0D"/>
        </w:rPr>
        <w:t>504</w:t>
      </w:r>
    </w:p>
    <w:p>
      <w:pPr>
        <w:spacing w:after="0" w:line="46" w:lineRule="exact"/>
        <w:rPr>
          <w:rFonts w:ascii="Times New Roman" w:cs="Times New Roman" w:eastAsia="Times New Roman" w:hAnsi="Times New Roman"/>
          <w:sz w:val="10"/>
          <w:szCs w:val="10"/>
          <w:color w:val="005AFF"/>
        </w:rPr>
      </w:pPr>
    </w:p>
    <w:p>
      <w:pPr>
        <w:ind w:left="700" w:hanging="546"/>
        <w:spacing w:after="0"/>
        <w:tabs>
          <w:tab w:leader="none" w:pos="700" w:val="left"/>
        </w:tabs>
        <w:numPr>
          <w:ilvl w:val="0"/>
          <w:numId w:val="147"/>
        </w:numPr>
        <w:rPr>
          <w:rFonts w:ascii="Times New Roman" w:cs="Times New Roman" w:eastAsia="Times New Roman" w:hAnsi="Times New Roman"/>
          <w:sz w:val="10"/>
          <w:szCs w:val="10"/>
          <w:color w:val="005AFF"/>
        </w:rPr>
      </w:pPr>
      <w:r>
        <w:rPr>
          <w:rFonts w:ascii="Times New Roman" w:cs="Times New Roman" w:eastAsia="Times New Roman" w:hAnsi="Times New Roman"/>
          <w:sz w:val="10"/>
          <w:szCs w:val="10"/>
          <w:color w:val="0D0D0D"/>
        </w:rPr>
        <w:t>32</w:t>
      </w:r>
    </w:p>
    <w:p>
      <w:pPr>
        <w:spacing w:after="0" w:line="57" w:lineRule="exact"/>
        <w:rPr>
          <w:sz w:val="20"/>
          <w:szCs w:val="20"/>
          <w:color w:val="auto"/>
        </w:rPr>
      </w:pPr>
    </w:p>
    <w:p>
      <w:pPr>
        <w:sectPr>
          <w:pgSz w:w="11900" w:h="16838" w:orient="portrait"/>
          <w:cols w:equalWidth="0" w:num="4">
            <w:col w:w="2680" w:space="720"/>
            <w:col w:w="3260" w:space="180"/>
            <w:col w:w="1720" w:space="640"/>
            <w:col w:w="860"/>
          </w:cols>
          <w:pgMar w:left="960" w:top="409" w:right="879" w:bottom="1440" w:gutter="0" w:footer="0" w:header="0"/>
          <w:type w:val="continuous"/>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6" w:lineRule="exact"/>
        <w:rPr>
          <w:sz w:val="20"/>
          <w:szCs w:val="20"/>
          <w:color w:val="auto"/>
        </w:rPr>
      </w:pPr>
    </w:p>
    <w:p>
      <w:pPr>
        <w:spacing w:after="0"/>
        <w:tabs>
          <w:tab w:leader="none" w:pos="1180" w:val="left"/>
        </w:tabs>
        <w:rPr>
          <w:sz w:val="20"/>
          <w:szCs w:val="20"/>
          <w:color w:val="auto"/>
        </w:rPr>
      </w:pPr>
      <w:r>
        <w:rPr>
          <w:rFonts w:ascii="Times New Roman" w:cs="Times New Roman" w:eastAsia="Times New Roman" w:hAnsi="Times New Roman"/>
          <w:sz w:val="11"/>
          <w:szCs w:val="11"/>
          <w:color w:val="auto"/>
        </w:rPr>
        <w:t>lease payments of EUR</w:t>
        <w:tab/>
        <w:t>838 million (EUR807 million in 2022 )</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relating to extension options not expected to be exercised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EUR 33 million (EUR15 million in 2022 ) relating to termination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options expected to be exercised that are not included in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lease liability.</w:t>
      </w:r>
    </w:p>
    <w:p>
      <w:pPr>
        <w:spacing w:after="0" w:line="20" w:lineRule="exact"/>
        <w:rPr>
          <w:sz w:val="20"/>
          <w:szCs w:val="20"/>
          <w:color w:val="auto"/>
        </w:rPr>
      </w:pPr>
      <w:r>
        <w:rPr>
          <w:sz w:val="20"/>
          <w:szCs w:val="20"/>
          <w:color w:val="auto"/>
        </w:rPr>
        <w:br w:type="column"/>
      </w:r>
    </w:p>
    <w:p>
      <w:pPr>
        <w:ind w:left="40"/>
        <w:spacing w:after="0"/>
        <w:rPr>
          <w:sz w:val="20"/>
          <w:szCs w:val="20"/>
          <w:color w:val="auto"/>
        </w:rPr>
      </w:pPr>
      <w:r>
        <w:rPr>
          <w:rFonts w:ascii="Times New Roman" w:cs="Times New Roman" w:eastAsia="Times New Roman" w:hAnsi="Times New Roman"/>
          <w:sz w:val="10"/>
          <w:szCs w:val="10"/>
          <w:b w:val="1"/>
          <w:bCs w:val="1"/>
          <w:color w:val="005AFF"/>
        </w:rPr>
        <w:t>Financing commitments</w:t>
      </w:r>
    </w:p>
    <w:p>
      <w:pPr>
        <w:spacing w:after="0" w:line="32" w:lineRule="exact"/>
        <w:rPr>
          <w:sz w:val="20"/>
          <w:szCs w:val="20"/>
          <w:color w:val="auto"/>
        </w:rPr>
      </w:pPr>
    </w:p>
    <w:tbl>
      <w:tblPr>
        <w:tblLayout w:type="fixed"/>
        <w:tblInd w:w="0" w:type="dxa"/>
        <w:tblCellMar>
          <w:top w:w="0" w:type="dxa"/>
          <w:left w:w="0" w:type="dxa"/>
          <w:bottom w:w="0" w:type="dxa"/>
          <w:right w:w="0" w:type="dxa"/>
        </w:tblCellMar>
      </w:tblPr>
      <w:tr>
        <w:trPr>
          <w:trHeight w:val="85"/>
        </w:trPr>
        <w:tc>
          <w:tcPr>
            <w:tcW w:w="1420" w:type="dxa"/>
            <w:vAlign w:val="bottom"/>
            <w:gridSpan w:val="2"/>
            <w:vMerge w:val="restart"/>
          </w:tcPr>
          <w:p>
            <w:pPr>
              <w:ind w:left="40"/>
              <w:spacing w:after="0"/>
              <w:rPr>
                <w:sz w:val="20"/>
                <w:szCs w:val="20"/>
                <w:color w:val="auto"/>
              </w:rPr>
            </w:pPr>
            <w:r>
              <w:rPr>
                <w:rFonts w:ascii="Times New Roman" w:cs="Times New Roman" w:eastAsia="Times New Roman" w:hAnsi="Times New Roman"/>
                <w:sz w:val="10"/>
                <w:szCs w:val="10"/>
                <w:color w:val="0D0D0D"/>
              </w:rPr>
              <w:t>Customer finance commitments</w:t>
            </w:r>
          </w:p>
        </w:tc>
        <w:tc>
          <w:tcPr>
            <w:tcW w:w="620" w:type="dxa"/>
            <w:vAlign w:val="bottom"/>
          </w:tcPr>
          <w:p>
            <w:pPr>
              <w:jc w:val="right"/>
              <w:ind w:right="447"/>
              <w:spacing w:after="0"/>
              <w:rPr>
                <w:sz w:val="20"/>
                <w:szCs w:val="20"/>
                <w:color w:val="auto"/>
              </w:rPr>
            </w:pPr>
            <w:r>
              <w:rPr>
                <w:rFonts w:ascii="Times New Roman" w:cs="Times New Roman" w:eastAsia="Times New Roman" w:hAnsi="Times New Roman"/>
                <w:sz w:val="7"/>
                <w:szCs w:val="7"/>
                <w:color w:val="0D0D0D"/>
              </w:rPr>
              <w:t>(3)</w:t>
            </w:r>
          </w:p>
        </w:tc>
        <w:tc>
          <w:tcPr>
            <w:tcW w:w="800" w:type="dxa"/>
            <w:vAlign w:val="bottom"/>
            <w:vMerge w:val="restart"/>
          </w:tcPr>
          <w:p>
            <w:pPr>
              <w:jc w:val="right"/>
              <w:ind w:right="129"/>
              <w:spacing w:after="0"/>
              <w:rPr>
                <w:sz w:val="20"/>
                <w:szCs w:val="20"/>
                <w:color w:val="auto"/>
              </w:rPr>
            </w:pPr>
            <w:r>
              <w:rPr>
                <w:rFonts w:ascii="Times New Roman" w:cs="Times New Roman" w:eastAsia="Times New Roman" w:hAnsi="Times New Roman"/>
                <w:sz w:val="10"/>
                <w:szCs w:val="10"/>
                <w:color w:val="005AFF"/>
              </w:rPr>
              <w:t>5</w:t>
            </w:r>
          </w:p>
        </w:tc>
        <w:tc>
          <w:tcPr>
            <w:tcW w:w="420" w:type="dxa"/>
            <w:vAlign w:val="bottom"/>
            <w:vMerge w:val="restart"/>
          </w:tcPr>
          <w:p>
            <w:pPr>
              <w:jc w:val="right"/>
              <w:ind w:right="9"/>
              <w:spacing w:after="0"/>
              <w:rPr>
                <w:sz w:val="20"/>
                <w:szCs w:val="20"/>
                <w:color w:val="auto"/>
              </w:rPr>
            </w:pPr>
            <w:r>
              <w:rPr>
                <w:rFonts w:ascii="Times New Roman" w:cs="Times New Roman" w:eastAsia="Times New Roman" w:hAnsi="Times New Roman"/>
                <w:sz w:val="10"/>
                <w:szCs w:val="10"/>
                <w:color w:val="0D0D0D"/>
              </w:rPr>
              <w:t>26</w:t>
            </w:r>
          </w:p>
        </w:tc>
        <w:tc>
          <w:tcPr>
            <w:tcW w:w="0" w:type="dxa"/>
            <w:vAlign w:val="bottom"/>
          </w:tcPr>
          <w:p>
            <w:pPr>
              <w:spacing w:after="0"/>
              <w:rPr>
                <w:sz w:val="1"/>
                <w:szCs w:val="1"/>
                <w:color w:val="auto"/>
              </w:rPr>
            </w:pPr>
          </w:p>
        </w:tc>
      </w:tr>
      <w:tr>
        <w:trPr>
          <w:trHeight w:val="50"/>
        </w:trPr>
        <w:tc>
          <w:tcPr>
            <w:tcW w:w="1420" w:type="dxa"/>
            <w:vAlign w:val="bottom"/>
            <w:gridSpan w:val="2"/>
            <w:vMerge w:val="continue"/>
          </w:tcPr>
          <w:p>
            <w:pPr>
              <w:spacing w:after="0"/>
              <w:rPr>
                <w:sz w:val="4"/>
                <w:szCs w:val="4"/>
                <w:color w:val="auto"/>
              </w:rPr>
            </w:pPr>
          </w:p>
        </w:tc>
        <w:tc>
          <w:tcPr>
            <w:tcW w:w="620" w:type="dxa"/>
            <w:vAlign w:val="bottom"/>
          </w:tcPr>
          <w:p>
            <w:pPr>
              <w:spacing w:after="0"/>
              <w:rPr>
                <w:sz w:val="4"/>
                <w:szCs w:val="4"/>
                <w:color w:val="auto"/>
              </w:rPr>
            </w:pPr>
          </w:p>
        </w:tc>
        <w:tc>
          <w:tcPr>
            <w:tcW w:w="800" w:type="dxa"/>
            <w:vAlign w:val="bottom"/>
            <w:vMerge w:val="continue"/>
          </w:tcPr>
          <w:p>
            <w:pPr>
              <w:spacing w:after="0"/>
              <w:rPr>
                <w:sz w:val="4"/>
                <w:szCs w:val="4"/>
                <w:color w:val="auto"/>
              </w:rPr>
            </w:pPr>
          </w:p>
        </w:tc>
        <w:tc>
          <w:tcPr>
            <w:tcW w:w="42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11"/>
        </w:trPr>
        <w:tc>
          <w:tcPr>
            <w:tcW w:w="122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Venture fund commitments</w:t>
            </w:r>
          </w:p>
        </w:tc>
        <w:tc>
          <w:tcPr>
            <w:tcW w:w="200" w:type="dxa"/>
            <w:vAlign w:val="bottom"/>
          </w:tcPr>
          <w:p>
            <w:pPr>
              <w:jc w:val="right"/>
              <w:ind w:right="27"/>
              <w:spacing w:after="0"/>
              <w:rPr>
                <w:sz w:val="20"/>
                <w:szCs w:val="20"/>
                <w:color w:val="auto"/>
              </w:rPr>
            </w:pPr>
            <w:r>
              <w:rPr>
                <w:rFonts w:ascii="Times New Roman" w:cs="Times New Roman" w:eastAsia="Times New Roman" w:hAnsi="Times New Roman"/>
                <w:sz w:val="7"/>
                <w:szCs w:val="7"/>
                <w:color w:val="0D0D0D"/>
              </w:rPr>
              <w:t>(4)</w:t>
            </w:r>
          </w:p>
        </w:tc>
        <w:tc>
          <w:tcPr>
            <w:tcW w:w="620" w:type="dxa"/>
            <w:vAlign w:val="bottom"/>
          </w:tcPr>
          <w:p>
            <w:pPr>
              <w:spacing w:after="0"/>
              <w:rPr>
                <w:sz w:val="9"/>
                <w:szCs w:val="9"/>
                <w:color w:val="auto"/>
              </w:rPr>
            </w:pPr>
          </w:p>
        </w:tc>
        <w:tc>
          <w:tcPr>
            <w:tcW w:w="800" w:type="dxa"/>
            <w:vAlign w:val="bottom"/>
            <w:vMerge w:val="restart"/>
          </w:tcPr>
          <w:p>
            <w:pPr>
              <w:jc w:val="right"/>
              <w:ind w:right="149"/>
              <w:spacing w:after="0"/>
              <w:rPr>
                <w:sz w:val="20"/>
                <w:szCs w:val="20"/>
                <w:color w:val="auto"/>
              </w:rPr>
            </w:pPr>
            <w:r>
              <w:rPr>
                <w:rFonts w:ascii="Times New Roman" w:cs="Times New Roman" w:eastAsia="Times New Roman" w:hAnsi="Times New Roman"/>
                <w:sz w:val="10"/>
                <w:szCs w:val="10"/>
                <w:color w:val="005AFF"/>
              </w:rPr>
              <w:t>381</w:t>
            </w:r>
          </w:p>
        </w:tc>
        <w:tc>
          <w:tcPr>
            <w:tcW w:w="420" w:type="dxa"/>
            <w:vAlign w:val="bottom"/>
            <w:vMerge w:val="restart"/>
          </w:tcPr>
          <w:p>
            <w:pPr>
              <w:jc w:val="right"/>
              <w:ind w:right="29"/>
              <w:spacing w:after="0"/>
              <w:rPr>
                <w:sz w:val="20"/>
                <w:szCs w:val="20"/>
                <w:color w:val="auto"/>
              </w:rPr>
            </w:pPr>
            <w:r>
              <w:rPr>
                <w:rFonts w:ascii="Times New Roman" w:cs="Times New Roman" w:eastAsia="Times New Roman" w:hAnsi="Times New Roman"/>
                <w:sz w:val="10"/>
                <w:szCs w:val="10"/>
                <w:color w:val="0D0D0D"/>
              </w:rPr>
              <w:t>433</w:t>
            </w:r>
          </w:p>
        </w:tc>
        <w:tc>
          <w:tcPr>
            <w:tcW w:w="0" w:type="dxa"/>
            <w:vAlign w:val="bottom"/>
          </w:tcPr>
          <w:p>
            <w:pPr>
              <w:spacing w:after="0"/>
              <w:rPr>
                <w:sz w:val="1"/>
                <w:szCs w:val="1"/>
                <w:color w:val="auto"/>
              </w:rPr>
            </w:pPr>
          </w:p>
        </w:tc>
      </w:tr>
      <w:tr>
        <w:trPr>
          <w:trHeight w:val="56"/>
        </w:trPr>
        <w:tc>
          <w:tcPr>
            <w:tcW w:w="1220" w:type="dxa"/>
            <w:vAlign w:val="bottom"/>
            <w:tcBorders>
              <w:bottom w:val="single" w:sz="8" w:color="005AFF"/>
            </w:tcBorders>
            <w:vMerge w:val="continue"/>
          </w:tcPr>
          <w:p>
            <w:pPr>
              <w:spacing w:after="0"/>
              <w:rPr>
                <w:sz w:val="4"/>
                <w:szCs w:val="4"/>
                <w:color w:val="auto"/>
              </w:rPr>
            </w:pPr>
          </w:p>
        </w:tc>
        <w:tc>
          <w:tcPr>
            <w:tcW w:w="200" w:type="dxa"/>
            <w:vAlign w:val="bottom"/>
            <w:tcBorders>
              <w:bottom w:val="single" w:sz="8" w:color="005AFF"/>
            </w:tcBorders>
          </w:tcPr>
          <w:p>
            <w:pPr>
              <w:spacing w:after="0"/>
              <w:rPr>
                <w:sz w:val="4"/>
                <w:szCs w:val="4"/>
                <w:color w:val="auto"/>
              </w:rPr>
            </w:pPr>
          </w:p>
        </w:tc>
        <w:tc>
          <w:tcPr>
            <w:tcW w:w="620" w:type="dxa"/>
            <w:vAlign w:val="bottom"/>
            <w:tcBorders>
              <w:bottom w:val="single" w:sz="8" w:color="005AFF"/>
            </w:tcBorders>
          </w:tcPr>
          <w:p>
            <w:pPr>
              <w:spacing w:after="0"/>
              <w:rPr>
                <w:sz w:val="4"/>
                <w:szCs w:val="4"/>
                <w:color w:val="auto"/>
              </w:rPr>
            </w:pPr>
          </w:p>
        </w:tc>
        <w:tc>
          <w:tcPr>
            <w:tcW w:w="800" w:type="dxa"/>
            <w:vAlign w:val="bottom"/>
            <w:tcBorders>
              <w:bottom w:val="single" w:sz="8" w:color="005AFF"/>
            </w:tcBorders>
            <w:vMerge w:val="continue"/>
          </w:tcPr>
          <w:p>
            <w:pPr>
              <w:spacing w:after="0"/>
              <w:rPr>
                <w:sz w:val="4"/>
                <w:szCs w:val="4"/>
                <w:color w:val="auto"/>
              </w:rPr>
            </w:pPr>
          </w:p>
        </w:tc>
        <w:tc>
          <w:tcPr>
            <w:tcW w:w="42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right="460" w:hanging="198"/>
        <w:spacing w:after="0" w:line="252" w:lineRule="auto"/>
        <w:tabs>
          <w:tab w:leader="none" w:pos="200" w:val="left"/>
        </w:tabs>
        <w:numPr>
          <w:ilvl w:val="0"/>
          <w:numId w:val="14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Commercial guarantees are guarantees that are issued in the normal course of business to Nokia’s customers for the performance of Nokia’s obligations under supply agreements; these include tender bonds, performance bonds and warranty bonds.</w:t>
      </w:r>
    </w:p>
    <w:p>
      <w:pPr>
        <w:ind w:left="200" w:right="480" w:hanging="198"/>
        <w:spacing w:after="0" w:line="257" w:lineRule="auto"/>
        <w:tabs>
          <w:tab w:leader="none" w:pos="200" w:val="left"/>
        </w:tabs>
        <w:numPr>
          <w:ilvl w:val="0"/>
          <w:numId w:val="14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Corporate guarantees are guarantees with a primary obligation that are issued to Nokia’s customers and other third parties.</w:t>
      </w:r>
    </w:p>
    <w:p>
      <w:pPr>
        <w:ind w:left="200" w:right="300" w:hanging="198"/>
        <w:spacing w:after="0" w:line="253" w:lineRule="auto"/>
        <w:tabs>
          <w:tab w:leader="none" w:pos="200" w:val="left"/>
        </w:tabs>
        <w:numPr>
          <w:ilvl w:val="0"/>
          <w:numId w:val="148"/>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Customer finance commitments are available under customer loan facilities. Availability of the facility depends on the borrower’s continuing compliance with the agreed financial and operational covenants, and other administrative terms of the facility. The loan facilities are primarily available to fund purchases of network</w:t>
      </w:r>
    </w:p>
    <w:p>
      <w:pPr>
        <w:spacing w:after="0" w:line="1" w:lineRule="exact"/>
        <w:rPr>
          <w:sz w:val="20"/>
          <w:szCs w:val="20"/>
          <w:color w:val="auto"/>
        </w:rPr>
      </w:pPr>
    </w:p>
    <w:p>
      <w:pPr>
        <w:ind w:left="200"/>
        <w:spacing w:after="0"/>
        <w:tabs>
          <w:tab w:leader="none" w:pos="2120" w:val="left"/>
        </w:tabs>
        <w:rPr>
          <w:sz w:val="20"/>
          <w:szCs w:val="20"/>
          <w:color w:val="auto"/>
        </w:rPr>
      </w:pPr>
      <w:r>
        <w:rPr>
          <w:rFonts w:ascii="Times New Roman" w:cs="Times New Roman" w:eastAsia="Times New Roman" w:hAnsi="Times New Roman"/>
          <w:sz w:val="8"/>
          <w:szCs w:val="8"/>
          <w:color w:val="auto"/>
        </w:rPr>
        <w:t>infrastructure equipment and services. Refer to Note</w:t>
      </w:r>
      <w:r>
        <w:rPr>
          <w:sz w:val="20"/>
          <w:szCs w:val="20"/>
          <w:color w:val="auto"/>
        </w:rPr>
        <w:tab/>
      </w:r>
      <w:r>
        <w:rPr>
          <w:rFonts w:ascii="Times New Roman" w:cs="Times New Roman" w:eastAsia="Times New Roman" w:hAnsi="Times New Roman"/>
          <w:sz w:val="7"/>
          <w:szCs w:val="7"/>
          <w:color w:val="auto"/>
        </w:rPr>
        <w:t>4.5. Trade receivables and</w:t>
      </w:r>
    </w:p>
    <w:p>
      <w:pPr>
        <w:spacing w:after="0" w:line="4" w:lineRule="exact"/>
        <w:rPr>
          <w:sz w:val="20"/>
          <w:szCs w:val="20"/>
          <w:color w:val="auto"/>
        </w:rPr>
      </w:pPr>
    </w:p>
    <w:p>
      <w:pPr>
        <w:ind w:left="200"/>
        <w:spacing w:after="0"/>
        <w:tabs>
          <w:tab w:leader="none" w:pos="1380" w:val="left"/>
        </w:tabs>
        <w:rPr>
          <w:sz w:val="20"/>
          <w:szCs w:val="20"/>
          <w:color w:val="auto"/>
        </w:rPr>
      </w:pPr>
      <w:r>
        <w:rPr>
          <w:rFonts w:ascii="Times New Roman" w:cs="Times New Roman" w:eastAsia="Times New Roman" w:hAnsi="Times New Roman"/>
          <w:sz w:val="8"/>
          <w:szCs w:val="8"/>
          <w:color w:val="auto"/>
        </w:rPr>
        <w:t>other customer-related balances</w:t>
      </w:r>
      <w:r>
        <w:rPr>
          <w:sz w:val="20"/>
          <w:szCs w:val="20"/>
          <w:color w:val="auto"/>
        </w:rPr>
        <w:tab/>
      </w:r>
      <w:r>
        <w:rPr>
          <w:rFonts w:ascii="Times New Roman" w:cs="Times New Roman" w:eastAsia="Times New Roman" w:hAnsi="Times New Roman"/>
          <w:sz w:val="8"/>
          <w:szCs w:val="8"/>
          <w:color w:val="auto"/>
        </w:rPr>
        <w:t>.</w:t>
      </w:r>
    </w:p>
    <w:p>
      <w:pPr>
        <w:spacing w:after="0" w:line="4" w:lineRule="exact"/>
        <w:rPr>
          <w:sz w:val="20"/>
          <w:szCs w:val="20"/>
          <w:color w:val="auto"/>
        </w:rPr>
      </w:pPr>
    </w:p>
    <w:p>
      <w:pPr>
        <w:ind w:left="200" w:right="360" w:hanging="198"/>
        <w:spacing w:after="0" w:line="256" w:lineRule="auto"/>
        <w:tabs>
          <w:tab w:leader="none" w:pos="200" w:val="left"/>
        </w:tabs>
        <w:numPr>
          <w:ilvl w:val="0"/>
          <w:numId w:val="149"/>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As a limited partner in NGP Capital and certain other funds making technology-related investments, Nokia is committed to capital contributions and entitled to cash distributions according to the respective partnership agreements and underlying fund activities. In January 2022, Nokia agreed on a capital commitment of USD 400 million to NGP Capital’s Fund V. The fund’s emphasis on companies developing emerging 5G use cases for industrial and business transformation aligns closely with Nokia’s technology leadership vision and its efforts to maximize the value shift towards cloud. Per industry standard practice, the capital will be called throughout the 10-year lifecycle of the fund.</w:t>
      </w:r>
    </w:p>
    <w:p>
      <w:pPr>
        <w:sectPr>
          <w:pgSz w:w="11900" w:h="16838" w:orient="portrait"/>
          <w:cols w:equalWidth="0" w:num="3">
            <w:col w:w="2680" w:space="720"/>
            <w:col w:w="3080" w:space="320"/>
            <w:col w:w="3260"/>
          </w:cols>
          <w:pgMar w:left="960" w:top="409" w:right="879" w:bottom="1440" w:gutter="0" w:footer="0" w:header="0"/>
          <w:type w:val="continuous"/>
        </w:sectPr>
      </w:pPr>
    </w:p>
    <w:bookmarkStart w:id="207" w:name="page208"/>
    <w:bookmarkEnd w:id="207"/>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200</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8">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30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Legal matters</w:t>
      </w:r>
    </w:p>
    <w:p>
      <w:pPr>
        <w:spacing w:after="0" w:line="215" w:lineRule="exact"/>
        <w:rPr>
          <w:sz w:val="20"/>
          <w:szCs w:val="20"/>
          <w:color w:val="auto"/>
        </w:rPr>
      </w:pPr>
    </w:p>
    <w:p>
      <w:pPr>
        <w:ind w:left="160"/>
        <w:spacing w:after="0"/>
        <w:rPr>
          <w:sz w:val="20"/>
          <w:szCs w:val="20"/>
          <w:color w:val="auto"/>
        </w:rPr>
      </w:pPr>
      <w:r>
        <w:rPr>
          <w:rFonts w:ascii="Times New Roman" w:cs="Times New Roman" w:eastAsia="Times New Roman" w:hAnsi="Times New Roman"/>
          <w:sz w:val="13"/>
          <w:szCs w:val="13"/>
          <w:color w:val="auto"/>
        </w:rPr>
        <w:t>Accounting policies</w:t>
      </w:r>
    </w:p>
    <w:p>
      <w:pPr>
        <w:spacing w:after="0" w:line="32" w:lineRule="exact"/>
        <w:rPr>
          <w:sz w:val="20"/>
          <w:szCs w:val="20"/>
          <w:color w:val="auto"/>
        </w:rPr>
      </w:pPr>
    </w:p>
    <w:p>
      <w:pPr>
        <w:ind w:left="160" w:right="320"/>
        <w:spacing w:after="0" w:line="274" w:lineRule="auto"/>
        <w:rPr>
          <w:sz w:val="20"/>
          <w:szCs w:val="20"/>
          <w:color w:val="auto"/>
        </w:rPr>
      </w:pPr>
      <w:r>
        <w:rPr>
          <w:rFonts w:ascii="Times New Roman" w:cs="Times New Roman" w:eastAsia="Times New Roman" w:hAnsi="Times New Roman"/>
          <w:sz w:val="11"/>
          <w:szCs w:val="11"/>
          <w:color w:val="auto"/>
        </w:rPr>
        <w:t>Nokia discloses ongoing legal matters that relate to possible obligations whose existence will be confirmed by the occurrence or non-occurrence of one or more uncertain future events not wholly within the control of Nokia. These matters are assessed continually to determine whether an outflow of resources embodying economic benefits has become probable so as to recognize a provision .</w:t>
      </w:r>
    </w:p>
    <w:p>
      <w:pPr>
        <w:spacing w:after="0" w:line="269"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Nokia is and will likely continue to be subject to various legal proceedings that arise from time to time, including proceedings related to intellectual property, antitrust, commercial disputes, product liability, environmental issues, tax, health and safety, employment and wrongful discharge, sales and marketing practices, international trade, securities, privacy matters and compliance. While management does not expect any of the legal proceedings it is currently aware of to have a material adverse effect on Nokia’s financial position, litigation is inherently unpredictable and Nokia may in the future receive judgments or enter into settlements that could have a material adverse effect on its results or cash flows.</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Litigation and proceedings</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Mass labor litigation in Brazil</w:t>
      </w:r>
    </w:p>
    <w:p>
      <w:pPr>
        <w:spacing w:after="0" w:line="10" w:lineRule="exact"/>
        <w:rPr>
          <w:sz w:val="20"/>
          <w:szCs w:val="20"/>
          <w:color w:val="auto"/>
        </w:rPr>
      </w:pPr>
    </w:p>
    <w:p>
      <w:pPr>
        <w:spacing w:after="0" w:line="262" w:lineRule="auto"/>
        <w:rPr>
          <w:sz w:val="20"/>
          <w:szCs w:val="20"/>
          <w:color w:val="auto"/>
        </w:rPr>
      </w:pPr>
      <w:r>
        <w:rPr>
          <w:rFonts w:ascii="Times New Roman" w:cs="Times New Roman" w:eastAsia="Times New Roman" w:hAnsi="Times New Roman"/>
          <w:sz w:val="11"/>
          <w:szCs w:val="11"/>
          <w:color w:val="auto"/>
        </w:rPr>
        <w:t>Nokia is defending against a number of labor claims in various Brazilian labor courts. Plaintiffs are former employees whose contracts were terminated after Nokia exited from certain managed services contracts. The claims mainly relate to payments made under, or in connection with,</w:t>
      </w:r>
    </w:p>
    <w:p>
      <w:pPr>
        <w:ind w:right="540"/>
        <w:spacing w:after="0" w:line="278" w:lineRule="auto"/>
        <w:rPr>
          <w:sz w:val="20"/>
          <w:szCs w:val="20"/>
          <w:color w:val="auto"/>
        </w:rPr>
      </w:pPr>
      <w:r>
        <w:rPr>
          <w:rFonts w:ascii="Times New Roman" w:cs="Times New Roman" w:eastAsia="Times New Roman" w:hAnsi="Times New Roman"/>
          <w:sz w:val="11"/>
          <w:szCs w:val="11"/>
          <w:color w:val="auto"/>
        </w:rPr>
        <w:t>the terminated labor contracts. Nokia has closed the majority of the court cases through settlement or judgment.</w:t>
      </w:r>
    </w:p>
    <w:p>
      <w:pPr>
        <w:spacing w:after="0" w:line="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Asbestos litigation in the United States</w:t>
      </w:r>
    </w:p>
    <w:p>
      <w:pPr>
        <w:spacing w:after="0" w:line="24" w:lineRule="exact"/>
        <w:rPr>
          <w:sz w:val="20"/>
          <w:szCs w:val="20"/>
          <w:color w:val="auto"/>
        </w:rPr>
      </w:pPr>
    </w:p>
    <w:p>
      <w:pPr>
        <w:ind w:right="80"/>
        <w:spacing w:after="0" w:line="265" w:lineRule="auto"/>
        <w:rPr>
          <w:sz w:val="20"/>
          <w:szCs w:val="20"/>
          <w:color w:val="auto"/>
        </w:rPr>
      </w:pPr>
      <w:r>
        <w:rPr>
          <w:rFonts w:ascii="Times New Roman" w:cs="Times New Roman" w:eastAsia="Times New Roman" w:hAnsi="Times New Roman"/>
          <w:sz w:val="11"/>
          <w:szCs w:val="11"/>
          <w:color w:val="auto"/>
        </w:rPr>
        <w:t>Nokia is defending approximately 300 asbestos-related matters, at various stages of litigation. The claims are based on premises liability, products liability, and contractor liability. The claims also involve plaintiffs allegedly diagnosed with various diseases, including but not limited to asbestosis, lung cancer, and mesothelioma.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Intellectual property rights litigation</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Continental</w:t>
      </w:r>
    </w:p>
    <w:p>
      <w:pPr>
        <w:spacing w:after="0" w:line="15" w:lineRule="exact"/>
        <w:rPr>
          <w:sz w:val="20"/>
          <w:szCs w:val="20"/>
          <w:color w:val="auto"/>
        </w:rPr>
      </w:pPr>
    </w:p>
    <w:p>
      <w:pPr>
        <w:ind w:right="520"/>
        <w:spacing w:after="0" w:line="266" w:lineRule="auto"/>
        <w:rPr>
          <w:sz w:val="20"/>
          <w:szCs w:val="20"/>
          <w:color w:val="auto"/>
        </w:rPr>
      </w:pPr>
      <w:r>
        <w:rPr>
          <w:rFonts w:ascii="Times New Roman" w:cs="Times New Roman" w:eastAsia="Times New Roman" w:hAnsi="Times New Roman"/>
          <w:sz w:val="11"/>
          <w:szCs w:val="11"/>
          <w:color w:val="auto"/>
        </w:rPr>
        <w:t>In 2019, Continental Automotive Systems (Continental) brought breach of FRAND (fair, reasonable and non-discriminatory terms) and antitrust claims against Nokia and others. The antitrust claims were dismissed. In 2022, this decision became final after Continental lost on appeal and reconsideration requests. Continental also brought breach of contract and FRAND-related claims against Nokia in 2021. In 2023, Nokia’s motion to dismiss was granted in part and denied in part, and the action is proceeding on the remaining claims at this time.</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OPPO</w:t>
      </w:r>
    </w:p>
    <w:p>
      <w:pPr>
        <w:spacing w:after="0" w:line="24" w:lineRule="exact"/>
        <w:rPr>
          <w:sz w:val="20"/>
          <w:szCs w:val="20"/>
          <w:color w:val="auto"/>
        </w:rPr>
      </w:pPr>
    </w:p>
    <w:p>
      <w:pPr>
        <w:ind w:right="380"/>
        <w:spacing w:after="0" w:line="260" w:lineRule="auto"/>
        <w:rPr>
          <w:sz w:val="20"/>
          <w:szCs w:val="20"/>
          <w:color w:val="auto"/>
        </w:rPr>
      </w:pPr>
      <w:r>
        <w:rPr>
          <w:rFonts w:ascii="Times New Roman" w:cs="Times New Roman" w:eastAsia="Times New Roman" w:hAnsi="Times New Roman"/>
          <w:sz w:val="11"/>
          <w:szCs w:val="11"/>
          <w:color w:val="auto"/>
        </w:rPr>
        <w:t>In 2021, Nokia commenced patent infringement proceedings against OPPO, OnePlus and Realme in several countries in Asia and Europe. OPPO responded by filing invalidation actions and patent infringement actions against Nokia in Germany, China and Finland and actions in China against Nokia relating to standard essential patent licensing issues. In January 2024, Nokia announced that it has concluded a multi-year patent cross-license agreement with OPPO. Under the agreement OPPO will make royalty payments, along with catch-up payments to cover the periods of non-payment. The agreement resolves all pending patent litigation between the parties,</w:t>
      </w:r>
    </w:p>
    <w:p>
      <w:pPr>
        <w:spacing w:after="0" w:line="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all jurisdictions.</w:t>
      </w:r>
    </w:p>
    <w:p>
      <w:pPr>
        <w:spacing w:after="0" w:line="8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vivo</w:t>
      </w:r>
    </w:p>
    <w:p>
      <w:pPr>
        <w:spacing w:after="0" w:line="19" w:lineRule="exact"/>
        <w:rPr>
          <w:sz w:val="20"/>
          <w:szCs w:val="20"/>
          <w:color w:val="auto"/>
        </w:rPr>
      </w:pPr>
    </w:p>
    <w:p>
      <w:pPr>
        <w:ind w:right="400"/>
        <w:spacing w:after="0" w:line="265" w:lineRule="auto"/>
        <w:rPr>
          <w:sz w:val="20"/>
          <w:szCs w:val="20"/>
          <w:color w:val="auto"/>
        </w:rPr>
      </w:pPr>
      <w:r>
        <w:rPr>
          <w:rFonts w:ascii="Times New Roman" w:cs="Times New Roman" w:eastAsia="Times New Roman" w:hAnsi="Times New Roman"/>
          <w:sz w:val="11"/>
          <w:szCs w:val="11"/>
          <w:color w:val="auto"/>
        </w:rPr>
        <w:t>In 2022, Nokia commenced patent infringement proceedings against vivo in Germany and several countries in Asia. Vivo responded by filing a number of patent infringement actions against Nokia equipment in Germany and China. They also filed an action in China against Nokia relating to standard essential patent licensing issues. In February 2024, Nokia announced that it has concluded a multi-year patent cross-license agreement with vivo. Under the agreement vivo will make royalty payments, along with catch-up payments to cover the periods of non-payment. The agreement resolves all pending patent litigation between the parties, in all jurisdictions.</w:t>
      </w:r>
    </w:p>
    <w:p>
      <w:pPr>
        <w:spacing w:after="0" w:line="5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Amazon</w:t>
      </w:r>
    </w:p>
    <w:p>
      <w:pPr>
        <w:spacing w:after="0" w:line="24" w:lineRule="exact"/>
        <w:rPr>
          <w:sz w:val="20"/>
          <w:szCs w:val="20"/>
          <w:color w:val="auto"/>
        </w:rPr>
      </w:pPr>
    </w:p>
    <w:p>
      <w:pPr>
        <w:ind w:right="520"/>
        <w:spacing w:after="0" w:line="264" w:lineRule="auto"/>
        <w:rPr>
          <w:sz w:val="20"/>
          <w:szCs w:val="20"/>
          <w:color w:val="auto"/>
        </w:rPr>
      </w:pPr>
      <w:r>
        <w:rPr>
          <w:rFonts w:ascii="Times New Roman" w:cs="Times New Roman" w:eastAsia="Times New Roman" w:hAnsi="Times New Roman"/>
          <w:sz w:val="11"/>
          <w:szCs w:val="11"/>
          <w:color w:val="auto"/>
        </w:rPr>
        <w:t>In 2023, Nokia commenced patent infringement proceedings against Amazon in Brazil, Germany, the European Unified Patent Court, India, the United Kingdom and the United States</w:t>
      </w:r>
    </w:p>
    <w:p>
      <w:pPr>
        <w:ind w:right="240"/>
        <w:spacing w:after="0" w:line="286" w:lineRule="auto"/>
        <w:rPr>
          <w:sz w:val="20"/>
          <w:szCs w:val="20"/>
          <w:color w:val="auto"/>
        </w:rPr>
      </w:pPr>
      <w:r>
        <w:rPr>
          <w:rFonts w:ascii="Times New Roman" w:cs="Times New Roman" w:eastAsia="Times New Roman" w:hAnsi="Times New Roman"/>
          <w:sz w:val="11"/>
          <w:szCs w:val="11"/>
          <w:color w:val="auto"/>
        </w:rPr>
        <w:t>(International Trade Commission/District Court). Across these actions, more than 30 patents are in suit, covering video-related technologies implemented in Amazon’s services and devices.</w:t>
      </w:r>
    </w:p>
    <w:p>
      <w:pPr>
        <w:spacing w:after="0" w:line="3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6F6E6E"/>
        </w:rPr>
        <w:t>HP</w:t>
      </w:r>
    </w:p>
    <w:p>
      <w:pPr>
        <w:spacing w:after="0" w:line="24" w:lineRule="exact"/>
        <w:rPr>
          <w:sz w:val="20"/>
          <w:szCs w:val="20"/>
          <w:color w:val="auto"/>
        </w:rPr>
      </w:pPr>
    </w:p>
    <w:p>
      <w:pPr>
        <w:ind w:right="460"/>
        <w:spacing w:after="0" w:line="254" w:lineRule="auto"/>
        <w:rPr>
          <w:sz w:val="20"/>
          <w:szCs w:val="20"/>
          <w:color w:val="auto"/>
        </w:rPr>
      </w:pPr>
      <w:r>
        <w:rPr>
          <w:rFonts w:ascii="Times New Roman" w:cs="Times New Roman" w:eastAsia="Times New Roman" w:hAnsi="Times New Roman"/>
          <w:sz w:val="11"/>
          <w:szCs w:val="11"/>
          <w:color w:val="auto"/>
        </w:rPr>
        <w:t>In 2023, Nokia commenced patent infringement proceedings against HP in Brazil, Germany, the European Unified Patent Court and the United States (International Trade Commission/District</w:t>
      </w:r>
    </w:p>
    <w:p>
      <w:pPr>
        <w:spacing w:after="0" w:line="1" w:lineRule="exact"/>
        <w:rPr>
          <w:sz w:val="20"/>
          <w:szCs w:val="20"/>
          <w:color w:val="auto"/>
        </w:rPr>
      </w:pPr>
    </w:p>
    <w:p>
      <w:pPr>
        <w:ind w:right="400"/>
        <w:spacing w:after="0" w:line="267" w:lineRule="auto"/>
        <w:rPr>
          <w:sz w:val="20"/>
          <w:szCs w:val="20"/>
          <w:color w:val="auto"/>
        </w:rPr>
      </w:pPr>
      <w:r>
        <w:rPr>
          <w:rFonts w:ascii="Times New Roman" w:cs="Times New Roman" w:eastAsia="Times New Roman" w:hAnsi="Times New Roman"/>
          <w:sz w:val="11"/>
          <w:szCs w:val="11"/>
          <w:color w:val="auto"/>
        </w:rPr>
        <w:t>Court). Across these actions, there are 14 patents in suit, covering video coding technologies implemented in HP’s products.</w:t>
      </w:r>
    </w:p>
    <w:p>
      <w:pPr>
        <w:sectPr>
          <w:pgSz w:w="11900" w:h="16838" w:orient="portrait"/>
          <w:cols w:equalWidth="0" w:num="2">
            <w:col w:w="4540" w:space="560"/>
            <w:col w:w="4880"/>
          </w:cols>
          <w:pgMar w:left="960" w:top="410" w:right="959" w:bottom="1440" w:gutter="0" w:footer="0" w:header="0"/>
          <w:type w:val="continuous"/>
        </w:sectPr>
      </w:pPr>
    </w:p>
    <w:bookmarkStart w:id="208" w:name="page209"/>
    <w:bookmarkEnd w:id="208"/>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201</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line="293"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6"/>
          <w:szCs w:val="16"/>
          <w:color w:val="005AFF"/>
        </w:rPr>
        <w:t>6.2. Principal Group companies</w:t>
      </w:r>
    </w:p>
    <w:p>
      <w:pPr>
        <w:spacing w:after="0" w:line="88" w:lineRule="exact"/>
        <w:rPr>
          <w:sz w:val="20"/>
          <w:szCs w:val="20"/>
          <w:color w:val="auto"/>
        </w:rPr>
      </w:pPr>
    </w:p>
    <w:tbl>
      <w:tblPr>
        <w:tblLayout w:type="fixed"/>
        <w:tblInd w:w="0" w:type="dxa"/>
        <w:tblCellMar>
          <w:top w:w="0" w:type="dxa"/>
          <w:left w:w="0" w:type="dxa"/>
          <w:bottom w:w="0" w:type="dxa"/>
          <w:right w:w="0" w:type="dxa"/>
        </w:tblCellMar>
      </w:tblPr>
      <w:tr>
        <w:trPr>
          <w:trHeight w:val="101"/>
        </w:trPr>
        <w:tc>
          <w:tcPr>
            <w:tcW w:w="2960" w:type="dxa"/>
            <w:vAlign w:val="bottom"/>
          </w:tcPr>
          <w:p>
            <w:pPr>
              <w:spacing w:after="0"/>
              <w:rPr>
                <w:sz w:val="8"/>
                <w:szCs w:val="8"/>
                <w:color w:val="auto"/>
              </w:rPr>
            </w:pPr>
          </w:p>
        </w:tc>
        <w:tc>
          <w:tcPr>
            <w:tcW w:w="480" w:type="dxa"/>
            <w:vAlign w:val="bottom"/>
          </w:tcPr>
          <w:p>
            <w:pPr>
              <w:spacing w:after="0"/>
              <w:rPr>
                <w:sz w:val="8"/>
                <w:szCs w:val="8"/>
                <w:color w:val="auto"/>
              </w:rPr>
            </w:pPr>
          </w:p>
        </w:tc>
        <w:tc>
          <w:tcPr>
            <w:tcW w:w="1220" w:type="dxa"/>
            <w:vAlign w:val="bottom"/>
          </w:tcPr>
          <w:p>
            <w:pPr>
              <w:spacing w:after="0"/>
              <w:rPr>
                <w:sz w:val="8"/>
                <w:szCs w:val="8"/>
                <w:color w:val="auto"/>
              </w:rPr>
            </w:pPr>
          </w:p>
        </w:tc>
        <w:tc>
          <w:tcPr>
            <w:tcW w:w="1940" w:type="dxa"/>
            <w:vAlign w:val="bottom"/>
            <w:gridSpan w:val="2"/>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Group ownership</w:t>
            </w:r>
          </w:p>
        </w:tc>
        <w:tc>
          <w:tcPr>
            <w:tcW w:w="0" w:type="dxa"/>
            <w:vAlign w:val="bottom"/>
          </w:tcPr>
          <w:p>
            <w:pPr>
              <w:spacing w:after="0"/>
              <w:rPr>
                <w:sz w:val="1"/>
                <w:szCs w:val="1"/>
                <w:color w:val="auto"/>
              </w:rPr>
            </w:pPr>
          </w:p>
        </w:tc>
      </w:tr>
      <w:tr>
        <w:trPr>
          <w:trHeight w:val="114"/>
        </w:trPr>
        <w:tc>
          <w:tcPr>
            <w:tcW w:w="29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Company name</w:t>
            </w:r>
          </w:p>
        </w:tc>
        <w:tc>
          <w:tcPr>
            <w:tcW w:w="480" w:type="dxa"/>
            <w:vAlign w:val="bottom"/>
            <w:tcBorders>
              <w:bottom w:val="single" w:sz="8" w:color="005AFF"/>
            </w:tcBorders>
          </w:tcPr>
          <w:p>
            <w:pPr>
              <w:spacing w:after="0"/>
              <w:rPr>
                <w:sz w:val="9"/>
                <w:szCs w:val="9"/>
                <w:color w:val="auto"/>
              </w:rPr>
            </w:pPr>
          </w:p>
        </w:tc>
        <w:tc>
          <w:tcPr>
            <w:tcW w:w="122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Country of incorporation</w:t>
            </w:r>
          </w:p>
        </w:tc>
        <w:tc>
          <w:tcPr>
            <w:tcW w:w="144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Parent holding %</w:t>
            </w:r>
          </w:p>
        </w:tc>
        <w:tc>
          <w:tcPr>
            <w:tcW w:w="50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8"/>
                <w:szCs w:val="8"/>
                <w:b w:val="1"/>
                <w:bCs w:val="1"/>
                <w:color w:val="005AFF"/>
              </w:rPr>
              <w:t>interest %</w:t>
            </w:r>
          </w:p>
        </w:tc>
        <w:tc>
          <w:tcPr>
            <w:tcW w:w="0" w:type="dxa"/>
            <w:vAlign w:val="bottom"/>
          </w:tcPr>
          <w:p>
            <w:pPr>
              <w:spacing w:after="0"/>
              <w:rPr>
                <w:sz w:val="1"/>
                <w:szCs w:val="1"/>
                <w:color w:val="auto"/>
              </w:rPr>
            </w:pPr>
          </w:p>
        </w:tc>
      </w:tr>
      <w:tr>
        <w:trPr>
          <w:trHeight w:val="140"/>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Oy</w:t>
            </w:r>
          </w:p>
        </w:tc>
        <w:tc>
          <w:tcPr>
            <w:tcW w:w="480" w:type="dxa"/>
            <w:vAlign w:val="bottom"/>
          </w:tcPr>
          <w:p>
            <w:pPr>
              <w:spacing w:after="0"/>
              <w:rPr>
                <w:sz w:val="12"/>
                <w:szCs w:val="12"/>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Finland</w:t>
            </w:r>
          </w:p>
        </w:tc>
        <w:tc>
          <w:tcPr>
            <w:tcW w:w="1440" w:type="dxa"/>
            <w:vAlign w:val="bottom"/>
          </w:tcPr>
          <w:p>
            <w:pPr>
              <w:ind w:left="700"/>
              <w:spacing w:after="0"/>
              <w:rPr>
                <w:sz w:val="20"/>
                <w:szCs w:val="20"/>
                <w:color w:val="auto"/>
              </w:rPr>
            </w:pPr>
            <w:r>
              <w:rPr>
                <w:rFonts w:ascii="Times New Roman" w:cs="Times New Roman" w:eastAsia="Times New Roman" w:hAnsi="Times New Roman"/>
                <w:sz w:val="10"/>
                <w:szCs w:val="10"/>
                <w:color w:val="0D0D0D"/>
              </w:rPr>
              <w:t>100.0</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of America Corporation</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United States</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94"/>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Nokia Shanghai Bell Co., Ltd. </w:t>
            </w:r>
            <w:r>
              <w:rPr>
                <w:rFonts w:ascii="Times New Roman" w:cs="Times New Roman" w:eastAsia="Times New Roman" w:hAnsi="Times New Roman"/>
                <w:sz w:val="13"/>
                <w:szCs w:val="13"/>
                <w:color w:val="0D0D0D"/>
                <w:vertAlign w:val="superscript"/>
              </w:rPr>
              <w:t>(1)</w:t>
            </w:r>
          </w:p>
        </w:tc>
        <w:tc>
          <w:tcPr>
            <w:tcW w:w="480" w:type="dxa"/>
            <w:vAlign w:val="bottom"/>
          </w:tcPr>
          <w:p>
            <w:pPr>
              <w:spacing w:after="0"/>
              <w:rPr>
                <w:sz w:val="16"/>
                <w:szCs w:val="16"/>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China</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10"/>
              <w:spacing w:after="0"/>
              <w:rPr>
                <w:sz w:val="20"/>
                <w:szCs w:val="20"/>
                <w:color w:val="auto"/>
              </w:rPr>
            </w:pPr>
            <w:r>
              <w:rPr>
                <w:rFonts w:ascii="Times New Roman" w:cs="Times New Roman" w:eastAsia="Times New Roman" w:hAnsi="Times New Roman"/>
                <w:sz w:val="10"/>
                <w:szCs w:val="10"/>
                <w:color w:val="0D0D0D"/>
              </w:rPr>
              <w:t>50.0</w:t>
            </w:r>
          </w:p>
        </w:tc>
        <w:tc>
          <w:tcPr>
            <w:tcW w:w="0" w:type="dxa"/>
            <w:vAlign w:val="bottom"/>
          </w:tcPr>
          <w:p>
            <w:pPr>
              <w:spacing w:after="0"/>
              <w:rPr>
                <w:sz w:val="1"/>
                <w:szCs w:val="1"/>
                <w:color w:val="auto"/>
              </w:rPr>
            </w:pPr>
          </w:p>
        </w:tc>
      </w:tr>
      <w:tr>
        <w:trPr>
          <w:trHeight w:val="130"/>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B.V.</w:t>
            </w:r>
          </w:p>
        </w:tc>
        <w:tc>
          <w:tcPr>
            <w:tcW w:w="480" w:type="dxa"/>
            <w:vAlign w:val="bottom"/>
          </w:tcPr>
          <w:p>
            <w:pPr>
              <w:spacing w:after="0"/>
              <w:rPr>
                <w:sz w:val="11"/>
                <w:szCs w:val="11"/>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Netherlands</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Technologies Oy</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Finland</w:t>
            </w:r>
          </w:p>
        </w:tc>
        <w:tc>
          <w:tcPr>
            <w:tcW w:w="1440" w:type="dxa"/>
            <w:vAlign w:val="bottom"/>
          </w:tcPr>
          <w:p>
            <w:pPr>
              <w:ind w:left="700"/>
              <w:spacing w:after="0"/>
              <w:rPr>
                <w:sz w:val="20"/>
                <w:szCs w:val="20"/>
                <w:color w:val="auto"/>
              </w:rPr>
            </w:pPr>
            <w:r>
              <w:rPr>
                <w:rFonts w:ascii="Times New Roman" w:cs="Times New Roman" w:eastAsia="Times New Roman" w:hAnsi="Times New Roman"/>
                <w:sz w:val="10"/>
                <w:szCs w:val="10"/>
                <w:color w:val="0D0D0D"/>
              </w:rPr>
              <w:t>100.0</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Participations</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France</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Alcatel Lucent</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France</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Networks France</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France</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India Private Limited</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India</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Japan G.K.</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Japan</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Branch Operations Oy</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Finland</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Alcatel Submarine Networks</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France</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Arabia Limited</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Saudi Arabia</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do Brasil Telecomunicações Ltda.</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Brazil</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Taiwan Co., Ltd.</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Taiwan</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Spain, S.A.</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Spain</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UK Limited</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United Kingdom</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11"/>
        </w:trPr>
        <w:tc>
          <w:tcPr>
            <w:tcW w:w="296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System Technology (Beijing) Co., Ltd.</w:t>
            </w:r>
          </w:p>
        </w:tc>
        <w:tc>
          <w:tcPr>
            <w:tcW w:w="480" w:type="dxa"/>
            <w:vAlign w:val="bottom"/>
          </w:tcPr>
          <w:p>
            <w:pPr>
              <w:jc w:val="right"/>
              <w:ind w:right="287"/>
              <w:spacing w:after="0"/>
              <w:rPr>
                <w:sz w:val="20"/>
                <w:szCs w:val="20"/>
                <w:color w:val="auto"/>
              </w:rPr>
            </w:pPr>
            <w:r>
              <w:rPr>
                <w:rFonts w:ascii="Times New Roman" w:cs="Times New Roman" w:eastAsia="Times New Roman" w:hAnsi="Times New Roman"/>
                <w:sz w:val="7"/>
                <w:szCs w:val="7"/>
                <w:color w:val="0D0D0D"/>
              </w:rPr>
              <w:t>(2)</w:t>
            </w:r>
          </w:p>
        </w:tc>
        <w:tc>
          <w:tcPr>
            <w:tcW w:w="1220" w:type="dxa"/>
            <w:vAlign w:val="bottom"/>
            <w:vMerge w:val="restart"/>
          </w:tcPr>
          <w:p>
            <w:pPr>
              <w:ind w:left="340"/>
              <w:spacing w:after="0"/>
              <w:rPr>
                <w:sz w:val="20"/>
                <w:szCs w:val="20"/>
                <w:color w:val="auto"/>
              </w:rPr>
            </w:pPr>
            <w:r>
              <w:rPr>
                <w:rFonts w:ascii="Times New Roman" w:cs="Times New Roman" w:eastAsia="Times New Roman" w:hAnsi="Times New Roman"/>
                <w:sz w:val="10"/>
                <w:szCs w:val="10"/>
                <w:color w:val="0D0D0D"/>
              </w:rPr>
              <w:t>China</w:t>
            </w:r>
          </w:p>
        </w:tc>
        <w:tc>
          <w:tcPr>
            <w:tcW w:w="1440" w:type="dxa"/>
            <w:vAlign w:val="bottom"/>
            <w:vMerge w:val="restart"/>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vMerge w:val="restart"/>
          </w:tcPr>
          <w:p>
            <w:pPr>
              <w:jc w:val="right"/>
              <w:ind w:right="10"/>
              <w:spacing w:after="0"/>
              <w:rPr>
                <w:sz w:val="20"/>
                <w:szCs w:val="20"/>
                <w:color w:val="auto"/>
              </w:rPr>
            </w:pPr>
            <w:r>
              <w:rPr>
                <w:rFonts w:ascii="Times New Roman" w:cs="Times New Roman" w:eastAsia="Times New Roman" w:hAnsi="Times New Roman"/>
                <w:sz w:val="10"/>
                <w:szCs w:val="10"/>
                <w:color w:val="0D0D0D"/>
              </w:rPr>
              <w:t>50.0</w:t>
            </w:r>
          </w:p>
        </w:tc>
        <w:tc>
          <w:tcPr>
            <w:tcW w:w="0" w:type="dxa"/>
            <w:vAlign w:val="bottom"/>
          </w:tcPr>
          <w:p>
            <w:pPr>
              <w:spacing w:after="0"/>
              <w:rPr>
                <w:sz w:val="1"/>
                <w:szCs w:val="1"/>
                <w:color w:val="auto"/>
              </w:rPr>
            </w:pPr>
          </w:p>
        </w:tc>
      </w:tr>
      <w:tr>
        <w:trPr>
          <w:trHeight w:val="50"/>
        </w:trPr>
        <w:tc>
          <w:tcPr>
            <w:tcW w:w="2960" w:type="dxa"/>
            <w:vAlign w:val="bottom"/>
            <w:vMerge w:val="continue"/>
          </w:tcPr>
          <w:p>
            <w:pPr>
              <w:spacing w:after="0"/>
              <w:rPr>
                <w:sz w:val="4"/>
                <w:szCs w:val="4"/>
                <w:color w:val="auto"/>
              </w:rPr>
            </w:pPr>
          </w:p>
        </w:tc>
        <w:tc>
          <w:tcPr>
            <w:tcW w:w="480" w:type="dxa"/>
            <w:vAlign w:val="bottom"/>
          </w:tcPr>
          <w:p>
            <w:pPr>
              <w:spacing w:after="0"/>
              <w:rPr>
                <w:sz w:val="4"/>
                <w:szCs w:val="4"/>
                <w:color w:val="auto"/>
              </w:rPr>
            </w:pPr>
          </w:p>
        </w:tc>
        <w:tc>
          <w:tcPr>
            <w:tcW w:w="1220" w:type="dxa"/>
            <w:vAlign w:val="bottom"/>
            <w:vMerge w:val="continue"/>
          </w:tcPr>
          <w:p>
            <w:pPr>
              <w:spacing w:after="0"/>
              <w:rPr>
                <w:sz w:val="4"/>
                <w:szCs w:val="4"/>
                <w:color w:val="auto"/>
              </w:rPr>
            </w:pPr>
          </w:p>
        </w:tc>
        <w:tc>
          <w:tcPr>
            <w:tcW w:w="1440" w:type="dxa"/>
            <w:vAlign w:val="bottom"/>
            <w:vMerge w:val="continue"/>
          </w:tcPr>
          <w:p>
            <w:pPr>
              <w:spacing w:after="0"/>
              <w:rPr>
                <w:sz w:val="4"/>
                <w:szCs w:val="4"/>
                <w:color w:val="auto"/>
              </w:rPr>
            </w:pPr>
          </w:p>
        </w:tc>
        <w:tc>
          <w:tcPr>
            <w:tcW w:w="500" w:type="dxa"/>
            <w:vAlign w:val="bottom"/>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Canada Inc.</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Canada</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2"/>
        </w:trPr>
        <w:tc>
          <w:tcPr>
            <w:tcW w:w="296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Italia S.p.A.</w:t>
            </w:r>
          </w:p>
        </w:tc>
        <w:tc>
          <w:tcPr>
            <w:tcW w:w="480" w:type="dxa"/>
            <w:vAlign w:val="bottom"/>
          </w:tcPr>
          <w:p>
            <w:pPr>
              <w:spacing w:after="0"/>
              <w:rPr>
                <w:sz w:val="14"/>
                <w:szCs w:val="14"/>
                <w:color w:val="auto"/>
              </w:rPr>
            </w:pPr>
          </w:p>
        </w:tc>
        <w:tc>
          <w:tcPr>
            <w:tcW w:w="1220" w:type="dxa"/>
            <w:vAlign w:val="bottom"/>
          </w:tcPr>
          <w:p>
            <w:pPr>
              <w:ind w:left="340"/>
              <w:spacing w:after="0"/>
              <w:rPr>
                <w:sz w:val="20"/>
                <w:szCs w:val="20"/>
                <w:color w:val="auto"/>
              </w:rPr>
            </w:pPr>
            <w:r>
              <w:rPr>
                <w:rFonts w:ascii="Times New Roman" w:cs="Times New Roman" w:eastAsia="Times New Roman" w:hAnsi="Times New Roman"/>
                <w:sz w:val="10"/>
                <w:szCs w:val="10"/>
                <w:color w:val="0D0D0D"/>
              </w:rPr>
              <w:t>Italy</w:t>
            </w:r>
          </w:p>
        </w:tc>
        <w:tc>
          <w:tcPr>
            <w:tcW w:w="1440" w:type="dxa"/>
            <w:vAlign w:val="bottom"/>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67"/>
        </w:trPr>
        <w:tc>
          <w:tcPr>
            <w:tcW w:w="296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Nokia Solutions and Networks Australia Pty Ltd</w:t>
            </w:r>
          </w:p>
        </w:tc>
        <w:tc>
          <w:tcPr>
            <w:tcW w:w="480" w:type="dxa"/>
            <w:vAlign w:val="bottom"/>
            <w:tcBorders>
              <w:bottom w:val="single" w:sz="8" w:color="005AFF"/>
            </w:tcBorders>
          </w:tcPr>
          <w:p>
            <w:pPr>
              <w:spacing w:after="0"/>
              <w:rPr>
                <w:sz w:val="14"/>
                <w:szCs w:val="14"/>
                <w:color w:val="auto"/>
              </w:rPr>
            </w:pPr>
          </w:p>
        </w:tc>
        <w:tc>
          <w:tcPr>
            <w:tcW w:w="122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10"/>
                <w:szCs w:val="10"/>
                <w:color w:val="0D0D0D"/>
              </w:rPr>
              <w:t>Australia</w:t>
            </w:r>
          </w:p>
        </w:tc>
        <w:tc>
          <w:tcPr>
            <w:tcW w:w="1440" w:type="dxa"/>
            <w:vAlign w:val="bottom"/>
            <w:tcBorders>
              <w:bottom w:val="single" w:sz="8" w:color="005AFF"/>
            </w:tcBorders>
          </w:tcPr>
          <w:p>
            <w:pPr>
              <w:ind w:left="880"/>
              <w:spacing w:after="0"/>
              <w:rPr>
                <w:sz w:val="20"/>
                <w:szCs w:val="20"/>
                <w:color w:val="auto"/>
              </w:rPr>
            </w:pPr>
            <w:r>
              <w:rPr>
                <w:rFonts w:ascii="Times New Roman" w:cs="Times New Roman" w:eastAsia="Times New Roman" w:hAnsi="Times New Roman"/>
                <w:sz w:val="10"/>
                <w:szCs w:val="10"/>
                <w:color w:val="0D0D0D"/>
              </w:rPr>
              <w:t>—</w:t>
            </w:r>
          </w:p>
        </w:tc>
        <w:tc>
          <w:tcPr>
            <w:tcW w:w="50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color w:val="0D0D0D"/>
              </w:rPr>
              <w:t>100.0</w:t>
            </w:r>
          </w:p>
        </w:tc>
        <w:tc>
          <w:tcPr>
            <w:tcW w:w="0" w:type="dxa"/>
            <w:vAlign w:val="bottom"/>
          </w:tcPr>
          <w:p>
            <w:pPr>
              <w:spacing w:after="0"/>
              <w:rPr>
                <w:sz w:val="1"/>
                <w:szCs w:val="1"/>
                <w:color w:val="auto"/>
              </w:rPr>
            </w:pPr>
          </w:p>
        </w:tc>
      </w:tr>
      <w:tr>
        <w:trPr>
          <w:trHeight w:val="107"/>
        </w:trPr>
        <w:tc>
          <w:tcPr>
            <w:tcW w:w="6100" w:type="dxa"/>
            <w:vAlign w:val="bottom"/>
            <w:gridSpan w:val="4"/>
          </w:tcPr>
          <w:p>
            <w:pPr>
              <w:ind w:left="40"/>
              <w:spacing w:after="0"/>
              <w:rPr>
                <w:sz w:val="20"/>
                <w:szCs w:val="20"/>
                <w:color w:val="auto"/>
              </w:rPr>
            </w:pPr>
            <w:r>
              <w:rPr>
                <w:rFonts w:ascii="Times New Roman" w:cs="Times New Roman" w:eastAsia="Times New Roman" w:hAnsi="Times New Roman"/>
                <w:sz w:val="8"/>
                <w:szCs w:val="8"/>
                <w:color w:val="auto"/>
              </w:rPr>
              <w:t>(1)   Nokia Group owns  50% plus 1 share of Nokia Shanghai Bell Co., Ltd. with China Huaxin, an entity controlled by the Chinese government, holding the remaining ownership</w:t>
            </w:r>
          </w:p>
        </w:tc>
        <w:tc>
          <w:tcPr>
            <w:tcW w:w="500" w:type="dxa"/>
            <w:vAlign w:val="bottom"/>
          </w:tcPr>
          <w:p>
            <w:pPr>
              <w:spacing w:after="0"/>
              <w:rPr>
                <w:sz w:val="9"/>
                <w:szCs w:val="9"/>
                <w:color w:val="auto"/>
              </w:rPr>
            </w:pPr>
          </w:p>
        </w:tc>
        <w:tc>
          <w:tcPr>
            <w:tcW w:w="0" w:type="dxa"/>
            <w:vAlign w:val="bottom"/>
          </w:tcPr>
          <w:p>
            <w:pPr>
              <w:spacing w:after="0"/>
              <w:rPr>
                <w:sz w:val="1"/>
                <w:szCs w:val="1"/>
                <w:color w:val="auto"/>
              </w:rPr>
            </w:pPr>
          </w:p>
        </w:tc>
      </w:tr>
      <w:tr>
        <w:trPr>
          <w:trHeight w:val="99"/>
        </w:trPr>
        <w:tc>
          <w:tcPr>
            <w:tcW w:w="4660" w:type="dxa"/>
            <w:vAlign w:val="bottom"/>
            <w:gridSpan w:val="3"/>
          </w:tcPr>
          <w:p>
            <w:pPr>
              <w:ind w:left="220"/>
              <w:spacing w:after="0"/>
              <w:rPr>
                <w:sz w:val="20"/>
                <w:szCs w:val="20"/>
                <w:color w:val="auto"/>
              </w:rPr>
            </w:pPr>
            <w:r>
              <w:rPr>
                <w:rFonts w:ascii="Times New Roman" w:cs="Times New Roman" w:eastAsia="Times New Roman" w:hAnsi="Times New Roman"/>
                <w:sz w:val="8"/>
                <w:szCs w:val="8"/>
                <w:color w:val="auto"/>
              </w:rPr>
              <w:t>interests. Nokia Shanghai Bell Co., Ltd. is the parent company of the Nokia Shanghai Bell Group (NSB Group). Refer to Note</w:t>
            </w:r>
          </w:p>
        </w:tc>
        <w:tc>
          <w:tcPr>
            <w:tcW w:w="1440" w:type="dxa"/>
            <w:vAlign w:val="bottom"/>
          </w:tcPr>
          <w:p>
            <w:pPr>
              <w:ind w:left="20"/>
              <w:spacing w:after="0"/>
              <w:rPr>
                <w:sz w:val="20"/>
                <w:szCs w:val="20"/>
                <w:color w:val="auto"/>
              </w:rPr>
            </w:pPr>
            <w:r>
              <w:rPr>
                <w:rFonts w:ascii="Times New Roman" w:cs="Times New Roman" w:eastAsia="Times New Roman" w:hAnsi="Times New Roman"/>
                <w:sz w:val="8"/>
                <w:szCs w:val="8"/>
                <w:color w:val="auto"/>
              </w:rPr>
              <w:t>6.3. Significant partly-owned subsidiaries</w:t>
            </w:r>
          </w:p>
        </w:tc>
        <w:tc>
          <w:tcPr>
            <w:tcW w:w="500" w:type="dxa"/>
            <w:vAlign w:val="bottom"/>
          </w:tcPr>
          <w:p>
            <w:pPr>
              <w:jc w:val="right"/>
              <w:ind w:right="350"/>
              <w:spacing w:after="0"/>
              <w:rPr>
                <w:sz w:val="20"/>
                <w:szCs w:val="20"/>
                <w:color w:val="auto"/>
              </w:rPr>
            </w:pPr>
            <w:r>
              <w:rPr>
                <w:rFonts w:ascii="Times New Roman" w:cs="Times New Roman" w:eastAsia="Times New Roman" w:hAnsi="Times New Roman"/>
                <w:sz w:val="8"/>
                <w:szCs w:val="8"/>
                <w:color w:val="auto"/>
              </w:rPr>
              <w:t>.</w:t>
            </w:r>
          </w:p>
        </w:tc>
        <w:tc>
          <w:tcPr>
            <w:tcW w:w="0" w:type="dxa"/>
            <w:vAlign w:val="bottom"/>
          </w:tcPr>
          <w:p>
            <w:pPr>
              <w:spacing w:after="0"/>
              <w:rPr>
                <w:sz w:val="1"/>
                <w:szCs w:val="1"/>
                <w:color w:val="auto"/>
              </w:rPr>
            </w:pPr>
          </w:p>
        </w:tc>
      </w:tr>
    </w:tbl>
    <w:p>
      <w:pPr>
        <w:ind w:left="220" w:right="4060" w:hanging="184"/>
        <w:spacing w:after="0" w:line="274" w:lineRule="auto"/>
        <w:tabs>
          <w:tab w:leader="none" w:pos="220" w:val="left"/>
        </w:tabs>
        <w:numPr>
          <w:ilvl w:val="0"/>
          <w:numId w:val="150"/>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Nokia Solutions and Network System Technology (Beijing) Co., Ltd. is a wholly-owned subsidiary of Nokia Shanghai Bell Co., Ltd. and the Nokia Group has control over this subsidiary through its holding in the NSB Group.</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sectPr>
      </w:pPr>
    </w:p>
    <w:bookmarkStart w:id="209" w:name="page210"/>
    <w:bookmarkEnd w:id="209"/>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202</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10060"/>
          </w:cols>
          <w:pgMar w:left="960" w:top="410" w:right="87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6.3. Significant partly-owned subsidiaries</w:t>
      </w:r>
    </w:p>
    <w:p>
      <w:pPr>
        <w:spacing w:after="0" w:line="46"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color w:val="auto"/>
        </w:rPr>
        <w:t>Nokia holds an ownership interest of 50% plus one share in Nokia Shanghai Bell’s parent company, Nokia Shanghai Bell Co., Ltd. (NSB), with China Huaxin Post &amp; Telecommunication Economy Development Center (China Huaxin) holding the remaining ownership interests. Nokia applied judgment to conclude that it is able to control NSB based on an assessment of various factors including the ability to nominate key management personnel, decision-making related to the management of NSB operations and Nokia’s exposure to variable returns from NSB.</w:t>
      </w:r>
    </w:p>
    <w:p>
      <w:pPr>
        <w:spacing w:after="0" w:line="49" w:lineRule="exact"/>
        <w:rPr>
          <w:sz w:val="20"/>
          <w:szCs w:val="20"/>
          <w:color w:val="auto"/>
        </w:rPr>
      </w:pPr>
    </w:p>
    <w:p>
      <w:pPr>
        <w:ind w:right="180"/>
        <w:spacing w:after="0" w:line="266" w:lineRule="auto"/>
        <w:rPr>
          <w:sz w:val="20"/>
          <w:szCs w:val="20"/>
          <w:color w:val="auto"/>
        </w:rPr>
      </w:pPr>
      <w:r>
        <w:rPr>
          <w:rFonts w:ascii="Times New Roman" w:cs="Times New Roman" w:eastAsia="Times New Roman" w:hAnsi="Times New Roman"/>
          <w:sz w:val="11"/>
          <w:szCs w:val="11"/>
          <w:color w:val="auto"/>
        </w:rPr>
        <w:t>In 2017, Nokia entered into a contractual arrangement providing China Huaxin with the right to fully transfer its ownership interest in NSB to Nokia and Nokia with the right to purchase China Huaxin’s ownership interest in NSB in exchange for a future cash settlement. To reflect this, Nokia derecognized the non-controlling interest balance related to NSB and recognized a financial liability based on the estimated future cash settlement to acquire China Huaxin’s ownership interest. In 2023, the contractual arrangement was extended until 30 June 2024. If it expires unexercised, Nokia will derecognize the financial liability and record non-controlling interest equal to its share of NSB’s net assets with any difference recorded within shareholders’ equity.</w:t>
      </w:r>
    </w:p>
    <w:p>
      <w:pPr>
        <w:spacing w:after="0" w:line="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measurement of the financial liability is complex as it involves estimation of the option</w:t>
      </w:r>
    </w:p>
    <w:p>
      <w:pPr>
        <w:spacing w:after="0" w:line="22" w:lineRule="exact"/>
        <w:rPr>
          <w:sz w:val="20"/>
          <w:szCs w:val="20"/>
          <w:color w:val="auto"/>
        </w:rPr>
      </w:pPr>
    </w:p>
    <w:p>
      <w:pPr>
        <w:spacing w:after="0" w:line="259" w:lineRule="auto"/>
        <w:rPr>
          <w:sz w:val="20"/>
          <w:szCs w:val="20"/>
          <w:color w:val="auto"/>
        </w:rPr>
      </w:pPr>
      <w:r>
        <w:rPr>
          <w:rFonts w:ascii="Times New Roman" w:cs="Times New Roman" w:eastAsia="Times New Roman" w:hAnsi="Times New Roman"/>
          <w:sz w:val="11"/>
          <w:szCs w:val="11"/>
          <w:color w:val="auto"/>
        </w:rPr>
        <w:t>exercise price and the distribution of excess cash balances upon exercise. In 2023 , Nokia recognized a EUR 2 million loss (EUR 11 million gain in 2022 ) in financial income and expenses</w:t>
      </w:r>
    </w:p>
    <w:p>
      <w:pPr>
        <w:spacing w:after="0"/>
        <w:tabs>
          <w:tab w:leader="none" w:pos="3200" w:val="left"/>
          <w:tab w:leader="none" w:pos="4200" w:val="left"/>
        </w:tabs>
        <w:rPr>
          <w:sz w:val="20"/>
          <w:szCs w:val="20"/>
          <w:color w:val="auto"/>
        </w:rPr>
      </w:pPr>
      <w:r>
        <w:rPr>
          <w:rFonts w:ascii="Times New Roman" w:cs="Times New Roman" w:eastAsia="Times New Roman" w:hAnsi="Times New Roman"/>
          <w:sz w:val="11"/>
          <w:szCs w:val="11"/>
          <w:color w:val="auto"/>
        </w:rPr>
        <w:t>to reflect a change in the estimated future cash settlement. At</w:t>
      </w:r>
      <w:r>
        <w:rPr>
          <w:sz w:val="20"/>
          <w:szCs w:val="20"/>
          <w:color w:val="auto"/>
        </w:rPr>
        <w:tab/>
      </w:r>
      <w:r>
        <w:rPr>
          <w:rFonts w:ascii="Times New Roman" w:cs="Times New Roman" w:eastAsia="Times New Roman" w:hAnsi="Times New Roman"/>
          <w:sz w:val="11"/>
          <w:szCs w:val="11"/>
          <w:color w:val="auto"/>
        </w:rPr>
        <w:t>31 December 2023</w:t>
        <w:tab/>
        <w:t>, the</w:t>
      </w:r>
    </w:p>
    <w:p>
      <w:pPr>
        <w:spacing w:after="0" w:line="10" w:lineRule="exact"/>
        <w:rPr>
          <w:sz w:val="20"/>
          <w:szCs w:val="20"/>
          <w:color w:val="auto"/>
        </w:rPr>
      </w:pPr>
    </w:p>
    <w:p>
      <w:pPr>
        <w:spacing w:after="0"/>
        <w:tabs>
          <w:tab w:leader="none" w:pos="2380" w:val="left"/>
        </w:tabs>
        <w:rPr>
          <w:sz w:val="20"/>
          <w:szCs w:val="20"/>
          <w:color w:val="auto"/>
        </w:rPr>
      </w:pPr>
      <w:r>
        <w:rPr>
          <w:rFonts w:ascii="Times New Roman" w:cs="Times New Roman" w:eastAsia="Times New Roman" w:hAnsi="Times New Roman"/>
          <w:sz w:val="11"/>
          <w:szCs w:val="11"/>
          <w:color w:val="auto"/>
        </w:rPr>
        <w:t>expected future cash settlement amounted to</w:t>
      </w:r>
      <w:r>
        <w:rPr>
          <w:sz w:val="20"/>
          <w:szCs w:val="20"/>
          <w:color w:val="auto"/>
        </w:rPr>
        <w:tab/>
      </w:r>
      <w:r>
        <w:rPr>
          <w:rFonts w:ascii="Times New Roman" w:cs="Times New Roman" w:eastAsia="Times New Roman" w:hAnsi="Times New Roman"/>
          <w:sz w:val="11"/>
          <w:szCs w:val="11"/>
          <w:color w:val="auto"/>
        </w:rPr>
        <w:t>EUR 455 million (EUR482 million in 2022 ).</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information for the Nokia Shanghai Bell Group</w:t>
      </w:r>
    </w:p>
    <w:p>
      <w:pPr>
        <w:spacing w:after="0" w:line="32" w:lineRule="exact"/>
        <w:rPr>
          <w:sz w:val="20"/>
          <w:szCs w:val="20"/>
          <w:color w:val="auto"/>
        </w:rPr>
      </w:pPr>
    </w:p>
    <w:p>
      <w:pPr>
        <w:ind w:right="520"/>
        <w:spacing w:after="0" w:line="289" w:lineRule="auto"/>
        <w:rPr>
          <w:sz w:val="20"/>
          <w:szCs w:val="20"/>
          <w:color w:val="auto"/>
        </w:rPr>
      </w:pPr>
      <w:r>
        <w:rPr>
          <w:rFonts w:ascii="Times New Roman" w:cs="Times New Roman" w:eastAsia="Times New Roman" w:hAnsi="Times New Roman"/>
          <w:sz w:val="11"/>
          <w:szCs w:val="11"/>
          <w:color w:val="auto"/>
        </w:rPr>
        <w:t>Financial information below is presented after elimination of intercompany transactions between entities within the Nokia Shanghai Bell Group but before elimination of intercompany transactions with the rest of the Nokia Group.</w:t>
      </w:r>
    </w:p>
    <w:p>
      <w:pPr>
        <w:spacing w:after="0" w:line="91"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220" w:type="dxa"/>
            <w:vAlign w:val="bottom"/>
            <w:tcBorders>
              <w:bottom w:val="single" w:sz="8" w:color="005AFF"/>
            </w:tcBorders>
          </w:tcPr>
          <w:p>
            <w:pPr>
              <w:spacing w:after="0"/>
              <w:rPr>
                <w:sz w:val="9"/>
                <w:szCs w:val="9"/>
                <w:color w:val="auto"/>
              </w:rPr>
            </w:pPr>
          </w:p>
        </w:tc>
        <w:tc>
          <w:tcPr>
            <w:tcW w:w="2560" w:type="dxa"/>
            <w:vAlign w:val="bottom"/>
            <w:tcBorders>
              <w:bottom w:val="single" w:sz="8" w:color="005AFF"/>
            </w:tcBorders>
          </w:tcPr>
          <w:p>
            <w:pPr>
              <w:spacing w:after="0"/>
              <w:rPr>
                <w:sz w:val="9"/>
                <w:szCs w:val="9"/>
                <w:color w:val="auto"/>
              </w:rPr>
            </w:pP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2023</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8"/>
                <w:szCs w:val="8"/>
                <w:b w:val="1"/>
                <w:bCs w:val="1"/>
                <w:color w:val="005AFF"/>
              </w:rPr>
              <w:t>2022</w:t>
            </w:r>
          </w:p>
        </w:tc>
        <w:tc>
          <w:tcPr>
            <w:tcW w:w="0" w:type="dxa"/>
            <w:vAlign w:val="bottom"/>
          </w:tcPr>
          <w:p>
            <w:pPr>
              <w:spacing w:after="0"/>
              <w:rPr>
                <w:sz w:val="1"/>
                <w:szCs w:val="1"/>
                <w:color w:val="auto"/>
              </w:rPr>
            </w:pPr>
          </w:p>
        </w:tc>
      </w:tr>
      <w:tr>
        <w:trPr>
          <w:trHeight w:val="140"/>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Summarized income statement</w:t>
            </w:r>
          </w:p>
        </w:tc>
        <w:tc>
          <w:tcPr>
            <w:tcW w:w="540" w:type="dxa"/>
            <w:vAlign w:val="bottom"/>
            <w:shd w:val="clear" w:color="auto" w:fill="F0F5FF"/>
          </w:tcPr>
          <w:p>
            <w:pPr>
              <w:spacing w:after="0"/>
              <w:rPr>
                <w:sz w:val="12"/>
                <w:szCs w:val="12"/>
                <w:color w:val="auto"/>
              </w:rPr>
            </w:pPr>
          </w:p>
        </w:tc>
        <w:tc>
          <w:tcPr>
            <w:tcW w:w="540" w:type="dxa"/>
            <w:vAlign w:val="bottom"/>
          </w:tcPr>
          <w:p>
            <w:pPr>
              <w:spacing w:after="0"/>
              <w:rPr>
                <w:sz w:val="12"/>
                <w:szCs w:val="12"/>
                <w:color w:val="auto"/>
              </w:rPr>
            </w:pPr>
          </w:p>
        </w:tc>
        <w:tc>
          <w:tcPr>
            <w:tcW w:w="0" w:type="dxa"/>
            <w:vAlign w:val="bottom"/>
          </w:tcPr>
          <w:p>
            <w:pPr>
              <w:spacing w:after="0"/>
              <w:rPr>
                <w:sz w:val="1"/>
                <w:szCs w:val="1"/>
                <w:color w:val="auto"/>
              </w:rPr>
            </w:pPr>
          </w:p>
        </w:tc>
      </w:tr>
      <w:tr>
        <w:trPr>
          <w:trHeight w:val="194"/>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Net sales </w:t>
            </w:r>
            <w:r>
              <w:rPr>
                <w:rFonts w:ascii="Times New Roman" w:cs="Times New Roman" w:eastAsia="Times New Roman" w:hAnsi="Times New Roman"/>
                <w:sz w:val="13"/>
                <w:szCs w:val="13"/>
                <w:color w:val="0D0D0D"/>
                <w:vertAlign w:val="superscript"/>
              </w:rPr>
              <w:t>(1)</w:t>
            </w:r>
          </w:p>
        </w:tc>
        <w:tc>
          <w:tcPr>
            <w:tcW w:w="220" w:type="dxa"/>
            <w:vAlign w:val="bottom"/>
          </w:tcPr>
          <w:p>
            <w:pPr>
              <w:spacing w:after="0"/>
              <w:rPr>
                <w:sz w:val="16"/>
                <w:szCs w:val="16"/>
                <w:color w:val="auto"/>
              </w:rPr>
            </w:pPr>
          </w:p>
        </w:tc>
        <w:tc>
          <w:tcPr>
            <w:tcW w:w="2560" w:type="dxa"/>
            <w:vAlign w:val="bottom"/>
          </w:tcPr>
          <w:p>
            <w:pPr>
              <w:spacing w:after="0"/>
              <w:rPr>
                <w:sz w:val="16"/>
                <w:szCs w:val="16"/>
                <w:color w:val="auto"/>
              </w:rPr>
            </w:pP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979</w:t>
            </w:r>
          </w:p>
        </w:tc>
        <w:tc>
          <w:tcPr>
            <w:tcW w:w="54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1 316</w:t>
            </w:r>
          </w:p>
        </w:tc>
        <w:tc>
          <w:tcPr>
            <w:tcW w:w="0" w:type="dxa"/>
            <w:vAlign w:val="bottom"/>
          </w:tcPr>
          <w:p>
            <w:pPr>
              <w:spacing w:after="0"/>
              <w:rPr>
                <w:sz w:val="1"/>
                <w:szCs w:val="1"/>
                <w:color w:val="auto"/>
              </w:rPr>
            </w:pPr>
          </w:p>
        </w:tc>
      </w:tr>
      <w:tr>
        <w:trPr>
          <w:trHeight w:val="130"/>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Operating loss</w:t>
            </w:r>
          </w:p>
        </w:tc>
        <w:tc>
          <w:tcPr>
            <w:tcW w:w="220" w:type="dxa"/>
            <w:vAlign w:val="bottom"/>
          </w:tcPr>
          <w:p>
            <w:pPr>
              <w:spacing w:after="0"/>
              <w:rPr>
                <w:sz w:val="11"/>
                <w:szCs w:val="11"/>
                <w:color w:val="auto"/>
              </w:rPr>
            </w:pPr>
          </w:p>
        </w:tc>
        <w:tc>
          <w:tcPr>
            <w:tcW w:w="2560" w:type="dxa"/>
            <w:vAlign w:val="bottom"/>
          </w:tcPr>
          <w:p>
            <w:pPr>
              <w:spacing w:after="0"/>
              <w:rPr>
                <w:sz w:val="11"/>
                <w:szCs w:val="11"/>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(6)</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(149)</w:t>
            </w:r>
          </w:p>
        </w:tc>
        <w:tc>
          <w:tcPr>
            <w:tcW w:w="0" w:type="dxa"/>
            <w:vAlign w:val="bottom"/>
          </w:tcPr>
          <w:p>
            <w:pPr>
              <w:spacing w:after="0"/>
              <w:rPr>
                <w:sz w:val="1"/>
                <w:szCs w:val="1"/>
                <w:color w:val="auto"/>
              </w:rPr>
            </w:pPr>
          </w:p>
        </w:tc>
      </w:tr>
      <w:tr>
        <w:trPr>
          <w:trHeight w:val="167"/>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Loss for the year</w:t>
            </w:r>
          </w:p>
        </w:tc>
        <w:tc>
          <w:tcPr>
            <w:tcW w:w="220" w:type="dxa"/>
            <w:vAlign w:val="bottom"/>
            <w:tcBorders>
              <w:bottom w:val="single" w:sz="8" w:color="005AFF"/>
            </w:tcBorders>
          </w:tcPr>
          <w:p>
            <w:pPr>
              <w:spacing w:after="0"/>
              <w:rPr>
                <w:sz w:val="14"/>
                <w:szCs w:val="14"/>
                <w:color w:val="auto"/>
              </w:rPr>
            </w:pPr>
          </w:p>
        </w:tc>
        <w:tc>
          <w:tcPr>
            <w:tcW w:w="256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(148)</w:t>
            </w:r>
          </w:p>
        </w:tc>
        <w:tc>
          <w:tcPr>
            <w:tcW w:w="0" w:type="dxa"/>
            <w:vAlign w:val="bottom"/>
          </w:tcPr>
          <w:p>
            <w:pPr>
              <w:spacing w:after="0"/>
              <w:rPr>
                <w:sz w:val="1"/>
                <w:szCs w:val="1"/>
                <w:color w:val="auto"/>
              </w:rPr>
            </w:pPr>
          </w:p>
        </w:tc>
      </w:tr>
      <w:tr>
        <w:trPr>
          <w:trHeight w:val="137"/>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Loss for the year attributable to:</w:t>
            </w:r>
          </w:p>
        </w:tc>
        <w:tc>
          <w:tcPr>
            <w:tcW w:w="540" w:type="dxa"/>
            <w:vAlign w:val="bottom"/>
            <w:shd w:val="clear" w:color="auto" w:fill="F0F5FF"/>
          </w:tcPr>
          <w:p>
            <w:pPr>
              <w:spacing w:after="0"/>
              <w:rPr>
                <w:sz w:val="11"/>
                <w:szCs w:val="11"/>
                <w:color w:val="auto"/>
              </w:rPr>
            </w:pPr>
          </w:p>
        </w:tc>
        <w:tc>
          <w:tcPr>
            <w:tcW w:w="5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320" w:type="dxa"/>
            <w:vAlign w:val="bottom"/>
            <w:gridSpan w:val="2"/>
          </w:tcPr>
          <w:p>
            <w:pPr>
              <w:ind w:left="200"/>
              <w:spacing w:after="0"/>
              <w:rPr>
                <w:sz w:val="20"/>
                <w:szCs w:val="20"/>
                <w:color w:val="auto"/>
              </w:rPr>
            </w:pPr>
            <w:r>
              <w:rPr>
                <w:rFonts w:ascii="Times New Roman" w:cs="Times New Roman" w:eastAsia="Times New Roman" w:hAnsi="Times New Roman"/>
                <w:sz w:val="10"/>
                <w:szCs w:val="10"/>
                <w:color w:val="0D0D0D"/>
                <w:w w:val="98"/>
              </w:rPr>
              <w:t>Equity holders of the parent</w:t>
            </w:r>
          </w:p>
        </w:tc>
        <w:tc>
          <w:tcPr>
            <w:tcW w:w="2560" w:type="dxa"/>
            <w:vAlign w:val="bottom"/>
          </w:tcPr>
          <w:p>
            <w:pPr>
              <w:spacing w:after="0"/>
              <w:rPr>
                <w:sz w:val="14"/>
                <w:szCs w:val="14"/>
                <w:color w:val="auto"/>
              </w:rPr>
            </w:pP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(26)</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(148)</w:t>
            </w:r>
          </w:p>
        </w:tc>
        <w:tc>
          <w:tcPr>
            <w:tcW w:w="0" w:type="dxa"/>
            <w:vAlign w:val="bottom"/>
          </w:tcPr>
          <w:p>
            <w:pPr>
              <w:spacing w:after="0"/>
              <w:rPr>
                <w:sz w:val="1"/>
                <w:szCs w:val="1"/>
                <w:color w:val="auto"/>
              </w:rPr>
            </w:pPr>
          </w:p>
        </w:tc>
      </w:tr>
      <w:tr>
        <w:trPr>
          <w:trHeight w:val="111"/>
        </w:trPr>
        <w:tc>
          <w:tcPr>
            <w:tcW w:w="1320" w:type="dxa"/>
            <w:vAlign w:val="bottom"/>
            <w:gridSpan w:val="2"/>
            <w:vMerge w:val="restart"/>
          </w:tcPr>
          <w:p>
            <w:pPr>
              <w:ind w:left="20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2560" w:type="dxa"/>
            <w:vAlign w:val="bottom"/>
          </w:tcPr>
          <w:p>
            <w:pPr>
              <w:jc w:val="right"/>
              <w:ind w:right="2447"/>
              <w:spacing w:after="0"/>
              <w:rPr>
                <w:sz w:val="20"/>
                <w:szCs w:val="20"/>
                <w:color w:val="auto"/>
              </w:rPr>
            </w:pPr>
            <w:r>
              <w:rPr>
                <w:rFonts w:ascii="Times New Roman" w:cs="Times New Roman" w:eastAsia="Times New Roman" w:hAnsi="Times New Roman"/>
                <w:sz w:val="7"/>
                <w:szCs w:val="7"/>
                <w:color w:val="0D0D0D"/>
                <w:w w:val="72"/>
              </w:rPr>
              <w:t>(2)</w:t>
            </w: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56"/>
        </w:trPr>
        <w:tc>
          <w:tcPr>
            <w:tcW w:w="1320" w:type="dxa"/>
            <w:vAlign w:val="bottom"/>
            <w:tcBorders>
              <w:bottom w:val="single" w:sz="8" w:color="005AFF"/>
            </w:tcBorders>
            <w:gridSpan w:val="2"/>
            <w:vMerge w:val="continue"/>
          </w:tcPr>
          <w:p>
            <w:pPr>
              <w:spacing w:after="0"/>
              <w:rPr>
                <w:sz w:val="4"/>
                <w:szCs w:val="4"/>
                <w:color w:val="auto"/>
              </w:rPr>
            </w:pPr>
          </w:p>
        </w:tc>
        <w:tc>
          <w:tcPr>
            <w:tcW w:w="256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vMerge w:val="continue"/>
            <w:shd w:val="clear" w:color="auto" w:fill="F0F5FF"/>
          </w:tcPr>
          <w:p>
            <w:pPr>
              <w:spacing w:after="0"/>
              <w:rPr>
                <w:sz w:val="4"/>
                <w:szCs w:val="4"/>
                <w:color w:val="auto"/>
              </w:rPr>
            </w:pPr>
          </w:p>
        </w:tc>
        <w:tc>
          <w:tcPr>
            <w:tcW w:w="54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37"/>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Summarized statement of financial position</w:t>
            </w:r>
          </w:p>
        </w:tc>
        <w:tc>
          <w:tcPr>
            <w:tcW w:w="540" w:type="dxa"/>
            <w:vAlign w:val="bottom"/>
            <w:shd w:val="clear" w:color="auto" w:fill="F0F5FF"/>
          </w:tcPr>
          <w:p>
            <w:pPr>
              <w:spacing w:after="0"/>
              <w:rPr>
                <w:sz w:val="11"/>
                <w:szCs w:val="11"/>
                <w:color w:val="auto"/>
              </w:rPr>
            </w:pPr>
          </w:p>
        </w:tc>
        <w:tc>
          <w:tcPr>
            <w:tcW w:w="5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Non-current assets</w:t>
            </w:r>
          </w:p>
        </w:tc>
        <w:tc>
          <w:tcPr>
            <w:tcW w:w="220" w:type="dxa"/>
            <w:vAlign w:val="bottom"/>
          </w:tcPr>
          <w:p>
            <w:pPr>
              <w:spacing w:after="0"/>
              <w:rPr>
                <w:sz w:val="14"/>
                <w:szCs w:val="14"/>
                <w:color w:val="auto"/>
              </w:rPr>
            </w:pPr>
          </w:p>
        </w:tc>
        <w:tc>
          <w:tcPr>
            <w:tcW w:w="2560" w:type="dxa"/>
            <w:vAlign w:val="bottom"/>
          </w:tcPr>
          <w:p>
            <w:pPr>
              <w:spacing w:after="0"/>
              <w:rPr>
                <w:sz w:val="14"/>
                <w:szCs w:val="14"/>
                <w:color w:val="auto"/>
              </w:rPr>
            </w:pP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400</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487</w:t>
            </w:r>
          </w:p>
        </w:tc>
        <w:tc>
          <w:tcPr>
            <w:tcW w:w="0" w:type="dxa"/>
            <w:vAlign w:val="bottom"/>
          </w:tcPr>
          <w:p>
            <w:pPr>
              <w:spacing w:after="0"/>
              <w:rPr>
                <w:sz w:val="1"/>
                <w:szCs w:val="1"/>
                <w:color w:val="auto"/>
              </w:rPr>
            </w:pPr>
          </w:p>
        </w:tc>
      </w:tr>
      <w:tr>
        <w:trPr>
          <w:trHeight w:val="167"/>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Non-current liabilities</w:t>
            </w:r>
          </w:p>
        </w:tc>
        <w:tc>
          <w:tcPr>
            <w:tcW w:w="220" w:type="dxa"/>
            <w:vAlign w:val="bottom"/>
            <w:tcBorders>
              <w:bottom w:val="single" w:sz="8" w:color="005AFF"/>
            </w:tcBorders>
          </w:tcPr>
          <w:p>
            <w:pPr>
              <w:spacing w:after="0"/>
              <w:rPr>
                <w:sz w:val="14"/>
                <w:szCs w:val="14"/>
                <w:color w:val="auto"/>
              </w:rPr>
            </w:pPr>
          </w:p>
        </w:tc>
        <w:tc>
          <w:tcPr>
            <w:tcW w:w="256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(100)</w:t>
            </w:r>
          </w:p>
        </w:tc>
        <w:tc>
          <w:tcPr>
            <w:tcW w:w="54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(129)</w:t>
            </w:r>
          </w:p>
        </w:tc>
        <w:tc>
          <w:tcPr>
            <w:tcW w:w="0" w:type="dxa"/>
            <w:vAlign w:val="bottom"/>
          </w:tcPr>
          <w:p>
            <w:pPr>
              <w:spacing w:after="0"/>
              <w:rPr>
                <w:sz w:val="1"/>
                <w:szCs w:val="1"/>
                <w:color w:val="auto"/>
              </w:rPr>
            </w:pPr>
          </w:p>
        </w:tc>
      </w:tr>
      <w:tr>
        <w:trPr>
          <w:trHeight w:val="152"/>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Non-current net assets</w:t>
            </w:r>
          </w:p>
        </w:tc>
        <w:tc>
          <w:tcPr>
            <w:tcW w:w="220" w:type="dxa"/>
            <w:vAlign w:val="bottom"/>
            <w:tcBorders>
              <w:bottom w:val="single" w:sz="8" w:color="005AFF"/>
            </w:tcBorders>
          </w:tcPr>
          <w:p>
            <w:pPr>
              <w:spacing w:after="0"/>
              <w:rPr>
                <w:sz w:val="13"/>
                <w:szCs w:val="13"/>
                <w:color w:val="auto"/>
              </w:rPr>
            </w:pPr>
          </w:p>
        </w:tc>
        <w:tc>
          <w:tcPr>
            <w:tcW w:w="2560" w:type="dxa"/>
            <w:vAlign w:val="bottom"/>
            <w:tcBorders>
              <w:bottom w:val="single" w:sz="8" w:color="005AFF"/>
            </w:tcBorders>
          </w:tcPr>
          <w:p>
            <w:pPr>
              <w:spacing w:after="0"/>
              <w:rPr>
                <w:sz w:val="13"/>
                <w:szCs w:val="13"/>
                <w:color w:val="auto"/>
              </w:rPr>
            </w:pP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300</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358</w:t>
            </w:r>
          </w:p>
        </w:tc>
        <w:tc>
          <w:tcPr>
            <w:tcW w:w="0" w:type="dxa"/>
            <w:vAlign w:val="bottom"/>
          </w:tcPr>
          <w:p>
            <w:pPr>
              <w:spacing w:after="0"/>
              <w:rPr>
                <w:sz w:val="1"/>
                <w:szCs w:val="1"/>
                <w:color w:val="auto"/>
              </w:rPr>
            </w:pPr>
          </w:p>
        </w:tc>
      </w:tr>
      <w:tr>
        <w:trPr>
          <w:trHeight w:val="168"/>
        </w:trPr>
        <w:tc>
          <w:tcPr>
            <w:tcW w:w="110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 xml:space="preserve">Current assets  </w:t>
            </w:r>
            <w:r>
              <w:rPr>
                <w:rFonts w:ascii="Times New Roman" w:cs="Times New Roman" w:eastAsia="Times New Roman" w:hAnsi="Times New Roman"/>
                <w:sz w:val="13"/>
                <w:szCs w:val="13"/>
                <w:color w:val="0D0D0D"/>
                <w:vertAlign w:val="superscript"/>
              </w:rPr>
              <w:t>(3)</w:t>
            </w:r>
          </w:p>
        </w:tc>
        <w:tc>
          <w:tcPr>
            <w:tcW w:w="220" w:type="dxa"/>
            <w:vAlign w:val="bottom"/>
          </w:tcPr>
          <w:p>
            <w:pPr>
              <w:spacing w:after="0"/>
              <w:rPr>
                <w:sz w:val="14"/>
                <w:szCs w:val="14"/>
                <w:color w:val="auto"/>
              </w:rPr>
            </w:pPr>
          </w:p>
        </w:tc>
        <w:tc>
          <w:tcPr>
            <w:tcW w:w="2560" w:type="dxa"/>
            <w:vAlign w:val="bottom"/>
          </w:tcPr>
          <w:p>
            <w:pPr>
              <w:spacing w:after="0"/>
              <w:rPr>
                <w:sz w:val="14"/>
                <w:szCs w:val="14"/>
                <w:color w:val="auto"/>
              </w:rPr>
            </w:pPr>
          </w:p>
        </w:tc>
        <w:tc>
          <w:tcPr>
            <w:tcW w:w="540" w:type="dxa"/>
            <w:vAlign w:val="bottom"/>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color w:val="005AFF"/>
              </w:rPr>
              <w:t>1 642</w:t>
            </w:r>
          </w:p>
        </w:tc>
        <w:tc>
          <w:tcPr>
            <w:tcW w:w="540" w:type="dxa"/>
            <w:vAlign w:val="bottom"/>
          </w:tcPr>
          <w:p>
            <w:pPr>
              <w:jc w:val="right"/>
              <w:ind w:right="50"/>
              <w:spacing w:after="0"/>
              <w:rPr>
                <w:sz w:val="20"/>
                <w:szCs w:val="20"/>
                <w:color w:val="auto"/>
              </w:rPr>
            </w:pPr>
            <w:r>
              <w:rPr>
                <w:rFonts w:ascii="Times New Roman" w:cs="Times New Roman" w:eastAsia="Times New Roman" w:hAnsi="Times New Roman"/>
                <w:sz w:val="10"/>
                <w:szCs w:val="10"/>
                <w:color w:val="0D0D0D"/>
              </w:rPr>
              <w:t>1 939</w:t>
            </w:r>
          </w:p>
        </w:tc>
        <w:tc>
          <w:tcPr>
            <w:tcW w:w="0" w:type="dxa"/>
            <w:vAlign w:val="bottom"/>
          </w:tcPr>
          <w:p>
            <w:pPr>
              <w:spacing w:after="0"/>
              <w:rPr>
                <w:sz w:val="1"/>
                <w:szCs w:val="1"/>
                <w:color w:val="auto"/>
              </w:rPr>
            </w:pPr>
          </w:p>
        </w:tc>
      </w:tr>
      <w:tr>
        <w:trPr>
          <w:trHeight w:val="135"/>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Current liabilities</w:t>
            </w:r>
          </w:p>
        </w:tc>
        <w:tc>
          <w:tcPr>
            <w:tcW w:w="220" w:type="dxa"/>
            <w:vAlign w:val="bottom"/>
            <w:tcBorders>
              <w:bottom w:val="single" w:sz="8" w:color="005AFF"/>
            </w:tcBorders>
          </w:tcPr>
          <w:p>
            <w:pPr>
              <w:spacing w:after="0"/>
              <w:rPr>
                <w:sz w:val="11"/>
                <w:szCs w:val="11"/>
                <w:color w:val="auto"/>
              </w:rPr>
            </w:pPr>
          </w:p>
        </w:tc>
        <w:tc>
          <w:tcPr>
            <w:tcW w:w="2560" w:type="dxa"/>
            <w:vAlign w:val="bottom"/>
            <w:tcBorders>
              <w:bottom w:val="single" w:sz="8" w:color="005AFF"/>
            </w:tcBorders>
          </w:tcPr>
          <w:p>
            <w:pPr>
              <w:spacing w:after="0"/>
              <w:rPr>
                <w:sz w:val="11"/>
                <w:szCs w:val="11"/>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(900)</w:t>
            </w:r>
          </w:p>
        </w:tc>
        <w:tc>
          <w:tcPr>
            <w:tcW w:w="540" w:type="dxa"/>
            <w:vAlign w:val="bottom"/>
            <w:tcBorders>
              <w:bottom w:val="single" w:sz="8" w:color="005AFF"/>
            </w:tcBorders>
          </w:tcPr>
          <w:p>
            <w:pPr>
              <w:jc w:val="right"/>
              <w:ind w:right="10"/>
              <w:spacing w:after="0"/>
              <w:rPr>
                <w:sz w:val="20"/>
                <w:szCs w:val="20"/>
                <w:color w:val="auto"/>
              </w:rPr>
            </w:pPr>
            <w:r>
              <w:rPr>
                <w:rFonts w:ascii="Times New Roman" w:cs="Times New Roman" w:eastAsia="Times New Roman" w:hAnsi="Times New Roman"/>
                <w:sz w:val="10"/>
                <w:szCs w:val="10"/>
                <w:color w:val="0D0D0D"/>
              </w:rPr>
              <w:t>(1 185)</w:t>
            </w:r>
          </w:p>
        </w:tc>
        <w:tc>
          <w:tcPr>
            <w:tcW w:w="0" w:type="dxa"/>
            <w:vAlign w:val="bottom"/>
          </w:tcPr>
          <w:p>
            <w:pPr>
              <w:spacing w:after="0"/>
              <w:rPr>
                <w:sz w:val="1"/>
                <w:szCs w:val="1"/>
                <w:color w:val="auto"/>
              </w:rPr>
            </w:pPr>
          </w:p>
        </w:tc>
      </w:tr>
      <w:tr>
        <w:trPr>
          <w:trHeight w:val="152"/>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Current net assets</w:t>
            </w:r>
          </w:p>
        </w:tc>
        <w:tc>
          <w:tcPr>
            <w:tcW w:w="220" w:type="dxa"/>
            <w:vAlign w:val="bottom"/>
            <w:tcBorders>
              <w:bottom w:val="single" w:sz="8" w:color="005AFF"/>
            </w:tcBorders>
          </w:tcPr>
          <w:p>
            <w:pPr>
              <w:spacing w:after="0"/>
              <w:rPr>
                <w:sz w:val="13"/>
                <w:szCs w:val="13"/>
                <w:color w:val="auto"/>
              </w:rPr>
            </w:pPr>
          </w:p>
        </w:tc>
        <w:tc>
          <w:tcPr>
            <w:tcW w:w="2560" w:type="dxa"/>
            <w:vAlign w:val="bottom"/>
            <w:tcBorders>
              <w:bottom w:val="single" w:sz="8" w:color="005AFF"/>
            </w:tcBorders>
          </w:tcPr>
          <w:p>
            <w:pPr>
              <w:spacing w:after="0"/>
              <w:rPr>
                <w:sz w:val="13"/>
                <w:szCs w:val="13"/>
                <w:color w:val="auto"/>
              </w:rPr>
            </w:pP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742</w:t>
            </w:r>
          </w:p>
        </w:tc>
        <w:tc>
          <w:tcPr>
            <w:tcW w:w="540" w:type="dxa"/>
            <w:vAlign w:val="bottom"/>
            <w:tcBorders>
              <w:bottom w:val="single" w:sz="8" w:color="005AFF"/>
            </w:tcBorders>
          </w:tcPr>
          <w:p>
            <w:pPr>
              <w:jc w:val="right"/>
              <w:ind w:right="30"/>
              <w:spacing w:after="0"/>
              <w:rPr>
                <w:sz w:val="20"/>
                <w:szCs w:val="20"/>
                <w:color w:val="auto"/>
              </w:rPr>
            </w:pPr>
            <w:r>
              <w:rPr>
                <w:rFonts w:ascii="Times New Roman" w:cs="Times New Roman" w:eastAsia="Times New Roman" w:hAnsi="Times New Roman"/>
                <w:sz w:val="10"/>
                <w:szCs w:val="10"/>
                <w:b w:val="1"/>
                <w:bCs w:val="1"/>
                <w:color w:val="auto"/>
              </w:rPr>
              <w:t>754</w:t>
            </w:r>
          </w:p>
        </w:tc>
        <w:tc>
          <w:tcPr>
            <w:tcW w:w="0" w:type="dxa"/>
            <w:vAlign w:val="bottom"/>
          </w:tcPr>
          <w:p>
            <w:pPr>
              <w:spacing w:after="0"/>
              <w:rPr>
                <w:sz w:val="1"/>
                <w:szCs w:val="1"/>
                <w:color w:val="auto"/>
              </w:rPr>
            </w:pPr>
          </w:p>
        </w:tc>
      </w:tr>
      <w:tr>
        <w:trPr>
          <w:trHeight w:val="157"/>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b w:val="1"/>
                <w:bCs w:val="1"/>
                <w:color w:val="005AFF"/>
              </w:rPr>
              <w:t xml:space="preserve">Net assets </w:t>
            </w:r>
            <w:r>
              <w:rPr>
                <w:rFonts w:ascii="Times New Roman" w:cs="Times New Roman" w:eastAsia="Times New Roman" w:hAnsi="Times New Roman"/>
                <w:sz w:val="13"/>
                <w:szCs w:val="13"/>
                <w:b w:val="1"/>
                <w:bCs w:val="1"/>
                <w:color w:val="005AFF"/>
                <w:vertAlign w:val="superscript"/>
              </w:rPr>
              <w:t>(4)</w:t>
            </w:r>
          </w:p>
        </w:tc>
        <w:tc>
          <w:tcPr>
            <w:tcW w:w="220" w:type="dxa"/>
            <w:vAlign w:val="bottom"/>
            <w:tcBorders>
              <w:bottom w:val="single" w:sz="8" w:color="005AFF"/>
            </w:tcBorders>
          </w:tcPr>
          <w:p>
            <w:pPr>
              <w:spacing w:after="0"/>
              <w:rPr>
                <w:sz w:val="13"/>
                <w:szCs w:val="13"/>
                <w:color w:val="auto"/>
              </w:rPr>
            </w:pPr>
          </w:p>
        </w:tc>
        <w:tc>
          <w:tcPr>
            <w:tcW w:w="2560" w:type="dxa"/>
            <w:vAlign w:val="bottom"/>
            <w:tcBorders>
              <w:bottom w:val="single" w:sz="8" w:color="005AFF"/>
            </w:tcBorders>
          </w:tcPr>
          <w:p>
            <w:pPr>
              <w:spacing w:after="0"/>
              <w:rPr>
                <w:sz w:val="13"/>
                <w:szCs w:val="13"/>
                <w:color w:val="auto"/>
              </w:rPr>
            </w:pPr>
          </w:p>
        </w:tc>
        <w:tc>
          <w:tcPr>
            <w:tcW w:w="540" w:type="dxa"/>
            <w:vAlign w:val="bottom"/>
            <w:tcBorders>
              <w:bottom w:val="single" w:sz="8" w:color="005AFF"/>
            </w:tcBorders>
            <w:shd w:val="clear" w:color="auto" w:fill="F0F5FF"/>
          </w:tcPr>
          <w:p>
            <w:pPr>
              <w:jc w:val="right"/>
              <w:ind w:right="30"/>
              <w:spacing w:after="0"/>
              <w:rPr>
                <w:sz w:val="20"/>
                <w:szCs w:val="20"/>
                <w:color w:val="auto"/>
              </w:rPr>
            </w:pPr>
            <w:r>
              <w:rPr>
                <w:rFonts w:ascii="Times New Roman" w:cs="Times New Roman" w:eastAsia="Times New Roman" w:hAnsi="Times New Roman"/>
                <w:sz w:val="10"/>
                <w:szCs w:val="10"/>
                <w:b w:val="1"/>
                <w:bCs w:val="1"/>
                <w:color w:val="005AFF"/>
              </w:rPr>
              <w:t>1 042</w:t>
            </w:r>
          </w:p>
        </w:tc>
        <w:tc>
          <w:tcPr>
            <w:tcW w:w="540" w:type="dxa"/>
            <w:vAlign w:val="bottom"/>
            <w:tcBorders>
              <w:bottom w:val="single" w:sz="8" w:color="005AFF"/>
            </w:tcBorders>
          </w:tcPr>
          <w:p>
            <w:pPr>
              <w:jc w:val="right"/>
              <w:ind w:right="50"/>
              <w:spacing w:after="0"/>
              <w:rPr>
                <w:sz w:val="20"/>
                <w:szCs w:val="20"/>
                <w:color w:val="auto"/>
              </w:rPr>
            </w:pPr>
            <w:r>
              <w:rPr>
                <w:rFonts w:ascii="Times New Roman" w:cs="Times New Roman" w:eastAsia="Times New Roman" w:hAnsi="Times New Roman"/>
                <w:sz w:val="10"/>
                <w:szCs w:val="10"/>
                <w:b w:val="1"/>
                <w:bCs w:val="1"/>
                <w:color w:val="auto"/>
              </w:rPr>
              <w:t>1 112</w:t>
            </w:r>
          </w:p>
        </w:tc>
        <w:tc>
          <w:tcPr>
            <w:tcW w:w="0" w:type="dxa"/>
            <w:vAlign w:val="bottom"/>
          </w:tcPr>
          <w:p>
            <w:pPr>
              <w:spacing w:after="0"/>
              <w:rPr>
                <w:sz w:val="1"/>
                <w:szCs w:val="1"/>
                <w:color w:val="auto"/>
              </w:rPr>
            </w:pPr>
          </w:p>
        </w:tc>
      </w:tr>
      <w:tr>
        <w:trPr>
          <w:trHeight w:val="81"/>
        </w:trPr>
        <w:tc>
          <w:tcPr>
            <w:tcW w:w="1100" w:type="dxa"/>
            <w:vAlign w:val="bottom"/>
            <w:vMerge w:val="restart"/>
          </w:tcPr>
          <w:p>
            <w:pPr>
              <w:ind w:left="40"/>
              <w:spacing w:after="0"/>
              <w:rPr>
                <w:sz w:val="20"/>
                <w:szCs w:val="20"/>
                <w:color w:val="auto"/>
              </w:rPr>
            </w:pPr>
            <w:r>
              <w:rPr>
                <w:rFonts w:ascii="Times New Roman" w:cs="Times New Roman" w:eastAsia="Times New Roman" w:hAnsi="Times New Roman"/>
                <w:sz w:val="10"/>
                <w:szCs w:val="10"/>
                <w:color w:val="0D0D0D"/>
              </w:rPr>
              <w:t>Non-controlling interests</w:t>
            </w:r>
          </w:p>
        </w:tc>
        <w:tc>
          <w:tcPr>
            <w:tcW w:w="220" w:type="dxa"/>
            <w:vAlign w:val="bottom"/>
          </w:tcPr>
          <w:p>
            <w:pPr>
              <w:jc w:val="right"/>
              <w:ind w:right="47"/>
              <w:spacing w:after="0"/>
              <w:rPr>
                <w:sz w:val="20"/>
                <w:szCs w:val="20"/>
                <w:color w:val="auto"/>
              </w:rPr>
            </w:pPr>
            <w:r>
              <w:rPr>
                <w:rFonts w:ascii="Times New Roman" w:cs="Times New Roman" w:eastAsia="Times New Roman" w:hAnsi="Times New Roman"/>
                <w:sz w:val="7"/>
                <w:szCs w:val="7"/>
                <w:color w:val="0D0D0D"/>
              </w:rPr>
              <w:t>(2)</w:t>
            </w:r>
          </w:p>
        </w:tc>
        <w:tc>
          <w:tcPr>
            <w:tcW w:w="2560" w:type="dxa"/>
            <w:vAlign w:val="bottom"/>
          </w:tcPr>
          <w:p>
            <w:pPr>
              <w:spacing w:after="0"/>
              <w:rPr>
                <w:sz w:val="7"/>
                <w:szCs w:val="7"/>
                <w:color w:val="auto"/>
              </w:rPr>
            </w:pPr>
          </w:p>
        </w:tc>
        <w:tc>
          <w:tcPr>
            <w:tcW w:w="540" w:type="dxa"/>
            <w:vAlign w:val="bottom"/>
            <w:vMerge w:val="restart"/>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w:t>
            </w:r>
          </w:p>
        </w:tc>
        <w:tc>
          <w:tcPr>
            <w:tcW w:w="540" w:type="dxa"/>
            <w:vAlign w:val="bottom"/>
            <w:vMerge w:val="restart"/>
          </w:tcPr>
          <w:p>
            <w:pPr>
              <w:ind w:left="400"/>
              <w:spacing w:after="0"/>
              <w:rPr>
                <w:sz w:val="20"/>
                <w:szCs w:val="20"/>
                <w:color w:val="auto"/>
              </w:rPr>
            </w:pPr>
            <w:r>
              <w:rPr>
                <w:rFonts w:ascii="Times New Roman" w:cs="Times New Roman" w:eastAsia="Times New Roman" w:hAnsi="Times New Roman"/>
                <w:sz w:val="10"/>
                <w:szCs w:val="10"/>
                <w:color w:val="0D0D0D"/>
              </w:rPr>
              <w:t>—</w:t>
            </w:r>
          </w:p>
        </w:tc>
        <w:tc>
          <w:tcPr>
            <w:tcW w:w="0" w:type="dxa"/>
            <w:vAlign w:val="bottom"/>
          </w:tcPr>
          <w:p>
            <w:pPr>
              <w:spacing w:after="0"/>
              <w:rPr>
                <w:sz w:val="1"/>
                <w:szCs w:val="1"/>
                <w:color w:val="auto"/>
              </w:rPr>
            </w:pPr>
          </w:p>
        </w:tc>
      </w:tr>
      <w:tr>
        <w:trPr>
          <w:trHeight w:val="56"/>
        </w:trPr>
        <w:tc>
          <w:tcPr>
            <w:tcW w:w="1100" w:type="dxa"/>
            <w:vAlign w:val="bottom"/>
            <w:tcBorders>
              <w:bottom w:val="single" w:sz="8" w:color="005AFF"/>
            </w:tcBorders>
            <w:vMerge w:val="continue"/>
          </w:tcPr>
          <w:p>
            <w:pPr>
              <w:spacing w:after="0"/>
              <w:rPr>
                <w:sz w:val="4"/>
                <w:szCs w:val="4"/>
                <w:color w:val="auto"/>
              </w:rPr>
            </w:pPr>
          </w:p>
        </w:tc>
        <w:tc>
          <w:tcPr>
            <w:tcW w:w="220" w:type="dxa"/>
            <w:vAlign w:val="bottom"/>
            <w:tcBorders>
              <w:bottom w:val="single" w:sz="8" w:color="005AFF"/>
            </w:tcBorders>
          </w:tcPr>
          <w:p>
            <w:pPr>
              <w:spacing w:after="0"/>
              <w:rPr>
                <w:sz w:val="4"/>
                <w:szCs w:val="4"/>
                <w:color w:val="auto"/>
              </w:rPr>
            </w:pPr>
          </w:p>
        </w:tc>
        <w:tc>
          <w:tcPr>
            <w:tcW w:w="2560" w:type="dxa"/>
            <w:vAlign w:val="bottom"/>
            <w:tcBorders>
              <w:bottom w:val="single" w:sz="8" w:color="005AFF"/>
            </w:tcBorders>
          </w:tcPr>
          <w:p>
            <w:pPr>
              <w:spacing w:after="0"/>
              <w:rPr>
                <w:sz w:val="4"/>
                <w:szCs w:val="4"/>
                <w:color w:val="auto"/>
              </w:rPr>
            </w:pPr>
          </w:p>
        </w:tc>
        <w:tc>
          <w:tcPr>
            <w:tcW w:w="540" w:type="dxa"/>
            <w:vAlign w:val="bottom"/>
            <w:tcBorders>
              <w:bottom w:val="single" w:sz="8" w:color="005AFF"/>
            </w:tcBorders>
            <w:vMerge w:val="continue"/>
            <w:shd w:val="clear" w:color="auto" w:fill="F0F5FF"/>
          </w:tcPr>
          <w:p>
            <w:pPr>
              <w:spacing w:after="0"/>
              <w:rPr>
                <w:sz w:val="4"/>
                <w:szCs w:val="4"/>
                <w:color w:val="auto"/>
              </w:rPr>
            </w:pPr>
          </w:p>
        </w:tc>
        <w:tc>
          <w:tcPr>
            <w:tcW w:w="540" w:type="dxa"/>
            <w:vAlign w:val="bottom"/>
            <w:tcBorders>
              <w:bottom w:val="single" w:sz="8" w:color="005AFF"/>
            </w:tcBorders>
            <w:vMerge w:val="continue"/>
          </w:tcPr>
          <w:p>
            <w:pPr>
              <w:spacing w:after="0"/>
              <w:rPr>
                <w:sz w:val="4"/>
                <w:szCs w:val="4"/>
                <w:color w:val="auto"/>
              </w:rPr>
            </w:pPr>
          </w:p>
        </w:tc>
        <w:tc>
          <w:tcPr>
            <w:tcW w:w="0" w:type="dxa"/>
            <w:vAlign w:val="bottom"/>
          </w:tcPr>
          <w:p>
            <w:pPr>
              <w:spacing w:after="0"/>
              <w:rPr>
                <w:sz w:val="1"/>
                <w:szCs w:val="1"/>
                <w:color w:val="auto"/>
              </w:rPr>
            </w:pPr>
          </w:p>
        </w:tc>
      </w:tr>
      <w:tr>
        <w:trPr>
          <w:trHeight w:val="137"/>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Summarized statement of cash flows</w:t>
            </w:r>
          </w:p>
        </w:tc>
        <w:tc>
          <w:tcPr>
            <w:tcW w:w="540" w:type="dxa"/>
            <w:vAlign w:val="bottom"/>
            <w:shd w:val="clear" w:color="auto" w:fill="F0F5FF"/>
          </w:tcPr>
          <w:p>
            <w:pPr>
              <w:spacing w:after="0"/>
              <w:rPr>
                <w:sz w:val="11"/>
                <w:szCs w:val="11"/>
                <w:color w:val="auto"/>
              </w:rPr>
            </w:pPr>
          </w:p>
        </w:tc>
        <w:tc>
          <w:tcPr>
            <w:tcW w:w="540" w:type="dxa"/>
            <w:vAlign w:val="bottom"/>
          </w:tcPr>
          <w:p>
            <w:pPr>
              <w:spacing w:after="0"/>
              <w:rPr>
                <w:sz w:val="11"/>
                <w:szCs w:val="11"/>
                <w:color w:val="auto"/>
              </w:rPr>
            </w:pPr>
          </w:p>
        </w:tc>
        <w:tc>
          <w:tcPr>
            <w:tcW w:w="0" w:type="dxa"/>
            <w:vAlign w:val="bottom"/>
          </w:tcPr>
          <w:p>
            <w:pPr>
              <w:spacing w:after="0"/>
              <w:rPr>
                <w:sz w:val="1"/>
                <w:szCs w:val="1"/>
                <w:color w:val="auto"/>
              </w:rPr>
            </w:pPr>
          </w:p>
        </w:tc>
      </w:tr>
      <w:tr>
        <w:trPr>
          <w:trHeight w:val="162"/>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Net cash flows from operating activities</w:t>
            </w: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51</w:t>
            </w:r>
          </w:p>
        </w:tc>
        <w:tc>
          <w:tcPr>
            <w:tcW w:w="540" w:type="dxa"/>
            <w:vAlign w:val="bottom"/>
          </w:tcPr>
          <w:p>
            <w:pPr>
              <w:jc w:val="right"/>
              <w:ind w:right="30"/>
              <w:spacing w:after="0"/>
              <w:rPr>
                <w:sz w:val="20"/>
                <w:szCs w:val="20"/>
                <w:color w:val="auto"/>
              </w:rPr>
            </w:pPr>
            <w:r>
              <w:rPr>
                <w:rFonts w:ascii="Times New Roman" w:cs="Times New Roman" w:eastAsia="Times New Roman" w:hAnsi="Times New Roman"/>
                <w:sz w:val="10"/>
                <w:szCs w:val="10"/>
                <w:color w:val="0D0D0D"/>
              </w:rPr>
              <w:t>38</w:t>
            </w:r>
          </w:p>
        </w:tc>
        <w:tc>
          <w:tcPr>
            <w:tcW w:w="0" w:type="dxa"/>
            <w:vAlign w:val="bottom"/>
          </w:tcPr>
          <w:p>
            <w:pPr>
              <w:spacing w:after="0"/>
              <w:rPr>
                <w:sz w:val="1"/>
                <w:szCs w:val="1"/>
                <w:color w:val="auto"/>
              </w:rPr>
            </w:pPr>
          </w:p>
        </w:tc>
      </w:tr>
      <w:tr>
        <w:trPr>
          <w:trHeight w:val="162"/>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Net cash flows from/(used in) investing activities</w:t>
            </w:r>
          </w:p>
        </w:tc>
        <w:tc>
          <w:tcPr>
            <w:tcW w:w="540" w:type="dxa"/>
            <w:vAlign w:val="bottom"/>
            <w:shd w:val="clear" w:color="auto" w:fill="F0F5FF"/>
          </w:tcPr>
          <w:p>
            <w:pPr>
              <w:jc w:val="right"/>
              <w:ind w:right="10"/>
              <w:spacing w:after="0"/>
              <w:rPr>
                <w:sz w:val="20"/>
                <w:szCs w:val="20"/>
                <w:color w:val="auto"/>
              </w:rPr>
            </w:pPr>
            <w:r>
              <w:rPr>
                <w:rFonts w:ascii="Times New Roman" w:cs="Times New Roman" w:eastAsia="Times New Roman" w:hAnsi="Times New Roman"/>
                <w:sz w:val="10"/>
                <w:szCs w:val="10"/>
                <w:color w:val="005AFF"/>
              </w:rPr>
              <w:t>2</w:t>
            </w:r>
          </w:p>
        </w:tc>
        <w:tc>
          <w:tcPr>
            <w:tcW w:w="54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(33)</w:t>
            </w:r>
          </w:p>
        </w:tc>
        <w:tc>
          <w:tcPr>
            <w:tcW w:w="0" w:type="dxa"/>
            <w:vAlign w:val="bottom"/>
          </w:tcPr>
          <w:p>
            <w:pPr>
              <w:spacing w:after="0"/>
              <w:rPr>
                <w:sz w:val="1"/>
                <w:szCs w:val="1"/>
                <w:color w:val="auto"/>
              </w:rPr>
            </w:pPr>
          </w:p>
        </w:tc>
      </w:tr>
      <w:tr>
        <w:trPr>
          <w:trHeight w:val="162"/>
        </w:trPr>
        <w:tc>
          <w:tcPr>
            <w:tcW w:w="3880" w:type="dxa"/>
            <w:vAlign w:val="bottom"/>
            <w:gridSpan w:val="3"/>
          </w:tcPr>
          <w:p>
            <w:pPr>
              <w:ind w:left="40"/>
              <w:spacing w:after="0"/>
              <w:rPr>
                <w:sz w:val="20"/>
                <w:szCs w:val="20"/>
                <w:color w:val="auto"/>
              </w:rPr>
            </w:pPr>
            <w:r>
              <w:rPr>
                <w:rFonts w:ascii="Times New Roman" w:cs="Times New Roman" w:eastAsia="Times New Roman" w:hAnsi="Times New Roman"/>
                <w:sz w:val="10"/>
                <w:szCs w:val="10"/>
                <w:color w:val="0D0D0D"/>
              </w:rPr>
              <w:t>Net cash flows used in financing activities</w:t>
            </w:r>
          </w:p>
        </w:tc>
        <w:tc>
          <w:tcPr>
            <w:tcW w:w="540" w:type="dxa"/>
            <w:vAlign w:val="bottom"/>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(41)</w:t>
            </w:r>
          </w:p>
        </w:tc>
        <w:tc>
          <w:tcPr>
            <w:tcW w:w="540" w:type="dxa"/>
            <w:vAlign w:val="bottom"/>
          </w:tcPr>
          <w:p>
            <w:pPr>
              <w:ind w:left="400"/>
              <w:spacing w:after="0"/>
              <w:rPr>
                <w:sz w:val="20"/>
                <w:szCs w:val="20"/>
                <w:color w:val="auto"/>
              </w:rPr>
            </w:pPr>
            <w:r>
              <w:rPr>
                <w:rFonts w:ascii="Times New Roman" w:cs="Times New Roman" w:eastAsia="Times New Roman" w:hAnsi="Times New Roman"/>
                <w:sz w:val="10"/>
                <w:szCs w:val="10"/>
                <w:color w:val="0D0D0D"/>
              </w:rPr>
              <w:t>(4)</w:t>
            </w:r>
          </w:p>
        </w:tc>
        <w:tc>
          <w:tcPr>
            <w:tcW w:w="0" w:type="dxa"/>
            <w:vAlign w:val="bottom"/>
          </w:tcPr>
          <w:p>
            <w:pPr>
              <w:spacing w:after="0"/>
              <w:rPr>
                <w:sz w:val="1"/>
                <w:szCs w:val="1"/>
                <w:color w:val="auto"/>
              </w:rPr>
            </w:pPr>
          </w:p>
        </w:tc>
      </w:tr>
      <w:tr>
        <w:trPr>
          <w:trHeight w:val="167"/>
        </w:trPr>
        <w:tc>
          <w:tcPr>
            <w:tcW w:w="110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Translation differences</w:t>
            </w:r>
          </w:p>
        </w:tc>
        <w:tc>
          <w:tcPr>
            <w:tcW w:w="220" w:type="dxa"/>
            <w:vAlign w:val="bottom"/>
            <w:tcBorders>
              <w:bottom w:val="single" w:sz="8" w:color="005AFF"/>
            </w:tcBorders>
          </w:tcPr>
          <w:p>
            <w:pPr>
              <w:spacing w:after="0"/>
              <w:rPr>
                <w:sz w:val="14"/>
                <w:szCs w:val="14"/>
                <w:color w:val="auto"/>
              </w:rPr>
            </w:pPr>
          </w:p>
        </w:tc>
        <w:tc>
          <w:tcPr>
            <w:tcW w:w="2560" w:type="dxa"/>
            <w:vAlign w:val="bottom"/>
            <w:tcBorders>
              <w:bottom w:val="single" w:sz="8" w:color="005AFF"/>
            </w:tcBorders>
          </w:tcPr>
          <w:p>
            <w:pPr>
              <w:spacing w:after="0"/>
              <w:rPr>
                <w:sz w:val="14"/>
                <w:szCs w:val="14"/>
                <w:color w:val="auto"/>
              </w:rPr>
            </w:pP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color w:val="005AFF"/>
              </w:rPr>
              <w:t>(38)</w:t>
            </w:r>
          </w:p>
        </w:tc>
        <w:tc>
          <w:tcPr>
            <w:tcW w:w="540" w:type="dxa"/>
            <w:vAlign w:val="bottom"/>
            <w:tcBorders>
              <w:bottom w:val="single" w:sz="8" w:color="005AFF"/>
            </w:tcBorders>
          </w:tcPr>
          <w:p>
            <w:pPr>
              <w:ind w:left="400"/>
              <w:spacing w:after="0"/>
              <w:rPr>
                <w:sz w:val="20"/>
                <w:szCs w:val="20"/>
                <w:color w:val="auto"/>
              </w:rPr>
            </w:pPr>
            <w:r>
              <w:rPr>
                <w:rFonts w:ascii="Times New Roman" w:cs="Times New Roman" w:eastAsia="Times New Roman" w:hAnsi="Times New Roman"/>
                <w:sz w:val="10"/>
                <w:szCs w:val="10"/>
                <w:color w:val="0D0D0D"/>
              </w:rPr>
              <w:t>(8)</w:t>
            </w:r>
          </w:p>
        </w:tc>
        <w:tc>
          <w:tcPr>
            <w:tcW w:w="0" w:type="dxa"/>
            <w:vAlign w:val="bottom"/>
          </w:tcPr>
          <w:p>
            <w:pPr>
              <w:spacing w:after="0"/>
              <w:rPr>
                <w:sz w:val="1"/>
                <w:szCs w:val="1"/>
                <w:color w:val="auto"/>
              </w:rPr>
            </w:pPr>
          </w:p>
        </w:tc>
      </w:tr>
      <w:tr>
        <w:trPr>
          <w:trHeight w:val="152"/>
        </w:trPr>
        <w:tc>
          <w:tcPr>
            <w:tcW w:w="3880" w:type="dxa"/>
            <w:vAlign w:val="bottom"/>
            <w:tcBorders>
              <w:bottom w:val="single" w:sz="8" w:color="005AFF"/>
            </w:tcBorders>
            <w:gridSpan w:val="3"/>
          </w:tcPr>
          <w:p>
            <w:pPr>
              <w:ind w:left="40"/>
              <w:spacing w:after="0"/>
              <w:rPr>
                <w:sz w:val="20"/>
                <w:szCs w:val="20"/>
                <w:color w:val="auto"/>
              </w:rPr>
            </w:pPr>
            <w:r>
              <w:rPr>
                <w:rFonts w:ascii="Times New Roman" w:cs="Times New Roman" w:eastAsia="Times New Roman" w:hAnsi="Times New Roman"/>
                <w:sz w:val="10"/>
                <w:szCs w:val="10"/>
                <w:b w:val="1"/>
                <w:bCs w:val="1"/>
                <w:color w:val="005AFF"/>
              </w:rPr>
              <w:t>Net decrease in cash and cash equivalents</w:t>
            </w:r>
          </w:p>
        </w:tc>
        <w:tc>
          <w:tcPr>
            <w:tcW w:w="540" w:type="dxa"/>
            <w:vAlign w:val="bottom"/>
            <w:tcBorders>
              <w:bottom w:val="single" w:sz="8" w:color="005AFF"/>
            </w:tcBorders>
            <w:shd w:val="clear" w:color="auto" w:fill="F0F5FF"/>
          </w:tcPr>
          <w:p>
            <w:pPr>
              <w:jc w:val="right"/>
              <w:spacing w:after="0"/>
              <w:rPr>
                <w:sz w:val="20"/>
                <w:szCs w:val="20"/>
                <w:color w:val="auto"/>
              </w:rPr>
            </w:pPr>
            <w:r>
              <w:rPr>
                <w:rFonts w:ascii="Times New Roman" w:cs="Times New Roman" w:eastAsia="Times New Roman" w:hAnsi="Times New Roman"/>
                <w:sz w:val="10"/>
                <w:szCs w:val="10"/>
                <w:b w:val="1"/>
                <w:bCs w:val="1"/>
                <w:color w:val="005AFF"/>
              </w:rPr>
              <w:t>(26)</w:t>
            </w:r>
          </w:p>
        </w:tc>
        <w:tc>
          <w:tcPr>
            <w:tcW w:w="540" w:type="dxa"/>
            <w:vAlign w:val="bottom"/>
            <w:tcBorders>
              <w:bottom w:val="single" w:sz="8" w:color="005AFF"/>
            </w:tcBorders>
          </w:tcPr>
          <w:p>
            <w:pPr>
              <w:ind w:left="400"/>
              <w:spacing w:after="0"/>
              <w:rPr>
                <w:sz w:val="20"/>
                <w:szCs w:val="20"/>
                <w:color w:val="auto"/>
              </w:rPr>
            </w:pPr>
            <w:r>
              <w:rPr>
                <w:rFonts w:ascii="Times New Roman" w:cs="Times New Roman" w:eastAsia="Times New Roman" w:hAnsi="Times New Roman"/>
                <w:sz w:val="10"/>
                <w:szCs w:val="10"/>
                <w:b w:val="1"/>
                <w:bCs w:val="1"/>
                <w:color w:val="auto"/>
              </w:rPr>
              <w:t>(7)</w:t>
            </w:r>
          </w:p>
        </w:tc>
        <w:tc>
          <w:tcPr>
            <w:tcW w:w="0" w:type="dxa"/>
            <w:vAlign w:val="bottom"/>
          </w:tcPr>
          <w:p>
            <w:pPr>
              <w:spacing w:after="0"/>
              <w:rPr>
                <w:sz w:val="1"/>
                <w:szCs w:val="1"/>
                <w:color w:val="auto"/>
              </w:rPr>
            </w:pPr>
          </w:p>
        </w:tc>
      </w:tr>
    </w:tbl>
    <w:p>
      <w:pPr>
        <w:spacing w:after="0" w:line="41" w:lineRule="exact"/>
        <w:rPr>
          <w:sz w:val="20"/>
          <w:szCs w:val="20"/>
          <w:color w:val="auto"/>
        </w:rPr>
      </w:pPr>
    </w:p>
    <w:p>
      <w:pPr>
        <w:ind w:left="200" w:hanging="198"/>
        <w:spacing w:after="0"/>
        <w:tabs>
          <w:tab w:leader="none" w:pos="200" w:val="left"/>
        </w:tabs>
        <w:numPr>
          <w:ilvl w:val="0"/>
          <w:numId w:val="15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Includes EUR 19 million (EUR29  million in 2022 ) net sales to other Nokia Group entities.</w:t>
      </w:r>
    </w:p>
    <w:p>
      <w:pPr>
        <w:spacing w:after="0" w:line="12" w:lineRule="exact"/>
        <w:rPr>
          <w:rFonts w:ascii="Times New Roman" w:cs="Times New Roman" w:eastAsia="Times New Roman" w:hAnsi="Times New Roman"/>
          <w:sz w:val="8"/>
          <w:szCs w:val="8"/>
          <w:color w:val="auto"/>
        </w:rPr>
      </w:pPr>
    </w:p>
    <w:p>
      <w:pPr>
        <w:ind w:left="200" w:hanging="198"/>
        <w:spacing w:after="0"/>
        <w:tabs>
          <w:tab w:leader="none" w:pos="200" w:val="left"/>
        </w:tabs>
        <w:numPr>
          <w:ilvl w:val="0"/>
          <w:numId w:val="151"/>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Based on the contractual arrangement with China Huaxin, Nokia does not recognize any non-controlling interest in NSB.</w:t>
      </w:r>
    </w:p>
    <w:p>
      <w:pPr>
        <w:spacing w:after="0" w:line="4" w:lineRule="exact"/>
        <w:rPr>
          <w:sz w:val="20"/>
          <w:szCs w:val="20"/>
          <w:color w:val="auto"/>
        </w:rPr>
      </w:pPr>
    </w:p>
    <w:p>
      <w:pPr>
        <w:spacing w:after="0"/>
        <w:tabs>
          <w:tab w:leader="none" w:pos="180" w:val="left"/>
          <w:tab w:leader="none" w:pos="1020" w:val="left"/>
        </w:tabs>
        <w:rPr>
          <w:sz w:val="20"/>
          <w:szCs w:val="20"/>
          <w:color w:val="auto"/>
        </w:rPr>
      </w:pPr>
      <w:r>
        <w:rPr>
          <w:rFonts w:ascii="Times New Roman" w:cs="Times New Roman" w:eastAsia="Times New Roman" w:hAnsi="Times New Roman"/>
          <w:sz w:val="8"/>
          <w:szCs w:val="8"/>
          <w:color w:val="auto"/>
        </w:rPr>
        <w:t>(3)</w:t>
        <w:tab/>
        <w:t>Includes a total of EUR</w:t>
        <w:tab/>
        <w:t>700 million (EUR725 million in 2022 ) of cash and cash equivalents.</w:t>
      </w:r>
    </w:p>
    <w:p>
      <w:pPr>
        <w:spacing w:after="0" w:line="4" w:lineRule="exact"/>
        <w:rPr>
          <w:sz w:val="20"/>
          <w:szCs w:val="20"/>
          <w:color w:val="auto"/>
        </w:rPr>
      </w:pPr>
    </w:p>
    <w:p>
      <w:pPr>
        <w:ind w:left="200" w:hanging="198"/>
        <w:spacing w:after="0"/>
        <w:tabs>
          <w:tab w:leader="none" w:pos="200" w:val="left"/>
        </w:tabs>
        <w:numPr>
          <w:ilvl w:val="0"/>
          <w:numId w:val="152"/>
        </w:numPr>
        <w:rPr>
          <w:rFonts w:ascii="Times New Roman" w:cs="Times New Roman" w:eastAsia="Times New Roman" w:hAnsi="Times New Roman"/>
          <w:sz w:val="8"/>
          <w:szCs w:val="8"/>
          <w:color w:val="auto"/>
        </w:rPr>
      </w:pPr>
      <w:r>
        <w:rPr>
          <w:rFonts w:ascii="Times New Roman" w:cs="Times New Roman" w:eastAsia="Times New Roman" w:hAnsi="Times New Roman"/>
          <w:sz w:val="8"/>
          <w:szCs w:val="8"/>
          <w:color w:val="auto"/>
        </w:rPr>
        <w:t>The distribution of the profits of NSB requires the passing of a special resolution by more than two-thirds of its shareholders,</w:t>
      </w:r>
    </w:p>
    <w:p>
      <w:pPr>
        <w:spacing w:after="0" w:line="4" w:lineRule="exact"/>
        <w:rPr>
          <w:sz w:val="20"/>
          <w:szCs w:val="20"/>
          <w:color w:val="auto"/>
        </w:rPr>
      </w:pPr>
    </w:p>
    <w:p>
      <w:pPr>
        <w:ind w:left="200"/>
        <w:spacing w:after="0"/>
        <w:tabs>
          <w:tab w:leader="none" w:pos="1560" w:val="left"/>
        </w:tabs>
        <w:rPr>
          <w:sz w:val="20"/>
          <w:szCs w:val="20"/>
          <w:color w:val="auto"/>
        </w:rPr>
      </w:pPr>
      <w:r>
        <w:rPr>
          <w:rFonts w:ascii="Times New Roman" w:cs="Times New Roman" w:eastAsia="Times New Roman" w:hAnsi="Times New Roman"/>
          <w:sz w:val="8"/>
          <w:szCs w:val="8"/>
          <w:color w:val="auto"/>
        </w:rPr>
        <w:t>subject to a requirement that at least</w:t>
      </w:r>
      <w:r>
        <w:rPr>
          <w:sz w:val="20"/>
          <w:szCs w:val="20"/>
          <w:color w:val="auto"/>
        </w:rPr>
        <w:tab/>
      </w:r>
      <w:r>
        <w:rPr>
          <w:rFonts w:ascii="Times New Roman" w:cs="Times New Roman" w:eastAsia="Times New Roman" w:hAnsi="Times New Roman"/>
          <w:sz w:val="8"/>
          <w:szCs w:val="8"/>
          <w:color w:val="auto"/>
        </w:rPr>
        <w:t>50% of the after-tax distributable profits are distributed as dividends each year.</w:t>
      </w:r>
    </w:p>
    <w:p>
      <w:pPr>
        <w:sectPr>
          <w:pgSz w:w="11900" w:h="16838" w:orient="portrait"/>
          <w:cols w:equalWidth="0" w:num="2">
            <w:col w:w="4600" w:space="500"/>
            <w:col w:w="4960"/>
          </w:cols>
          <w:pgMar w:left="960" w:top="410" w:right="879" w:bottom="1440" w:gutter="0" w:footer="0" w:header="0"/>
          <w:type w:val="continuous"/>
        </w:sectPr>
      </w:pPr>
    </w:p>
    <w:bookmarkStart w:id="210" w:name="page211"/>
    <w:bookmarkEnd w:id="210"/>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203</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600" w:type="dxa"/>
            <w:vAlign w:val="bottom"/>
            <w:gridSpan w:val="2"/>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00" w:type="dxa"/>
            <w:vAlign w:val="bottom"/>
          </w:tcPr>
          <w:p>
            <w:pPr>
              <w:ind w:left="14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252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Notes to the consolidated financial statements</w:t>
            </w:r>
          </w:p>
        </w:tc>
        <w:tc>
          <w:tcPr>
            <w:tcW w:w="74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120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2520" w:type="dxa"/>
            <w:vAlign w:val="bottom"/>
            <w:gridSpan w:val="3"/>
            <w:vMerge w:val="continue"/>
          </w:tcPr>
          <w:p>
            <w:pPr>
              <w:spacing w:after="0"/>
              <w:rPr>
                <w:sz w:val="24"/>
                <w:szCs w:val="24"/>
                <w:color w:val="auto"/>
              </w:rPr>
            </w:pPr>
          </w:p>
        </w:tc>
        <w:tc>
          <w:tcPr>
            <w:tcW w:w="740" w:type="dxa"/>
            <w:vAlign w:val="bottom"/>
            <w:vMerge w:val="continue"/>
          </w:tcPr>
          <w:p>
            <w:pPr>
              <w:spacing w:after="0"/>
              <w:rPr>
                <w:sz w:val="24"/>
                <w:szCs w:val="24"/>
                <w:color w:val="auto"/>
              </w:rPr>
            </w:pPr>
          </w:p>
        </w:tc>
        <w:tc>
          <w:tcPr>
            <w:tcW w:w="1200" w:type="dxa"/>
            <w:vAlign w:val="bottom"/>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6.4. Related party transactions</w:t>
      </w:r>
    </w:p>
    <w:p>
      <w:pPr>
        <w:spacing w:after="0" w:line="46" w:lineRule="exact"/>
        <w:rPr>
          <w:sz w:val="20"/>
          <w:szCs w:val="20"/>
          <w:color w:val="auto"/>
        </w:rPr>
      </w:pPr>
    </w:p>
    <w:tbl>
      <w:tblPr>
        <w:tblLayout w:type="fixed"/>
        <w:tblInd w:w="0" w:type="dxa"/>
        <w:tblCellMar>
          <w:top w:w="0" w:type="dxa"/>
          <w:left w:w="0" w:type="dxa"/>
          <w:bottom w:w="0" w:type="dxa"/>
          <w:right w:w="0" w:type="dxa"/>
        </w:tblCellMar>
      </w:tblPr>
      <w:tr>
        <w:trPr>
          <w:trHeight w:val="131"/>
        </w:trPr>
        <w:tc>
          <w:tcPr>
            <w:tcW w:w="4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Nokia has related party transactions with its subsidiaries, associated companies, joint ventures</w:t>
            </w:r>
          </w:p>
        </w:tc>
      </w:tr>
      <w:tr>
        <w:trPr>
          <w:trHeight w:val="142"/>
        </w:trPr>
        <w:tc>
          <w:tcPr>
            <w:tcW w:w="4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and pension funds as well as the management and the Board of Directors. Transactions and</w:t>
            </w:r>
          </w:p>
        </w:tc>
      </w:tr>
      <w:tr>
        <w:trPr>
          <w:trHeight w:val="131"/>
        </w:trPr>
        <w:tc>
          <w:tcPr>
            <w:tcW w:w="4800" w:type="dxa"/>
            <w:vAlign w:val="bottom"/>
            <w:gridSpan w:val="2"/>
          </w:tcPr>
          <w:p>
            <w:pPr>
              <w:spacing w:after="0"/>
              <w:rPr>
                <w:sz w:val="20"/>
                <w:szCs w:val="20"/>
                <w:color w:val="auto"/>
              </w:rPr>
            </w:pPr>
            <w:r>
              <w:rPr>
                <w:rFonts w:ascii="Times New Roman" w:cs="Times New Roman" w:eastAsia="Times New Roman" w:hAnsi="Times New Roman"/>
                <w:sz w:val="11"/>
                <w:szCs w:val="11"/>
                <w:color w:val="auto"/>
              </w:rPr>
              <w:t>balances between group companies are eliminated on consolidation. For more information on</w:t>
            </w:r>
          </w:p>
        </w:tc>
      </w:tr>
      <w:tr>
        <w:trPr>
          <w:trHeight w:val="142"/>
        </w:trPr>
        <w:tc>
          <w:tcPr>
            <w:tcW w:w="3280" w:type="dxa"/>
            <w:vAlign w:val="bottom"/>
          </w:tcPr>
          <w:p>
            <w:pPr>
              <w:spacing w:after="0"/>
              <w:rPr>
                <w:sz w:val="20"/>
                <w:szCs w:val="20"/>
                <w:color w:val="auto"/>
              </w:rPr>
            </w:pPr>
            <w:r>
              <w:rPr>
                <w:rFonts w:ascii="Times New Roman" w:cs="Times New Roman" w:eastAsia="Times New Roman" w:hAnsi="Times New Roman"/>
                <w:sz w:val="11"/>
                <w:szCs w:val="11"/>
                <w:color w:val="auto"/>
              </w:rPr>
              <w:t>principles of consolidation and principal Group companies, refer to</w:t>
            </w:r>
          </w:p>
        </w:tc>
        <w:tc>
          <w:tcPr>
            <w:tcW w:w="1520" w:type="dxa"/>
            <w:vAlign w:val="bottom"/>
          </w:tcPr>
          <w:p>
            <w:pPr>
              <w:ind w:left="140"/>
              <w:spacing w:after="0"/>
              <w:rPr>
                <w:sz w:val="20"/>
                <w:szCs w:val="20"/>
                <w:color w:val="auto"/>
              </w:rPr>
            </w:pPr>
            <w:r>
              <w:rPr>
                <w:rFonts w:ascii="Times New Roman" w:cs="Times New Roman" w:eastAsia="Times New Roman" w:hAnsi="Times New Roman"/>
                <w:sz w:val="11"/>
                <w:szCs w:val="11"/>
                <w:color w:val="auto"/>
              </w:rPr>
              <w:t>Note 1.2. General accounting</w:t>
            </w:r>
          </w:p>
        </w:tc>
      </w:tr>
      <w:tr>
        <w:trPr>
          <w:trHeight w:val="148"/>
        </w:trPr>
        <w:tc>
          <w:tcPr>
            <w:tcW w:w="3280" w:type="dxa"/>
            <w:vAlign w:val="bottom"/>
          </w:tcPr>
          <w:p>
            <w:pPr>
              <w:spacing w:after="0"/>
              <w:rPr>
                <w:sz w:val="20"/>
                <w:szCs w:val="20"/>
                <w:color w:val="auto"/>
              </w:rPr>
            </w:pPr>
            <w:r>
              <w:rPr>
                <w:rFonts w:ascii="Times New Roman" w:cs="Times New Roman" w:eastAsia="Times New Roman" w:hAnsi="Times New Roman"/>
                <w:sz w:val="11"/>
                <w:szCs w:val="11"/>
                <w:color w:val="auto"/>
              </w:rPr>
              <w:t>policies , and Note  6.2. Principal Group companies  , respectively.</w:t>
            </w:r>
          </w:p>
        </w:tc>
        <w:tc>
          <w:tcPr>
            <w:tcW w:w="1520" w:type="dxa"/>
            <w:vAlign w:val="bottom"/>
          </w:tcPr>
          <w:p>
            <w:pPr>
              <w:spacing w:after="0"/>
              <w:rPr>
                <w:sz w:val="12"/>
                <w:szCs w:val="12"/>
                <w:color w:val="auto"/>
              </w:rPr>
            </w:pPr>
          </w:p>
        </w:tc>
      </w:tr>
    </w:tbl>
    <w:p>
      <w:pPr>
        <w:spacing w:after="0" w:line="7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Transactions with associated companies and joint ventures</w:t>
      </w:r>
    </w:p>
    <w:p>
      <w:pPr>
        <w:spacing w:after="0" w:line="85" w:lineRule="exact"/>
        <w:rPr>
          <w:sz w:val="20"/>
          <w:szCs w:val="20"/>
          <w:color w:val="auto"/>
        </w:rPr>
      </w:pPr>
    </w:p>
    <w:tbl>
      <w:tblPr>
        <w:tblLayout w:type="fixed"/>
        <w:tblInd w:w="0" w:type="dxa"/>
        <w:tblCellMar>
          <w:top w:w="0" w:type="dxa"/>
          <w:left w:w="0" w:type="dxa"/>
          <w:bottom w:w="0" w:type="dxa"/>
          <w:right w:w="0" w:type="dxa"/>
        </w:tblCellMar>
      </w:tblPr>
      <w:tr>
        <w:trPr>
          <w:trHeight w:val="114"/>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8"/>
                <w:szCs w:val="8"/>
                <w:b w:val="1"/>
                <w:bCs w:val="1"/>
                <w:color w:val="005AFF"/>
              </w:rPr>
              <w:t>EURm</w:t>
            </w:r>
          </w:p>
        </w:tc>
        <w:tc>
          <w:tcPr>
            <w:tcW w:w="580" w:type="dxa"/>
            <w:vAlign w:val="bottom"/>
            <w:tcBorders>
              <w:bottom w:val="single" w:sz="8" w:color="005AFF"/>
            </w:tcBorders>
          </w:tcPr>
          <w:p>
            <w:pPr>
              <w:jc w:val="right"/>
              <w:ind w:right="71"/>
              <w:spacing w:after="0"/>
              <w:rPr>
                <w:sz w:val="20"/>
                <w:szCs w:val="20"/>
                <w:color w:val="auto"/>
              </w:rPr>
            </w:pPr>
            <w:r>
              <w:rPr>
                <w:rFonts w:ascii="Times New Roman" w:cs="Times New Roman" w:eastAsia="Times New Roman" w:hAnsi="Times New Roman"/>
                <w:sz w:val="8"/>
                <w:szCs w:val="8"/>
                <w:b w:val="1"/>
                <w:bCs w:val="1"/>
                <w:color w:val="005AFF"/>
              </w:rPr>
              <w:t>2023</w:t>
            </w:r>
          </w:p>
        </w:tc>
        <w:tc>
          <w:tcPr>
            <w:tcW w:w="620" w:type="dxa"/>
            <w:vAlign w:val="bottom"/>
            <w:tcBorders>
              <w:bottom w:val="single" w:sz="8" w:color="005AFF"/>
            </w:tcBorders>
          </w:tcPr>
          <w:p>
            <w:pPr>
              <w:jc w:val="right"/>
              <w:ind w:right="151"/>
              <w:spacing w:after="0"/>
              <w:rPr>
                <w:sz w:val="20"/>
                <w:szCs w:val="20"/>
                <w:color w:val="auto"/>
              </w:rPr>
            </w:pPr>
            <w:r>
              <w:rPr>
                <w:rFonts w:ascii="Times New Roman" w:cs="Times New Roman" w:eastAsia="Times New Roman" w:hAnsi="Times New Roman"/>
                <w:sz w:val="8"/>
                <w:szCs w:val="8"/>
                <w:b w:val="1"/>
                <w:bCs w:val="1"/>
                <w:color w:val="005AFF"/>
              </w:rPr>
              <w:t>2022</w:t>
            </w:r>
          </w:p>
        </w:tc>
        <w:tc>
          <w:tcPr>
            <w:tcW w:w="400" w:type="dxa"/>
            <w:vAlign w:val="bottom"/>
            <w:tcBorders>
              <w:bottom w:val="single" w:sz="8" w:color="005AFF"/>
            </w:tcBorders>
          </w:tcPr>
          <w:p>
            <w:pPr>
              <w:jc w:val="right"/>
              <w:ind w:right="11"/>
              <w:spacing w:after="0"/>
              <w:rPr>
                <w:sz w:val="20"/>
                <w:szCs w:val="20"/>
                <w:color w:val="auto"/>
              </w:rPr>
            </w:pPr>
            <w:r>
              <w:rPr>
                <w:rFonts w:ascii="Times New Roman" w:cs="Times New Roman" w:eastAsia="Times New Roman" w:hAnsi="Times New Roman"/>
                <w:sz w:val="8"/>
                <w:szCs w:val="8"/>
                <w:b w:val="1"/>
                <w:bCs w:val="1"/>
                <w:color w:val="005AFF"/>
              </w:rPr>
              <w:t>2021</w:t>
            </w:r>
          </w:p>
        </w:tc>
      </w:tr>
      <w:tr>
        <w:trPr>
          <w:trHeight w:val="140"/>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Sales</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46</w:t>
            </w:r>
          </w:p>
        </w:tc>
        <w:tc>
          <w:tcPr>
            <w:tcW w:w="62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74</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87</w:t>
            </w:r>
          </w:p>
        </w:tc>
      </w:tr>
      <w:tr>
        <w:trPr>
          <w:trHeight w:val="162"/>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Purchases</w:t>
            </w:r>
          </w:p>
        </w:tc>
        <w:tc>
          <w:tcPr>
            <w:tcW w:w="580" w:type="dxa"/>
            <w:vAlign w:val="bottom"/>
            <w:shd w:val="clear" w:color="auto" w:fill="F0F5FF"/>
          </w:tcPr>
          <w:p>
            <w:pPr>
              <w:jc w:val="right"/>
              <w:ind w:right="31"/>
              <w:spacing w:after="0"/>
              <w:rPr>
                <w:sz w:val="20"/>
                <w:szCs w:val="20"/>
                <w:color w:val="auto"/>
              </w:rPr>
            </w:pPr>
            <w:r>
              <w:rPr>
                <w:rFonts w:ascii="Times New Roman" w:cs="Times New Roman" w:eastAsia="Times New Roman" w:hAnsi="Times New Roman"/>
                <w:sz w:val="10"/>
                <w:szCs w:val="10"/>
                <w:color w:val="005AFF"/>
              </w:rPr>
              <w:t>(141)</w:t>
            </w:r>
          </w:p>
        </w:tc>
        <w:tc>
          <w:tcPr>
            <w:tcW w:w="620" w:type="dxa"/>
            <w:vAlign w:val="bottom"/>
          </w:tcPr>
          <w:p>
            <w:pPr>
              <w:jc w:val="right"/>
              <w:ind w:right="111"/>
              <w:spacing w:after="0"/>
              <w:rPr>
                <w:sz w:val="20"/>
                <w:szCs w:val="20"/>
                <w:color w:val="auto"/>
              </w:rPr>
            </w:pPr>
            <w:r>
              <w:rPr>
                <w:rFonts w:ascii="Times New Roman" w:cs="Times New Roman" w:eastAsia="Times New Roman" w:hAnsi="Times New Roman"/>
                <w:sz w:val="10"/>
                <w:szCs w:val="10"/>
                <w:color w:val="0D0D0D"/>
              </w:rPr>
              <w:t>(127)</w:t>
            </w:r>
          </w:p>
        </w:tc>
        <w:tc>
          <w:tcPr>
            <w:tcW w:w="400" w:type="dxa"/>
            <w:vAlign w:val="bottom"/>
          </w:tcPr>
          <w:p>
            <w:pPr>
              <w:jc w:val="right"/>
              <w:spacing w:after="0"/>
              <w:rPr>
                <w:sz w:val="20"/>
                <w:szCs w:val="20"/>
                <w:color w:val="auto"/>
              </w:rPr>
            </w:pPr>
            <w:r>
              <w:rPr>
                <w:rFonts w:ascii="Times New Roman" w:cs="Times New Roman" w:eastAsia="Times New Roman" w:hAnsi="Times New Roman"/>
                <w:sz w:val="10"/>
                <w:szCs w:val="10"/>
                <w:color w:val="0D0D0D"/>
              </w:rPr>
              <w:t>(144)</w:t>
            </w:r>
          </w:p>
        </w:tc>
      </w:tr>
      <w:tr>
        <w:trPr>
          <w:trHeight w:val="162"/>
        </w:trPr>
        <w:tc>
          <w:tcPr>
            <w:tcW w:w="334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Trade receivables</w:t>
            </w:r>
          </w:p>
        </w:tc>
        <w:tc>
          <w:tcPr>
            <w:tcW w:w="580" w:type="dxa"/>
            <w:vAlign w:val="bottom"/>
            <w:shd w:val="clear" w:color="auto" w:fill="F0F5FF"/>
          </w:tcPr>
          <w:p>
            <w:pPr>
              <w:jc w:val="right"/>
              <w:ind w:right="51"/>
              <w:spacing w:after="0"/>
              <w:rPr>
                <w:sz w:val="20"/>
                <w:szCs w:val="20"/>
                <w:color w:val="auto"/>
              </w:rPr>
            </w:pPr>
            <w:r>
              <w:rPr>
                <w:rFonts w:ascii="Times New Roman" w:cs="Times New Roman" w:eastAsia="Times New Roman" w:hAnsi="Times New Roman"/>
                <w:sz w:val="10"/>
                <w:szCs w:val="10"/>
                <w:color w:val="005AFF"/>
              </w:rPr>
              <w:t>18</w:t>
            </w:r>
          </w:p>
        </w:tc>
        <w:tc>
          <w:tcPr>
            <w:tcW w:w="620" w:type="dxa"/>
            <w:vAlign w:val="bottom"/>
          </w:tcPr>
          <w:p>
            <w:pPr>
              <w:jc w:val="right"/>
              <w:ind w:right="131"/>
              <w:spacing w:after="0"/>
              <w:rPr>
                <w:sz w:val="20"/>
                <w:szCs w:val="20"/>
                <w:color w:val="auto"/>
              </w:rPr>
            </w:pPr>
            <w:r>
              <w:rPr>
                <w:rFonts w:ascii="Times New Roman" w:cs="Times New Roman" w:eastAsia="Times New Roman" w:hAnsi="Times New Roman"/>
                <w:sz w:val="10"/>
                <w:szCs w:val="10"/>
                <w:color w:val="0D0D0D"/>
              </w:rPr>
              <w:t>36</w:t>
            </w:r>
          </w:p>
        </w:tc>
        <w:tc>
          <w:tcPr>
            <w:tcW w:w="400" w:type="dxa"/>
            <w:vAlign w:val="bottom"/>
          </w:tcPr>
          <w:p>
            <w:pPr>
              <w:jc w:val="right"/>
              <w:ind w:right="11"/>
              <w:spacing w:after="0"/>
              <w:rPr>
                <w:sz w:val="20"/>
                <w:szCs w:val="20"/>
                <w:color w:val="auto"/>
              </w:rPr>
            </w:pPr>
            <w:r>
              <w:rPr>
                <w:rFonts w:ascii="Times New Roman" w:cs="Times New Roman" w:eastAsia="Times New Roman" w:hAnsi="Times New Roman"/>
                <w:sz w:val="10"/>
                <w:szCs w:val="10"/>
                <w:color w:val="0D0D0D"/>
              </w:rPr>
              <w:t>45</w:t>
            </w:r>
          </w:p>
        </w:tc>
      </w:tr>
      <w:tr>
        <w:trPr>
          <w:trHeight w:val="167"/>
        </w:trPr>
        <w:tc>
          <w:tcPr>
            <w:tcW w:w="334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Trade payables</w:t>
            </w:r>
          </w:p>
        </w:tc>
        <w:tc>
          <w:tcPr>
            <w:tcW w:w="580" w:type="dxa"/>
            <w:vAlign w:val="bottom"/>
            <w:tcBorders>
              <w:bottom w:val="single" w:sz="8" w:color="005AFF"/>
            </w:tcBorders>
            <w:shd w:val="clear" w:color="auto" w:fill="F0F5FF"/>
          </w:tcPr>
          <w:p>
            <w:pPr>
              <w:jc w:val="right"/>
              <w:ind w:right="11"/>
              <w:spacing w:after="0"/>
              <w:rPr>
                <w:sz w:val="20"/>
                <w:szCs w:val="20"/>
                <w:color w:val="auto"/>
              </w:rPr>
            </w:pPr>
            <w:r>
              <w:rPr>
                <w:rFonts w:ascii="Times New Roman" w:cs="Times New Roman" w:eastAsia="Times New Roman" w:hAnsi="Times New Roman"/>
                <w:sz w:val="10"/>
                <w:szCs w:val="10"/>
                <w:color w:val="005AFF"/>
              </w:rPr>
              <w:t>(31)</w:t>
            </w:r>
          </w:p>
        </w:tc>
        <w:tc>
          <w:tcPr>
            <w:tcW w:w="620" w:type="dxa"/>
            <w:vAlign w:val="bottom"/>
            <w:tcBorders>
              <w:bottom w:val="single" w:sz="8" w:color="005AFF"/>
            </w:tcBorders>
          </w:tcPr>
          <w:p>
            <w:pPr>
              <w:jc w:val="right"/>
              <w:ind w:right="91"/>
              <w:spacing w:after="0"/>
              <w:rPr>
                <w:sz w:val="20"/>
                <w:szCs w:val="20"/>
                <w:color w:val="auto"/>
              </w:rPr>
            </w:pPr>
            <w:r>
              <w:rPr>
                <w:rFonts w:ascii="Times New Roman" w:cs="Times New Roman" w:eastAsia="Times New Roman" w:hAnsi="Times New Roman"/>
                <w:sz w:val="10"/>
                <w:szCs w:val="10"/>
                <w:color w:val="0D0D0D"/>
              </w:rPr>
              <w:t>(26)</w:t>
            </w:r>
          </w:p>
        </w:tc>
        <w:tc>
          <w:tcPr>
            <w:tcW w:w="400" w:type="dxa"/>
            <w:vAlign w:val="bottom"/>
            <w:tcBorders>
              <w:bottom w:val="single" w:sz="8" w:color="005AFF"/>
            </w:tcBorders>
          </w:tcPr>
          <w:p>
            <w:pPr>
              <w:jc w:val="right"/>
              <w:spacing w:after="0"/>
              <w:rPr>
                <w:sz w:val="20"/>
                <w:szCs w:val="20"/>
                <w:color w:val="auto"/>
              </w:rPr>
            </w:pPr>
            <w:r>
              <w:rPr>
                <w:rFonts w:ascii="Times New Roman" w:cs="Times New Roman" w:eastAsia="Times New Roman" w:hAnsi="Times New Roman"/>
                <w:sz w:val="10"/>
                <w:szCs w:val="10"/>
                <w:color w:val="0D0D0D"/>
              </w:rPr>
              <w:t>(29)</w:t>
            </w:r>
          </w:p>
        </w:tc>
      </w:tr>
    </w:tbl>
    <w:p>
      <w:pPr>
        <w:spacing w:after="0" w:line="10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Investments in associated companies and joint ventures are individually immaterial.</w:t>
      </w:r>
    </w:p>
    <w:p>
      <w:pPr>
        <w:spacing w:after="0" w:line="96"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 2016, Nokia entered into a strategic agreement with HMD Global Oy (HMD) granting HMD an</w:t>
      </w:r>
    </w:p>
    <w:p>
      <w:pPr>
        <w:spacing w:after="0" w:line="17" w:lineRule="exact"/>
        <w:rPr>
          <w:sz w:val="20"/>
          <w:szCs w:val="20"/>
          <w:color w:val="auto"/>
        </w:rPr>
      </w:pPr>
    </w:p>
    <w:p>
      <w:pPr>
        <w:ind w:right="100"/>
        <w:spacing w:after="0" w:line="263" w:lineRule="auto"/>
        <w:rPr>
          <w:sz w:val="20"/>
          <w:szCs w:val="20"/>
          <w:color w:val="auto"/>
        </w:rPr>
      </w:pPr>
      <w:r>
        <w:rPr>
          <w:rFonts w:ascii="Times New Roman" w:cs="Times New Roman" w:eastAsia="Times New Roman" w:hAnsi="Times New Roman"/>
          <w:sz w:val="11"/>
          <w:szCs w:val="11"/>
          <w:color w:val="auto"/>
        </w:rPr>
        <w:t>exclusive global license to create Nokia branded mobile phones and tablets for ten years . Under the agreement, Nokia receives royalty payments from HMD for sales of Nokia branded mobile</w:t>
      </w:r>
    </w:p>
    <w:p>
      <w:pPr>
        <w:ind w:right="500"/>
        <w:spacing w:after="0" w:line="267" w:lineRule="auto"/>
        <w:rPr>
          <w:sz w:val="20"/>
          <w:szCs w:val="20"/>
          <w:color w:val="auto"/>
        </w:rPr>
      </w:pPr>
      <w:r>
        <w:rPr>
          <w:rFonts w:ascii="Times New Roman" w:cs="Times New Roman" w:eastAsia="Times New Roman" w:hAnsi="Times New Roman"/>
          <w:sz w:val="11"/>
          <w:szCs w:val="11"/>
          <w:color w:val="auto"/>
        </w:rPr>
        <w:t>phones and tablets, covering both brand and patent licensing. In August 2023, Nokia and HMD amended the licensing agreement so that HMD’s exclusive license to create Nokia branded devices will expire by March 2026. Nokia has held an ownership interest in HMD since 2020 which it has accounted for as an investment in associate. In 2023, Nokia recorded an impairment loss of EUR 28 million related to its investment in HMD in the share of result of associates and joint ventures.</w:t>
      </w:r>
    </w:p>
    <w:p>
      <w:pPr>
        <w:spacing w:after="0" w:line="190" w:lineRule="exact"/>
        <w:rPr>
          <w:sz w:val="20"/>
          <w:szCs w:val="20"/>
          <w:color w:val="auto"/>
        </w:rPr>
      </w:pPr>
    </w:p>
    <w:p>
      <w:pPr>
        <w:ind w:right="300"/>
        <w:spacing w:after="0" w:line="266" w:lineRule="auto"/>
        <w:rPr>
          <w:sz w:val="20"/>
          <w:szCs w:val="20"/>
          <w:color w:val="auto"/>
        </w:rPr>
      </w:pPr>
      <w:r>
        <w:rPr>
          <w:rFonts w:ascii="Times New Roman" w:cs="Times New Roman" w:eastAsia="Times New Roman" w:hAnsi="Times New Roman"/>
          <w:sz w:val="11"/>
          <w:szCs w:val="11"/>
          <w:color w:val="auto"/>
        </w:rPr>
        <w:t>Nokia holds a 51% ownership interest in TD Tech Holding Limited (“TD Tech HK”), a Hong Kong based joint venture holding company which Nokia has accounted for as an investment in associate. In 2023, TD Tech HK has entered into an agreement to divest the entire business</w:t>
      </w:r>
    </w:p>
    <w:p>
      <w:pPr>
        <w:spacing w:after="0" w:line="1" w:lineRule="exact"/>
        <w:rPr>
          <w:sz w:val="20"/>
          <w:szCs w:val="20"/>
          <w:color w:val="auto"/>
        </w:rPr>
      </w:pPr>
    </w:p>
    <w:p>
      <w:pPr>
        <w:ind w:right="480"/>
        <w:spacing w:after="0" w:line="267" w:lineRule="auto"/>
        <w:rPr>
          <w:sz w:val="20"/>
          <w:szCs w:val="20"/>
          <w:color w:val="auto"/>
        </w:rPr>
      </w:pPr>
      <w:r>
        <w:rPr>
          <w:rFonts w:ascii="Times New Roman" w:cs="Times New Roman" w:eastAsia="Times New Roman" w:hAnsi="Times New Roman"/>
          <w:sz w:val="11"/>
          <w:szCs w:val="11"/>
          <w:color w:val="auto"/>
        </w:rPr>
        <w:t>of the joint venture through the sale of TD Tech HK’s operating subsidiaries to a consortium consisting of Huawei Technologies, Chengdu High-tech Investment Group and other buyers. The closing of the transaction is conditional upon receiving regulatory approvals for the transaction and is expected in 2024. Following the transaction, Nokia will exit from its shareholding in TD Tech HK. Nokia expects to record a gain on the contemplated transactions. At 31 December 2023, the carrying amount of Nokia’s investment in TD Tech HK is included in assets held for sale in the statement of financial position.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Transactions with pension funds</w:t>
      </w:r>
    </w:p>
    <w:p>
      <w:pPr>
        <w:spacing w:after="0" w:line="32" w:lineRule="exact"/>
        <w:rPr>
          <w:sz w:val="20"/>
          <w:szCs w:val="20"/>
          <w:color w:val="auto"/>
        </w:rPr>
      </w:pPr>
    </w:p>
    <w:p>
      <w:pPr>
        <w:ind w:right="440"/>
        <w:spacing w:after="0" w:line="274" w:lineRule="auto"/>
        <w:rPr>
          <w:sz w:val="20"/>
          <w:szCs w:val="20"/>
          <w:color w:val="auto"/>
        </w:rPr>
      </w:pPr>
      <w:r>
        <w:rPr>
          <w:rFonts w:ascii="Times New Roman" w:cs="Times New Roman" w:eastAsia="Times New Roman" w:hAnsi="Times New Roman"/>
          <w:sz w:val="11"/>
          <w:szCs w:val="11"/>
          <w:color w:val="auto"/>
        </w:rPr>
        <w:t>Nokia has borrowings of EUR 37 million (EUR 37 million in 2022 ) from Nokia Unterstützungsgesellschaft mbH, Nokia’s German pension fund, a separate legal entity. The loan</w:t>
      </w:r>
    </w:p>
    <w:p>
      <w:pPr>
        <w:spacing w:after="0" w:line="1" w:lineRule="exact"/>
        <w:rPr>
          <w:sz w:val="20"/>
          <w:szCs w:val="20"/>
          <w:color w:val="auto"/>
        </w:rPr>
      </w:pPr>
    </w:p>
    <w:p>
      <w:pPr>
        <w:spacing w:after="0"/>
        <w:tabs>
          <w:tab w:leader="none" w:pos="1440" w:val="left"/>
        </w:tabs>
        <w:rPr>
          <w:sz w:val="20"/>
          <w:szCs w:val="20"/>
          <w:color w:val="auto"/>
        </w:rPr>
      </w:pPr>
      <w:r>
        <w:rPr>
          <w:rFonts w:ascii="Times New Roman" w:cs="Times New Roman" w:eastAsia="Times New Roman" w:hAnsi="Times New Roman"/>
          <w:sz w:val="11"/>
          <w:szCs w:val="11"/>
          <w:color w:val="auto"/>
        </w:rPr>
        <w:t>bears interest at the rate of</w:t>
      </w:r>
      <w:r>
        <w:rPr>
          <w:sz w:val="20"/>
          <w:szCs w:val="20"/>
          <w:color w:val="auto"/>
        </w:rPr>
        <w:tab/>
      </w:r>
      <w:r>
        <w:rPr>
          <w:rFonts w:ascii="Times New Roman" w:cs="Times New Roman" w:eastAsia="Times New Roman" w:hAnsi="Times New Roman"/>
          <w:sz w:val="11"/>
          <w:szCs w:val="11"/>
          <w:color w:val="auto"/>
        </w:rPr>
        <w:t>6% per annum and its duration is pending until further notice by the</w:t>
      </w:r>
    </w:p>
    <w:p>
      <w:pPr>
        <w:spacing w:after="0" w:line="10" w:lineRule="exact"/>
        <w:rPr>
          <w:sz w:val="20"/>
          <w:szCs w:val="20"/>
          <w:color w:val="auto"/>
        </w:rPr>
      </w:pPr>
    </w:p>
    <w:p>
      <w:pPr>
        <w:spacing w:after="0"/>
        <w:tabs>
          <w:tab w:leader="none" w:pos="3440" w:val="left"/>
        </w:tabs>
        <w:rPr>
          <w:sz w:val="20"/>
          <w:szCs w:val="20"/>
          <w:color w:val="auto"/>
        </w:rPr>
      </w:pPr>
      <w:r>
        <w:rPr>
          <w:rFonts w:ascii="Times New Roman" w:cs="Times New Roman" w:eastAsia="Times New Roman" w:hAnsi="Times New Roman"/>
          <w:sz w:val="11"/>
          <w:szCs w:val="11"/>
          <w:color w:val="auto"/>
        </w:rPr>
        <w:t>loan counterparties who have the right to terminate the loan with a</w:t>
      </w:r>
      <w:r>
        <w:rPr>
          <w:sz w:val="20"/>
          <w:szCs w:val="20"/>
          <w:color w:val="auto"/>
        </w:rPr>
        <w:tab/>
      </w:r>
      <w:r>
        <w:rPr>
          <w:rFonts w:ascii="Times New Roman" w:cs="Times New Roman" w:eastAsia="Times New Roman" w:hAnsi="Times New Roman"/>
          <w:sz w:val="11"/>
          <w:szCs w:val="11"/>
          <w:color w:val="auto"/>
        </w:rPr>
        <w:t>90 -da y notice. The loan is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included in short-term interest-bearing liabilities in the statement of financial position. For more</w:t>
      </w:r>
    </w:p>
    <w:p>
      <w:pPr>
        <w:spacing w:after="0" w:line="10" w:lineRule="exact"/>
        <w:rPr>
          <w:sz w:val="20"/>
          <w:szCs w:val="20"/>
          <w:color w:val="auto"/>
        </w:rPr>
      </w:pPr>
    </w:p>
    <w:p>
      <w:pPr>
        <w:spacing w:after="0"/>
        <w:tabs>
          <w:tab w:leader="none" w:pos="3540" w:val="left"/>
        </w:tabs>
        <w:rPr>
          <w:sz w:val="20"/>
          <w:szCs w:val="20"/>
          <w:color w:val="auto"/>
        </w:rPr>
      </w:pPr>
      <w:r>
        <w:rPr>
          <w:rFonts w:ascii="Times New Roman" w:cs="Times New Roman" w:eastAsia="Times New Roman" w:hAnsi="Times New Roman"/>
          <w:sz w:val="11"/>
          <w:szCs w:val="11"/>
          <w:color w:val="auto"/>
        </w:rPr>
        <w:t>information on Nokia’s post-employment benefit plans, refer to Note</w:t>
      </w:r>
      <w:r>
        <w:rPr>
          <w:sz w:val="20"/>
          <w:szCs w:val="20"/>
          <w:color w:val="auto"/>
        </w:rPr>
        <w:tab/>
      </w:r>
      <w:r>
        <w:rPr>
          <w:rFonts w:ascii="Times New Roman" w:cs="Times New Roman" w:eastAsia="Times New Roman" w:hAnsi="Times New Roman"/>
          <w:sz w:val="11"/>
          <w:szCs w:val="11"/>
          <w:color w:val="auto"/>
        </w:rPr>
        <w:t>3.4. Pensions and other</w:t>
      </w:r>
    </w:p>
    <w:p>
      <w:pPr>
        <w:spacing w:after="0" w:line="10" w:lineRule="exact"/>
        <w:rPr>
          <w:sz w:val="20"/>
          <w:szCs w:val="20"/>
          <w:color w:val="auto"/>
        </w:rPr>
      </w:pPr>
    </w:p>
    <w:p>
      <w:pPr>
        <w:spacing w:after="0"/>
        <w:tabs>
          <w:tab w:leader="none" w:pos="1360" w:val="left"/>
        </w:tabs>
        <w:rPr>
          <w:sz w:val="20"/>
          <w:szCs w:val="20"/>
          <w:color w:val="auto"/>
        </w:rPr>
      </w:pPr>
      <w:r>
        <w:rPr>
          <w:rFonts w:ascii="Times New Roman" w:cs="Times New Roman" w:eastAsia="Times New Roman" w:hAnsi="Times New Roman"/>
          <w:sz w:val="11"/>
          <w:szCs w:val="11"/>
          <w:color w:val="auto"/>
        </w:rPr>
        <w:t>post-employment benefits</w:t>
      </w:r>
      <w:r>
        <w:rPr>
          <w:sz w:val="20"/>
          <w:szCs w:val="20"/>
          <w:color w:val="auto"/>
        </w:rPr>
        <w:tab/>
      </w:r>
      <w:r>
        <w:rPr>
          <w:rFonts w:ascii="Times New Roman" w:cs="Times New Roman" w:eastAsia="Times New Roman" w:hAnsi="Times New Roman"/>
          <w:sz w:val="8"/>
          <w:szCs w:val="8"/>
          <w:color w:val="auto"/>
        </w:rPr>
        <w:t>.</w:t>
      </w:r>
    </w:p>
    <w:p>
      <w:pPr>
        <w:spacing w:after="0" w:line="90" w:lineRule="exact"/>
        <w:rPr>
          <w:sz w:val="20"/>
          <w:szCs w:val="20"/>
          <w:color w:val="auto"/>
        </w:rPr>
      </w:pPr>
    </w:p>
    <w:p>
      <w:pPr>
        <w:ind w:right="900"/>
        <w:spacing w:after="0" w:line="261" w:lineRule="auto"/>
        <w:rPr>
          <w:sz w:val="20"/>
          <w:szCs w:val="20"/>
          <w:color w:val="auto"/>
        </w:rPr>
      </w:pPr>
      <w:r>
        <w:rPr>
          <w:rFonts w:ascii="Times New Roman" w:cs="Times New Roman" w:eastAsia="Times New Roman" w:hAnsi="Times New Roman"/>
          <w:sz w:val="13"/>
          <w:szCs w:val="13"/>
          <w:color w:val="auto"/>
        </w:rPr>
        <w:t xml:space="preserve">Transactions with the Group Leadership Team and the Board of Directors </w:t>
      </w:r>
      <w:r>
        <w:rPr>
          <w:rFonts w:ascii="Times New Roman" w:cs="Times New Roman" w:eastAsia="Times New Roman" w:hAnsi="Times New Roman"/>
          <w:sz w:val="10"/>
          <w:szCs w:val="10"/>
          <w:color w:val="0D0D0D"/>
        </w:rPr>
        <w:t xml:space="preserve">No </w:t>
      </w:r>
      <w:r>
        <w:rPr>
          <w:rFonts w:ascii="Times New Roman" w:cs="Times New Roman" w:eastAsia="Times New Roman" w:hAnsi="Times New Roman"/>
          <w:sz w:val="11"/>
          <w:szCs w:val="11"/>
          <w:color w:val="000000"/>
        </w:rPr>
        <w:t>loans were granted to the members of the Group Leadership Team and the Board of</w:t>
      </w:r>
    </w:p>
    <w:p>
      <w:pPr>
        <w:ind w:right="340"/>
        <w:spacing w:after="0" w:line="286" w:lineRule="auto"/>
        <w:rPr>
          <w:sz w:val="20"/>
          <w:szCs w:val="20"/>
          <w:color w:val="auto"/>
        </w:rPr>
      </w:pPr>
      <w:r>
        <w:rPr>
          <w:rFonts w:ascii="Times New Roman" w:cs="Times New Roman" w:eastAsia="Times New Roman" w:hAnsi="Times New Roman"/>
          <w:sz w:val="11"/>
          <w:szCs w:val="11"/>
          <w:color w:val="auto"/>
        </w:rPr>
        <w:t>Directors in 2023 , 2022 or 2021 . For information on remuneration of Nokia’s key management personnel, refer to Note 3.2. Remuneration of key management .</w:t>
      </w:r>
    </w:p>
    <w:p>
      <w:pPr>
        <w:sectPr>
          <w:pgSz w:w="11900" w:h="16838" w:orient="portrait"/>
          <w:cols w:equalWidth="0" w:num="2">
            <w:col w:w="4940" w:space="160"/>
            <w:col w:w="4880"/>
          </w:cols>
          <w:pgMar w:left="960" w:top="410" w:right="959" w:bottom="1440" w:gutter="0" w:footer="0" w:header="0"/>
          <w:type w:val="continuous"/>
        </w:sectPr>
      </w:pPr>
    </w:p>
    <w:bookmarkStart w:id="211" w:name="page212"/>
    <w:bookmarkEnd w:id="211"/>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r>
      <w:tr>
        <w:trPr>
          <w:trHeight w:val="122"/>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940" w:type="dxa"/>
            <w:vAlign w:val="bottom"/>
          </w:tcPr>
          <w:p>
            <w:pPr>
              <w:ind w:left="500"/>
              <w:spacing w:after="0"/>
              <w:rPr>
                <w:sz w:val="20"/>
                <w:szCs w:val="20"/>
                <w:color w:val="auto"/>
              </w:rPr>
            </w:pPr>
            <w:r>
              <w:rPr>
                <w:rFonts w:ascii="Times New Roman" w:cs="Times New Roman" w:eastAsia="Times New Roman" w:hAnsi="Times New Roman"/>
                <w:sz w:val="9"/>
                <w:szCs w:val="9"/>
                <w:color w:val="auto"/>
                <w:w w:val="98"/>
              </w:rPr>
              <w:t>information</w:t>
            </w:r>
          </w:p>
        </w:tc>
      </w:tr>
      <w:tr>
        <w:trPr>
          <w:trHeight w:val="53"/>
        </w:trPr>
        <w:tc>
          <w:tcPr>
            <w:tcW w:w="620" w:type="dxa"/>
            <w:vAlign w:val="bottom"/>
          </w:tcPr>
          <w:p>
            <w:pPr>
              <w:spacing w:after="0"/>
              <w:rPr>
                <w:sz w:val="4"/>
                <w:szCs w:val="4"/>
                <w:color w:val="auto"/>
              </w:rPr>
            </w:pPr>
          </w:p>
        </w:tc>
        <w:tc>
          <w:tcPr>
            <w:tcW w:w="1020" w:type="dxa"/>
            <w:vAlign w:val="bottom"/>
          </w:tcPr>
          <w:p>
            <w:pPr>
              <w:spacing w:after="0"/>
              <w:rPr>
                <w:sz w:val="4"/>
                <w:szCs w:val="4"/>
                <w:color w:val="auto"/>
              </w:rPr>
            </w:pPr>
          </w:p>
        </w:tc>
        <w:tc>
          <w:tcPr>
            <w:tcW w:w="1460" w:type="dxa"/>
            <w:vAlign w:val="bottom"/>
          </w:tcPr>
          <w:p>
            <w:pPr>
              <w:spacing w:after="0"/>
              <w:rPr>
                <w:sz w:val="4"/>
                <w:szCs w:val="4"/>
                <w:color w:val="auto"/>
              </w:rPr>
            </w:pPr>
          </w:p>
        </w:tc>
        <w:tc>
          <w:tcPr>
            <w:tcW w:w="1340" w:type="dxa"/>
            <w:vAlign w:val="bottom"/>
          </w:tcPr>
          <w:p>
            <w:pPr>
              <w:spacing w:after="0"/>
              <w:rPr>
                <w:sz w:val="4"/>
                <w:szCs w:val="4"/>
                <w:color w:val="auto"/>
              </w:rPr>
            </w:pPr>
          </w:p>
        </w:tc>
        <w:tc>
          <w:tcPr>
            <w:tcW w:w="540" w:type="dxa"/>
            <w:vAlign w:val="bottom"/>
            <w:tcBorders>
              <w:bottom w:val="single" w:sz="8" w:color="005AFF"/>
            </w:tcBorders>
          </w:tcPr>
          <w:p>
            <w:pPr>
              <w:spacing w:after="0"/>
              <w:rPr>
                <w:sz w:val="4"/>
                <w:szCs w:val="4"/>
                <w:color w:val="auto"/>
              </w:rPr>
            </w:pPr>
          </w:p>
        </w:tc>
        <w:tc>
          <w:tcPr>
            <w:tcW w:w="940" w:type="dxa"/>
            <w:vAlign w:val="bottom"/>
          </w:tcPr>
          <w:p>
            <w:pPr>
              <w:spacing w:after="0"/>
              <w:rPr>
                <w:sz w:val="4"/>
                <w:szCs w:val="4"/>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Reports of independent registered public accounting firm</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2"/>
          <w:szCs w:val="12"/>
          <w:color w:val="auto"/>
        </w:rPr>
        <w:t>204</w:t>
      </w:r>
    </w:p>
    <w:p>
      <w:pPr>
        <w:spacing w:after="0" w:line="614" w:lineRule="exact"/>
        <w:rPr>
          <w:sz w:val="20"/>
          <w:szCs w:val="20"/>
          <w:color w:val="auto"/>
        </w:rPr>
      </w:pPr>
    </w:p>
    <w:p>
      <w:pPr>
        <w:sectPr>
          <w:pgSz w:w="11900" w:h="16838" w:orient="portrait"/>
          <w:cols w:equalWidth="0" w:num="2">
            <w:col w:w="9080" w:space="720"/>
            <w:col w:w="180"/>
          </w:cols>
          <w:pgMar w:left="960" w:top="410" w:right="959" w:bottom="1440" w:gutter="0" w:footer="0" w:header="0"/>
        </w:sectPr>
      </w:pPr>
    </w:p>
    <w:p>
      <w:pPr>
        <w:spacing w:after="0" w:line="118" w:lineRule="exact"/>
        <w:rPr>
          <w:sz w:val="20"/>
          <w:szCs w:val="20"/>
          <w:color w:val="auto"/>
        </w:rPr>
      </w:pPr>
    </w:p>
    <w:p>
      <w:pPr>
        <w:ind w:right="340"/>
        <w:spacing w:after="0" w:line="275" w:lineRule="auto"/>
        <w:rPr>
          <w:sz w:val="20"/>
          <w:szCs w:val="20"/>
          <w:color w:val="auto"/>
        </w:rPr>
      </w:pPr>
      <w:r>
        <w:rPr>
          <w:rFonts w:ascii="Times New Roman" w:cs="Times New Roman" w:eastAsia="Times New Roman" w:hAnsi="Times New Roman"/>
          <w:sz w:val="16"/>
          <w:szCs w:val="16"/>
          <w:color w:val="005AFF"/>
        </w:rPr>
        <w:t>Report of independent registered public accounting firm</w:t>
      </w:r>
    </w:p>
    <w:p>
      <w:pPr>
        <w:spacing w:after="0" w:line="1" w:lineRule="exact"/>
        <w:rPr>
          <w:sz w:val="20"/>
          <w:szCs w:val="20"/>
          <w:color w:val="auto"/>
        </w:rPr>
      </w:pPr>
    </w:p>
    <w:p>
      <w:pPr>
        <w:ind w:right="340"/>
        <w:spacing w:after="0" w:line="290" w:lineRule="auto"/>
        <w:rPr>
          <w:sz w:val="20"/>
          <w:szCs w:val="20"/>
          <w:color w:val="auto"/>
        </w:rPr>
      </w:pPr>
      <w:r>
        <w:rPr>
          <w:rFonts w:ascii="Times New Roman" w:cs="Times New Roman" w:eastAsia="Times New Roman" w:hAnsi="Times New Roman"/>
          <w:sz w:val="11"/>
          <w:szCs w:val="11"/>
          <w:color w:val="auto"/>
        </w:rPr>
        <w:t>To the shareholders and the Board of Directors of Nokia Corporation.</w:t>
      </w:r>
    </w:p>
    <w:p>
      <w:pPr>
        <w:spacing w:after="0" w:line="4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Opinion on the Financial Statements</w:t>
      </w:r>
    </w:p>
    <w:p>
      <w:pPr>
        <w:spacing w:after="0" w:line="32" w:lineRule="exact"/>
        <w:rPr>
          <w:sz w:val="20"/>
          <w:szCs w:val="20"/>
          <w:color w:val="auto"/>
        </w:rPr>
      </w:pPr>
    </w:p>
    <w:p>
      <w:pPr>
        <w:ind w:right="80"/>
        <w:spacing w:after="0" w:line="264" w:lineRule="auto"/>
        <w:rPr>
          <w:sz w:val="20"/>
          <w:szCs w:val="20"/>
          <w:color w:val="auto"/>
        </w:rPr>
      </w:pPr>
      <w:r>
        <w:rPr>
          <w:rFonts w:ascii="Times New Roman" w:cs="Times New Roman" w:eastAsia="Times New Roman" w:hAnsi="Times New Roman"/>
          <w:sz w:val="11"/>
          <w:szCs w:val="11"/>
          <w:color w:val="auto"/>
        </w:rPr>
        <w:t>We have audited the accompanying consolidated statements of financial position of Nokia Corporation and subsidiaries (the "Company") as of December 31, 2023 and 2022, and the related consolidated income statements, consolidated statements of comprehensive income, consolidated statements of changes in shareholders’ equity and consolidated statements of cash flows for each of the three years in the period ended December 31, 2023, and the related notes (collectively referred to as the "financial statements"). In our opinion, the financial statements present fairly, in all material respects, the financial position of the Company as of December 31, 2023 and 2022, and the results of its operations and its cash flows for each of the three years in the period ended December 31, 2023, in conformity with International Financial Reporting Standards as issued by the International Accounting Standards Board and International Financial Reporting Standards as adopted by the European Union.</w:t>
      </w:r>
    </w:p>
    <w:p>
      <w:pPr>
        <w:spacing w:after="0" w:line="52" w:lineRule="exact"/>
        <w:rPr>
          <w:sz w:val="20"/>
          <w:szCs w:val="20"/>
          <w:color w:val="auto"/>
        </w:rPr>
      </w:pPr>
    </w:p>
    <w:p>
      <w:pPr>
        <w:spacing w:after="0" w:line="266" w:lineRule="auto"/>
        <w:rPr>
          <w:sz w:val="20"/>
          <w:szCs w:val="20"/>
          <w:color w:val="auto"/>
        </w:rPr>
      </w:pPr>
      <w:r>
        <w:rPr>
          <w:rFonts w:ascii="Times New Roman" w:cs="Times New Roman" w:eastAsia="Times New Roman" w:hAnsi="Times New Roman"/>
          <w:sz w:val="11"/>
          <w:szCs w:val="11"/>
          <w:color w:val="auto"/>
        </w:rPr>
        <w:t>We have also audited, in accordance with the standards of the Public Company Accounting Oversight Board (United States) (PCAOB), the Company's internal control over financial reporting as of December 31, 2023, based on criteria established in Internal Control — Integrated Framework (2013) issued by the Committee of Sponsoring Organizations of the Treadway Commission and our report dated 29 February 2024, expressed an unqualified opinion on the Company's internal control over financial reporting.</w:t>
      </w:r>
    </w:p>
    <w:p>
      <w:pPr>
        <w:spacing w:after="0" w:line="63"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Basis for Opinion</w:t>
      </w:r>
    </w:p>
    <w:p>
      <w:pPr>
        <w:spacing w:after="0" w:line="32" w:lineRule="exact"/>
        <w:rPr>
          <w:sz w:val="20"/>
          <w:szCs w:val="20"/>
          <w:color w:val="auto"/>
        </w:rPr>
      </w:pPr>
    </w:p>
    <w:p>
      <w:pPr>
        <w:ind w:right="40"/>
        <w:spacing w:after="0" w:line="266" w:lineRule="auto"/>
        <w:rPr>
          <w:sz w:val="20"/>
          <w:szCs w:val="20"/>
          <w:color w:val="auto"/>
        </w:rPr>
      </w:pPr>
      <w:r>
        <w:rPr>
          <w:rFonts w:ascii="Times New Roman" w:cs="Times New Roman" w:eastAsia="Times New Roman" w:hAnsi="Times New Roman"/>
          <w:sz w:val="11"/>
          <w:szCs w:val="11"/>
          <w:color w:val="auto"/>
        </w:rPr>
        <w:t>These financial statements are the responsibility of the Company's management. Our responsibility is to express an opinion on the Company's financial statements based on our audits. We are a public accounting firm registered with the PCAOB and are required to be independent with respect to the Company in accordance with the U.S. federal securities laws and the applicable rules and regulations of the Securities and Exchange Commission and the PCAOB.</w:t>
      </w:r>
    </w:p>
    <w:p>
      <w:pPr>
        <w:spacing w:after="0" w:line="200" w:lineRule="exact"/>
        <w:rPr>
          <w:sz w:val="20"/>
          <w:szCs w:val="20"/>
          <w:color w:val="auto"/>
        </w:rPr>
      </w:pPr>
    </w:p>
    <w:p>
      <w:pPr>
        <w:spacing w:after="0" w:line="35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spacing w:after="0" w:line="269" w:lineRule="auto"/>
        <w:rPr>
          <w:sz w:val="20"/>
          <w:szCs w:val="20"/>
          <w:color w:val="auto"/>
        </w:rPr>
      </w:pPr>
      <w:r>
        <w:rPr>
          <w:rFonts w:ascii="Times New Roman" w:cs="Times New Roman" w:eastAsia="Times New Roman" w:hAnsi="Times New Roman"/>
          <w:sz w:val="11"/>
          <w:szCs w:val="11"/>
          <w:color w:val="auto"/>
        </w:rPr>
        <w:t>We conducted our audit in accordance with the standards of the PCAOB. Those standards require that we plan and perform the audit to obtain reasonable assurance about whether</w:t>
      </w:r>
    </w:p>
    <w:p>
      <w:pPr>
        <w:spacing w:after="0" w:line="1" w:lineRule="exact"/>
        <w:rPr>
          <w:sz w:val="20"/>
          <w:szCs w:val="20"/>
          <w:color w:val="auto"/>
        </w:rPr>
      </w:pPr>
    </w:p>
    <w:p>
      <w:pPr>
        <w:ind w:right="40"/>
        <w:spacing w:after="0" w:line="261" w:lineRule="auto"/>
        <w:rPr>
          <w:sz w:val="20"/>
          <w:szCs w:val="20"/>
          <w:color w:val="auto"/>
        </w:rPr>
      </w:pPr>
      <w:r>
        <w:rPr>
          <w:rFonts w:ascii="Times New Roman" w:cs="Times New Roman" w:eastAsia="Times New Roman" w:hAnsi="Times New Roman"/>
          <w:sz w:val="11"/>
          <w:szCs w:val="11"/>
          <w:color w:val="auto"/>
        </w:rPr>
        <w:t>the financial statements are free of material misstatement, whether due to error or fraud. Our audits included performing procedures to assess the risks of material misstatement of the financial statements, whether due to error or fraud,</w:t>
      </w:r>
    </w:p>
    <w:p>
      <w:pPr>
        <w:ind w:right="60"/>
        <w:spacing w:after="0" w:line="264" w:lineRule="auto"/>
        <w:rPr>
          <w:sz w:val="20"/>
          <w:szCs w:val="20"/>
          <w:color w:val="auto"/>
        </w:rPr>
      </w:pPr>
      <w:r>
        <w:rPr>
          <w:rFonts w:ascii="Times New Roman" w:cs="Times New Roman" w:eastAsia="Times New Roman" w:hAnsi="Times New Roman"/>
          <w:sz w:val="11"/>
          <w:szCs w:val="11"/>
          <w:color w:val="auto"/>
        </w:rPr>
        <w:t>and performing procedures that respond to those risks. Such procedures included examining, on a test basis, evidence regarding the amounts and disclosures in the financial statements. Our audits also included evaluating the accounting principles used and significant estimates made by management, as well as evaluating the overall presentation of the financial statements. We believe that our audits provide a reasonable basis for our opinion.</w:t>
      </w:r>
    </w:p>
    <w:p>
      <w:pPr>
        <w:spacing w:after="0" w:line="5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Critical Audit Matters</w:t>
      </w:r>
    </w:p>
    <w:p>
      <w:pPr>
        <w:spacing w:after="0" w:line="32"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The critical audit matters communicated below are matters arising from the current-period audit of the financial statements that were communicated or required to be communicated to the audit committee and that (1) relate to accounts or disclosures that are material to the financial statements and (2) involved especially challenging, subjective, or complex judgments. The communication of critical</w:t>
      </w:r>
    </w:p>
    <w:p>
      <w:pPr>
        <w:spacing w:after="0" w:line="3" w:lineRule="exact"/>
        <w:rPr>
          <w:sz w:val="20"/>
          <w:szCs w:val="20"/>
          <w:color w:val="auto"/>
        </w:rPr>
      </w:pPr>
    </w:p>
    <w:p>
      <w:pPr>
        <w:ind w:right="220"/>
        <w:spacing w:after="0" w:line="266" w:lineRule="auto"/>
        <w:rPr>
          <w:sz w:val="20"/>
          <w:szCs w:val="20"/>
          <w:color w:val="auto"/>
        </w:rPr>
      </w:pPr>
      <w:r>
        <w:rPr>
          <w:rFonts w:ascii="Times New Roman" w:cs="Times New Roman" w:eastAsia="Times New Roman" w:hAnsi="Times New Roman"/>
          <w:sz w:val="11"/>
          <w:szCs w:val="11"/>
          <w:color w:val="auto"/>
        </w:rPr>
        <w:t>audit matters does not alter in any way our opinion on the financial statements, taken as a whole, and we are not, by communicating the critical audit matters below, providing separate opinions on the critical audit matters or on the accounts or disclosures to which they relate.</w:t>
      </w:r>
    </w:p>
    <w:p>
      <w:pPr>
        <w:spacing w:after="0" w:line="61" w:lineRule="exact"/>
        <w:rPr>
          <w:sz w:val="20"/>
          <w:szCs w:val="20"/>
          <w:color w:val="auto"/>
        </w:rPr>
      </w:pPr>
    </w:p>
    <w:p>
      <w:pPr>
        <w:jc w:val="both"/>
        <w:ind w:right="200"/>
        <w:spacing w:after="0" w:line="269" w:lineRule="auto"/>
        <w:rPr>
          <w:sz w:val="20"/>
          <w:szCs w:val="20"/>
          <w:color w:val="auto"/>
        </w:rPr>
      </w:pPr>
      <w:r>
        <w:rPr>
          <w:rFonts w:ascii="Times New Roman" w:cs="Times New Roman" w:eastAsia="Times New Roman" w:hAnsi="Times New Roman"/>
          <w:sz w:val="13"/>
          <w:szCs w:val="13"/>
          <w:color w:val="auto"/>
        </w:rPr>
        <w:t>Revenue recognition – Accounting for significant and complex contracts – Refer to Note 2.1 to the financial statements</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Critical Audit Matter Description</w:t>
      </w:r>
    </w:p>
    <w:p>
      <w:pPr>
        <w:spacing w:after="0" w:line="19" w:lineRule="exact"/>
        <w:rPr>
          <w:sz w:val="20"/>
          <w:szCs w:val="20"/>
          <w:color w:val="auto"/>
        </w:rPr>
      </w:pPr>
    </w:p>
    <w:p>
      <w:pPr>
        <w:spacing w:after="0" w:line="260" w:lineRule="auto"/>
        <w:rPr>
          <w:sz w:val="20"/>
          <w:szCs w:val="20"/>
          <w:color w:val="auto"/>
        </w:rPr>
      </w:pPr>
      <w:r>
        <w:rPr>
          <w:rFonts w:ascii="Times New Roman" w:cs="Times New Roman" w:eastAsia="Times New Roman" w:hAnsi="Times New Roman"/>
          <w:sz w:val="11"/>
          <w:szCs w:val="11"/>
          <w:color w:val="auto"/>
        </w:rPr>
        <w:t>The Company recognises revenue in accordance with International Financial Reporting Standard 15 Revenue from Contracts with Customers. Certain contracts that the Company enters into are particularly significant in value and contain highly complex terms and conditions which impact revenue recognition. Such complexities include the determination</w:t>
      </w:r>
    </w:p>
    <w:p>
      <w:pPr>
        <w:spacing w:after="0" w:line="2" w:lineRule="exact"/>
        <w:rPr>
          <w:sz w:val="20"/>
          <w:szCs w:val="20"/>
          <w:color w:val="auto"/>
        </w:rPr>
      </w:pPr>
    </w:p>
    <w:p>
      <w:pPr>
        <w:ind w:right="180"/>
        <w:spacing w:after="0" w:line="271" w:lineRule="auto"/>
        <w:rPr>
          <w:sz w:val="20"/>
          <w:szCs w:val="20"/>
          <w:color w:val="auto"/>
        </w:rPr>
      </w:pPr>
      <w:r>
        <w:rPr>
          <w:rFonts w:ascii="Times New Roman" w:cs="Times New Roman" w:eastAsia="Times New Roman" w:hAnsi="Times New Roman"/>
          <w:sz w:val="11"/>
          <w:szCs w:val="11"/>
          <w:color w:val="auto"/>
        </w:rPr>
        <w:t>of the standalone selling price, combination of contracts assessments, accounting for contractual discounts and subsequent modifications or other factors occurring during the contract period that may impact revenue recognition.</w:t>
      </w:r>
    </w:p>
    <w:p>
      <w:pPr>
        <w:spacing w:after="0" w:line="20" w:lineRule="exact"/>
        <w:rPr>
          <w:sz w:val="20"/>
          <w:szCs w:val="20"/>
          <w:color w:val="auto"/>
        </w:rPr>
      </w:pPr>
      <w:r>
        <w:rPr>
          <w:sz w:val="20"/>
          <w:szCs w:val="20"/>
          <w:color w:val="auto"/>
        </w:rPr>
        <w:br w:type="column"/>
      </w:r>
    </w:p>
    <w:p>
      <w:pPr>
        <w:spacing w:after="0" w:line="106" w:lineRule="exact"/>
        <w:rPr>
          <w:sz w:val="20"/>
          <w:szCs w:val="20"/>
          <w:color w:val="auto"/>
        </w:rPr>
      </w:pPr>
    </w:p>
    <w:p>
      <w:pPr>
        <w:ind w:right="460"/>
        <w:spacing w:after="0" w:line="269" w:lineRule="auto"/>
        <w:rPr>
          <w:sz w:val="20"/>
          <w:szCs w:val="20"/>
          <w:color w:val="auto"/>
        </w:rPr>
      </w:pPr>
      <w:r>
        <w:rPr>
          <w:rFonts w:ascii="Times New Roman" w:cs="Times New Roman" w:eastAsia="Times New Roman" w:hAnsi="Times New Roman"/>
          <w:sz w:val="11"/>
          <w:szCs w:val="11"/>
          <w:color w:val="auto"/>
        </w:rPr>
        <w:t>Given the level of complexity and management judgement involved in the accounting for significant and complex contracts, performing audit procedures to evaluate the reasonableness of these accounting judgements required a high degree of auditor judgement, and there was significant audit effort in obtaining sufficient audit evidence.</w:t>
      </w:r>
    </w:p>
    <w:p>
      <w:pPr>
        <w:spacing w:after="0" w:line="58"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How the Critical Audit Matter Was Addressed in the Audit</w:t>
      </w:r>
    </w:p>
    <w:p>
      <w:pPr>
        <w:spacing w:after="0" w:line="24" w:lineRule="exact"/>
        <w:rPr>
          <w:sz w:val="20"/>
          <w:szCs w:val="20"/>
          <w:color w:val="auto"/>
        </w:rPr>
      </w:pPr>
    </w:p>
    <w:p>
      <w:pPr>
        <w:ind w:right="340"/>
        <w:spacing w:after="0" w:line="273" w:lineRule="auto"/>
        <w:rPr>
          <w:sz w:val="20"/>
          <w:szCs w:val="20"/>
          <w:color w:val="auto"/>
        </w:rPr>
      </w:pPr>
      <w:r>
        <w:rPr>
          <w:rFonts w:ascii="Times New Roman" w:cs="Times New Roman" w:eastAsia="Times New Roman" w:hAnsi="Times New Roman"/>
          <w:sz w:val="11"/>
          <w:szCs w:val="11"/>
          <w:color w:val="auto"/>
        </w:rPr>
        <w:t>Our audit procedures related to the determination of the appropriateness of the accounting for significant and complex contracts included the following, among others:</w:t>
      </w:r>
    </w:p>
    <w:p>
      <w:pPr>
        <w:spacing w:after="0" w:line="47" w:lineRule="exact"/>
        <w:rPr>
          <w:sz w:val="20"/>
          <w:szCs w:val="20"/>
          <w:color w:val="auto"/>
        </w:rPr>
      </w:pPr>
    </w:p>
    <w:p>
      <w:pPr>
        <w:jc w:val="both"/>
        <w:ind w:left="180" w:right="380" w:hanging="169"/>
        <w:spacing w:after="0" w:line="275"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assessed management’s accounting policy in relation to the areas of complexity identified in all significant and complex contracts to determine compliance of the policy with IFRS 15;</w:t>
      </w:r>
    </w:p>
    <w:p>
      <w:pPr>
        <w:spacing w:after="0" w:line="57" w:lineRule="exact"/>
        <w:rPr>
          <w:rFonts w:ascii="Times New Roman" w:cs="Times New Roman" w:eastAsia="Times New Roman" w:hAnsi="Times New Roman"/>
          <w:sz w:val="11"/>
          <w:szCs w:val="11"/>
          <w:color w:val="005AFF"/>
        </w:rPr>
      </w:pPr>
    </w:p>
    <w:p>
      <w:pPr>
        <w:ind w:left="180" w:right="200" w:hanging="169"/>
        <w:spacing w:after="0" w:line="275"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tested the effectiveness of controls over revenue recognition of significant and complex contracts, specifically focusing on controls relating to the areas of accounting complexity;</w:t>
      </w:r>
    </w:p>
    <w:p>
      <w:pPr>
        <w:spacing w:after="0" w:line="47" w:lineRule="exact"/>
        <w:rPr>
          <w:rFonts w:ascii="Times New Roman" w:cs="Times New Roman" w:eastAsia="Times New Roman" w:hAnsi="Times New Roman"/>
          <w:sz w:val="11"/>
          <w:szCs w:val="11"/>
          <w:color w:val="005AFF"/>
        </w:rPr>
      </w:pPr>
    </w:p>
    <w:p>
      <w:pPr>
        <w:ind w:left="180" w:right="440" w:hanging="169"/>
        <w:spacing w:after="0" w:line="309"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utilised data analytics to identify contracts that were significant in value and contained complexities;</w:t>
      </w:r>
    </w:p>
    <w:p>
      <w:pPr>
        <w:spacing w:after="0" w:line="28" w:lineRule="exact"/>
        <w:rPr>
          <w:rFonts w:ascii="Times New Roman" w:cs="Times New Roman" w:eastAsia="Times New Roman" w:hAnsi="Times New Roman"/>
          <w:sz w:val="11"/>
          <w:szCs w:val="11"/>
          <w:color w:val="005AFF"/>
        </w:rPr>
      </w:pPr>
    </w:p>
    <w:p>
      <w:pPr>
        <w:ind w:left="180" w:right="440" w:hanging="169"/>
        <w:spacing w:after="0" w:line="274"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analyzed the terms and conditions of significant and complex contracts entered into or modified during the current-period, inspected documentation of ongoing commercial discussions, and obtained supporting audit evidence;</w:t>
      </w:r>
    </w:p>
    <w:p>
      <w:pPr>
        <w:spacing w:after="0" w:line="46" w:lineRule="exact"/>
        <w:rPr>
          <w:rFonts w:ascii="Times New Roman" w:cs="Times New Roman" w:eastAsia="Times New Roman" w:hAnsi="Times New Roman"/>
          <w:sz w:val="11"/>
          <w:szCs w:val="11"/>
          <w:color w:val="005AFF"/>
        </w:rPr>
      </w:pPr>
    </w:p>
    <w:p>
      <w:pPr>
        <w:ind w:left="180" w:right="420" w:hanging="169"/>
        <w:spacing w:after="0" w:line="274"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made inquiries of senior management in the finance, operations and sales teams relevant to the significant and complex contracts, assessed financial reporting considerations related to those discussions and obtained supporting audit evidence;</w:t>
      </w:r>
    </w:p>
    <w:p>
      <w:pPr>
        <w:spacing w:after="0" w:line="46" w:lineRule="exact"/>
        <w:rPr>
          <w:rFonts w:ascii="Times New Roman" w:cs="Times New Roman" w:eastAsia="Times New Roman" w:hAnsi="Times New Roman"/>
          <w:sz w:val="11"/>
          <w:szCs w:val="11"/>
          <w:color w:val="005AFF"/>
        </w:rPr>
      </w:pPr>
    </w:p>
    <w:p>
      <w:pPr>
        <w:ind w:left="180" w:right="300" w:hanging="169"/>
        <w:spacing w:after="0" w:line="289" w:lineRule="auto"/>
        <w:tabs>
          <w:tab w:leader="none" w:pos="180" w:val="left"/>
        </w:tabs>
        <w:numPr>
          <w:ilvl w:val="0"/>
          <w:numId w:val="153"/>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assessed whether management’s conclusions, including determination of standalone selling price, were in compliance with IFRS 15.</w:t>
      </w:r>
    </w:p>
    <w:p>
      <w:pPr>
        <w:sectPr>
          <w:pgSz w:w="11900" w:h="16838" w:orient="portrait"/>
          <w:cols w:equalWidth="0" w:num="3">
            <w:col w:w="2920" w:space="480"/>
            <w:col w:w="2880" w:space="520"/>
            <w:col w:w="3180"/>
          </w:cols>
          <w:pgMar w:left="960" w:top="410" w:right="959" w:bottom="1440" w:gutter="0" w:footer="0" w:header="0"/>
          <w:type w:val="continuous"/>
        </w:sectPr>
      </w:pPr>
    </w:p>
    <w:bookmarkStart w:id="212" w:name="page213"/>
    <w:bookmarkEnd w:id="212"/>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205</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34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340" w:type="dxa"/>
            <w:vAlign w:val="bottom"/>
          </w:tcPr>
          <w:p>
            <w:pPr>
              <w:spacing w:after="0"/>
              <w:rPr>
                <w:sz w:val="3"/>
                <w:szCs w:val="3"/>
                <w:color w:val="auto"/>
              </w:rPr>
            </w:pP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Reports of independent registered public accounting firm</w:t>
      </w:r>
    </w:p>
    <w:p>
      <w:pPr>
        <w:spacing w:after="0" w:line="326" w:lineRule="exact"/>
        <w:rPr>
          <w:sz w:val="20"/>
          <w:szCs w:val="20"/>
          <w:color w:val="auto"/>
        </w:rPr>
      </w:pPr>
    </w:p>
    <w:p>
      <w:pPr>
        <w:ind w:right="80"/>
        <w:spacing w:after="0" w:line="274" w:lineRule="auto"/>
        <w:rPr>
          <w:sz w:val="20"/>
          <w:szCs w:val="20"/>
          <w:color w:val="auto"/>
        </w:rPr>
      </w:pPr>
      <w:r>
        <w:rPr>
          <w:rFonts w:ascii="Times New Roman" w:cs="Times New Roman" w:eastAsia="Times New Roman" w:hAnsi="Times New Roman"/>
          <w:sz w:val="13"/>
          <w:szCs w:val="13"/>
          <w:color w:val="auto"/>
        </w:rPr>
        <w:t>Valuation of Goodwill — Mobile Networks — Refer to Note 4.1 to the financial statements</w:t>
      </w:r>
    </w:p>
    <w:p>
      <w:pPr>
        <w:spacing w:after="0"/>
        <w:rPr>
          <w:sz w:val="20"/>
          <w:szCs w:val="20"/>
          <w:color w:val="auto"/>
        </w:rPr>
      </w:pPr>
      <w:r>
        <w:rPr>
          <w:rFonts w:ascii="Times New Roman" w:cs="Times New Roman" w:eastAsia="Times New Roman" w:hAnsi="Times New Roman"/>
          <w:sz w:val="11"/>
          <w:szCs w:val="11"/>
          <w:b w:val="1"/>
          <w:bCs w:val="1"/>
          <w:color w:val="auto"/>
        </w:rPr>
        <w:t>Critical Audit Matter Description</w:t>
      </w:r>
    </w:p>
    <w:p>
      <w:pPr>
        <w:spacing w:after="0" w:line="24" w:lineRule="exact"/>
        <w:rPr>
          <w:sz w:val="20"/>
          <w:szCs w:val="20"/>
          <w:color w:val="auto"/>
        </w:rPr>
      </w:pPr>
    </w:p>
    <w:p>
      <w:pPr>
        <w:ind w:right="120"/>
        <w:spacing w:after="0" w:line="263" w:lineRule="auto"/>
        <w:rPr>
          <w:sz w:val="20"/>
          <w:szCs w:val="20"/>
          <w:color w:val="auto"/>
        </w:rPr>
      </w:pPr>
      <w:r>
        <w:rPr>
          <w:rFonts w:ascii="Times New Roman" w:cs="Times New Roman" w:eastAsia="Times New Roman" w:hAnsi="Times New Roman"/>
          <w:sz w:val="11"/>
          <w:szCs w:val="11"/>
          <w:color w:val="auto"/>
        </w:rPr>
        <w:t>The Company’s evaluation of goodwill for impairment involves the comparison of the recoverable amount of each applicable cash generating unit (“CGU”), or group of CGUs, to its carrying value on at least an annual basis, in line with International Accounting Standard 36 Impairment of Assets. The goodwill balance allocated to Mobile Networks (“MN”) is €2,228 million as of 31 December 2023 and is included in the total goodwill balance of €5,504 million. The Company based the recoverable amount on the value in use, which uses a discounted cash flow model.</w:t>
      </w:r>
    </w:p>
    <w:p>
      <w:pPr>
        <w:spacing w:after="0" w:line="202" w:lineRule="exact"/>
        <w:rPr>
          <w:sz w:val="20"/>
          <w:szCs w:val="20"/>
          <w:color w:val="auto"/>
        </w:rPr>
      </w:pPr>
    </w:p>
    <w:p>
      <w:pPr>
        <w:ind w:right="120"/>
        <w:spacing w:after="0" w:line="265" w:lineRule="auto"/>
        <w:rPr>
          <w:sz w:val="20"/>
          <w:szCs w:val="20"/>
          <w:color w:val="auto"/>
        </w:rPr>
      </w:pPr>
      <w:r>
        <w:rPr>
          <w:rFonts w:ascii="Times New Roman" w:cs="Times New Roman" w:eastAsia="Times New Roman" w:hAnsi="Times New Roman"/>
          <w:sz w:val="11"/>
          <w:szCs w:val="11"/>
          <w:color w:val="auto"/>
        </w:rPr>
        <w:t>Management’s discounted future cash flow model consists of an explicit three-year long-range forecast and seven additional years of cash flow projections to a terminal year. We identified the valuation of MN’s goodwill as a critical audit matter because of the significant estimates and assumptions management made in the value in use calculation related to future revenues, future expenses and cost savings. Auditing the significant judgements and assumptions management made to estimate the recoverable amount of MN required a high degree of auditor judgement and increased audit effort, including the need to involve our valuation specialists.</w:t>
      </w:r>
    </w:p>
    <w:p>
      <w:pPr>
        <w:spacing w:after="0" w:line="60" w:lineRule="exact"/>
        <w:rPr>
          <w:sz w:val="20"/>
          <w:szCs w:val="20"/>
          <w:color w:val="auto"/>
        </w:rPr>
      </w:pPr>
    </w:p>
    <w:p>
      <w:pPr>
        <w:ind w:right="140"/>
        <w:spacing w:after="0" w:line="269" w:lineRule="auto"/>
        <w:rPr>
          <w:sz w:val="20"/>
          <w:szCs w:val="20"/>
          <w:color w:val="auto"/>
        </w:rPr>
      </w:pPr>
      <w:r>
        <w:rPr>
          <w:rFonts w:ascii="Times New Roman" w:cs="Times New Roman" w:eastAsia="Times New Roman" w:hAnsi="Times New Roman"/>
          <w:sz w:val="11"/>
          <w:szCs w:val="11"/>
          <w:b w:val="1"/>
          <w:bCs w:val="1"/>
          <w:color w:val="auto"/>
        </w:rPr>
        <w:t xml:space="preserve">How the Critical Audit Matter Was Addressed in the Audit </w:t>
      </w:r>
      <w:r>
        <w:rPr>
          <w:rFonts w:ascii="Times New Roman" w:cs="Times New Roman" w:eastAsia="Times New Roman" w:hAnsi="Times New Roman"/>
          <w:sz w:val="11"/>
          <w:szCs w:val="11"/>
          <w:color w:val="auto"/>
        </w:rPr>
        <w:t>Our audit procedures related to the determination of the appropriateness of management assumptions in relation to future revenue forecasts and future expenses in the MN cashflows utilized in impairment testing included the following, among others:</w:t>
      </w:r>
    </w:p>
    <w:p>
      <w:pPr>
        <w:spacing w:after="0" w:line="51" w:lineRule="exact"/>
        <w:rPr>
          <w:sz w:val="20"/>
          <w:szCs w:val="20"/>
          <w:color w:val="auto"/>
        </w:rPr>
      </w:pPr>
    </w:p>
    <w:p>
      <w:pPr>
        <w:ind w:left="180" w:right="220" w:hanging="171"/>
        <w:spacing w:after="0" w:line="275" w:lineRule="auto"/>
        <w:tabs>
          <w:tab w:leader="none" w:pos="180" w:val="left"/>
        </w:tabs>
        <w:numPr>
          <w:ilvl w:val="0"/>
          <w:numId w:val="15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tested the operating effectiveness of the Company’s controls over goodwill impairment evaluation, specifically focusing on controls related to the determination of the recoverable amount, as well as controls over forecasting;</w:t>
      </w:r>
    </w:p>
    <w:p>
      <w:pPr>
        <w:spacing w:after="0" w:line="57" w:lineRule="exact"/>
        <w:rPr>
          <w:rFonts w:ascii="Times New Roman" w:cs="Times New Roman" w:eastAsia="Times New Roman" w:hAnsi="Times New Roman"/>
          <w:sz w:val="11"/>
          <w:szCs w:val="11"/>
          <w:color w:val="005AFF"/>
        </w:rPr>
      </w:pPr>
    </w:p>
    <w:p>
      <w:pPr>
        <w:ind w:left="180" w:right="120" w:hanging="171"/>
        <w:spacing w:after="0" w:line="269" w:lineRule="auto"/>
        <w:tabs>
          <w:tab w:leader="none" w:pos="180" w:val="left"/>
        </w:tabs>
        <w:numPr>
          <w:ilvl w:val="0"/>
          <w:numId w:val="15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held discussions with key members of management to understand how the MN forecast, including key assumptions around future revenues, future expenses, and the impact of cost savings were derived;</w:t>
      </w:r>
    </w:p>
    <w:p>
      <w:pPr>
        <w:spacing w:after="0" w:line="59" w:lineRule="exact"/>
        <w:rPr>
          <w:rFonts w:ascii="Times New Roman" w:cs="Times New Roman" w:eastAsia="Times New Roman" w:hAnsi="Times New Roman"/>
          <w:sz w:val="11"/>
          <w:szCs w:val="11"/>
          <w:color w:val="005AFF"/>
        </w:rPr>
      </w:pPr>
    </w:p>
    <w:p>
      <w:pPr>
        <w:ind w:left="180" w:right="340" w:hanging="171"/>
        <w:spacing w:after="0" w:line="279" w:lineRule="auto"/>
        <w:tabs>
          <w:tab w:leader="none" w:pos="180" w:val="left"/>
        </w:tabs>
        <w:numPr>
          <w:ilvl w:val="0"/>
          <w:numId w:val="154"/>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utilised our valuation specialists to review valuation assumptions, and challenge certain estimates and judgments used in deriving the value in use of MN;</w:t>
      </w:r>
    </w:p>
    <w:p>
      <w:pPr>
        <w:spacing w:after="0" w:line="200" w:lineRule="exact"/>
        <w:rPr>
          <w:sz w:val="20"/>
          <w:szCs w:val="20"/>
          <w:color w:val="auto"/>
        </w:rPr>
      </w:pPr>
    </w:p>
    <w:p>
      <w:pPr>
        <w:spacing w:after="0" w:line="2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7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continued</w:t>
      </w:r>
    </w:p>
    <w:p>
      <w:pPr>
        <w:spacing w:after="0" w:line="326" w:lineRule="exact"/>
        <w:rPr>
          <w:sz w:val="20"/>
          <w:szCs w:val="20"/>
          <w:color w:val="auto"/>
        </w:rPr>
      </w:pPr>
    </w:p>
    <w:p>
      <w:pPr>
        <w:ind w:left="320" w:right="3720" w:hanging="170"/>
        <w:spacing w:after="0" w:line="275" w:lineRule="auto"/>
        <w:tabs>
          <w:tab w:leader="none" w:pos="320" w:val="left"/>
        </w:tabs>
        <w:numPr>
          <w:ilvl w:val="0"/>
          <w:numId w:val="15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challenged net sales, operating expenses and operating margin assumptions by comparing to (1) historical and forecasted peer company data, (2) historical actual results, and (3) prior period internal forecasts;</w:t>
      </w:r>
    </w:p>
    <w:p>
      <w:pPr>
        <w:spacing w:after="0" w:line="57" w:lineRule="exact"/>
        <w:rPr>
          <w:rFonts w:ascii="Times New Roman" w:cs="Times New Roman" w:eastAsia="Times New Roman" w:hAnsi="Times New Roman"/>
          <w:sz w:val="11"/>
          <w:szCs w:val="11"/>
          <w:color w:val="005AFF"/>
        </w:rPr>
      </w:pPr>
    </w:p>
    <w:p>
      <w:pPr>
        <w:ind w:left="320" w:right="3920" w:hanging="170"/>
        <w:spacing w:after="0" w:line="279" w:lineRule="auto"/>
        <w:tabs>
          <w:tab w:leader="none" w:pos="320" w:val="left"/>
        </w:tabs>
        <w:numPr>
          <w:ilvl w:val="0"/>
          <w:numId w:val="15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read analyst reports to identify supporting or contradictory information in relation to management’s revenue and operating profit assumptions; and</w:t>
      </w:r>
    </w:p>
    <w:p>
      <w:pPr>
        <w:spacing w:after="0" w:line="54" w:lineRule="exact"/>
        <w:rPr>
          <w:rFonts w:ascii="Times New Roman" w:cs="Times New Roman" w:eastAsia="Times New Roman" w:hAnsi="Times New Roman"/>
          <w:sz w:val="11"/>
          <w:szCs w:val="11"/>
          <w:color w:val="005AFF"/>
        </w:rPr>
      </w:pPr>
    </w:p>
    <w:p>
      <w:pPr>
        <w:ind w:left="320" w:right="3780" w:hanging="170"/>
        <w:spacing w:after="0" w:line="290" w:lineRule="auto"/>
        <w:tabs>
          <w:tab w:leader="none" w:pos="320" w:val="left"/>
        </w:tabs>
        <w:numPr>
          <w:ilvl w:val="0"/>
          <w:numId w:val="155"/>
        </w:numPr>
        <w:rPr>
          <w:rFonts w:ascii="Times New Roman" w:cs="Times New Roman" w:eastAsia="Times New Roman" w:hAnsi="Times New Roman"/>
          <w:sz w:val="11"/>
          <w:szCs w:val="11"/>
          <w:color w:val="005AFF"/>
        </w:rPr>
      </w:pPr>
      <w:r>
        <w:rPr>
          <w:rFonts w:ascii="Times New Roman" w:cs="Times New Roman" w:eastAsia="Times New Roman" w:hAnsi="Times New Roman"/>
          <w:sz w:val="11"/>
          <w:szCs w:val="11"/>
          <w:color w:val="auto"/>
        </w:rPr>
        <w:t>We evaluated the adequacy of the Company's disclosures against the requirements of IAS 36.</w:t>
      </w:r>
    </w:p>
    <w:p>
      <w:pPr>
        <w:spacing w:after="0" w:line="48"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3"/>
          <w:szCs w:val="13"/>
          <w:color w:val="auto"/>
        </w:rPr>
        <w:t>Deloitte  Oy</w:t>
      </w:r>
    </w:p>
    <w:p>
      <w:pPr>
        <w:spacing w:after="0" w:line="32"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Helsinki, Finland</w:t>
      </w:r>
    </w:p>
    <w:p>
      <w:pPr>
        <w:spacing w:after="0" w:line="17"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29 February 2024</w:t>
      </w:r>
    </w:p>
    <w:p>
      <w:pPr>
        <w:spacing w:after="0" w:line="84" w:lineRule="exact"/>
        <w:rPr>
          <w:sz w:val="20"/>
          <w:szCs w:val="20"/>
          <w:color w:val="auto"/>
        </w:rPr>
      </w:pPr>
    </w:p>
    <w:p>
      <w:pPr>
        <w:ind w:left="140"/>
        <w:spacing w:after="0"/>
        <w:rPr>
          <w:sz w:val="20"/>
          <w:szCs w:val="20"/>
          <w:color w:val="auto"/>
        </w:rPr>
      </w:pPr>
      <w:r>
        <w:rPr>
          <w:rFonts w:ascii="Times New Roman" w:cs="Times New Roman" w:eastAsia="Times New Roman" w:hAnsi="Times New Roman"/>
          <w:sz w:val="11"/>
          <w:szCs w:val="11"/>
          <w:color w:val="auto"/>
        </w:rPr>
        <w:t>We have served as the Company’s auditor since 2020.</w:t>
      </w:r>
    </w:p>
    <w:p>
      <w:pPr>
        <w:sectPr>
          <w:pgSz w:w="11900" w:h="16838" w:orient="portrait"/>
          <w:cols w:equalWidth="0" w:num="2">
            <w:col w:w="3080" w:space="180"/>
            <w:col w:w="6720"/>
          </w:cols>
          <w:pgMar w:left="960" w:top="410" w:right="959" w:bottom="1440" w:gutter="0" w:footer="0" w:header="0"/>
          <w:type w:val="continuous"/>
        </w:sectPr>
      </w:pPr>
    </w:p>
    <w:bookmarkStart w:id="213" w:name="page214"/>
    <w:bookmarkEnd w:id="213"/>
    <w:tbl>
      <w:tblPr>
        <w:tblLayout w:type="fixed"/>
        <w:tblInd w:w="0" w:type="dxa"/>
        <w:tblCellMar>
          <w:top w:w="0" w:type="dxa"/>
          <w:left w:w="0" w:type="dxa"/>
          <w:bottom w:w="0" w:type="dxa"/>
          <w:right w:w="0" w:type="dxa"/>
        </w:tblCellMar>
      </w:tblPr>
      <w:tr>
        <w:trPr>
          <w:trHeight w:val="111"/>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5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280" w:type="dxa"/>
            <w:vAlign w:val="bottom"/>
          </w:tcPr>
          <w:p>
            <w:pPr>
              <w:ind w:left="220"/>
              <w:spacing w:after="0"/>
              <w:rPr>
                <w:sz w:val="20"/>
                <w:szCs w:val="20"/>
                <w:color w:val="auto"/>
              </w:rPr>
            </w:pPr>
            <w:r>
              <w:rPr>
                <w:rFonts w:ascii="Times New Roman" w:cs="Times New Roman" w:eastAsia="Times New Roman" w:hAnsi="Times New Roman"/>
                <w:sz w:val="9"/>
                <w:szCs w:val="9"/>
                <w:color w:val="auto"/>
              </w:rPr>
              <w:t>General facts</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Financial</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206</w:t>
            </w:r>
          </w:p>
        </w:tc>
        <w:tc>
          <w:tcPr>
            <w:tcW w:w="0" w:type="dxa"/>
            <w:vAlign w:val="bottom"/>
          </w:tcPr>
          <w:p>
            <w:pPr>
              <w:spacing w:after="0"/>
              <w:rPr>
                <w:sz w:val="1"/>
                <w:szCs w:val="1"/>
                <w:color w:val="auto"/>
              </w:rPr>
            </w:pPr>
          </w:p>
        </w:tc>
      </w:tr>
      <w:tr>
        <w:trPr>
          <w:trHeight w:val="130"/>
        </w:trPr>
        <w:tc>
          <w:tcPr>
            <w:tcW w:w="640" w:type="dxa"/>
            <w:vAlign w:val="bottom"/>
          </w:tcPr>
          <w:p>
            <w:pPr>
              <w:ind w:left="20"/>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5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280" w:type="dxa"/>
            <w:vAlign w:val="bottom"/>
          </w:tcPr>
          <w:p>
            <w:pPr>
              <w:ind w:left="220"/>
              <w:spacing w:after="0"/>
              <w:rPr>
                <w:sz w:val="20"/>
                <w:szCs w:val="20"/>
                <w:color w:val="auto"/>
              </w:rPr>
            </w:pPr>
            <w:r>
              <w:rPr>
                <w:rFonts w:ascii="Times New Roman" w:cs="Times New Roman" w:eastAsia="Times New Roman" w:hAnsi="Times New Roman"/>
                <w:sz w:val="9"/>
                <w:szCs w:val="9"/>
                <w:color w:val="auto"/>
              </w:rPr>
              <w:t>on Nokia</w:t>
            </w:r>
          </w:p>
        </w:tc>
        <w:tc>
          <w:tcPr>
            <w:tcW w:w="54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statements</w:t>
            </w:r>
          </w:p>
        </w:tc>
        <w:tc>
          <w:tcPr>
            <w:tcW w:w="2860" w:type="dxa"/>
            <w:vAlign w:val="bottom"/>
          </w:tcPr>
          <w:p>
            <w:pPr>
              <w:ind w:left="500"/>
              <w:spacing w:after="0"/>
              <w:rPr>
                <w:sz w:val="20"/>
                <w:szCs w:val="20"/>
                <w:color w:val="auto"/>
              </w:rPr>
            </w:pPr>
            <w:r>
              <w:rPr>
                <w:rFonts w:ascii="Times New Roman" w:cs="Times New Roman" w:eastAsia="Times New Roman" w:hAnsi="Times New Roman"/>
                <w:sz w:val="9"/>
                <w:szCs w:val="9"/>
                <w:color w:val="auto"/>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3180" w:type="dxa"/>
            <w:vAlign w:val="bottom"/>
            <w:gridSpan w:val="3"/>
            <w:vMerge w:val="restart"/>
          </w:tcPr>
          <w:p>
            <w:pPr>
              <w:spacing w:after="0"/>
              <w:rPr>
                <w:sz w:val="20"/>
                <w:szCs w:val="20"/>
                <w:color w:val="auto"/>
              </w:rPr>
            </w:pPr>
            <w:r>
              <w:rPr>
                <w:rFonts w:ascii="Times New Roman" w:cs="Times New Roman" w:eastAsia="Times New Roman" w:hAnsi="Times New Roman"/>
                <w:sz w:val="13"/>
                <w:szCs w:val="13"/>
                <w:color w:val="005AFF"/>
              </w:rPr>
              <w:t>Reports of independent registered public accounting firm</w:t>
            </w:r>
          </w:p>
        </w:tc>
        <w:tc>
          <w:tcPr>
            <w:tcW w:w="1280" w:type="dxa"/>
            <w:vAlign w:val="bottom"/>
            <w:vMerge w:val="restart"/>
          </w:tcPr>
          <w:p>
            <w:pPr>
              <w:ind w:left="80"/>
              <w:spacing w:after="0"/>
              <w:rPr>
                <w:sz w:val="20"/>
                <w:szCs w:val="20"/>
                <w:color w:val="auto"/>
              </w:rPr>
            </w:pPr>
            <w:r>
              <w:rPr>
                <w:rFonts w:ascii="Times New Roman" w:cs="Times New Roman" w:eastAsia="Times New Roman" w:hAnsi="Times New Roman"/>
                <w:sz w:val="13"/>
                <w:szCs w:val="13"/>
                <w:color w:val="005AFF"/>
              </w:rPr>
              <w:t>continued</w:t>
            </w:r>
          </w:p>
        </w:tc>
        <w:tc>
          <w:tcPr>
            <w:tcW w:w="540" w:type="dxa"/>
            <w:vAlign w:val="bottom"/>
            <w:tcBorders>
              <w:bottom w:val="single" w:sz="8" w:color="005AFF"/>
            </w:tcBorders>
          </w:tcPr>
          <w:p>
            <w:pPr>
              <w:spacing w:after="0"/>
              <w:rPr>
                <w:sz w:val="3"/>
                <w:szCs w:val="3"/>
                <w:color w:val="auto"/>
              </w:rPr>
            </w:pPr>
          </w:p>
        </w:tc>
        <w:tc>
          <w:tcPr>
            <w:tcW w:w="2860" w:type="dxa"/>
            <w:vAlign w:val="bottom"/>
          </w:tcPr>
          <w:p>
            <w:pPr>
              <w:spacing w:after="0"/>
              <w:rPr>
                <w:sz w:val="3"/>
                <w:szCs w:val="3"/>
                <w:color w:val="auto"/>
              </w:rPr>
            </w:pPr>
          </w:p>
        </w:tc>
        <w:tc>
          <w:tcPr>
            <w:tcW w:w="2120" w:type="dxa"/>
            <w:vAlign w:val="bottom"/>
          </w:tcPr>
          <w:p>
            <w:pPr>
              <w:spacing w:after="0"/>
              <w:rPr>
                <w:sz w:val="3"/>
                <w:szCs w:val="3"/>
                <w:color w:val="auto"/>
              </w:rPr>
            </w:pPr>
          </w:p>
        </w:tc>
        <w:tc>
          <w:tcPr>
            <w:tcW w:w="0" w:type="dxa"/>
            <w:vAlign w:val="bottom"/>
          </w:tcPr>
          <w:p>
            <w:pPr>
              <w:spacing w:after="0"/>
              <w:rPr>
                <w:sz w:val="1"/>
                <w:szCs w:val="1"/>
                <w:color w:val="auto"/>
              </w:rPr>
            </w:pPr>
          </w:p>
        </w:tc>
      </w:tr>
      <w:tr>
        <w:trPr>
          <w:trHeight w:val="354"/>
        </w:trPr>
        <w:tc>
          <w:tcPr>
            <w:tcW w:w="3180" w:type="dxa"/>
            <w:vAlign w:val="bottom"/>
            <w:gridSpan w:val="3"/>
            <w:vMerge w:val="continue"/>
          </w:tcPr>
          <w:p>
            <w:pPr>
              <w:spacing w:after="0"/>
              <w:rPr>
                <w:sz w:val="24"/>
                <w:szCs w:val="24"/>
                <w:color w:val="auto"/>
              </w:rPr>
            </w:pPr>
          </w:p>
        </w:tc>
        <w:tc>
          <w:tcPr>
            <w:tcW w:w="1280" w:type="dxa"/>
            <w:vAlign w:val="bottom"/>
            <w:vMerge w:val="continue"/>
          </w:tcPr>
          <w:p>
            <w:pPr>
              <w:spacing w:after="0"/>
              <w:rPr>
                <w:sz w:val="24"/>
                <w:szCs w:val="24"/>
                <w:color w:val="auto"/>
              </w:rPr>
            </w:pPr>
          </w:p>
        </w:tc>
        <w:tc>
          <w:tcPr>
            <w:tcW w:w="540" w:type="dxa"/>
            <w:vAlign w:val="bottom"/>
          </w:tcPr>
          <w:p>
            <w:pPr>
              <w:spacing w:after="0"/>
              <w:rPr>
                <w:sz w:val="24"/>
                <w:szCs w:val="24"/>
                <w:color w:val="auto"/>
              </w:rPr>
            </w:pPr>
          </w:p>
        </w:tc>
        <w:tc>
          <w:tcPr>
            <w:tcW w:w="2860" w:type="dxa"/>
            <w:vAlign w:val="bottom"/>
          </w:tcPr>
          <w:p>
            <w:pPr>
              <w:spacing w:after="0"/>
              <w:rPr>
                <w:sz w:val="24"/>
                <w:szCs w:val="24"/>
                <w:color w:val="auto"/>
              </w:rPr>
            </w:pPr>
          </w:p>
        </w:tc>
        <w:tc>
          <w:tcPr>
            <w:tcW w:w="2120" w:type="dxa"/>
            <w:vAlign w:val="bottom"/>
          </w:tcPr>
          <w:p>
            <w:pPr>
              <w:spacing w:after="0"/>
              <w:rPr>
                <w:sz w:val="24"/>
                <w:szCs w:val="24"/>
                <w:color w:val="auto"/>
              </w:rPr>
            </w:pPr>
          </w:p>
        </w:tc>
        <w:tc>
          <w:tcPr>
            <w:tcW w:w="0" w:type="dxa"/>
            <w:vAlign w:val="bottom"/>
          </w:tcPr>
          <w:p>
            <w:pPr>
              <w:spacing w:after="0"/>
              <w:rPr>
                <w:sz w:val="1"/>
                <w:szCs w:val="1"/>
                <w:color w:val="auto"/>
              </w:rPr>
            </w:pPr>
          </w:p>
        </w:tc>
      </w:tr>
    </w:tbl>
    <w:p>
      <w:pPr>
        <w:spacing w:after="0"/>
        <w:rPr>
          <w:sz w:val="20"/>
          <w:szCs w:val="20"/>
          <w:color w:val="auto"/>
        </w:rPr>
        <w:sectPr>
          <w:pgSz w:w="11900" w:h="16838" w:orient="portrait"/>
          <w:cols w:equalWidth="0" w:num="1">
            <w:col w:w="9980"/>
          </w:cols>
          <w:pgMar w:left="960" w:top="410" w:right="959" w:bottom="1440" w:gutter="0" w:footer="0" w:header="0"/>
        </w:sect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4">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93" w:lineRule="exact"/>
        <w:rPr>
          <w:sz w:val="20"/>
          <w:szCs w:val="20"/>
          <w:color w:val="auto"/>
        </w:rPr>
      </w:pPr>
    </w:p>
    <w:p>
      <w:pPr>
        <w:ind w:right="100"/>
        <w:spacing w:after="0" w:line="275" w:lineRule="auto"/>
        <w:rPr>
          <w:sz w:val="20"/>
          <w:szCs w:val="20"/>
          <w:color w:val="auto"/>
        </w:rPr>
      </w:pPr>
      <w:r>
        <w:rPr>
          <w:rFonts w:ascii="Times New Roman" w:cs="Times New Roman" w:eastAsia="Times New Roman" w:hAnsi="Times New Roman"/>
          <w:sz w:val="16"/>
          <w:szCs w:val="16"/>
          <w:color w:val="005AFF"/>
        </w:rPr>
        <w:t>Report of independent registered public accounting firm</w:t>
      </w:r>
    </w:p>
    <w:p>
      <w:pPr>
        <w:spacing w:after="0" w:line="1" w:lineRule="exact"/>
        <w:rPr>
          <w:sz w:val="20"/>
          <w:szCs w:val="20"/>
          <w:color w:val="auto"/>
        </w:rPr>
      </w:pPr>
    </w:p>
    <w:p>
      <w:pPr>
        <w:ind w:right="100"/>
        <w:spacing w:after="0" w:line="290" w:lineRule="auto"/>
        <w:rPr>
          <w:sz w:val="20"/>
          <w:szCs w:val="20"/>
          <w:color w:val="auto"/>
        </w:rPr>
      </w:pPr>
      <w:r>
        <w:rPr>
          <w:rFonts w:ascii="Times New Roman" w:cs="Times New Roman" w:eastAsia="Times New Roman" w:hAnsi="Times New Roman"/>
          <w:sz w:val="11"/>
          <w:szCs w:val="11"/>
          <w:color w:val="auto"/>
        </w:rPr>
        <w:t>To the shareholders and the Board of Directors of Nokia Corporation.</w:t>
      </w:r>
    </w:p>
    <w:p>
      <w:pPr>
        <w:spacing w:after="0" w:line="20" w:lineRule="exact"/>
        <w:rPr>
          <w:sz w:val="20"/>
          <w:szCs w:val="20"/>
          <w:color w:val="auto"/>
        </w:rPr>
      </w:pPr>
      <w:r>
        <w:rPr>
          <w:sz w:val="20"/>
          <w:szCs w:val="20"/>
          <w:color w:val="auto"/>
        </w:rPr>
        <w:br w:type="column"/>
      </w:r>
    </w:p>
    <w:p>
      <w:pPr>
        <w:spacing w:after="0" w:line="28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testing and evaluating the design and operating effectiveness</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of internal control based on the assessed risk, and performing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such other procedures as we considered necessary in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circumstances. We believe that our audit provides a reasonable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basis for our opinion.</w:t>
      </w:r>
    </w:p>
    <w:p>
      <w:pPr>
        <w:spacing w:after="0" w:line="79" w:lineRule="exact"/>
        <w:rPr>
          <w:sz w:val="20"/>
          <w:szCs w:val="20"/>
          <w:color w:val="auto"/>
        </w:rPr>
      </w:pPr>
    </w:p>
    <w:p>
      <w:pPr>
        <w:sectPr>
          <w:pgSz w:w="11900" w:h="16838" w:orient="portrait"/>
          <w:cols w:equalWidth="0" w:num="2">
            <w:col w:w="2680" w:space="720"/>
            <w:col w:w="658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3"/>
          <w:szCs w:val="13"/>
          <w:color w:val="auto"/>
        </w:rPr>
        <w:t>Opinion on Internal Control over Financial Reporting</w:t>
      </w:r>
    </w:p>
    <w:p>
      <w:pPr>
        <w:spacing w:after="0" w:line="32"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color w:val="auto"/>
        </w:rPr>
        <w:t>We have audited the internal control over financial reporting of Nokia Corporation and subsidiaries (the “Company”) as of 31 December 2023, based on criteria established in Internal Control — Integrated Framework (2013) issued by the Committee of Sponsoring Organizations of the Treadway Commission (COSO). In our opinion, the Company maintained, in all material respects, effective internal control over financial reporting as of 31 December 2023, based on criteria established in Internal Control — Integrated Framework (2013) issued by COSO.</w:t>
      </w:r>
    </w:p>
    <w:p>
      <w:pPr>
        <w:spacing w:after="0" w:line="204" w:lineRule="exact"/>
        <w:rPr>
          <w:sz w:val="20"/>
          <w:szCs w:val="20"/>
          <w:color w:val="auto"/>
        </w:rPr>
      </w:pPr>
    </w:p>
    <w:p>
      <w:pPr>
        <w:ind w:right="100"/>
        <w:spacing w:after="0" w:line="269" w:lineRule="auto"/>
        <w:rPr>
          <w:sz w:val="20"/>
          <w:szCs w:val="20"/>
          <w:color w:val="auto"/>
        </w:rPr>
      </w:pPr>
      <w:r>
        <w:rPr>
          <w:rFonts w:ascii="Times New Roman" w:cs="Times New Roman" w:eastAsia="Times New Roman" w:hAnsi="Times New Roman"/>
          <w:sz w:val="11"/>
          <w:szCs w:val="11"/>
          <w:color w:val="auto"/>
        </w:rPr>
        <w:t>We have also audited, in accordance with the standards of the Public Company Accounting Oversight Board (United States) (PCAOB), the consolidated financial statements as of and for the year ended 31 December 2023, of the Company and our report dated 29 February 2024 expressed an unqualified opinion on those financial statements.</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Basis for Opinion</w:t>
      </w:r>
    </w:p>
    <w:p>
      <w:pPr>
        <w:spacing w:after="0" w:line="32" w:lineRule="exact"/>
        <w:rPr>
          <w:sz w:val="20"/>
          <w:szCs w:val="20"/>
          <w:color w:val="auto"/>
        </w:rPr>
      </w:pPr>
    </w:p>
    <w:p>
      <w:pPr>
        <w:ind w:right="60"/>
        <w:spacing w:after="0" w:line="263" w:lineRule="auto"/>
        <w:rPr>
          <w:sz w:val="20"/>
          <w:szCs w:val="20"/>
          <w:color w:val="auto"/>
        </w:rPr>
      </w:pPr>
      <w:r>
        <w:rPr>
          <w:rFonts w:ascii="Times New Roman" w:cs="Times New Roman" w:eastAsia="Times New Roman" w:hAnsi="Times New Roman"/>
          <w:sz w:val="11"/>
          <w:szCs w:val="11"/>
          <w:color w:val="auto"/>
        </w:rPr>
        <w:t>The Company’s management is responsible for maintaining effective internal control over financial reporting and for its assessment of the effectiveness of internal control over financial reporting, included in the accompanying Management’s annual report on internal control over financial reporting. Our responsibility is to express an opinion on the Company’s internal control over financial reporting based on our audit. We are a public accounting firm registered with the PCAOB and are required to be independent with respect to the Company in accordance with the U.S. federal securities laws and the applicable rules and regulations of the Securities and Exchange Commission and the PCAOB.</w:t>
      </w:r>
    </w:p>
    <w:p>
      <w:pPr>
        <w:spacing w:after="0" w:line="66" w:lineRule="exact"/>
        <w:rPr>
          <w:sz w:val="20"/>
          <w:szCs w:val="20"/>
          <w:color w:val="auto"/>
        </w:rPr>
      </w:pPr>
    </w:p>
    <w:p>
      <w:pPr>
        <w:ind w:right="60"/>
        <w:spacing w:after="0" w:line="265" w:lineRule="auto"/>
        <w:rPr>
          <w:sz w:val="20"/>
          <w:szCs w:val="20"/>
          <w:color w:val="auto"/>
        </w:rPr>
      </w:pPr>
      <w:r>
        <w:rPr>
          <w:rFonts w:ascii="Times New Roman" w:cs="Times New Roman" w:eastAsia="Times New Roman" w:hAnsi="Times New Roman"/>
          <w:sz w:val="11"/>
          <w:szCs w:val="11"/>
          <w:color w:val="auto"/>
        </w:rPr>
        <w:t>We conducted our audit in accordance with the standards of the PCAOB. Those standards require that we plan and perform the audit to obtain reasonable assurance about whether effective internal control over financial reporting was maintained in all material respects. Our audit included obtaining an understanding of internal control over financial reporting, assessing the risk that a material weakness exists,</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3"/>
          <w:szCs w:val="13"/>
          <w:color w:val="auto"/>
        </w:rPr>
        <w:t>Definition and Limitations of Internal Control over</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Reporting</w:t>
      </w:r>
    </w:p>
    <w:p>
      <w:pPr>
        <w:spacing w:after="0" w:line="2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 company’s internal control over financial reporting is a</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process designed to provide reasonable assurance regarding</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reliability of financial reporting and the preparation of</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financial statements for external purposes in accordance with</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generally accepted accounting principles. A company’s internal</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control over financial reporting includes those policies and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procedures that (1) pertain to the maintenance of records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that, in reasonable detail, accurately and fairly reflect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transactions and dispositions of the assets of the company; (2)</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provide reasonable assurance that transactions are recorded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as necessary to permit preparation of financial statements in</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accordance with generally accepted accounting principles,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that receipts and expenditures of the company are being made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only in accordance with authorizations of management and</w:t>
      </w:r>
    </w:p>
    <w:p>
      <w:pPr>
        <w:spacing w:after="0" w:line="10" w:lineRule="exact"/>
        <w:rPr>
          <w:sz w:val="20"/>
          <w:szCs w:val="20"/>
          <w:color w:val="auto"/>
        </w:rPr>
      </w:pPr>
    </w:p>
    <w:p>
      <w:pPr>
        <w:spacing w:after="0"/>
        <w:tabs>
          <w:tab w:leader="none" w:pos="3120" w:val="left"/>
        </w:tabs>
        <w:rPr>
          <w:sz w:val="20"/>
          <w:szCs w:val="20"/>
          <w:color w:val="auto"/>
        </w:rPr>
      </w:pPr>
      <w:r>
        <w:rPr>
          <w:rFonts w:ascii="Times New Roman" w:cs="Times New Roman" w:eastAsia="Times New Roman" w:hAnsi="Times New Roman"/>
          <w:sz w:val="11"/>
          <w:szCs w:val="11"/>
          <w:color w:val="auto"/>
        </w:rPr>
        <w:t>directors of the company; and (3) provide reasonable assuranc</w:t>
      </w:r>
      <w:r>
        <w:rPr>
          <w:sz w:val="20"/>
          <w:szCs w:val="20"/>
          <w:color w:val="auto"/>
        </w:rPr>
        <w:tab/>
      </w:r>
      <w:r>
        <w:rPr>
          <w:rFonts w:ascii="Times New Roman" w:cs="Times New Roman" w:eastAsia="Times New Roman" w:hAnsi="Times New Roman"/>
          <w:sz w:val="11"/>
          <w:szCs w:val="11"/>
          <w:color w:val="auto"/>
        </w:rPr>
        <w:t>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regarding prevention or timely detection of unauthorized</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acquisition, use, or disposition of the company’s assets that</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could have a material effect on the financial statements.</w:t>
      </w:r>
    </w:p>
    <w:p>
      <w:pPr>
        <w:spacing w:after="0" w:line="7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Because of its inherent limitations, internal control over</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financial reporting may not prevent or detect misstatements.</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Also, projections of any evaluation of effectiveness to future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periods are subject to the risk that controls may become</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inadequate because of changes in conditions, or that the</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degree of compliance with the policies or procedures may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deteriorate.</w:t>
      </w:r>
    </w:p>
    <w:p>
      <w:pPr>
        <w:spacing w:after="0" w:line="8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Deloitte Oy</w:t>
      </w:r>
    </w:p>
    <w:p>
      <w:pPr>
        <w:spacing w:after="0" w:line="10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Helsinki, Finland</w:t>
      </w:r>
    </w:p>
    <w:p>
      <w:pPr>
        <w:spacing w:after="0" w:line="96" w:lineRule="exact"/>
        <w:rPr>
          <w:sz w:val="20"/>
          <w:szCs w:val="20"/>
          <w:color w:val="auto"/>
        </w:rPr>
      </w:pPr>
    </w:p>
    <w:p>
      <w:pPr>
        <w:spacing w:after="0"/>
        <w:tabs>
          <w:tab w:leader="none" w:pos="840" w:val="left"/>
        </w:tabs>
        <w:rPr>
          <w:sz w:val="20"/>
          <w:szCs w:val="20"/>
          <w:color w:val="auto"/>
        </w:rPr>
      </w:pPr>
      <w:r>
        <w:rPr>
          <w:rFonts w:ascii="Times New Roman" w:cs="Times New Roman" w:eastAsia="Times New Roman" w:hAnsi="Times New Roman"/>
          <w:sz w:val="11"/>
          <w:szCs w:val="11"/>
          <w:color w:val="auto"/>
        </w:rPr>
        <w:t>29 February 202</w:t>
      </w:r>
      <w:r>
        <w:rPr>
          <w:sz w:val="20"/>
          <w:szCs w:val="20"/>
          <w:color w:val="auto"/>
        </w:rPr>
        <w:tab/>
      </w:r>
      <w:r>
        <w:rPr>
          <w:rFonts w:ascii="Times New Roman" w:cs="Times New Roman" w:eastAsia="Times New Roman" w:hAnsi="Times New Roman"/>
          <w:sz w:val="8"/>
          <w:szCs w:val="8"/>
          <w:color w:val="auto"/>
        </w:rPr>
        <w:t>4</w:t>
      </w:r>
    </w:p>
    <w:p>
      <w:pPr>
        <w:spacing w:after="0" w:line="1091" w:lineRule="exact"/>
        <w:rPr>
          <w:sz w:val="20"/>
          <w:szCs w:val="20"/>
          <w:color w:val="auto"/>
        </w:rPr>
      </w:pPr>
    </w:p>
    <w:p>
      <w:pPr>
        <w:sectPr>
          <w:pgSz w:w="11900" w:h="16838" w:orient="portrait"/>
          <w:cols w:equalWidth="0" w:num="2">
            <w:col w:w="2940" w:space="460"/>
            <w:col w:w="6580"/>
          </w:cols>
          <w:pgMar w:left="960" w:top="410" w:right="959" w:bottom="1440" w:gutter="0" w:footer="0" w:header="0"/>
          <w:type w:val="continuous"/>
        </w:sectPr>
      </w:pPr>
    </w:p>
    <w:p>
      <w:pPr>
        <w:spacing w:after="0" w:line="1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214" w:name="page215"/>
    <w:bookmarkEnd w:id="214"/>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General facts</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Financial</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FFFFFF"/>
              </w:rPr>
              <w:t>207</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FFFFFF"/>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on Nokia</w:t>
            </w:r>
          </w:p>
        </w:tc>
        <w:tc>
          <w:tcPr>
            <w:tcW w:w="1000" w:type="dxa"/>
            <w:vAlign w:val="bottom"/>
          </w:tcPr>
          <w:p>
            <w:pPr>
              <w:ind w:left="280"/>
              <w:spacing w:after="0"/>
              <w:rPr>
                <w:sz w:val="20"/>
                <w:szCs w:val="20"/>
                <w:color w:val="auto"/>
              </w:rPr>
            </w:pPr>
            <w:r>
              <w:rPr>
                <w:rFonts w:ascii="Times New Roman" w:cs="Times New Roman" w:eastAsia="Times New Roman" w:hAnsi="Times New Roman"/>
                <w:sz w:val="9"/>
                <w:szCs w:val="9"/>
                <w:color w:val="FFFFFF"/>
              </w:rPr>
              <w:t>statements</w:t>
            </w:r>
          </w:p>
        </w:tc>
        <w:tc>
          <w:tcPr>
            <w:tcW w:w="2660" w:type="dxa"/>
            <w:vAlign w:val="bottom"/>
          </w:tcPr>
          <w:p>
            <w:pPr>
              <w:ind w:left="300"/>
              <w:spacing w:after="0"/>
              <w:rPr>
                <w:sz w:val="20"/>
                <w:szCs w:val="20"/>
                <w:color w:val="auto"/>
              </w:rPr>
            </w:pPr>
            <w:r>
              <w:rPr>
                <w:rFonts w:ascii="Times New Roman" w:cs="Times New Roman" w:eastAsia="Times New Roman" w:hAnsi="Times New Roman"/>
                <w:sz w:val="9"/>
                <w:szCs w:val="9"/>
                <w:color w:val="FFFFFF"/>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5">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5" w:lineRule="exact"/>
        <w:rPr>
          <w:sz w:val="20"/>
          <w:szCs w:val="20"/>
          <w:color w:val="auto"/>
        </w:rPr>
      </w:pPr>
    </w:p>
    <w:p>
      <w:pPr>
        <w:spacing w:after="0"/>
        <w:rPr>
          <w:sz w:val="20"/>
          <w:szCs w:val="20"/>
          <w:color w:val="auto"/>
        </w:rPr>
      </w:pPr>
      <w:r>
        <w:rPr>
          <w:rFonts w:ascii="Times New Roman" w:cs="Times New Roman" w:eastAsia="Times New Roman" w:hAnsi="Times New Roman"/>
          <w:sz w:val="67"/>
          <w:szCs w:val="67"/>
          <w:color w:val="FFFFFF"/>
        </w:rPr>
        <w:t>Other</w:t>
      </w:r>
    </w:p>
    <w:p>
      <w:pPr>
        <w:spacing w:after="0"/>
        <w:rPr>
          <w:sz w:val="20"/>
          <w:szCs w:val="20"/>
          <w:color w:val="auto"/>
        </w:rPr>
      </w:pPr>
      <w:r>
        <w:rPr>
          <w:rFonts w:ascii="Times New Roman" w:cs="Times New Roman" w:eastAsia="Times New Roman" w:hAnsi="Times New Roman"/>
          <w:sz w:val="67"/>
          <w:szCs w:val="67"/>
          <w:color w:val="FFFFFF"/>
        </w:rPr>
        <w:t>information</w:t>
      </w:r>
    </w:p>
    <w:p>
      <w:pPr>
        <w:spacing w:after="0" w:line="151" w:lineRule="exact"/>
        <w:rPr>
          <w:sz w:val="20"/>
          <w:szCs w:val="20"/>
          <w:color w:val="auto"/>
        </w:rPr>
      </w:pPr>
    </w:p>
    <w:tbl>
      <w:tblPr>
        <w:tblLayout w:type="fixed"/>
        <w:tblInd w:w="40" w:type="dxa"/>
        <w:tblCellMar>
          <w:top w:w="0" w:type="dxa"/>
          <w:left w:w="0" w:type="dxa"/>
          <w:bottom w:w="0" w:type="dxa"/>
          <w:right w:w="0" w:type="dxa"/>
        </w:tblCellMar>
      </w:tblPr>
      <w:tr>
        <w:trPr>
          <w:trHeight w:val="122"/>
        </w:trPr>
        <w:tc>
          <w:tcPr>
            <w:tcW w:w="1540" w:type="dxa"/>
            <w:vAlign w:val="bottom"/>
          </w:tcPr>
          <w:p>
            <w:pPr>
              <w:spacing w:after="0"/>
              <w:rPr>
                <w:sz w:val="20"/>
                <w:szCs w:val="20"/>
                <w:color w:val="auto"/>
              </w:rPr>
            </w:pPr>
            <w:r>
              <w:rPr>
                <w:rFonts w:ascii="Times New Roman" w:cs="Times New Roman" w:eastAsia="Times New Roman" w:hAnsi="Times New Roman"/>
                <w:sz w:val="9"/>
                <w:szCs w:val="9"/>
                <w:color w:val="FFFFFF"/>
              </w:rPr>
              <w:t>Exhibits</w:t>
            </w:r>
          </w:p>
        </w:tc>
        <w:tc>
          <w:tcPr>
            <w:tcW w:w="92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208</w:t>
            </w:r>
          </w:p>
        </w:tc>
      </w:tr>
      <w:tr>
        <w:trPr>
          <w:trHeight w:val="131"/>
        </w:trPr>
        <w:tc>
          <w:tcPr>
            <w:tcW w:w="1540" w:type="dxa"/>
            <w:vAlign w:val="bottom"/>
          </w:tcPr>
          <w:p>
            <w:pPr>
              <w:spacing w:after="0"/>
              <w:rPr>
                <w:sz w:val="20"/>
                <w:szCs w:val="20"/>
                <w:color w:val="auto"/>
              </w:rPr>
            </w:pPr>
            <w:r>
              <w:rPr>
                <w:rFonts w:ascii="Times New Roman" w:cs="Times New Roman" w:eastAsia="Times New Roman" w:hAnsi="Times New Roman"/>
                <w:sz w:val="9"/>
                <w:szCs w:val="9"/>
                <w:color w:val="FFFFFF"/>
              </w:rPr>
              <w:t>Glossary</w:t>
            </w:r>
          </w:p>
        </w:tc>
        <w:tc>
          <w:tcPr>
            <w:tcW w:w="92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209</w:t>
            </w:r>
          </w:p>
        </w:tc>
      </w:tr>
      <w:tr>
        <w:trPr>
          <w:trHeight w:val="131"/>
        </w:trPr>
        <w:tc>
          <w:tcPr>
            <w:tcW w:w="1540" w:type="dxa"/>
            <w:vAlign w:val="bottom"/>
          </w:tcPr>
          <w:p>
            <w:pPr>
              <w:spacing w:after="0"/>
              <w:rPr>
                <w:sz w:val="20"/>
                <w:szCs w:val="20"/>
                <w:color w:val="auto"/>
              </w:rPr>
            </w:pPr>
            <w:r>
              <w:rPr>
                <w:rFonts w:ascii="Times New Roman" w:cs="Times New Roman" w:eastAsia="Times New Roman" w:hAnsi="Times New Roman"/>
                <w:sz w:val="9"/>
                <w:szCs w:val="9"/>
                <w:color w:val="FFFFFF"/>
              </w:rPr>
              <w:t>Investor information</w:t>
            </w:r>
          </w:p>
        </w:tc>
        <w:tc>
          <w:tcPr>
            <w:tcW w:w="92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212</w:t>
            </w:r>
          </w:p>
        </w:tc>
      </w:tr>
      <w:tr>
        <w:trPr>
          <w:trHeight w:val="131"/>
        </w:trPr>
        <w:tc>
          <w:tcPr>
            <w:tcW w:w="1540" w:type="dxa"/>
            <w:vAlign w:val="bottom"/>
          </w:tcPr>
          <w:p>
            <w:pPr>
              <w:spacing w:after="0"/>
              <w:rPr>
                <w:sz w:val="20"/>
                <w:szCs w:val="20"/>
                <w:color w:val="auto"/>
              </w:rPr>
            </w:pPr>
            <w:r>
              <w:rPr>
                <w:rFonts w:ascii="Times New Roman" w:cs="Times New Roman" w:eastAsia="Times New Roman" w:hAnsi="Times New Roman"/>
                <w:sz w:val="9"/>
                <w:szCs w:val="9"/>
                <w:color w:val="FFFFFF"/>
              </w:rPr>
              <w:t>Signatures</w:t>
            </w:r>
          </w:p>
        </w:tc>
        <w:tc>
          <w:tcPr>
            <w:tcW w:w="920" w:type="dxa"/>
            <w:vAlign w:val="bottom"/>
          </w:tcPr>
          <w:p>
            <w:pPr>
              <w:jc w:val="right"/>
              <w:spacing w:after="0"/>
              <w:rPr>
                <w:sz w:val="20"/>
                <w:szCs w:val="20"/>
                <w:color w:val="auto"/>
              </w:rPr>
            </w:pPr>
            <w:r>
              <w:rPr>
                <w:rFonts w:ascii="Times New Roman" w:cs="Times New Roman" w:eastAsia="Times New Roman" w:hAnsi="Times New Roman"/>
                <w:sz w:val="9"/>
                <w:szCs w:val="9"/>
                <w:color w:val="FFFFFF"/>
              </w:rPr>
              <w:t>213</w:t>
            </w:r>
          </w:p>
        </w:tc>
      </w:tr>
    </w:tbl>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FFFFFF"/>
        </w:rPr>
        <w:t>Nokia Annual Report on Form 20-F 2023</w:t>
      </w:r>
    </w:p>
    <w:p>
      <w:pPr>
        <w:sectPr>
          <w:pgSz w:w="11900" w:h="16838" w:orient="portrait"/>
          <w:cols w:equalWidth="0" w:num="1">
            <w:col w:w="9980"/>
          </w:cols>
          <w:pgMar w:left="960" w:top="410" w:right="959" w:bottom="1440" w:gutter="0" w:footer="0" w:header="0"/>
        </w:sectPr>
      </w:pPr>
    </w:p>
    <w:bookmarkStart w:id="215" w:name="page216"/>
    <w:bookmarkEnd w:id="215"/>
    <w:p>
      <w:pPr>
        <w:ind w:left="20"/>
        <w:spacing w:after="0"/>
        <w:tabs>
          <w:tab w:leader="none" w:pos="900" w:val="left"/>
          <w:tab w:leader="none" w:pos="1920" w:val="left"/>
          <w:tab w:leader="none" w:pos="3380" w:val="left"/>
          <w:tab w:leader="none" w:pos="4460" w:val="left"/>
        </w:tabs>
        <w:rPr>
          <w:sz w:val="20"/>
          <w:szCs w:val="20"/>
          <w:color w:val="auto"/>
        </w:rPr>
      </w:pPr>
      <w:r>
        <w:rPr>
          <w:rFonts w:ascii="Times New Roman" w:cs="Times New Roman" w:eastAsia="Times New Roman" w:hAnsi="Times New Roman"/>
          <w:sz w:val="9"/>
          <w:szCs w:val="9"/>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6">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r>
        <w:rPr>
          <w:sz w:val="20"/>
          <w:szCs w:val="20"/>
          <w:color w:val="auto"/>
        </w:rPr>
        <w:tab/>
      </w:r>
      <w:r>
        <w:rPr>
          <w:rFonts w:ascii="Times New Roman" w:cs="Times New Roman" w:eastAsia="Times New Roman" w:hAnsi="Times New Roman"/>
          <w:sz w:val="9"/>
          <w:szCs w:val="9"/>
          <w:color w:val="auto"/>
        </w:rPr>
        <w:t>General facts</w:t>
      </w:r>
      <w:r>
        <w:rPr>
          <w:sz w:val="20"/>
          <w:szCs w:val="20"/>
          <w:color w:val="auto"/>
        </w:rPr>
        <w:tab/>
      </w:r>
      <w:r>
        <w:rPr>
          <w:rFonts w:ascii="Times New Roman" w:cs="Times New Roman" w:eastAsia="Times New Roman" w:hAnsi="Times New Roman"/>
          <w:sz w:val="9"/>
          <w:szCs w:val="9"/>
          <w:color w:val="auto"/>
        </w:rPr>
        <w:t>Financial</w:t>
      </w:r>
    </w:p>
    <w:p>
      <w:pPr>
        <w:spacing w:after="0" w:line="18" w:lineRule="exact"/>
        <w:rPr>
          <w:sz w:val="20"/>
          <w:szCs w:val="20"/>
          <w:color w:val="auto"/>
        </w:rPr>
      </w:pPr>
    </w:p>
    <w:p>
      <w:pPr>
        <w:ind w:left="20"/>
        <w:spacing w:after="0"/>
        <w:tabs>
          <w:tab w:leader="none" w:pos="900" w:val="left"/>
          <w:tab w:leader="none" w:pos="1920" w:val="left"/>
          <w:tab w:leader="none" w:pos="3380" w:val="left"/>
          <w:tab w:leader="none" w:pos="446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r>
        <w:rPr>
          <w:sz w:val="20"/>
          <w:szCs w:val="20"/>
          <w:color w:val="auto"/>
        </w:rPr>
        <w:tab/>
      </w:r>
      <w:r>
        <w:rPr>
          <w:rFonts w:ascii="Times New Roman" w:cs="Times New Roman" w:eastAsia="Times New Roman" w:hAnsi="Times New Roman"/>
          <w:sz w:val="9"/>
          <w:szCs w:val="9"/>
          <w:color w:val="auto"/>
        </w:rPr>
        <w:t>on Nokia</w:t>
      </w:r>
      <w:r>
        <w:rPr>
          <w:sz w:val="20"/>
          <w:szCs w:val="20"/>
          <w:color w:val="auto"/>
        </w:rPr>
        <w:tab/>
      </w:r>
      <w:r>
        <w:rPr>
          <w:rFonts w:ascii="Times New Roman" w:cs="Times New Roman" w:eastAsia="Times New Roman" w:hAnsi="Times New Roman"/>
          <w:sz w:val="9"/>
          <w:szCs w:val="9"/>
          <w:color w:val="auto"/>
        </w:rPr>
        <w:t>statements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Exhibits</w:t>
      </w: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Exhibits</w:t>
      </w:r>
    </w:p>
    <w:p>
      <w:pPr>
        <w:spacing w:after="0" w:line="76" w:lineRule="exact"/>
        <w:rPr>
          <w:sz w:val="20"/>
          <w:szCs w:val="20"/>
          <w:color w:val="auto"/>
        </w:rPr>
      </w:pPr>
    </w:p>
    <w:p>
      <w:pPr>
        <w:ind w:left="460" w:right="360" w:hanging="410"/>
        <w:spacing w:after="0" w:line="279" w:lineRule="auto"/>
        <w:tabs>
          <w:tab w:leader="none" w:pos="460" w:val="left"/>
        </w:tabs>
        <w:numPr>
          <w:ilvl w:val="0"/>
          <w:numId w:val="156"/>
        </w:numPr>
        <w:rPr>
          <w:rFonts w:ascii="Times New Roman" w:cs="Times New Roman" w:eastAsia="Times New Roman" w:hAnsi="Times New Roman"/>
          <w:sz w:val="11"/>
          <w:szCs w:val="11"/>
          <w:u w:val="single" w:color="auto"/>
          <w:color w:val="0000FF"/>
        </w:rPr>
      </w:pPr>
      <w:hyperlink r:id="rId227">
        <w:r>
          <w:rPr>
            <w:rFonts w:ascii="Times New Roman" w:cs="Times New Roman" w:eastAsia="Times New Roman" w:hAnsi="Times New Roman"/>
            <w:sz w:val="11"/>
            <w:szCs w:val="11"/>
            <w:u w:val="single" w:color="auto"/>
            <w:color w:val="0000FF"/>
          </w:rPr>
          <w:t>Articles of Association of Nokia Corporation (incorporated by reference to Exhibit 1 of</w:t>
        </w:r>
      </w:hyperlink>
      <w:r>
        <w:rPr>
          <w:rFonts w:ascii="Times New Roman" w:cs="Times New Roman" w:eastAsia="Times New Roman" w:hAnsi="Times New Roman"/>
          <w:sz w:val="11"/>
          <w:szCs w:val="11"/>
          <w:u w:val="single" w:color="auto"/>
          <w:color w:val="0000FF"/>
        </w:rPr>
        <w:t xml:space="preserve"> </w:t>
      </w:r>
      <w:hyperlink r:id="rId227">
        <w:r>
          <w:rPr>
            <w:rFonts w:ascii="Times New Roman" w:cs="Times New Roman" w:eastAsia="Times New Roman" w:hAnsi="Times New Roman"/>
            <w:sz w:val="11"/>
            <w:szCs w:val="11"/>
            <w:u w:val="single" w:color="auto"/>
            <w:color w:val="0000FF"/>
          </w:rPr>
          <w:t>our Annual Report on Form 20-F filed with the Securities and Exchange Commission on</w:t>
        </w:r>
      </w:hyperlink>
      <w:r>
        <w:rPr>
          <w:rFonts w:ascii="Times New Roman" w:cs="Times New Roman" w:eastAsia="Times New Roman" w:hAnsi="Times New Roman"/>
          <w:sz w:val="11"/>
          <w:szCs w:val="11"/>
          <w:u w:val="single" w:color="auto"/>
          <w:color w:val="0000FF"/>
        </w:rPr>
        <w:t xml:space="preserve"> </w:t>
      </w:r>
      <w:hyperlink r:id="rId227">
        <w:r>
          <w:rPr>
            <w:rFonts w:ascii="Times New Roman" w:cs="Times New Roman" w:eastAsia="Times New Roman" w:hAnsi="Times New Roman"/>
            <w:sz w:val="11"/>
            <w:szCs w:val="11"/>
            <w:u w:val="single" w:color="auto"/>
            <w:color w:val="0000FF"/>
          </w:rPr>
          <w:t>23 March 2017 (File No. 1-13202)).</w:t>
        </w:r>
      </w:hyperlink>
    </w:p>
    <w:p>
      <w:pPr>
        <w:spacing w:after="0" w:line="226" w:lineRule="exact"/>
        <w:rPr>
          <w:rFonts w:ascii="Times New Roman" w:cs="Times New Roman" w:eastAsia="Times New Roman" w:hAnsi="Times New Roman"/>
          <w:sz w:val="11"/>
          <w:szCs w:val="11"/>
          <w:u w:val="single" w:color="auto"/>
          <w:color w:val="0000FF"/>
        </w:rPr>
      </w:pPr>
    </w:p>
    <w:p>
      <w:pPr>
        <w:ind w:left="460" w:right="440" w:hanging="410"/>
        <w:spacing w:after="0" w:line="309" w:lineRule="auto"/>
        <w:tabs>
          <w:tab w:leader="none" w:pos="460" w:val="left"/>
        </w:tabs>
        <w:numPr>
          <w:ilvl w:val="0"/>
          <w:numId w:val="157"/>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u w:val="single" w:color="auto"/>
          <w:color w:val="0000FF"/>
        </w:rPr>
        <w:t>Refer to Note 6.2. Principal Group companies, in our consolidated financial statements for more information on our significant subsidiaries.</w:t>
      </w:r>
    </w:p>
    <w:p>
      <w:pPr>
        <w:spacing w:after="0" w:line="200" w:lineRule="exact"/>
        <w:rPr>
          <w:rFonts w:ascii="Times New Roman" w:cs="Times New Roman" w:eastAsia="Times New Roman" w:hAnsi="Times New Roman"/>
          <w:sz w:val="11"/>
          <w:szCs w:val="11"/>
          <w:u w:val="single" w:color="auto"/>
          <w:color w:val="0000FF"/>
        </w:rPr>
      </w:pPr>
    </w:p>
    <w:p>
      <w:pPr>
        <w:ind w:left="460" w:hanging="410"/>
        <w:spacing w:after="0"/>
        <w:tabs>
          <w:tab w:leader="none" w:pos="460" w:val="left"/>
        </w:tabs>
        <w:numPr>
          <w:ilvl w:val="0"/>
          <w:numId w:val="158"/>
        </w:numPr>
        <w:rPr>
          <w:rFonts w:ascii="Times New Roman" w:cs="Times New Roman" w:eastAsia="Times New Roman" w:hAnsi="Times New Roman"/>
          <w:sz w:val="11"/>
          <w:szCs w:val="11"/>
          <w:u w:val="single" w:color="auto"/>
          <w:color w:val="0000FF"/>
        </w:rPr>
      </w:pPr>
      <w:hyperlink r:id="rId228">
        <w:r>
          <w:rPr>
            <w:rFonts w:ascii="Times New Roman" w:cs="Times New Roman" w:eastAsia="Times New Roman" w:hAnsi="Times New Roman"/>
            <w:sz w:val="11"/>
            <w:szCs w:val="11"/>
            <w:u w:val="single" w:color="auto"/>
            <w:color w:val="0000FF"/>
          </w:rPr>
          <w:t>Code of Ethics.</w:t>
        </w:r>
      </w:hyperlink>
    </w:p>
    <w:p>
      <w:pPr>
        <w:spacing w:after="0" w:line="258" w:lineRule="exact"/>
        <w:rPr>
          <w:rFonts w:ascii="Times New Roman" w:cs="Times New Roman" w:eastAsia="Times New Roman" w:hAnsi="Times New Roman"/>
          <w:sz w:val="11"/>
          <w:szCs w:val="11"/>
          <w:u w:val="single" w:color="auto"/>
          <w:color w:val="0000FF"/>
        </w:rPr>
      </w:pPr>
    </w:p>
    <w:p>
      <w:pPr>
        <w:jc w:val="center"/>
        <w:ind w:right="640"/>
        <w:spacing w:after="0"/>
        <w:tabs>
          <w:tab w:leader="none" w:pos="180" w:val="left"/>
        </w:tabs>
        <w:rPr>
          <w:sz w:val="20"/>
          <w:szCs w:val="20"/>
          <w:color w:val="auto"/>
        </w:rPr>
      </w:pPr>
      <w:r>
        <w:rPr>
          <w:rFonts w:ascii="Times New Roman" w:cs="Times New Roman" w:eastAsia="Times New Roman" w:hAnsi="Times New Roman"/>
          <w:sz w:val="11"/>
          <w:szCs w:val="11"/>
          <w:color w:val="auto"/>
        </w:rPr>
        <w:t>12.1</w:t>
      </w:r>
      <w:r>
        <w:rPr>
          <w:sz w:val="20"/>
          <w:szCs w:val="20"/>
          <w:color w:val="auto"/>
        </w:rPr>
        <w:tab/>
      </w:r>
      <w:r>
        <w:rPr>
          <w:rFonts w:ascii="Times New Roman" w:cs="Times New Roman" w:eastAsia="Times New Roman" w:hAnsi="Times New Roman"/>
          <w:sz w:val="11"/>
          <w:szCs w:val="11"/>
          <w:u w:val="single" w:color="auto"/>
          <w:color w:val="0000FF"/>
        </w:rPr>
        <w:t>Certification of Pekka Lundmark, President and Chief Executive Officer of Nokia</w:t>
      </w:r>
    </w:p>
    <w:p>
      <w:pPr>
        <w:spacing w:after="0" w:line="22" w:lineRule="exact"/>
        <w:rPr>
          <w:rFonts w:ascii="Times New Roman" w:cs="Times New Roman" w:eastAsia="Times New Roman" w:hAnsi="Times New Roman"/>
          <w:sz w:val="11"/>
          <w:szCs w:val="11"/>
          <w:u w:val="single" w:color="auto"/>
          <w:color w:val="0000FF"/>
        </w:rPr>
      </w:pPr>
    </w:p>
    <w:p>
      <w:pPr>
        <w:jc w:val="center"/>
        <w:ind w:right="620"/>
        <w:spacing w:after="0"/>
        <w:rPr>
          <w:sz w:val="20"/>
          <w:szCs w:val="20"/>
          <w:color w:val="auto"/>
        </w:rPr>
      </w:pPr>
      <w:r>
        <w:rPr>
          <w:rFonts w:ascii="Times New Roman" w:cs="Times New Roman" w:eastAsia="Times New Roman" w:hAnsi="Times New Roman"/>
          <w:sz w:val="11"/>
          <w:szCs w:val="11"/>
          <w:u w:val="single" w:color="auto"/>
          <w:color w:val="0000FF"/>
        </w:rPr>
        <w:t>Corporation, pursuant to Section 302 of the Sarbanes-Oxley Act of 2002.</w:t>
      </w:r>
    </w:p>
    <w:p>
      <w:pPr>
        <w:spacing w:after="0" w:line="251" w:lineRule="exact"/>
        <w:rPr>
          <w:rFonts w:ascii="Times New Roman" w:cs="Times New Roman" w:eastAsia="Times New Roman" w:hAnsi="Times New Roman"/>
          <w:sz w:val="11"/>
          <w:szCs w:val="11"/>
          <w:u w:val="single" w:color="auto"/>
          <w:color w:val="0000FF"/>
        </w:rPr>
      </w:pPr>
    </w:p>
    <w:p>
      <w:pPr>
        <w:ind w:left="460" w:right="600" w:hanging="404"/>
        <w:spacing w:after="0" w:line="309" w:lineRule="auto"/>
        <w:tabs>
          <w:tab w:leader="none" w:pos="440" w:val="left"/>
        </w:tabs>
        <w:rPr>
          <w:sz w:val="20"/>
          <w:szCs w:val="20"/>
          <w:color w:val="auto"/>
        </w:rPr>
      </w:pPr>
      <w:r>
        <w:rPr>
          <w:rFonts w:ascii="Times New Roman" w:cs="Times New Roman" w:eastAsia="Times New Roman" w:hAnsi="Times New Roman"/>
          <w:sz w:val="11"/>
          <w:szCs w:val="11"/>
          <w:color w:val="auto"/>
        </w:rPr>
        <w:t>12.2</w:t>
      </w:r>
      <w:r>
        <w:rPr>
          <w:sz w:val="20"/>
          <w:szCs w:val="20"/>
          <w:color w:val="auto"/>
        </w:rPr>
        <w:tab/>
      </w:r>
      <w:r>
        <w:rPr>
          <w:rFonts w:ascii="Times New Roman" w:cs="Times New Roman" w:eastAsia="Times New Roman" w:hAnsi="Times New Roman"/>
          <w:sz w:val="11"/>
          <w:szCs w:val="11"/>
          <w:u w:val="single" w:color="auto"/>
          <w:color w:val="0000FF"/>
        </w:rPr>
        <w:t>Certification of Marco Wirén, Group Chief Financial Officer of Nokia Corporation, pursuant to Section 302 of the Sarbanes-Oxley Act of 2002.</w:t>
      </w:r>
    </w:p>
    <w:p>
      <w:pPr>
        <w:spacing w:after="0" w:line="200" w:lineRule="exact"/>
        <w:rPr>
          <w:rFonts w:ascii="Times New Roman" w:cs="Times New Roman" w:eastAsia="Times New Roman" w:hAnsi="Times New Roman"/>
          <w:sz w:val="11"/>
          <w:szCs w:val="11"/>
          <w:u w:val="single" w:color="auto"/>
          <w:color w:val="0000FF"/>
        </w:rPr>
      </w:pPr>
    </w:p>
    <w:p>
      <w:pPr>
        <w:ind w:left="460" w:right="500" w:hanging="410"/>
        <w:spacing w:after="0" w:line="309" w:lineRule="auto"/>
        <w:tabs>
          <w:tab w:leader="none" w:pos="460" w:val="left"/>
        </w:tabs>
        <w:numPr>
          <w:ilvl w:val="0"/>
          <w:numId w:val="159"/>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u w:val="single" w:color="auto"/>
          <w:color w:val="0000FF"/>
        </w:rPr>
        <w:t>Certification, pursuant to 18 U.S.C. Section 1350, as adopted pursuant to Section 906 of the Sarbanes-Oxley Act of 2002.</w:t>
      </w:r>
    </w:p>
    <w:p>
      <w:pPr>
        <w:spacing w:after="0" w:line="200" w:lineRule="exact"/>
        <w:rPr>
          <w:rFonts w:ascii="Times New Roman" w:cs="Times New Roman" w:eastAsia="Times New Roman" w:hAnsi="Times New Roman"/>
          <w:sz w:val="11"/>
          <w:szCs w:val="11"/>
          <w:u w:val="single" w:color="auto"/>
          <w:color w:val="0000FF"/>
        </w:rPr>
      </w:pPr>
    </w:p>
    <w:p>
      <w:pPr>
        <w:ind w:left="40"/>
        <w:spacing w:after="0"/>
        <w:tabs>
          <w:tab w:leader="none" w:pos="440" w:val="left"/>
        </w:tabs>
        <w:rPr>
          <w:sz w:val="20"/>
          <w:szCs w:val="20"/>
          <w:color w:val="auto"/>
        </w:rPr>
      </w:pPr>
      <w:r>
        <w:rPr>
          <w:rFonts w:ascii="Times New Roman" w:cs="Times New Roman" w:eastAsia="Times New Roman" w:hAnsi="Times New Roman"/>
          <w:sz w:val="11"/>
          <w:szCs w:val="11"/>
          <w:color w:val="auto"/>
        </w:rPr>
        <w:t>15.1</w:t>
      </w:r>
      <w:r>
        <w:rPr>
          <w:sz w:val="20"/>
          <w:szCs w:val="20"/>
          <w:color w:val="auto"/>
        </w:rPr>
        <w:tab/>
      </w:r>
      <w:r>
        <w:rPr>
          <w:rFonts w:ascii="Times New Roman" w:cs="Times New Roman" w:eastAsia="Times New Roman" w:hAnsi="Times New Roman"/>
          <w:sz w:val="11"/>
          <w:szCs w:val="11"/>
          <w:u w:val="single" w:color="auto"/>
          <w:color w:val="0000FF"/>
        </w:rPr>
        <w:t>Consent of Deloitte Oy.</w:t>
      </w:r>
    </w:p>
    <w:p>
      <w:pPr>
        <w:spacing w:after="0" w:line="258" w:lineRule="exact"/>
        <w:rPr>
          <w:rFonts w:ascii="Times New Roman" w:cs="Times New Roman" w:eastAsia="Times New Roman" w:hAnsi="Times New Roman"/>
          <w:sz w:val="11"/>
          <w:szCs w:val="11"/>
          <w:u w:val="single" w:color="auto"/>
          <w:color w:val="0000FF"/>
        </w:rPr>
      </w:pPr>
    </w:p>
    <w:p>
      <w:pPr>
        <w:ind w:left="40"/>
        <w:spacing w:after="0"/>
        <w:tabs>
          <w:tab w:leader="none" w:pos="440" w:val="left"/>
        </w:tabs>
        <w:rPr>
          <w:sz w:val="20"/>
          <w:szCs w:val="20"/>
          <w:color w:val="auto"/>
        </w:rPr>
      </w:pPr>
      <w:r>
        <w:rPr>
          <w:rFonts w:ascii="Times New Roman" w:cs="Times New Roman" w:eastAsia="Times New Roman" w:hAnsi="Times New Roman"/>
          <w:sz w:val="11"/>
          <w:szCs w:val="11"/>
          <w:color w:val="auto"/>
        </w:rPr>
        <w:t>97.1</w:t>
      </w:r>
      <w:r>
        <w:rPr>
          <w:sz w:val="20"/>
          <w:szCs w:val="20"/>
          <w:color w:val="auto"/>
        </w:rPr>
        <w:tab/>
      </w:r>
      <w:r>
        <w:rPr>
          <w:rFonts w:ascii="Times New Roman" w:cs="Times New Roman" w:eastAsia="Times New Roman" w:hAnsi="Times New Roman"/>
          <w:sz w:val="11"/>
          <w:szCs w:val="11"/>
          <w:u w:val="single" w:color="auto"/>
          <w:color w:val="0000FF"/>
        </w:rPr>
        <w:t xml:space="preserve">Executive Officer Clawback Policy </w:t>
      </w:r>
      <w:r>
        <w:rPr>
          <w:rFonts w:ascii="Times New Roman" w:cs="Times New Roman" w:eastAsia="Times New Roman" w:hAnsi="Times New Roman"/>
          <w:sz w:val="11"/>
          <w:szCs w:val="11"/>
          <w:color w:val="000000"/>
        </w:rPr>
        <w:t>.</w:t>
      </w:r>
    </w:p>
    <w:p>
      <w:pPr>
        <w:spacing w:after="0" w:line="258" w:lineRule="exact"/>
        <w:rPr>
          <w:rFonts w:ascii="Times New Roman" w:cs="Times New Roman" w:eastAsia="Times New Roman" w:hAnsi="Times New Roman"/>
          <w:sz w:val="11"/>
          <w:szCs w:val="11"/>
          <w:u w:val="single" w:color="auto"/>
          <w:color w:val="0000FF"/>
        </w:rPr>
      </w:pPr>
    </w:p>
    <w:p>
      <w:pPr>
        <w:ind w:left="40"/>
        <w:spacing w:after="0"/>
        <w:tabs>
          <w:tab w:leader="none" w:pos="440" w:val="left"/>
        </w:tabs>
        <w:rPr>
          <w:sz w:val="20"/>
          <w:szCs w:val="20"/>
          <w:color w:val="auto"/>
        </w:rPr>
      </w:pPr>
      <w:r>
        <w:rPr>
          <w:rFonts w:ascii="Times New Roman" w:cs="Times New Roman" w:eastAsia="Times New Roman" w:hAnsi="Times New Roman"/>
          <w:sz w:val="11"/>
          <w:szCs w:val="11"/>
          <w:color w:val="auto"/>
        </w:rPr>
        <w:t>101</w:t>
      </w:r>
      <w:r>
        <w:rPr>
          <w:sz w:val="20"/>
          <w:szCs w:val="20"/>
          <w:color w:val="auto"/>
        </w:rPr>
        <w:tab/>
      </w:r>
      <w:r>
        <w:rPr>
          <w:rFonts w:ascii="Times New Roman" w:cs="Times New Roman" w:eastAsia="Times New Roman" w:hAnsi="Times New Roman"/>
          <w:sz w:val="11"/>
          <w:szCs w:val="11"/>
          <w:color w:val="auto"/>
        </w:rPr>
        <w:t>Interactive Data Files (Inline XBRL – Related Documents).</w:t>
      </w:r>
    </w:p>
    <w:p>
      <w:pPr>
        <w:spacing w:after="0" w:line="258" w:lineRule="exact"/>
        <w:rPr>
          <w:rFonts w:ascii="Times New Roman" w:cs="Times New Roman" w:eastAsia="Times New Roman" w:hAnsi="Times New Roman"/>
          <w:sz w:val="11"/>
          <w:szCs w:val="11"/>
          <w:u w:val="single" w:color="auto"/>
          <w:color w:val="0000FF"/>
        </w:rPr>
      </w:pPr>
    </w:p>
    <w:p>
      <w:pPr>
        <w:ind w:left="460" w:right="520" w:hanging="410"/>
        <w:spacing w:after="0" w:line="309" w:lineRule="auto"/>
        <w:tabs>
          <w:tab w:leader="none" w:pos="460" w:val="left"/>
        </w:tabs>
        <w:numPr>
          <w:ilvl w:val="0"/>
          <w:numId w:val="160"/>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Cover Page Interactive Data File (formatted as inline XBRL and contained in Exhibit 101).</w:t>
      </w: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00" w:lineRule="exact"/>
        <w:rPr>
          <w:rFonts w:ascii="Times New Roman" w:cs="Times New Roman" w:eastAsia="Times New Roman" w:hAnsi="Times New Roman"/>
          <w:sz w:val="11"/>
          <w:szCs w:val="11"/>
          <w:u w:val="single" w:color="auto"/>
          <w:color w:val="0000FF"/>
        </w:rPr>
      </w:pPr>
    </w:p>
    <w:p>
      <w:pPr>
        <w:spacing w:after="0" w:line="262" w:lineRule="exact"/>
        <w:rPr>
          <w:rFonts w:ascii="Times New Roman" w:cs="Times New Roman" w:eastAsia="Times New Roman" w:hAnsi="Times New Roman"/>
          <w:sz w:val="11"/>
          <w:szCs w:val="11"/>
          <w:u w:val="single" w:color="auto"/>
          <w:color w:val="0000FF"/>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rFonts w:ascii="Times New Roman" w:cs="Times New Roman" w:eastAsia="Times New Roman" w:hAnsi="Times New Roman"/>
          <w:sz w:val="11"/>
          <w:szCs w:val="11"/>
          <w:u w:val="single" w:color="auto"/>
          <w:color w:val="0000FF"/>
        </w:rPr>
      </w:pPr>
      <w:r>
        <w:rPr>
          <w:rFonts w:ascii="Times New Roman" w:cs="Times New Roman" w:eastAsia="Times New Roman" w:hAnsi="Times New Roman"/>
          <w:sz w:val="11"/>
          <w:szCs w:val="11"/>
          <w:u w:val="single" w:color="auto"/>
          <w:color w:val="0000FF"/>
        </w:rPr>
        <w:br w:type="column"/>
      </w:r>
    </w:p>
    <w:p>
      <w:pPr>
        <w:spacing w:after="0" w:line="1" w:lineRule="exact"/>
        <w:rPr>
          <w:rFonts w:ascii="Times New Roman" w:cs="Times New Roman" w:eastAsia="Times New Roman" w:hAnsi="Times New Roman"/>
          <w:sz w:val="1"/>
          <w:szCs w:val="1"/>
          <w:u w:val="single" w:color="auto"/>
          <w:color w:val="0000FF"/>
        </w:rPr>
      </w:pPr>
    </w:p>
    <w:tbl>
      <w:tblPr>
        <w:tblLayout w:type="fixed"/>
        <w:tblInd w:w="0" w:type="dxa"/>
        <w:tblCellMar>
          <w:top w:w="0" w:type="dxa"/>
          <w:left w:w="0" w:type="dxa"/>
          <w:bottom w:w="0" w:type="dxa"/>
          <w:right w:w="0" w:type="dxa"/>
        </w:tblCellMar>
      </w:tblPr>
      <w:tr>
        <w:trPr>
          <w:trHeight w:val="111"/>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005AFF"/>
              </w:rPr>
              <w:t>Other</w:t>
            </w:r>
          </w:p>
        </w:tc>
        <w:tc>
          <w:tcPr>
            <w:tcW w:w="21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208</w:t>
            </w:r>
          </w:p>
        </w:tc>
        <w:tc>
          <w:tcPr>
            <w:tcW w:w="0" w:type="dxa"/>
            <w:vAlign w:val="bottom"/>
          </w:tcPr>
          <w:p>
            <w:pPr>
              <w:spacing w:after="0"/>
              <w:rPr>
                <w:sz w:val="1"/>
                <w:szCs w:val="1"/>
                <w:color w:val="auto"/>
              </w:rPr>
            </w:pPr>
          </w:p>
        </w:tc>
      </w:tr>
      <w:tr>
        <w:trPr>
          <w:trHeight w:val="130"/>
        </w:trPr>
        <w:tc>
          <w:tcPr>
            <w:tcW w:w="2360" w:type="dxa"/>
            <w:vAlign w:val="bottom"/>
          </w:tcPr>
          <w:p>
            <w:pPr>
              <w:spacing w:after="0"/>
              <w:rPr>
                <w:sz w:val="20"/>
                <w:szCs w:val="20"/>
                <w:color w:val="auto"/>
              </w:rPr>
            </w:pPr>
            <w:r>
              <w:rPr>
                <w:rFonts w:ascii="Times New Roman" w:cs="Times New Roman" w:eastAsia="Times New Roman" w:hAnsi="Times New Roman"/>
                <w:sz w:val="9"/>
                <w:szCs w:val="9"/>
                <w:color w:val="005AFF"/>
              </w:rPr>
              <w:t>information</w:t>
            </w:r>
          </w:p>
        </w:tc>
        <w:tc>
          <w:tcPr>
            <w:tcW w:w="21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bl>
    <w:p>
      <w:pPr>
        <w:sectPr>
          <w:pgSz w:w="11900" w:h="16838" w:orient="portrait"/>
          <w:cols w:equalWidth="0" w:num="2">
            <w:col w:w="4880" w:space="620"/>
            <w:col w:w="4480"/>
          </w:cols>
          <w:pgMar w:left="960" w:top="410" w:right="959" w:bottom="1440" w:gutter="0" w:footer="0" w:header="0"/>
        </w:sectPr>
      </w:pPr>
    </w:p>
    <w:bookmarkStart w:id="216" w:name="page217"/>
    <w:bookmarkEnd w:id="216"/>
    <w:p>
      <w:pPr>
        <w:spacing w:after="0" w:line="1"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9">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Other</w:t>
            </w:r>
          </w:p>
        </w:tc>
        <w:tc>
          <w:tcPr>
            <w:tcW w:w="39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209</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information</w:t>
            </w:r>
          </w:p>
        </w:tc>
        <w:tc>
          <w:tcPr>
            <w:tcW w:w="39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280" w:type="dxa"/>
            <w:vAlign w:val="bottom"/>
          </w:tcPr>
          <w:p>
            <w:pPr>
              <w:spacing w:after="0"/>
              <w:rPr>
                <w:sz w:val="3"/>
                <w:szCs w:val="3"/>
                <w:color w:val="auto"/>
              </w:rPr>
            </w:pPr>
          </w:p>
        </w:tc>
        <w:tc>
          <w:tcPr>
            <w:tcW w:w="580" w:type="dxa"/>
            <w:vAlign w:val="bottom"/>
            <w:tcBorders>
              <w:bottom w:val="single" w:sz="8" w:color="005AFF"/>
            </w:tcBorders>
          </w:tcPr>
          <w:p>
            <w:pPr>
              <w:spacing w:after="0"/>
              <w:rPr>
                <w:sz w:val="3"/>
                <w:szCs w:val="3"/>
                <w:color w:val="auto"/>
              </w:rPr>
            </w:pPr>
          </w:p>
        </w:tc>
        <w:tc>
          <w:tcPr>
            <w:tcW w:w="39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Glossary</w:t>
      </w:r>
    </w:p>
    <w:p>
      <w:pPr>
        <w:sectPr>
          <w:pgSz w:w="11900" w:h="16838" w:orient="portrait"/>
          <w:cols w:equalWidth="0" w:num="1">
            <w:col w:w="9980"/>
          </w:cols>
          <w:pgMar w:left="960" w:top="410" w:right="959" w:bottom="1440" w:gutter="0" w:footer="0" w:header="0"/>
        </w:sectPr>
      </w:pP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Glossary</w:t>
      </w:r>
    </w:p>
    <w:p>
      <w:pPr>
        <w:spacing w:after="0" w:line="44" w:lineRule="exact"/>
        <w:rPr>
          <w:sz w:val="20"/>
          <w:szCs w:val="20"/>
          <w:color w:val="auto"/>
        </w:rPr>
      </w:pPr>
    </w:p>
    <w:p>
      <w:pPr>
        <w:spacing w:after="0"/>
        <w:tabs>
          <w:tab w:leader="none" w:pos="2580" w:val="left"/>
        </w:tabs>
        <w:rPr>
          <w:sz w:val="20"/>
          <w:szCs w:val="20"/>
          <w:color w:val="auto"/>
        </w:rPr>
      </w:pPr>
      <w:r>
        <w:rPr>
          <w:rFonts w:ascii="Times New Roman" w:cs="Times New Roman" w:eastAsia="Times New Roman" w:hAnsi="Times New Roman"/>
          <w:sz w:val="11"/>
          <w:szCs w:val="11"/>
          <w:b w:val="1"/>
          <w:bCs w:val="1"/>
          <w:color w:val="auto"/>
        </w:rPr>
        <w:t>2G (Second Generation Mobile Communications):</w:t>
      </w:r>
      <w:r>
        <w:rPr>
          <w:sz w:val="20"/>
          <w:szCs w:val="20"/>
          <w:color w:val="auto"/>
        </w:rPr>
        <w:tab/>
      </w:r>
      <w:r>
        <w:rPr>
          <w:rFonts w:ascii="Times New Roman" w:cs="Times New Roman" w:eastAsia="Times New Roman" w:hAnsi="Times New Roman"/>
          <w:sz w:val="11"/>
          <w:szCs w:val="11"/>
          <w:color w:val="auto"/>
        </w:rPr>
        <w:t>Also known</w:t>
      </w:r>
    </w:p>
    <w:p>
      <w:pPr>
        <w:spacing w:after="0" w:line="19" w:lineRule="exact"/>
        <w:rPr>
          <w:sz w:val="20"/>
          <w:szCs w:val="20"/>
          <w:color w:val="auto"/>
        </w:rPr>
      </w:pPr>
    </w:p>
    <w:p>
      <w:pPr>
        <w:ind w:right="180"/>
        <w:spacing w:after="0" w:line="268" w:lineRule="auto"/>
        <w:rPr>
          <w:sz w:val="20"/>
          <w:szCs w:val="20"/>
          <w:color w:val="auto"/>
        </w:rPr>
      </w:pPr>
      <w:r>
        <w:rPr>
          <w:rFonts w:ascii="Times New Roman" w:cs="Times New Roman" w:eastAsia="Times New Roman" w:hAnsi="Times New Roman"/>
          <w:sz w:val="11"/>
          <w:szCs w:val="11"/>
          <w:color w:val="auto"/>
        </w:rPr>
        <w:t>as GSM (Global System for Mobile Communications): A digital system for mobile communications that is based on a widely-accepted standard and typically operates in the 900 MHz, 1800 MHz and 1900 MHz frequency bands.</w:t>
      </w:r>
    </w:p>
    <w:p>
      <w:pPr>
        <w:spacing w:after="0" w:line="58" w:lineRule="exact"/>
        <w:rPr>
          <w:sz w:val="20"/>
          <w:szCs w:val="20"/>
          <w:color w:val="auto"/>
        </w:rPr>
      </w:pPr>
    </w:p>
    <w:p>
      <w:pPr>
        <w:ind w:right="24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3G (Third Generation Mobile Communications): </w:t>
      </w:r>
      <w:r>
        <w:rPr>
          <w:rFonts w:ascii="Times New Roman" w:cs="Times New Roman" w:eastAsia="Times New Roman" w:hAnsi="Times New Roman"/>
          <w:sz w:val="11"/>
          <w:szCs w:val="11"/>
          <w:color w:val="auto"/>
        </w:rPr>
        <w:t>The third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generation of mobile communications standards designed for carrying both voice and data generally using WCDMA or close variants. See also WCDMA.</w:t>
      </w:r>
    </w:p>
    <w:p>
      <w:pPr>
        <w:spacing w:after="0" w:line="58" w:lineRule="exact"/>
        <w:rPr>
          <w:sz w:val="20"/>
          <w:szCs w:val="20"/>
          <w:color w:val="auto"/>
        </w:rPr>
      </w:pPr>
    </w:p>
    <w:p>
      <w:pPr>
        <w:spacing w:after="0"/>
        <w:tabs>
          <w:tab w:leader="none" w:pos="2600" w:val="left"/>
        </w:tabs>
        <w:rPr>
          <w:sz w:val="20"/>
          <w:szCs w:val="20"/>
          <w:color w:val="auto"/>
        </w:rPr>
      </w:pPr>
      <w:r>
        <w:rPr>
          <w:rFonts w:ascii="Times New Roman" w:cs="Times New Roman" w:eastAsia="Times New Roman" w:hAnsi="Times New Roman"/>
          <w:sz w:val="11"/>
          <w:szCs w:val="11"/>
          <w:b w:val="1"/>
          <w:bCs w:val="1"/>
          <w:color w:val="auto"/>
        </w:rPr>
        <w:t>3GPP (The Third Generation Partnership Project):</w:t>
      </w:r>
      <w:r>
        <w:rPr>
          <w:sz w:val="20"/>
          <w:szCs w:val="20"/>
          <w:color w:val="auto"/>
        </w:rPr>
        <w:tab/>
      </w:r>
      <w:r>
        <w:rPr>
          <w:rFonts w:ascii="Times New Roman" w:cs="Times New Roman" w:eastAsia="Times New Roman" w:hAnsi="Times New Roman"/>
          <w:sz w:val="11"/>
          <w:szCs w:val="11"/>
          <w:color w:val="auto"/>
        </w:rPr>
        <w:t>A</w:t>
      </w:r>
    </w:p>
    <w:p>
      <w:pPr>
        <w:spacing w:after="0" w:line="24" w:lineRule="exact"/>
        <w:rPr>
          <w:sz w:val="20"/>
          <w:szCs w:val="20"/>
          <w:color w:val="auto"/>
        </w:rPr>
      </w:pPr>
    </w:p>
    <w:p>
      <w:pPr>
        <w:ind w:right="20"/>
        <w:spacing w:after="0" w:line="259" w:lineRule="auto"/>
        <w:rPr>
          <w:sz w:val="20"/>
          <w:szCs w:val="20"/>
          <w:color w:val="auto"/>
        </w:rPr>
      </w:pPr>
      <w:r>
        <w:rPr>
          <w:rFonts w:ascii="Times New Roman" w:cs="Times New Roman" w:eastAsia="Times New Roman" w:hAnsi="Times New Roman"/>
          <w:sz w:val="11"/>
          <w:szCs w:val="11"/>
          <w:color w:val="auto"/>
        </w:rPr>
        <w:t>consortium comprising several standards organization s which develop protocols for mobile telecommunications . The initial</w:t>
      </w:r>
    </w:p>
    <w:tbl>
      <w:tblPr>
        <w:tblLayout w:type="fixed"/>
        <w:tblInd w:w="0" w:type="dxa"/>
        <w:tblCellMar>
          <w:top w:w="0" w:type="dxa"/>
          <w:left w:w="0" w:type="dxa"/>
          <w:bottom w:w="0" w:type="dxa"/>
          <w:right w:w="0" w:type="dxa"/>
        </w:tblCellMar>
      </w:tblPr>
      <w:tr>
        <w:trPr>
          <w:trHeight w:val="137"/>
        </w:trPr>
        <w:tc>
          <w:tcPr>
            <w:tcW w:w="2740" w:type="dxa"/>
            <w:vAlign w:val="bottom"/>
          </w:tcPr>
          <w:p>
            <w:pPr>
              <w:spacing w:after="0"/>
              <w:rPr>
                <w:sz w:val="20"/>
                <w:szCs w:val="20"/>
                <w:color w:val="auto"/>
              </w:rPr>
            </w:pPr>
            <w:r>
              <w:rPr>
                <w:rFonts w:ascii="Times New Roman" w:cs="Times New Roman" w:eastAsia="Times New Roman" w:hAnsi="Times New Roman"/>
                <w:sz w:val="11"/>
                <w:szCs w:val="11"/>
                <w:color w:val="auto"/>
              </w:rPr>
              <w:t>goal was to develop a global technical specification for a</w:t>
            </w:r>
          </w:p>
        </w:tc>
        <w:tc>
          <w:tcPr>
            <w:tcW w:w="280" w:type="dxa"/>
            <w:vAlign w:val="bottom"/>
          </w:tcPr>
          <w:p>
            <w:pPr>
              <w:ind w:left="140"/>
              <w:spacing w:after="0"/>
              <w:rPr>
                <w:sz w:val="20"/>
                <w:szCs w:val="20"/>
                <w:color w:val="auto"/>
              </w:rPr>
            </w:pPr>
            <w:r>
              <w:rPr>
                <w:rFonts w:ascii="Times New Roman" w:cs="Times New Roman" w:eastAsia="Times New Roman" w:hAnsi="Times New Roman"/>
                <w:sz w:val="11"/>
                <w:szCs w:val="11"/>
                <w:color w:val="auto"/>
                <w:w w:val="88"/>
              </w:rPr>
              <w:t>3G</w:t>
            </w:r>
          </w:p>
        </w:tc>
      </w:tr>
    </w:tbl>
    <w:p>
      <w:pPr>
        <w:ind w:right="360"/>
        <w:spacing w:after="0" w:line="286" w:lineRule="auto"/>
        <w:rPr>
          <w:sz w:val="20"/>
          <w:szCs w:val="20"/>
          <w:color w:val="auto"/>
        </w:rPr>
      </w:pPr>
      <w:r>
        <w:rPr>
          <w:rFonts w:ascii="Times New Roman" w:cs="Times New Roman" w:eastAsia="Times New Roman" w:hAnsi="Times New Roman"/>
          <w:sz w:val="11"/>
          <w:szCs w:val="11"/>
          <w:color w:val="auto"/>
        </w:rPr>
        <w:t>mobile phone system. Since then, the operations have been extended and today the main focus is on 5G networks.</w:t>
      </w:r>
    </w:p>
    <w:p>
      <w:pPr>
        <w:spacing w:after="0" w:line="49" w:lineRule="exact"/>
        <w:rPr>
          <w:sz w:val="20"/>
          <w:szCs w:val="20"/>
          <w:color w:val="auto"/>
        </w:rPr>
      </w:pPr>
    </w:p>
    <w:p>
      <w:pPr>
        <w:ind w:right="10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4G (Fourth Generation Mobile Communications): </w:t>
      </w:r>
      <w:r>
        <w:rPr>
          <w:rFonts w:ascii="Times New Roman" w:cs="Times New Roman" w:eastAsia="Times New Roman" w:hAnsi="Times New Roman"/>
          <w:sz w:val="11"/>
          <w:szCs w:val="11"/>
          <w:color w:val="auto"/>
        </w:rPr>
        <w:t>The fourth</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generation of mobile communications standards based on LTE, offering IP data connections only and providing true broadband internet access for mobile devices. See also LTE.</w:t>
      </w:r>
    </w:p>
    <w:p>
      <w:pPr>
        <w:spacing w:after="0" w:line="58" w:lineRule="exact"/>
        <w:rPr>
          <w:sz w:val="20"/>
          <w:szCs w:val="20"/>
          <w:color w:val="auto"/>
        </w:rPr>
      </w:pPr>
    </w:p>
    <w:p>
      <w:pPr>
        <w:spacing w:after="0"/>
        <w:tabs>
          <w:tab w:leader="none" w:pos="2440" w:val="left"/>
        </w:tabs>
        <w:rPr>
          <w:sz w:val="20"/>
          <w:szCs w:val="20"/>
          <w:color w:val="auto"/>
        </w:rPr>
      </w:pPr>
      <w:r>
        <w:rPr>
          <w:rFonts w:ascii="Times New Roman" w:cs="Times New Roman" w:eastAsia="Times New Roman" w:hAnsi="Times New Roman"/>
          <w:sz w:val="11"/>
          <w:szCs w:val="11"/>
          <w:b w:val="1"/>
          <w:bCs w:val="1"/>
          <w:color w:val="auto"/>
        </w:rPr>
        <w:t>5G (Fifth Generation Mobile Communications):</w:t>
      </w:r>
      <w:r>
        <w:rPr>
          <w:sz w:val="20"/>
          <w:szCs w:val="20"/>
          <w:color w:val="auto"/>
        </w:rPr>
        <w:tab/>
      </w:r>
      <w:r>
        <w:rPr>
          <w:rFonts w:ascii="Times New Roman" w:cs="Times New Roman" w:eastAsia="Times New Roman" w:hAnsi="Times New Roman"/>
          <w:sz w:val="11"/>
          <w:szCs w:val="11"/>
          <w:color w:val="auto"/>
        </w:rPr>
        <w:t>The next</w:t>
      </w:r>
    </w:p>
    <w:p>
      <w:pPr>
        <w:spacing w:after="0" w:line="24" w:lineRule="exact"/>
        <w:rPr>
          <w:sz w:val="20"/>
          <w:szCs w:val="20"/>
          <w:color w:val="auto"/>
        </w:rPr>
      </w:pPr>
    </w:p>
    <w:p>
      <w:pPr>
        <w:ind w:right="300"/>
        <w:spacing w:after="0" w:line="266" w:lineRule="auto"/>
        <w:rPr>
          <w:sz w:val="20"/>
          <w:szCs w:val="20"/>
          <w:color w:val="auto"/>
        </w:rPr>
      </w:pPr>
      <w:r>
        <w:rPr>
          <w:rFonts w:ascii="Times New Roman" w:cs="Times New Roman" w:eastAsia="Times New Roman" w:hAnsi="Times New Roman"/>
          <w:sz w:val="11"/>
          <w:szCs w:val="11"/>
          <w:color w:val="auto"/>
        </w:rPr>
        <w:t>major phase of mobile telecommunications standards. 5G is a complete redesign of network architecture with the flexibility and agility to support upcoming service opportunities. It delivers higher speeds, higher capacity, extremely low latency and greater reliability.</w:t>
      </w:r>
    </w:p>
    <w:p>
      <w:pPr>
        <w:spacing w:after="0" w:line="59" w:lineRule="exact"/>
        <w:rPr>
          <w:sz w:val="20"/>
          <w:szCs w:val="20"/>
          <w:color w:val="auto"/>
        </w:rPr>
      </w:pPr>
    </w:p>
    <w:p>
      <w:pPr>
        <w:ind w:right="120"/>
        <w:spacing w:after="0" w:line="267" w:lineRule="auto"/>
        <w:rPr>
          <w:sz w:val="20"/>
          <w:szCs w:val="20"/>
          <w:color w:val="auto"/>
        </w:rPr>
      </w:pPr>
      <w:r>
        <w:rPr>
          <w:rFonts w:ascii="Times New Roman" w:cs="Times New Roman" w:eastAsia="Times New Roman" w:hAnsi="Times New Roman"/>
          <w:sz w:val="11"/>
          <w:szCs w:val="11"/>
          <w:b w:val="1"/>
          <w:bCs w:val="1"/>
          <w:color w:val="auto"/>
        </w:rPr>
        <w:t xml:space="preserve">6G (Sixth Generation Mobile Communications): </w:t>
      </w:r>
      <w:r>
        <w:rPr>
          <w:rFonts w:ascii="Times New Roman" w:cs="Times New Roman" w:eastAsia="Times New Roman" w:hAnsi="Times New Roman"/>
          <w:sz w:val="11"/>
          <w:szCs w:val="11"/>
          <w:color w:val="auto"/>
        </w:rPr>
        <w:t>The cellular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industry introduces a new generation about every ten years.</w:t>
      </w:r>
    </w:p>
    <w:p>
      <w:pPr>
        <w:ind w:right="660"/>
        <w:spacing w:after="0" w:line="278" w:lineRule="auto"/>
        <w:rPr>
          <w:sz w:val="20"/>
          <w:szCs w:val="20"/>
          <w:color w:val="auto"/>
        </w:rPr>
      </w:pPr>
      <w:r>
        <w:rPr>
          <w:rFonts w:ascii="Times New Roman" w:cs="Times New Roman" w:eastAsia="Times New Roman" w:hAnsi="Times New Roman"/>
          <w:sz w:val="11"/>
          <w:szCs w:val="11"/>
          <w:color w:val="auto"/>
        </w:rPr>
        <w:t>The next generation of technology is expected to be introduced by 2030 and is generally referred to as 6G.</w:t>
      </w:r>
    </w:p>
    <w:p>
      <w:pPr>
        <w:spacing w:after="0" w:line="52" w:lineRule="exact"/>
        <w:rPr>
          <w:sz w:val="20"/>
          <w:szCs w:val="20"/>
          <w:color w:val="auto"/>
        </w:rPr>
      </w:pPr>
    </w:p>
    <w:p>
      <w:pPr>
        <w:ind w:right="40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Access network: </w:t>
      </w:r>
      <w:r>
        <w:rPr>
          <w:rFonts w:ascii="Times New Roman" w:cs="Times New Roman" w:eastAsia="Times New Roman" w:hAnsi="Times New Roman"/>
          <w:sz w:val="11"/>
          <w:szCs w:val="11"/>
          <w:color w:val="auto"/>
        </w:rPr>
        <w:t>A telecommunications network between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 local exchange and the subscriber station.</w:t>
      </w:r>
    </w:p>
    <w:p>
      <w:pPr>
        <w:spacing w:after="0" w:line="24" w:lineRule="exact"/>
        <w:rPr>
          <w:sz w:val="20"/>
          <w:szCs w:val="20"/>
          <w:color w:val="auto"/>
        </w:rPr>
      </w:pPr>
    </w:p>
    <w:p>
      <w:pPr>
        <w:ind w:right="260"/>
        <w:spacing w:after="0" w:line="279" w:lineRule="auto"/>
        <w:rPr>
          <w:sz w:val="20"/>
          <w:szCs w:val="20"/>
          <w:color w:val="auto"/>
        </w:rPr>
      </w:pPr>
      <w:r>
        <w:rPr>
          <w:rFonts w:ascii="Times New Roman" w:cs="Times New Roman" w:eastAsia="Times New Roman" w:hAnsi="Times New Roman"/>
          <w:sz w:val="11"/>
          <w:szCs w:val="11"/>
          <w:b w:val="1"/>
          <w:bCs w:val="1"/>
          <w:color w:val="auto"/>
        </w:rPr>
        <w:t xml:space="preserve">Airframe: </w:t>
      </w:r>
      <w:r>
        <w:rPr>
          <w:rFonts w:ascii="Times New Roman" w:cs="Times New Roman" w:eastAsia="Times New Roman" w:hAnsi="Times New Roman"/>
          <w:sz w:val="11"/>
          <w:szCs w:val="11"/>
          <w:color w:val="auto"/>
        </w:rPr>
        <w:t>Our 5G-ready, end-to-end data center solution that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combines the benefits of cloud computing technologies with the requirements of the core and radio telecommunications world. It is available in Rackmount and Open Compute Project (OCP) form factors. This enables the solution to be very scalable: from small distributed latency-optimized data centers to massive centralized hyperscale data center deployment.</w:t>
      </w:r>
    </w:p>
    <w:p>
      <w:pPr>
        <w:spacing w:after="0" w:line="200" w:lineRule="exact"/>
        <w:rPr>
          <w:sz w:val="20"/>
          <w:szCs w:val="20"/>
          <w:color w:val="auto"/>
        </w:rPr>
      </w:pPr>
    </w:p>
    <w:p>
      <w:pPr>
        <w:spacing w:after="0" w:line="27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ind w:right="4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AirScale Radio Access: </w:t>
      </w:r>
      <w:r>
        <w:rPr>
          <w:rFonts w:ascii="Times New Roman" w:cs="Times New Roman" w:eastAsia="Times New Roman" w:hAnsi="Times New Roman"/>
          <w:sz w:val="11"/>
          <w:szCs w:val="11"/>
          <w:color w:val="auto"/>
        </w:rPr>
        <w:t>A 5G-ready complete radio access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generation that helps operators address the increasing demands of today and tomorrow. The solution comprises: Nokia AirScale Base Station with multiband radio frequency elements and system modules; Nokia AirScale Active Antennas; Cloud RAN with Nokia AirScale Cloud Base Station Server and the cloud-based AirScale RNC (Radio Network Controller) for 3G; Nokia AirScale Wi-Fi; common software; and services which use intelligent analytics and extreme automation to maximize the performance of hybrid networks.</w:t>
      </w:r>
    </w:p>
    <w:p>
      <w:pPr>
        <w:spacing w:after="0" w:line="57" w:lineRule="exact"/>
        <w:rPr>
          <w:sz w:val="20"/>
          <w:szCs w:val="20"/>
          <w:color w:val="auto"/>
        </w:rPr>
      </w:pPr>
    </w:p>
    <w:p>
      <w:pPr>
        <w:ind w:right="24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Alcatel-Lucent: </w:t>
      </w:r>
      <w:r>
        <w:rPr>
          <w:rFonts w:ascii="Times New Roman" w:cs="Times New Roman" w:eastAsia="Times New Roman" w:hAnsi="Times New Roman"/>
          <w:sz w:val="11"/>
          <w:szCs w:val="11"/>
          <w:color w:val="auto"/>
        </w:rPr>
        <w:t>Alcatel-Lucent Group, that has been part of</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the Nokia Group since 2016.</w:t>
      </w:r>
    </w:p>
    <w:p>
      <w:pPr>
        <w:spacing w:after="0" w:line="24" w:lineRule="exact"/>
        <w:rPr>
          <w:sz w:val="20"/>
          <w:szCs w:val="20"/>
          <w:color w:val="auto"/>
        </w:rPr>
      </w:pPr>
    </w:p>
    <w:p>
      <w:pPr>
        <w:ind w:right="20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Anyhaul: </w:t>
      </w:r>
      <w:r>
        <w:rPr>
          <w:rFonts w:ascii="Times New Roman" w:cs="Times New Roman" w:eastAsia="Times New Roman" w:hAnsi="Times New Roman"/>
          <w:sz w:val="11"/>
          <w:szCs w:val="11"/>
          <w:color w:val="auto"/>
        </w:rPr>
        <w:t>Mobile transport solution for 5G networks covering</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microwave, IP, optical and broadband.</w:t>
      </w:r>
    </w:p>
    <w:p>
      <w:pPr>
        <w:spacing w:after="0" w:line="44" w:lineRule="exact"/>
        <w:rPr>
          <w:sz w:val="20"/>
          <w:szCs w:val="20"/>
          <w:color w:val="auto"/>
        </w:rPr>
      </w:pPr>
    </w:p>
    <w:p>
      <w:pPr>
        <w:ind w:right="280"/>
        <w:spacing w:after="0" w:line="279" w:lineRule="auto"/>
        <w:rPr>
          <w:sz w:val="20"/>
          <w:szCs w:val="20"/>
          <w:color w:val="auto"/>
        </w:rPr>
      </w:pPr>
      <w:r>
        <w:rPr>
          <w:rFonts w:ascii="Times New Roman" w:cs="Times New Roman" w:eastAsia="Times New Roman" w:hAnsi="Times New Roman"/>
          <w:sz w:val="11"/>
          <w:szCs w:val="11"/>
          <w:b w:val="1"/>
          <w:bCs w:val="1"/>
          <w:color w:val="auto"/>
        </w:rPr>
        <w:t xml:space="preserve">Artificial Intelligence (AI): </w:t>
      </w:r>
      <w:r>
        <w:rPr>
          <w:rFonts w:ascii="Times New Roman" w:cs="Times New Roman" w:eastAsia="Times New Roman" w:hAnsi="Times New Roman"/>
          <w:sz w:val="11"/>
          <w:szCs w:val="11"/>
          <w:color w:val="auto"/>
        </w:rPr>
        <w:t>Autonomous and adaptive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intelligence of machines, where machines have the ability to perform tasks in complex environments without constant guidance by a user and have the ability to improve performance by learning from experience.</w:t>
      </w:r>
    </w:p>
    <w:p>
      <w:pPr>
        <w:spacing w:after="0" w:line="54" w:lineRule="exact"/>
        <w:rPr>
          <w:sz w:val="20"/>
          <w:szCs w:val="20"/>
          <w:color w:val="auto"/>
        </w:rPr>
      </w:pPr>
    </w:p>
    <w:p>
      <w:pPr>
        <w:ind w:right="30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Bandwidth: </w:t>
      </w:r>
      <w:r>
        <w:rPr>
          <w:rFonts w:ascii="Times New Roman" w:cs="Times New Roman" w:eastAsia="Times New Roman" w:hAnsi="Times New Roman"/>
          <w:sz w:val="11"/>
          <w:szCs w:val="11"/>
          <w:color w:val="auto"/>
        </w:rPr>
        <w:t>The width of a communication channel, which</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affects transmission speeds over that channel.</w:t>
      </w:r>
    </w:p>
    <w:p>
      <w:pPr>
        <w:spacing w:after="0" w:line="44" w:lineRule="exact"/>
        <w:rPr>
          <w:sz w:val="20"/>
          <w:szCs w:val="20"/>
          <w:color w:val="auto"/>
        </w:rPr>
      </w:pPr>
    </w:p>
    <w:p>
      <w:pPr>
        <w:ind w:right="36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Base station: </w:t>
      </w:r>
      <w:r>
        <w:rPr>
          <w:rFonts w:ascii="Times New Roman" w:cs="Times New Roman" w:eastAsia="Times New Roman" w:hAnsi="Times New Roman"/>
          <w:sz w:val="11"/>
          <w:szCs w:val="11"/>
          <w:color w:val="auto"/>
        </w:rPr>
        <w:t>A network element in a mobile network</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responsible for radio transmission and reception to or from the mobile station.</w:t>
      </w:r>
    </w:p>
    <w:p>
      <w:pPr>
        <w:spacing w:after="0" w:line="41" w:lineRule="exact"/>
        <w:rPr>
          <w:sz w:val="20"/>
          <w:szCs w:val="20"/>
          <w:color w:val="auto"/>
        </w:rPr>
      </w:pPr>
    </w:p>
    <w:p>
      <w:pPr>
        <w:ind w:right="46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Broadband: </w:t>
      </w:r>
      <w:r>
        <w:rPr>
          <w:rFonts w:ascii="Times New Roman" w:cs="Times New Roman" w:eastAsia="Times New Roman" w:hAnsi="Times New Roman"/>
          <w:sz w:val="11"/>
          <w:szCs w:val="11"/>
          <w:color w:val="auto"/>
        </w:rPr>
        <w:t>The delivery of higher bandwidth by using</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transmission channels capable of supporting data rates greater than the primary rate of 9.6 Kbps.</w:t>
      </w:r>
    </w:p>
    <w:p>
      <w:pPr>
        <w:spacing w:after="0" w:line="35" w:lineRule="exact"/>
        <w:rPr>
          <w:sz w:val="20"/>
          <w:szCs w:val="20"/>
          <w:color w:val="auto"/>
        </w:rPr>
      </w:pPr>
    </w:p>
    <w:p>
      <w:pPr>
        <w:ind w:right="22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Churn: </w:t>
      </w:r>
      <w:r>
        <w:rPr>
          <w:rFonts w:ascii="Times New Roman" w:cs="Times New Roman" w:eastAsia="Times New Roman" w:hAnsi="Times New Roman"/>
          <w:sz w:val="11"/>
          <w:szCs w:val="11"/>
          <w:color w:val="auto"/>
        </w:rPr>
        <w:t>A measure of the number of customers or subscribers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who leave their service provider, e.g., a mobile operator, during a given time period.</w:t>
      </w:r>
    </w:p>
    <w:p>
      <w:pPr>
        <w:spacing w:after="0" w:line="51" w:lineRule="exact"/>
        <w:rPr>
          <w:sz w:val="20"/>
          <w:szCs w:val="20"/>
          <w:color w:val="auto"/>
        </w:rPr>
      </w:pPr>
    </w:p>
    <w:p>
      <w:pPr>
        <w:ind w:right="26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Cloud: </w:t>
      </w:r>
      <w:r>
        <w:rPr>
          <w:rFonts w:ascii="Times New Roman" w:cs="Times New Roman" w:eastAsia="Times New Roman" w:hAnsi="Times New Roman"/>
          <w:sz w:val="11"/>
          <w:szCs w:val="11"/>
          <w:color w:val="auto"/>
        </w:rPr>
        <w:t>Cloud computing is a model for enabling ubiquitous,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convenient, on-demand network access to a shared pool of configurable computing resources (e.g., networks, servers, storage, applications and services) that can be rapidly provisioned and released with minimal management effort.</w:t>
      </w:r>
    </w:p>
    <w:p>
      <w:pPr>
        <w:spacing w:after="0" w:line="57" w:lineRule="exact"/>
        <w:rPr>
          <w:sz w:val="20"/>
          <w:szCs w:val="20"/>
          <w:color w:val="auto"/>
        </w:rPr>
      </w:pPr>
    </w:p>
    <w:p>
      <w:pPr>
        <w:spacing w:after="0" w:line="272" w:lineRule="auto"/>
        <w:rPr>
          <w:sz w:val="20"/>
          <w:szCs w:val="20"/>
          <w:color w:val="auto"/>
        </w:rPr>
      </w:pPr>
      <w:r>
        <w:rPr>
          <w:rFonts w:ascii="Times New Roman" w:cs="Times New Roman" w:eastAsia="Times New Roman" w:hAnsi="Times New Roman"/>
          <w:sz w:val="11"/>
          <w:szCs w:val="11"/>
          <w:b w:val="1"/>
          <w:bCs w:val="1"/>
          <w:color w:val="auto"/>
        </w:rPr>
        <w:t xml:space="preserve">Cloud and Network Services: </w:t>
      </w:r>
      <w:r>
        <w:rPr>
          <w:rFonts w:ascii="Times New Roman" w:cs="Times New Roman" w:eastAsia="Times New Roman" w:hAnsi="Times New Roman"/>
          <w:sz w:val="11"/>
          <w:szCs w:val="11"/>
          <w:color w:val="auto"/>
        </w:rPr>
        <w:t>Our Cloud and Network Services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business group enables CSPs and enterprises to deploy</w:t>
      </w:r>
    </w:p>
    <w:p>
      <w:pPr>
        <w:ind w:right="440"/>
        <w:spacing w:after="0" w:line="286" w:lineRule="auto"/>
        <w:rPr>
          <w:sz w:val="20"/>
          <w:szCs w:val="20"/>
          <w:color w:val="auto"/>
        </w:rPr>
      </w:pPr>
      <w:r>
        <w:rPr>
          <w:rFonts w:ascii="Times New Roman" w:cs="Times New Roman" w:eastAsia="Times New Roman" w:hAnsi="Times New Roman"/>
          <w:sz w:val="11"/>
          <w:szCs w:val="11"/>
          <w:color w:val="auto"/>
        </w:rPr>
        <w:t>and monetize 5G, cloud-native software and as-a-Service delivery models.</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ind w:right="52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CloudBand: </w:t>
      </w:r>
      <w:r>
        <w:rPr>
          <w:rFonts w:ascii="Times New Roman" w:cs="Times New Roman" w:eastAsia="Times New Roman" w:hAnsi="Times New Roman"/>
          <w:sz w:val="11"/>
          <w:szCs w:val="11"/>
          <w:color w:val="auto"/>
        </w:rPr>
        <w:t>Our cloud management and orchestration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solutions enabling a unified cloud engine and platform for Network Functions Virtualization (NFV). See also NFV.</w:t>
      </w:r>
    </w:p>
    <w:p>
      <w:pPr>
        <w:spacing w:after="0" w:line="35" w:lineRule="exact"/>
        <w:rPr>
          <w:sz w:val="20"/>
          <w:szCs w:val="20"/>
          <w:color w:val="auto"/>
        </w:rPr>
      </w:pPr>
    </w:p>
    <w:p>
      <w:pPr>
        <w:ind w:right="32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Cloud RAN: </w:t>
      </w:r>
      <w:r>
        <w:rPr>
          <w:rFonts w:ascii="Times New Roman" w:cs="Times New Roman" w:eastAsia="Times New Roman" w:hAnsi="Times New Roman"/>
          <w:sz w:val="11"/>
          <w:szCs w:val="11"/>
          <w:color w:val="auto"/>
        </w:rPr>
        <w:t>Cloud RAN refers to all or some of the baseband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functions being run on a commercial off-the-shelf (COTS) computing platform rather than purpose-built hardware.</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Common Software Foundation (CSF):  </w:t>
      </w:r>
      <w:r>
        <w:rPr>
          <w:rFonts w:ascii="Times New Roman" w:cs="Times New Roman" w:eastAsia="Times New Roman" w:hAnsi="Times New Roman"/>
          <w:sz w:val="11"/>
          <w:szCs w:val="11"/>
          <w:color w:val="auto"/>
        </w:rPr>
        <w:t>As a coherent software</w:t>
      </w:r>
    </w:p>
    <w:p>
      <w:pPr>
        <w:spacing w:after="0" w:line="24" w:lineRule="exact"/>
        <w:rPr>
          <w:sz w:val="20"/>
          <w:szCs w:val="20"/>
          <w:color w:val="auto"/>
        </w:rPr>
      </w:pPr>
    </w:p>
    <w:p>
      <w:pPr>
        <w:ind w:right="420"/>
        <w:spacing w:after="0" w:line="312" w:lineRule="auto"/>
        <w:rPr>
          <w:sz w:val="20"/>
          <w:szCs w:val="20"/>
          <w:color w:val="auto"/>
        </w:rPr>
      </w:pPr>
      <w:r>
        <w:rPr>
          <w:rFonts w:ascii="Times New Roman" w:cs="Times New Roman" w:eastAsia="Times New Roman" w:hAnsi="Times New Roman"/>
          <w:sz w:val="10"/>
          <w:szCs w:val="10"/>
          <w:color w:val="auto"/>
        </w:rPr>
        <w:t>suite, Nokia’s cloud-native Common Software Foundation is designed to deliver applications that are hardware- and vendor-agnostic, and easy to deploy, integrate, use and upgrade.</w:t>
      </w:r>
    </w:p>
    <w:p>
      <w:pPr>
        <w:spacing w:after="0" w:line="28" w:lineRule="exact"/>
        <w:rPr>
          <w:sz w:val="20"/>
          <w:szCs w:val="20"/>
          <w:color w:val="auto"/>
        </w:rPr>
      </w:pPr>
    </w:p>
    <w:p>
      <w:pPr>
        <w:ind w:right="180"/>
        <w:spacing w:after="0" w:line="269" w:lineRule="auto"/>
        <w:rPr>
          <w:sz w:val="20"/>
          <w:szCs w:val="20"/>
          <w:color w:val="auto"/>
        </w:rPr>
      </w:pPr>
      <w:r>
        <w:rPr>
          <w:rFonts w:ascii="Times New Roman" w:cs="Times New Roman" w:eastAsia="Times New Roman" w:hAnsi="Times New Roman"/>
          <w:sz w:val="11"/>
          <w:szCs w:val="11"/>
          <w:b w:val="1"/>
          <w:bCs w:val="1"/>
          <w:color w:val="auto"/>
        </w:rPr>
        <w:t xml:space="preserve">Converged core: </w:t>
      </w:r>
      <w:r>
        <w:rPr>
          <w:rFonts w:ascii="Times New Roman" w:cs="Times New Roman" w:eastAsia="Times New Roman" w:hAnsi="Times New Roman"/>
          <w:sz w:val="11"/>
          <w:szCs w:val="11"/>
          <w:color w:val="auto"/>
        </w:rPr>
        <w:t>Wireless and fixed access convergence within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the core. As we move towards a 5G standalone core, service providers will be able to use a common set of control plane functions within the core to manage both wireless and fixed user plane functions. The ability of a unified control plane will simplify operations and provide independent location, scaling and lifecycle management capabilities.</w:t>
      </w:r>
    </w:p>
    <w:p>
      <w:pPr>
        <w:spacing w:after="0" w:line="59" w:lineRule="exact"/>
        <w:rPr>
          <w:sz w:val="20"/>
          <w:szCs w:val="20"/>
          <w:color w:val="auto"/>
        </w:rPr>
      </w:pPr>
    </w:p>
    <w:p>
      <w:pPr>
        <w:ind w:right="24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Convergence: </w:t>
      </w:r>
      <w:r>
        <w:rPr>
          <w:rFonts w:ascii="Times New Roman" w:cs="Times New Roman" w:eastAsia="Times New Roman" w:hAnsi="Times New Roman"/>
          <w:sz w:val="11"/>
          <w:szCs w:val="11"/>
          <w:color w:val="auto"/>
        </w:rPr>
        <w:t>The coming together of two or more disparate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disciplines or technologies. Convergence types are, for example, IP convergence, fixed-mobile convergence and device convergence.</w:t>
      </w:r>
    </w:p>
    <w:p>
      <w:pPr>
        <w:spacing w:after="0" w:line="58" w:lineRule="exact"/>
        <w:rPr>
          <w:sz w:val="20"/>
          <w:szCs w:val="20"/>
          <w:color w:val="auto"/>
        </w:rPr>
      </w:pPr>
    </w:p>
    <w:p>
      <w:pPr>
        <w:ind w:right="46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Core network: </w:t>
      </w:r>
      <w:r>
        <w:rPr>
          <w:rFonts w:ascii="Times New Roman" w:cs="Times New Roman" w:eastAsia="Times New Roman" w:hAnsi="Times New Roman"/>
          <w:sz w:val="11"/>
          <w:szCs w:val="11"/>
          <w:color w:val="auto"/>
        </w:rPr>
        <w:t>A combination of exchanges and the basic</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transmission equipment that together form the basis for network services.</w:t>
      </w:r>
    </w:p>
    <w:p>
      <w:pPr>
        <w:spacing w:after="0" w:line="51" w:lineRule="exact"/>
        <w:rPr>
          <w:sz w:val="20"/>
          <w:szCs w:val="20"/>
          <w:color w:val="auto"/>
        </w:rPr>
      </w:pPr>
    </w:p>
    <w:p>
      <w:pPr>
        <w:ind w:right="500"/>
        <w:spacing w:after="0" w:line="294" w:lineRule="auto"/>
        <w:rPr>
          <w:sz w:val="20"/>
          <w:szCs w:val="20"/>
          <w:color w:val="auto"/>
        </w:rPr>
      </w:pPr>
      <w:r>
        <w:rPr>
          <w:rFonts w:ascii="Times New Roman" w:cs="Times New Roman" w:eastAsia="Times New Roman" w:hAnsi="Times New Roman"/>
          <w:sz w:val="11"/>
          <w:szCs w:val="11"/>
          <w:b w:val="1"/>
          <w:bCs w:val="1"/>
          <w:color w:val="auto"/>
        </w:rPr>
        <w:t xml:space="preserve">CSPs: </w:t>
      </w:r>
      <w:r>
        <w:rPr>
          <w:rFonts w:ascii="Times New Roman" w:cs="Times New Roman" w:eastAsia="Times New Roman" w:hAnsi="Times New Roman"/>
          <w:sz w:val="11"/>
          <w:szCs w:val="11"/>
          <w:color w:val="auto"/>
        </w:rPr>
        <w:t>Communications service providers. One of Nokia’s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customer segments.</w:t>
      </w:r>
    </w:p>
    <w:p>
      <w:pPr>
        <w:spacing w:after="0" w:line="44" w:lineRule="exact"/>
        <w:rPr>
          <w:sz w:val="20"/>
          <w:szCs w:val="20"/>
          <w:color w:val="auto"/>
        </w:rPr>
      </w:pPr>
    </w:p>
    <w:p>
      <w:pPr>
        <w:spacing w:after="0"/>
        <w:tabs>
          <w:tab w:leader="none" w:pos="1880" w:val="left"/>
        </w:tabs>
        <w:rPr>
          <w:sz w:val="20"/>
          <w:szCs w:val="20"/>
          <w:color w:val="auto"/>
        </w:rPr>
      </w:pPr>
      <w:r>
        <w:rPr>
          <w:rFonts w:ascii="Times New Roman" w:cs="Times New Roman" w:eastAsia="Times New Roman" w:hAnsi="Times New Roman"/>
          <w:sz w:val="11"/>
          <w:szCs w:val="11"/>
          <w:b w:val="1"/>
          <w:bCs w:val="1"/>
          <w:color w:val="auto"/>
        </w:rPr>
        <w:t>Customer Experience Management:</w:t>
      </w:r>
      <w:r>
        <w:rPr>
          <w:sz w:val="20"/>
          <w:szCs w:val="20"/>
          <w:color w:val="auto"/>
        </w:rPr>
        <w:tab/>
      </w:r>
      <w:r>
        <w:rPr>
          <w:rFonts w:ascii="Times New Roman" w:cs="Times New Roman" w:eastAsia="Times New Roman" w:hAnsi="Times New Roman"/>
          <w:sz w:val="11"/>
          <w:szCs w:val="11"/>
          <w:color w:val="auto"/>
        </w:rPr>
        <w:t>Software suite used to</w:t>
      </w:r>
    </w:p>
    <w:p>
      <w:pPr>
        <w:spacing w:after="0" w:line="24" w:lineRule="exact"/>
        <w:rPr>
          <w:sz w:val="20"/>
          <w:szCs w:val="20"/>
          <w:color w:val="auto"/>
        </w:rPr>
      </w:pPr>
    </w:p>
    <w:p>
      <w:pPr>
        <w:ind w:right="620"/>
        <w:spacing w:after="0" w:line="278" w:lineRule="auto"/>
        <w:rPr>
          <w:sz w:val="20"/>
          <w:szCs w:val="20"/>
          <w:color w:val="auto"/>
        </w:rPr>
      </w:pPr>
      <w:r>
        <w:rPr>
          <w:rFonts w:ascii="Times New Roman" w:cs="Times New Roman" w:eastAsia="Times New Roman" w:hAnsi="Times New Roman"/>
          <w:sz w:val="11"/>
          <w:szCs w:val="11"/>
          <w:color w:val="auto"/>
        </w:rPr>
        <w:t>manage and improve the customer experience, based on customer, device and network insights.</w:t>
      </w:r>
    </w:p>
    <w:p>
      <w:pPr>
        <w:spacing w:after="0" w:line="52" w:lineRule="exact"/>
        <w:rPr>
          <w:sz w:val="20"/>
          <w:szCs w:val="20"/>
          <w:color w:val="auto"/>
        </w:rPr>
      </w:pPr>
    </w:p>
    <w:p>
      <w:pPr>
        <w:ind w:right="240"/>
        <w:spacing w:after="0" w:line="294" w:lineRule="auto"/>
        <w:rPr>
          <w:sz w:val="20"/>
          <w:szCs w:val="20"/>
          <w:color w:val="auto"/>
        </w:rPr>
      </w:pPr>
      <w:r>
        <w:rPr>
          <w:rFonts w:ascii="Times New Roman" w:cs="Times New Roman" w:eastAsia="Times New Roman" w:hAnsi="Times New Roman"/>
          <w:sz w:val="11"/>
          <w:szCs w:val="11"/>
          <w:b w:val="1"/>
          <w:bCs w:val="1"/>
          <w:color w:val="auto"/>
        </w:rPr>
        <w:t xml:space="preserve">Digital: </w:t>
      </w:r>
      <w:r>
        <w:rPr>
          <w:rFonts w:ascii="Times New Roman" w:cs="Times New Roman" w:eastAsia="Times New Roman" w:hAnsi="Times New Roman"/>
          <w:sz w:val="11"/>
          <w:szCs w:val="11"/>
          <w:color w:val="auto"/>
        </w:rPr>
        <w:t>A signaling technique in which a signal is encoded into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digits for transmission.</w:t>
      </w:r>
    </w:p>
    <w:p>
      <w:pPr>
        <w:spacing w:after="0" w:line="44" w:lineRule="exact"/>
        <w:rPr>
          <w:sz w:val="20"/>
          <w:szCs w:val="20"/>
          <w:color w:val="auto"/>
        </w:rPr>
      </w:pPr>
    </w:p>
    <w:p>
      <w:pPr>
        <w:ind w:right="22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Discontinued operations: </w:t>
      </w:r>
      <w:r>
        <w:rPr>
          <w:rFonts w:ascii="Times New Roman" w:cs="Times New Roman" w:eastAsia="Times New Roman" w:hAnsi="Times New Roman"/>
          <w:sz w:val="11"/>
          <w:szCs w:val="11"/>
          <w:color w:val="auto"/>
        </w:rPr>
        <w:t>The continuing financial effects of</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the HERE business and the Devices &amp; Services business. HERE was divested to an automotive consortium and substantially all of the Devices &amp; Services business was sold to Microsoft.</w:t>
      </w:r>
    </w:p>
    <w:p>
      <w:pPr>
        <w:sectPr>
          <w:pgSz w:w="11900" w:h="16838" w:orient="portrait"/>
          <w:cols w:equalWidth="0" w:num="3">
            <w:col w:w="3140" w:space="260"/>
            <w:col w:w="3060" w:space="340"/>
            <w:col w:w="3180"/>
          </w:cols>
          <w:pgMar w:left="960" w:top="410" w:right="959" w:bottom="1440" w:gutter="0" w:footer="0" w:header="0"/>
          <w:type w:val="continuous"/>
        </w:sectPr>
      </w:pPr>
    </w:p>
    <w:bookmarkStart w:id="217" w:name="page218"/>
    <w:bookmarkEnd w:id="217"/>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Business</w:t>
      </w:r>
      <w:r>
        <w:rPr>
          <w:sz w:val="20"/>
          <w:szCs w:val="20"/>
          <w:color w:val="auto"/>
        </w:rPr>
        <w:tab/>
      </w:r>
      <w:r>
        <w:rPr>
          <w:rFonts w:ascii="Times New Roman" w:cs="Times New Roman" w:eastAsia="Times New Roman" w:hAnsi="Times New Roman"/>
          <w:sz w:val="9"/>
          <w:szCs w:val="9"/>
          <w:color w:val="auto"/>
        </w:rPr>
        <w:t>Corporate</w:t>
      </w:r>
      <w:r>
        <w:rPr>
          <w:sz w:val="20"/>
          <w:szCs w:val="20"/>
          <w:color w:val="auto"/>
        </w:rPr>
        <w:tab/>
      </w:r>
      <w:r>
        <w:rPr>
          <w:rFonts w:ascii="Times New Roman" w:cs="Times New Roman" w:eastAsia="Times New Roman" w:hAnsi="Times New Roman"/>
          <w:sz w:val="9"/>
          <w:szCs w:val="9"/>
          <w:color w:val="auto"/>
        </w:rPr>
        <w:t>Operating and financial</w:t>
      </w:r>
    </w:p>
    <w:p>
      <w:pPr>
        <w:spacing w:after="0" w:line="18" w:lineRule="exact"/>
        <w:rPr>
          <w:sz w:val="20"/>
          <w:szCs w:val="20"/>
          <w:color w:val="auto"/>
        </w:rPr>
      </w:pPr>
    </w:p>
    <w:p>
      <w:pPr>
        <w:ind w:left="20"/>
        <w:spacing w:after="0"/>
        <w:tabs>
          <w:tab w:leader="none" w:pos="900" w:val="left"/>
          <w:tab w:leader="none" w:pos="1920" w:val="left"/>
        </w:tabs>
        <w:rPr>
          <w:sz w:val="20"/>
          <w:szCs w:val="20"/>
          <w:color w:val="auto"/>
        </w:rPr>
      </w:pPr>
      <w:r>
        <w:rPr>
          <w:rFonts w:ascii="Times New Roman" w:cs="Times New Roman" w:eastAsia="Times New Roman" w:hAnsi="Times New Roman"/>
          <w:sz w:val="9"/>
          <w:szCs w:val="9"/>
          <w:color w:val="auto"/>
        </w:rPr>
        <w:t>overview</w:t>
      </w:r>
      <w:r>
        <w:rPr>
          <w:sz w:val="20"/>
          <w:szCs w:val="20"/>
          <w:color w:val="auto"/>
        </w:rPr>
        <w:tab/>
      </w:r>
      <w:r>
        <w:rPr>
          <w:rFonts w:ascii="Times New Roman" w:cs="Times New Roman" w:eastAsia="Times New Roman" w:hAnsi="Times New Roman"/>
          <w:sz w:val="9"/>
          <w:szCs w:val="9"/>
          <w:color w:val="auto"/>
        </w:rPr>
        <w:t>governance</w:t>
      </w:r>
      <w:r>
        <w:rPr>
          <w:sz w:val="20"/>
          <w:szCs w:val="20"/>
          <w:color w:val="auto"/>
        </w:rPr>
        <w:tab/>
      </w:r>
      <w:r>
        <w:rPr>
          <w:rFonts w:ascii="Times New Roman" w:cs="Times New Roman" w:eastAsia="Times New Roman" w:hAnsi="Times New Roman"/>
          <w:sz w:val="9"/>
          <w:szCs w:val="9"/>
          <w:color w:val="auto"/>
        </w:rPr>
        <w:t>review and prospects</w:t>
      </w:r>
    </w:p>
    <w:p>
      <w:pPr>
        <w:spacing w:after="0" w:line="261"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005AFF"/>
        </w:rPr>
        <w:t>Glossary continued</w:t>
      </w:r>
    </w:p>
    <w:p>
      <w:pPr>
        <w:spacing w:after="0" w:line="324" w:lineRule="exact"/>
        <w:rPr>
          <w:sz w:val="20"/>
          <w:szCs w:val="20"/>
          <w:color w:val="auto"/>
        </w:rPr>
      </w:pPr>
    </w:p>
    <w:p>
      <w:pPr>
        <w:ind w:right="160"/>
        <w:spacing w:after="0" w:line="267" w:lineRule="auto"/>
        <w:rPr>
          <w:sz w:val="20"/>
          <w:szCs w:val="20"/>
          <w:color w:val="auto"/>
        </w:rPr>
      </w:pPr>
      <w:r>
        <w:rPr>
          <w:rFonts w:ascii="Times New Roman" w:cs="Times New Roman" w:eastAsia="Times New Roman" w:hAnsi="Times New Roman"/>
          <w:sz w:val="11"/>
          <w:szCs w:val="11"/>
          <w:b w:val="1"/>
          <w:bCs w:val="1"/>
          <w:color w:val="auto"/>
        </w:rPr>
        <w:t xml:space="preserve">Ecosystem: </w:t>
      </w:r>
      <w:r>
        <w:rPr>
          <w:rFonts w:ascii="Times New Roman" w:cs="Times New Roman" w:eastAsia="Times New Roman" w:hAnsi="Times New Roman"/>
          <w:sz w:val="11"/>
          <w:szCs w:val="11"/>
          <w:color w:val="auto"/>
        </w:rPr>
        <w:t>An industry term to describe the increasingly</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large communities of mutually beneficial partnerships that participants such as hardware manufacturers, software providers, developers, publishers, entertainment providers, advertisers and ecommerce specialists form in order to bring their offerings to market. At the heart of the major ecosystems in the mobile devices and related services industry is the operating system and the development platform upon which services are built.</w:t>
      </w:r>
    </w:p>
    <w:p>
      <w:pPr>
        <w:spacing w:after="0" w:line="199" w:lineRule="exact"/>
        <w:rPr>
          <w:sz w:val="20"/>
          <w:szCs w:val="20"/>
          <w:color w:val="auto"/>
        </w:rPr>
      </w:pPr>
    </w:p>
    <w:p>
      <w:pPr>
        <w:ind w:right="140"/>
        <w:spacing w:after="0" w:line="266" w:lineRule="auto"/>
        <w:rPr>
          <w:sz w:val="20"/>
          <w:szCs w:val="20"/>
          <w:color w:val="auto"/>
        </w:rPr>
      </w:pPr>
      <w:r>
        <w:rPr>
          <w:rFonts w:ascii="Times New Roman" w:cs="Times New Roman" w:eastAsia="Times New Roman" w:hAnsi="Times New Roman"/>
          <w:sz w:val="11"/>
          <w:szCs w:val="11"/>
          <w:b w:val="1"/>
          <w:bCs w:val="1"/>
          <w:color w:val="auto"/>
        </w:rPr>
        <w:t xml:space="preserve">Enterprise verticals: </w:t>
      </w:r>
      <w:r>
        <w:rPr>
          <w:rFonts w:ascii="Times New Roman" w:cs="Times New Roman" w:eastAsia="Times New Roman" w:hAnsi="Times New Roman"/>
          <w:sz w:val="11"/>
          <w:szCs w:val="11"/>
          <w:color w:val="auto"/>
        </w:rPr>
        <w:t>One of Nokia’s customer segments. An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enterprise vertical represents a grouping of companies by an industry (like energy or transportation) that offers products and services that meet specific needs of that industry. Within the enterprise verticals segments, we primarily focus on transportation, energy, manufacturing, logistics and the public sector.</w:t>
      </w:r>
    </w:p>
    <w:p>
      <w:pPr>
        <w:spacing w:after="0" w:line="6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ETSI (European Telecommunications Standards Institute):</w:t>
      </w:r>
    </w:p>
    <w:p>
      <w:pPr>
        <w:spacing w:after="0" w:line="24" w:lineRule="exact"/>
        <w:rPr>
          <w:sz w:val="20"/>
          <w:szCs w:val="20"/>
          <w:color w:val="auto"/>
        </w:rPr>
      </w:pPr>
    </w:p>
    <w:p>
      <w:pPr>
        <w:ind w:right="520"/>
        <w:spacing w:after="0" w:line="273" w:lineRule="auto"/>
        <w:rPr>
          <w:sz w:val="20"/>
          <w:szCs w:val="20"/>
          <w:color w:val="auto"/>
        </w:rPr>
      </w:pPr>
      <w:r>
        <w:rPr>
          <w:rFonts w:ascii="Times New Roman" w:cs="Times New Roman" w:eastAsia="Times New Roman" w:hAnsi="Times New Roman"/>
          <w:sz w:val="11"/>
          <w:szCs w:val="11"/>
          <w:color w:val="auto"/>
        </w:rPr>
        <w:t>Standards produced by the ETSI contain technical specifications laying down the characteristics required for a telecommunications product.</w:t>
      </w:r>
    </w:p>
    <w:p>
      <w:pPr>
        <w:spacing w:after="0" w:line="45" w:lineRule="exact"/>
        <w:rPr>
          <w:sz w:val="20"/>
          <w:szCs w:val="20"/>
          <w:color w:val="auto"/>
        </w:rPr>
      </w:pPr>
    </w:p>
    <w:p>
      <w:pPr>
        <w:jc w:val="both"/>
        <w:ind w:right="30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Fixed Wireless Access (FWA): </w:t>
      </w:r>
      <w:r>
        <w:rPr>
          <w:rFonts w:ascii="Times New Roman" w:cs="Times New Roman" w:eastAsia="Times New Roman" w:hAnsi="Times New Roman"/>
          <w:sz w:val="11"/>
          <w:szCs w:val="11"/>
          <w:color w:val="auto"/>
        </w:rPr>
        <w:t>Uses wireless networks to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connect fixed locations such as homes and businesses with broadband services.</w:t>
      </w:r>
    </w:p>
    <w:p>
      <w:pPr>
        <w:spacing w:after="0" w:line="35" w:lineRule="exact"/>
        <w:rPr>
          <w:sz w:val="20"/>
          <w:szCs w:val="20"/>
          <w:color w:val="auto"/>
        </w:rPr>
      </w:pPr>
    </w:p>
    <w:p>
      <w:pPr>
        <w:ind w:right="20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FP5: </w:t>
      </w:r>
      <w:r>
        <w:rPr>
          <w:rFonts w:ascii="Times New Roman" w:cs="Times New Roman" w:eastAsia="Times New Roman" w:hAnsi="Times New Roman"/>
          <w:sz w:val="11"/>
          <w:szCs w:val="11"/>
          <w:color w:val="auto"/>
        </w:rPr>
        <w:t>Nokia’s fifth generation of high-performance IP routing</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silicon, and the latest range of our AirScale 5G products.</w:t>
      </w:r>
    </w:p>
    <w:p>
      <w:pPr>
        <w:spacing w:after="0" w:line="24" w:lineRule="exact"/>
        <w:rPr>
          <w:sz w:val="20"/>
          <w:szCs w:val="20"/>
          <w:color w:val="auto"/>
        </w:rPr>
      </w:pPr>
    </w:p>
    <w:p>
      <w:pPr>
        <w:ind w:right="24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Future X: </w:t>
      </w:r>
      <w:r>
        <w:rPr>
          <w:rFonts w:ascii="Times New Roman" w:cs="Times New Roman" w:eastAsia="Times New Roman" w:hAnsi="Times New Roman"/>
          <w:sz w:val="11"/>
          <w:szCs w:val="11"/>
          <w:color w:val="auto"/>
        </w:rPr>
        <w:t>A network architecture – a massively distributed,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cognitive, continuously adaptive, learning and optimizing network connecting humans, senses, things, systems, infrastructure and processes.</w:t>
      </w:r>
    </w:p>
    <w:p>
      <w:pPr>
        <w:spacing w:after="0" w:line="53" w:lineRule="exact"/>
        <w:rPr>
          <w:sz w:val="20"/>
          <w:szCs w:val="20"/>
          <w:color w:val="auto"/>
        </w:rPr>
      </w:pPr>
    </w:p>
    <w:p>
      <w:pPr>
        <w:ind w:right="20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G.fast: </w:t>
      </w:r>
      <w:r>
        <w:rPr>
          <w:rFonts w:ascii="Times New Roman" w:cs="Times New Roman" w:eastAsia="Times New Roman" w:hAnsi="Times New Roman"/>
          <w:sz w:val="11"/>
          <w:szCs w:val="11"/>
          <w:color w:val="auto"/>
        </w:rPr>
        <w:t>A fixed broadband technology able to deliver up to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1Gbps over very short distances (for example, for in-building use, also called “Fiber-to-the-Building”). Launched in 2014, G.fast uses more frequencies and G.fast Vectoring techniques to achieve higher speeds.</w:t>
      </w:r>
    </w:p>
    <w:p>
      <w:pPr>
        <w:spacing w:after="0" w:line="57" w:lineRule="exact"/>
        <w:rPr>
          <w:sz w:val="20"/>
          <w:szCs w:val="20"/>
          <w:color w:val="auto"/>
        </w:rPr>
      </w:pPr>
    </w:p>
    <w:p>
      <w:pPr>
        <w:jc w:val="both"/>
        <w:ind w:right="22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GPON (Gigabit Passive Optical Network): </w:t>
      </w:r>
      <w:r>
        <w:rPr>
          <w:rFonts w:ascii="Times New Roman" w:cs="Times New Roman" w:eastAsia="Times New Roman" w:hAnsi="Times New Roman"/>
          <w:sz w:val="11"/>
          <w:szCs w:val="11"/>
          <w:color w:val="auto"/>
        </w:rPr>
        <w:t>A fiber access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technology that delivers 25Gbps over a single optical fiber to multiple end points including residential and enterprise sites.</w:t>
      </w:r>
    </w:p>
    <w:p>
      <w:pPr>
        <w:spacing w:after="0" w:line="51" w:lineRule="exact"/>
        <w:rPr>
          <w:sz w:val="20"/>
          <w:szCs w:val="20"/>
          <w:color w:val="auto"/>
        </w:rPr>
      </w:pPr>
    </w:p>
    <w:p>
      <w:pPr>
        <w:spacing w:after="0" w:line="264" w:lineRule="auto"/>
        <w:rPr>
          <w:sz w:val="20"/>
          <w:szCs w:val="20"/>
          <w:color w:val="auto"/>
        </w:rPr>
      </w:pPr>
      <w:r>
        <w:rPr>
          <w:rFonts w:ascii="Times New Roman" w:cs="Times New Roman" w:eastAsia="Times New Roman" w:hAnsi="Times New Roman"/>
          <w:sz w:val="11"/>
          <w:szCs w:val="11"/>
          <w:b w:val="1"/>
          <w:bCs w:val="1"/>
          <w:color w:val="auto"/>
        </w:rPr>
        <w:t xml:space="preserve">GSM (Global System for Mobile Communications): </w:t>
      </w:r>
      <w:r>
        <w:rPr>
          <w:rFonts w:ascii="Times New Roman" w:cs="Times New Roman" w:eastAsia="Times New Roman" w:hAnsi="Times New Roman"/>
          <w:sz w:val="11"/>
          <w:szCs w:val="11"/>
          <w:color w:val="auto"/>
        </w:rPr>
        <w:t>A digital</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system for mobile communications that is based on a widely accepted standard and typically operates in the 900 MHz,</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1800 MHz and 1900 MHz frequency bands. See also 2G.</w:t>
      </w:r>
    </w:p>
    <w:p>
      <w:pPr>
        <w:spacing w:after="0" w:line="26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111"/>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Other</w:t>
            </w:r>
          </w:p>
        </w:tc>
      </w:tr>
      <w:tr>
        <w:trPr>
          <w:trHeight w:val="122"/>
        </w:trPr>
        <w:tc>
          <w:tcPr>
            <w:tcW w:w="800" w:type="dxa"/>
            <w:vAlign w:val="bottom"/>
          </w:tcPr>
          <w:p>
            <w:pPr>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information</w:t>
            </w:r>
          </w:p>
        </w:tc>
      </w:tr>
      <w:tr>
        <w:trPr>
          <w:trHeight w:val="53"/>
        </w:trPr>
        <w:tc>
          <w:tcPr>
            <w:tcW w:w="800" w:type="dxa"/>
            <w:vAlign w:val="bottom"/>
          </w:tcPr>
          <w:p>
            <w:pPr>
              <w:spacing w:after="0"/>
              <w:rPr>
                <w:sz w:val="4"/>
                <w:szCs w:val="4"/>
                <w:color w:val="auto"/>
              </w:rPr>
            </w:pPr>
          </w:p>
        </w:tc>
        <w:tc>
          <w:tcPr>
            <w:tcW w:w="1280" w:type="dxa"/>
            <w:vAlign w:val="bottom"/>
          </w:tcPr>
          <w:p>
            <w:pPr>
              <w:spacing w:after="0"/>
              <w:rPr>
                <w:sz w:val="4"/>
                <w:szCs w:val="4"/>
                <w:color w:val="auto"/>
              </w:rPr>
            </w:pPr>
          </w:p>
        </w:tc>
        <w:tc>
          <w:tcPr>
            <w:tcW w:w="580" w:type="dxa"/>
            <w:vAlign w:val="bottom"/>
            <w:tcBorders>
              <w:bottom w:val="single" w:sz="8" w:color="005AFF"/>
            </w:tcBorders>
          </w:tcPr>
          <w:p>
            <w:pPr>
              <w:spacing w:after="0"/>
              <w:rPr>
                <w:sz w:val="4"/>
                <w:szCs w:val="4"/>
                <w:color w:val="auto"/>
              </w:rPr>
            </w:pPr>
          </w:p>
        </w:tc>
      </w:tr>
    </w:tbl>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-2580005</wp:posOffset>
            </wp:positionH>
            <wp:positionV relativeFrom="paragraph">
              <wp:posOffset>-297815</wp:posOffset>
            </wp:positionV>
            <wp:extent cx="7216140" cy="511810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0">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ind w:right="180"/>
        <w:spacing w:after="0" w:line="275" w:lineRule="auto"/>
        <w:rPr>
          <w:sz w:val="20"/>
          <w:szCs w:val="20"/>
          <w:color w:val="auto"/>
        </w:rPr>
      </w:pPr>
      <w:r>
        <w:rPr>
          <w:rFonts w:ascii="Times New Roman" w:cs="Times New Roman" w:eastAsia="Times New Roman" w:hAnsi="Times New Roman"/>
          <w:sz w:val="11"/>
          <w:szCs w:val="11"/>
          <w:b w:val="1"/>
          <w:bCs w:val="1"/>
          <w:color w:val="auto"/>
        </w:rPr>
        <w:t>GSM-R (GSM-Railway):</w:t>
      </w:r>
      <w:r>
        <w:rPr>
          <w:rFonts w:ascii="Times New Roman" w:cs="Times New Roman" w:eastAsia="Times New Roman" w:hAnsi="Times New Roman"/>
          <w:sz w:val="11"/>
          <w:szCs w:val="11"/>
          <w:color w:val="auto"/>
        </w:rPr>
        <w:t>An international wireless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communications standard for railway communication and applications. A sub-system of European Rail Traffic Management System (ERTMS), it is used for communication between train and railway regulation control centers.</w:t>
      </w:r>
    </w:p>
    <w:p>
      <w:pPr>
        <w:spacing w:after="0" w:line="44" w:lineRule="exact"/>
        <w:rPr>
          <w:sz w:val="20"/>
          <w:szCs w:val="20"/>
          <w:color w:val="auto"/>
        </w:rPr>
      </w:pPr>
    </w:p>
    <w:p>
      <w:pPr>
        <w:ind w:right="8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Hexa-X: </w:t>
      </w:r>
      <w:r>
        <w:rPr>
          <w:rFonts w:ascii="Times New Roman" w:cs="Times New Roman" w:eastAsia="Times New Roman" w:hAnsi="Times New Roman"/>
          <w:sz w:val="11"/>
          <w:szCs w:val="11"/>
          <w:color w:val="auto"/>
        </w:rPr>
        <w:t>European Commission’s flagship 6G initiative for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research into the next generation of wireless networks. The initiative began in January 2021 with Nokia as project lead, working closely with a strong consortium of European partners.</w:t>
      </w:r>
    </w:p>
    <w:p>
      <w:pPr>
        <w:spacing w:after="0" w:line="53" w:lineRule="exact"/>
        <w:rPr>
          <w:sz w:val="20"/>
          <w:szCs w:val="20"/>
          <w:color w:val="auto"/>
        </w:rPr>
      </w:pPr>
    </w:p>
    <w:p>
      <w:pPr>
        <w:ind w:right="4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Hyperscalers: </w:t>
      </w:r>
      <w:r>
        <w:rPr>
          <w:rFonts w:ascii="Times New Roman" w:cs="Times New Roman" w:eastAsia="Times New Roman" w:hAnsi="Times New Roman"/>
          <w:sz w:val="11"/>
          <w:szCs w:val="11"/>
          <w:color w:val="auto"/>
        </w:rPr>
        <w:t>One of Nokia’s customer segments. Hyperscaler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refers to companies like Alphabet (Google), Amazon (Amazon Web Services), Microsoft and Meta Platforms (Facebook) that provide cloud solutions at a global scale leveraging massive connected data centers.</w:t>
      </w:r>
    </w:p>
    <w:p>
      <w:pPr>
        <w:spacing w:after="0" w:line="57" w:lineRule="exact"/>
        <w:rPr>
          <w:sz w:val="20"/>
          <w:szCs w:val="20"/>
          <w:color w:val="auto"/>
        </w:rPr>
      </w:pPr>
    </w:p>
    <w:p>
      <w:pPr>
        <w:ind w:right="14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Internet of Things (IoT): </w:t>
      </w:r>
      <w:r>
        <w:rPr>
          <w:rFonts w:ascii="Times New Roman" w:cs="Times New Roman" w:eastAsia="Times New Roman" w:hAnsi="Times New Roman"/>
          <w:sz w:val="11"/>
          <w:szCs w:val="11"/>
          <w:color w:val="auto"/>
        </w:rPr>
        <w:t>All things such as cars, the clothes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we wear, household appliances and machines in factories connected to the internet and able to automatically learn and organize themselves.</w:t>
      </w:r>
    </w:p>
    <w:p>
      <w:pPr>
        <w:spacing w:after="0" w:line="43" w:lineRule="exact"/>
        <w:rPr>
          <w:sz w:val="20"/>
          <w:szCs w:val="20"/>
          <w:color w:val="auto"/>
        </w:rPr>
      </w:pPr>
    </w:p>
    <w:p>
      <w:pPr>
        <w:ind w:right="10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IP (Internet Protocol): </w:t>
      </w:r>
      <w:r>
        <w:rPr>
          <w:rFonts w:ascii="Times New Roman" w:cs="Times New Roman" w:eastAsia="Times New Roman" w:hAnsi="Times New Roman"/>
          <w:sz w:val="11"/>
          <w:szCs w:val="11"/>
          <w:color w:val="auto"/>
        </w:rPr>
        <w:t>A network layer protocol that offers a</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connectionless internet work service and forms part of the (Transmission Control Protocol) TCP/IP protocol.</w:t>
      </w:r>
    </w:p>
    <w:p>
      <w:pPr>
        <w:spacing w:after="0" w:line="51" w:lineRule="exact"/>
        <w:rPr>
          <w:sz w:val="20"/>
          <w:szCs w:val="20"/>
          <w:color w:val="auto"/>
        </w:rPr>
      </w:pPr>
    </w:p>
    <w:p>
      <w:pPr>
        <w:ind w:right="14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IP (Intellectual Property): </w:t>
      </w:r>
      <w:r>
        <w:rPr>
          <w:rFonts w:ascii="Times New Roman" w:cs="Times New Roman" w:eastAsia="Times New Roman" w:hAnsi="Times New Roman"/>
          <w:sz w:val="11"/>
          <w:szCs w:val="11"/>
          <w:color w:val="auto"/>
        </w:rPr>
        <w:t>Intellectual property results from</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original creative thought, covering items such as patents, copyright material and trademarks, as well as business models and plans.</w:t>
      </w:r>
    </w:p>
    <w:p>
      <w:pPr>
        <w:spacing w:after="0" w:line="4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IPR (Intellectual Property Rights): </w:t>
      </w:r>
      <w:r>
        <w:rPr>
          <w:rFonts w:ascii="Times New Roman" w:cs="Times New Roman" w:eastAsia="Times New Roman" w:hAnsi="Times New Roman"/>
          <w:sz w:val="11"/>
          <w:szCs w:val="11"/>
          <w:color w:val="auto"/>
        </w:rPr>
        <w:t>Legal rights protecting the</w:t>
      </w:r>
    </w:p>
    <w:p>
      <w:pPr>
        <w:spacing w:after="0" w:line="24" w:lineRule="exact"/>
        <w:rPr>
          <w:sz w:val="20"/>
          <w:szCs w:val="20"/>
          <w:color w:val="auto"/>
        </w:rPr>
      </w:pPr>
    </w:p>
    <w:p>
      <w:pPr>
        <w:ind w:right="200"/>
        <w:spacing w:after="0" w:line="273" w:lineRule="auto"/>
        <w:rPr>
          <w:sz w:val="20"/>
          <w:szCs w:val="20"/>
          <w:color w:val="auto"/>
        </w:rPr>
      </w:pPr>
      <w:r>
        <w:rPr>
          <w:rFonts w:ascii="Times New Roman" w:cs="Times New Roman" w:eastAsia="Times New Roman" w:hAnsi="Times New Roman"/>
          <w:sz w:val="11"/>
          <w:szCs w:val="11"/>
          <w:color w:val="auto"/>
        </w:rPr>
        <w:t>economic exploitation of intellectual property, a generic term used to describe products of human intellect, for example patents, that have an economic value.</w:t>
      </w:r>
    </w:p>
    <w:p>
      <w:pPr>
        <w:spacing w:after="0" w:line="55" w:lineRule="exact"/>
        <w:rPr>
          <w:sz w:val="20"/>
          <w:szCs w:val="20"/>
          <w:color w:val="auto"/>
        </w:rPr>
      </w:pPr>
    </w:p>
    <w:p>
      <w:pPr>
        <w:ind w:right="8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IP/MPLS (IP Multiprotocol Label Switching): </w:t>
      </w:r>
      <w:r>
        <w:rPr>
          <w:rFonts w:ascii="Times New Roman" w:cs="Times New Roman" w:eastAsia="Times New Roman" w:hAnsi="Times New Roman"/>
          <w:sz w:val="11"/>
          <w:szCs w:val="11"/>
          <w:color w:val="auto"/>
        </w:rPr>
        <w:t>IP/MPLS is a</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routing technique in telecommunications networks that directs data from one node to the next based on short path labels rather than long network addresses, thus avoiding complex lookups in a routing table and speeding traffic flows.</w:t>
      </w:r>
    </w:p>
    <w:p>
      <w:pPr>
        <w:spacing w:after="0" w:line="57" w:lineRule="exact"/>
        <w:rPr>
          <w:sz w:val="20"/>
          <w:szCs w:val="20"/>
          <w:color w:val="auto"/>
        </w:rPr>
      </w:pPr>
    </w:p>
    <w:p>
      <w:pPr>
        <w:ind w:right="30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IPR licensing: </w:t>
      </w:r>
      <w:r>
        <w:rPr>
          <w:rFonts w:ascii="Times New Roman" w:cs="Times New Roman" w:eastAsia="Times New Roman" w:hAnsi="Times New Roman"/>
          <w:sz w:val="11"/>
          <w:szCs w:val="11"/>
          <w:color w:val="auto"/>
        </w:rPr>
        <w:t>Generally, an agreement or an arrangement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where a company allows another company to use its intellectual property (such as patents, trademarks or copyrights) under certain terms.</w:t>
      </w:r>
    </w:p>
    <w:p>
      <w:pPr>
        <w:spacing w:after="0" w:line="43" w:lineRule="exact"/>
        <w:rPr>
          <w:sz w:val="20"/>
          <w:szCs w:val="20"/>
          <w:color w:val="auto"/>
        </w:rPr>
      </w:pPr>
    </w:p>
    <w:p>
      <w:pPr>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LTE (Long-Term Evolution): </w:t>
      </w:r>
      <w:r>
        <w:rPr>
          <w:rFonts w:ascii="Times New Roman" w:cs="Times New Roman" w:eastAsia="Times New Roman" w:hAnsi="Times New Roman"/>
          <w:sz w:val="11"/>
          <w:szCs w:val="11"/>
          <w:color w:val="auto"/>
        </w:rPr>
        <w:t>3GPP radio technology evolution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architecture and a standard for wireless communication of high-speed data. Also referred to as 4G.</w:t>
      </w:r>
    </w:p>
    <w:p>
      <w:pPr>
        <w:spacing w:after="0" w:line="20" w:lineRule="exact"/>
        <w:rPr>
          <w:sz w:val="20"/>
          <w:szCs w:val="20"/>
          <w:color w:val="auto"/>
        </w:rPr>
      </w:pPr>
      <w:r>
        <w:rPr>
          <w:sz w:val="20"/>
          <w:szCs w:val="20"/>
          <w:color w:val="auto"/>
        </w:rPr>
        <w:br w:type="column"/>
      </w:r>
    </w:p>
    <w:p>
      <w:pPr>
        <w:spacing w:after="0" w:line="63" w:lineRule="exact"/>
        <w:rPr>
          <w:sz w:val="20"/>
          <w:szCs w:val="20"/>
          <w:color w:val="auto"/>
        </w:rPr>
      </w:pPr>
    </w:p>
    <w:p>
      <w:pPr>
        <w:jc w:val="right"/>
        <w:spacing w:after="0"/>
        <w:rPr>
          <w:sz w:val="20"/>
          <w:szCs w:val="20"/>
          <w:color w:val="auto"/>
        </w:rPr>
      </w:pPr>
      <w:r>
        <w:rPr>
          <w:rFonts w:ascii="Times New Roman" w:cs="Times New Roman" w:eastAsia="Times New Roman" w:hAnsi="Times New Roman"/>
          <w:sz w:val="12"/>
          <w:szCs w:val="12"/>
          <w:color w:val="auto"/>
        </w:rPr>
        <w:t>210</w:t>
      </w:r>
    </w:p>
    <w:p>
      <w:pPr>
        <w:spacing w:after="0" w:line="200" w:lineRule="exact"/>
        <w:rPr>
          <w:sz w:val="20"/>
          <w:szCs w:val="20"/>
          <w:color w:val="auto"/>
        </w:rPr>
      </w:pPr>
    </w:p>
    <w:p>
      <w:pPr>
        <w:spacing w:after="0" w:line="200" w:lineRule="exact"/>
        <w:rPr>
          <w:sz w:val="20"/>
          <w:szCs w:val="20"/>
          <w:color w:val="auto"/>
        </w:rPr>
      </w:pPr>
    </w:p>
    <w:p>
      <w:pPr>
        <w:spacing w:after="0" w:line="338" w:lineRule="exact"/>
        <w:rPr>
          <w:sz w:val="20"/>
          <w:szCs w:val="20"/>
          <w:color w:val="auto"/>
        </w:rPr>
      </w:pPr>
    </w:p>
    <w:p>
      <w:pPr>
        <w:ind w:right="200"/>
        <w:spacing w:after="0" w:line="269" w:lineRule="auto"/>
        <w:rPr>
          <w:sz w:val="20"/>
          <w:szCs w:val="20"/>
          <w:color w:val="auto"/>
        </w:rPr>
      </w:pPr>
      <w:r>
        <w:rPr>
          <w:rFonts w:ascii="Times New Roman" w:cs="Times New Roman" w:eastAsia="Times New Roman" w:hAnsi="Times New Roman"/>
          <w:sz w:val="11"/>
          <w:szCs w:val="11"/>
          <w:b w:val="1"/>
          <w:bCs w:val="1"/>
          <w:color w:val="auto"/>
        </w:rPr>
        <w:t xml:space="preserve">Mission-critical networks/communications: </w:t>
      </w:r>
      <w:r>
        <w:rPr>
          <w:rFonts w:ascii="Times New Roman" w:cs="Times New Roman" w:eastAsia="Times New Roman" w:hAnsi="Times New Roman"/>
          <w:sz w:val="11"/>
          <w:szCs w:val="11"/>
          <w:color w:val="auto"/>
        </w:rPr>
        <w:t>One of the key</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elements of 5G. Mission-critical communications meets the needs of emergency responders such as emergency operations centers, fire departments, emergency vehicles, police, and search and rescue services, replacing traditional radio with new communications capabilities available to smartphone users.</w:t>
      </w:r>
    </w:p>
    <w:p>
      <w:pPr>
        <w:spacing w:after="0" w:line="60" w:lineRule="exact"/>
        <w:rPr>
          <w:sz w:val="20"/>
          <w:szCs w:val="20"/>
          <w:color w:val="auto"/>
        </w:rPr>
      </w:pPr>
    </w:p>
    <w:p>
      <w:pPr>
        <w:jc w:val="both"/>
        <w:ind w:right="44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Mobile broadband: </w:t>
      </w:r>
      <w:r>
        <w:rPr>
          <w:rFonts w:ascii="Times New Roman" w:cs="Times New Roman" w:eastAsia="Times New Roman" w:hAnsi="Times New Roman"/>
          <w:sz w:val="11"/>
          <w:szCs w:val="11"/>
          <w:color w:val="auto"/>
        </w:rPr>
        <w:t>Refers to high-speed wireless internet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connections and services designed to be used from multiple locations.</w:t>
      </w:r>
    </w:p>
    <w:p>
      <w:pPr>
        <w:spacing w:after="0" w:line="51" w:lineRule="exact"/>
        <w:rPr>
          <w:sz w:val="20"/>
          <w:szCs w:val="20"/>
          <w:color w:val="auto"/>
        </w:rPr>
      </w:pPr>
    </w:p>
    <w:p>
      <w:pPr>
        <w:ind w:right="22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Mobile Networks: </w:t>
      </w:r>
      <w:r>
        <w:rPr>
          <w:rFonts w:ascii="Times New Roman" w:cs="Times New Roman" w:eastAsia="Times New Roman" w:hAnsi="Times New Roman"/>
          <w:sz w:val="11"/>
          <w:szCs w:val="11"/>
          <w:color w:val="auto"/>
        </w:rPr>
        <w:t>Our Mobile Networks business group offers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products and services for radio access networks covering technologies from 2G to 5G, and microwave radio links for transport networks.</w:t>
      </w:r>
    </w:p>
    <w:p>
      <w:pPr>
        <w:spacing w:after="0" w:line="43" w:lineRule="exact"/>
        <w:rPr>
          <w:sz w:val="20"/>
          <w:szCs w:val="20"/>
          <w:color w:val="auto"/>
        </w:rPr>
      </w:pPr>
    </w:p>
    <w:p>
      <w:pPr>
        <w:ind w:right="460"/>
        <w:spacing w:after="0" w:line="313" w:lineRule="auto"/>
        <w:rPr>
          <w:sz w:val="20"/>
          <w:szCs w:val="20"/>
          <w:color w:val="auto"/>
        </w:rPr>
      </w:pPr>
      <w:r>
        <w:rPr>
          <w:rFonts w:ascii="Times New Roman" w:cs="Times New Roman" w:eastAsia="Times New Roman" w:hAnsi="Times New Roman"/>
          <w:sz w:val="11"/>
          <w:szCs w:val="11"/>
          <w:b w:val="1"/>
          <w:bCs w:val="1"/>
          <w:color w:val="auto"/>
        </w:rPr>
        <w:t>MPLS:</w:t>
      </w:r>
      <w:r>
        <w:rPr>
          <w:rFonts w:ascii="Times New Roman" w:cs="Times New Roman" w:eastAsia="Times New Roman" w:hAnsi="Times New Roman"/>
          <w:sz w:val="11"/>
          <w:szCs w:val="11"/>
          <w:color w:val="auto"/>
        </w:rPr>
        <w:t>Multiprotocol Label Switching, a routing technique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for networks.</w:t>
      </w:r>
    </w:p>
    <w:p>
      <w:pPr>
        <w:spacing w:after="0" w:line="24" w:lineRule="exact"/>
        <w:rPr>
          <w:sz w:val="20"/>
          <w:szCs w:val="20"/>
          <w:color w:val="auto"/>
        </w:rPr>
      </w:pPr>
    </w:p>
    <w:p>
      <w:pPr>
        <w:jc w:val="both"/>
        <w:ind w:right="52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MSO: </w:t>
      </w:r>
      <w:r>
        <w:rPr>
          <w:rFonts w:ascii="Times New Roman" w:cs="Times New Roman" w:eastAsia="Times New Roman" w:hAnsi="Times New Roman"/>
          <w:sz w:val="11"/>
          <w:szCs w:val="11"/>
          <w:color w:val="auto"/>
        </w:rPr>
        <w:t>Multiple System Operators (MSO) are operators of</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multiple cable television systems. The majority of system operators run cable systems in more than one community and hence most of them are multiple system operators.</w:t>
      </w:r>
    </w:p>
    <w:p>
      <w:pPr>
        <w:spacing w:after="0" w:line="53" w:lineRule="exact"/>
        <w:rPr>
          <w:sz w:val="20"/>
          <w:szCs w:val="20"/>
          <w:color w:val="auto"/>
        </w:rPr>
      </w:pPr>
    </w:p>
    <w:p>
      <w:pPr>
        <w:ind w:right="220"/>
        <w:spacing w:after="0" w:line="269" w:lineRule="auto"/>
        <w:rPr>
          <w:sz w:val="20"/>
          <w:szCs w:val="20"/>
          <w:color w:val="auto"/>
        </w:rPr>
      </w:pPr>
      <w:r>
        <w:rPr>
          <w:rFonts w:ascii="Times New Roman" w:cs="Times New Roman" w:eastAsia="Times New Roman" w:hAnsi="Times New Roman"/>
          <w:sz w:val="11"/>
          <w:szCs w:val="11"/>
          <w:b w:val="1"/>
          <w:bCs w:val="1"/>
          <w:color w:val="auto"/>
        </w:rPr>
        <w:t xml:space="preserve">Network Infrastructure: </w:t>
      </w:r>
      <w:r>
        <w:rPr>
          <w:rFonts w:ascii="Times New Roman" w:cs="Times New Roman" w:eastAsia="Times New Roman" w:hAnsi="Times New Roman"/>
          <w:sz w:val="11"/>
          <w:szCs w:val="11"/>
          <w:color w:val="auto"/>
        </w:rPr>
        <w:t>Our Network Infrastructure business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group provides fiber, copper, fixed wireless access technologies, IP routing, data center, subsea and terrestrial optical networks – along with related services – to customers including communications service providers, webscales (including hyperscalers), digital industries and governments.</w:t>
      </w:r>
    </w:p>
    <w:p>
      <w:pPr>
        <w:spacing w:after="0" w:line="4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NFV (Network Functions Virtualization): </w:t>
      </w:r>
      <w:r>
        <w:rPr>
          <w:rFonts w:ascii="Times New Roman" w:cs="Times New Roman" w:eastAsia="Times New Roman" w:hAnsi="Times New Roman"/>
          <w:sz w:val="11"/>
          <w:szCs w:val="11"/>
          <w:color w:val="auto"/>
        </w:rPr>
        <w:t>Principle of separating</w:t>
      </w:r>
    </w:p>
    <w:p>
      <w:pPr>
        <w:spacing w:after="0" w:line="24" w:lineRule="exact"/>
        <w:rPr>
          <w:sz w:val="20"/>
          <w:szCs w:val="20"/>
          <w:color w:val="auto"/>
        </w:rPr>
      </w:pPr>
    </w:p>
    <w:p>
      <w:pPr>
        <w:ind w:right="500"/>
        <w:spacing w:after="0" w:line="297" w:lineRule="auto"/>
        <w:rPr>
          <w:sz w:val="20"/>
          <w:szCs w:val="20"/>
          <w:color w:val="auto"/>
        </w:rPr>
      </w:pPr>
      <w:r>
        <w:rPr>
          <w:rFonts w:ascii="Times New Roman" w:cs="Times New Roman" w:eastAsia="Times New Roman" w:hAnsi="Times New Roman"/>
          <w:sz w:val="11"/>
          <w:szCs w:val="11"/>
          <w:color w:val="auto"/>
        </w:rPr>
        <w:t>network functions from the hardware they run on by using virtual hardware abstraction.</w:t>
      </w:r>
    </w:p>
    <w:p>
      <w:pPr>
        <w:spacing w:after="0" w:line="32" w:lineRule="exact"/>
        <w:rPr>
          <w:sz w:val="20"/>
          <w:szCs w:val="20"/>
          <w:color w:val="auto"/>
        </w:rPr>
      </w:pPr>
    </w:p>
    <w:p>
      <w:pPr>
        <w:ind w:right="24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Nokia Bell Labs: </w:t>
      </w:r>
      <w:r>
        <w:rPr>
          <w:rFonts w:ascii="Times New Roman" w:cs="Times New Roman" w:eastAsia="Times New Roman" w:hAnsi="Times New Roman"/>
          <w:sz w:val="11"/>
          <w:szCs w:val="11"/>
          <w:color w:val="auto"/>
        </w:rPr>
        <w:t>Our research arm engaged in discovering and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developing the technological shifts needed for the next phase of human existence as well as exploring and solving complex problems to radically redefine networks.</w:t>
      </w:r>
    </w:p>
    <w:p>
      <w:pPr>
        <w:spacing w:after="0" w:line="53" w:lineRule="exact"/>
        <w:rPr>
          <w:sz w:val="20"/>
          <w:szCs w:val="20"/>
          <w:color w:val="auto"/>
        </w:rPr>
      </w:pPr>
    </w:p>
    <w:p>
      <w:pPr>
        <w:ind w:right="26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Nokia Technologies: </w:t>
      </w:r>
      <w:r>
        <w:rPr>
          <w:rFonts w:ascii="Times New Roman" w:cs="Times New Roman" w:eastAsia="Times New Roman" w:hAnsi="Times New Roman"/>
          <w:sz w:val="11"/>
          <w:szCs w:val="11"/>
          <w:color w:val="auto"/>
        </w:rPr>
        <w:t>Our Nokia Technologies business group</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is responsible for managing Nokia’s patent portfolio and monetizing Nokia’s intellectual property, including patents, technologies and the Nokia brand.</w:t>
      </w:r>
    </w:p>
    <w:p>
      <w:pPr>
        <w:spacing w:after="0" w:line="58" w:lineRule="exact"/>
        <w:rPr>
          <w:sz w:val="20"/>
          <w:szCs w:val="20"/>
          <w:color w:val="auto"/>
        </w:rPr>
      </w:pPr>
    </w:p>
    <w:p>
      <w:pPr>
        <w:ind w:right="200"/>
        <w:spacing w:after="0" w:line="313" w:lineRule="auto"/>
        <w:rPr>
          <w:sz w:val="20"/>
          <w:szCs w:val="20"/>
          <w:color w:val="auto"/>
        </w:rPr>
      </w:pPr>
      <w:r>
        <w:rPr>
          <w:rFonts w:ascii="Times New Roman" w:cs="Times New Roman" w:eastAsia="Times New Roman" w:hAnsi="Times New Roman"/>
          <w:sz w:val="11"/>
          <w:szCs w:val="11"/>
          <w:b w:val="1"/>
          <w:bCs w:val="1"/>
          <w:color w:val="auto"/>
        </w:rPr>
        <w:t xml:space="preserve">Non-Standalone (NSA): </w:t>
      </w:r>
      <w:r>
        <w:rPr>
          <w:rFonts w:ascii="Times New Roman" w:cs="Times New Roman" w:eastAsia="Times New Roman" w:hAnsi="Times New Roman"/>
          <w:sz w:val="11"/>
          <w:szCs w:val="11"/>
          <w:color w:val="auto"/>
        </w:rPr>
        <w:t>Network architecture that is built over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an existing 4G network.</w:t>
      </w:r>
    </w:p>
    <w:p>
      <w:pPr>
        <w:sectPr>
          <w:pgSz w:w="11900" w:h="16838" w:orient="portrait"/>
          <w:cols w:equalWidth="0" w:num="3">
            <w:col w:w="3020" w:space="380"/>
            <w:col w:w="3000" w:space="400"/>
            <w:col w:w="3180"/>
          </w:cols>
          <w:pgMar w:left="960" w:top="410" w:right="959" w:bottom="1440" w:gutter="0" w:footer="0" w:header="0"/>
        </w:sectPr>
      </w:pPr>
    </w:p>
    <w:bookmarkStart w:id="218" w:name="page219"/>
    <w:bookmarkEnd w:id="218"/>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Other</w:t>
            </w:r>
          </w:p>
        </w:tc>
        <w:tc>
          <w:tcPr>
            <w:tcW w:w="390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211</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information</w:t>
            </w:r>
          </w:p>
        </w:tc>
        <w:tc>
          <w:tcPr>
            <w:tcW w:w="390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280" w:type="dxa"/>
            <w:vAlign w:val="bottom"/>
          </w:tcPr>
          <w:p>
            <w:pPr>
              <w:spacing w:after="0"/>
              <w:rPr>
                <w:sz w:val="3"/>
                <w:szCs w:val="3"/>
                <w:color w:val="auto"/>
              </w:rPr>
            </w:pPr>
          </w:p>
        </w:tc>
        <w:tc>
          <w:tcPr>
            <w:tcW w:w="580" w:type="dxa"/>
            <w:vAlign w:val="bottom"/>
            <w:tcBorders>
              <w:bottom w:val="single" w:sz="8" w:color="005AFF"/>
            </w:tcBorders>
          </w:tcPr>
          <w:p>
            <w:pPr>
              <w:spacing w:after="0"/>
              <w:rPr>
                <w:sz w:val="3"/>
                <w:szCs w:val="3"/>
                <w:color w:val="auto"/>
              </w:rPr>
            </w:pPr>
          </w:p>
        </w:tc>
        <w:tc>
          <w:tcPr>
            <w:tcW w:w="390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1">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Glossary continued</w:t>
      </w:r>
    </w:p>
    <w:p>
      <w:pPr>
        <w:sectPr>
          <w:pgSz w:w="11900" w:h="16838" w:orient="portrait"/>
          <w:cols w:equalWidth="0" w:num="1">
            <w:col w:w="9960"/>
          </w:cols>
          <w:pgMar w:left="960" w:top="409" w:right="979" w:bottom="1440" w:gutter="0" w:footer="0" w:header="0"/>
        </w:sectPr>
      </w:pPr>
    </w:p>
    <w:p>
      <w:pPr>
        <w:spacing w:after="0" w:line="324" w:lineRule="exact"/>
        <w:rPr>
          <w:sz w:val="20"/>
          <w:szCs w:val="20"/>
          <w:color w:val="auto"/>
        </w:rPr>
      </w:pPr>
    </w:p>
    <w:p>
      <w:pPr>
        <w:ind w:right="240"/>
        <w:spacing w:after="0" w:line="275" w:lineRule="auto"/>
        <w:rPr>
          <w:sz w:val="20"/>
          <w:szCs w:val="20"/>
          <w:color w:val="auto"/>
        </w:rPr>
      </w:pPr>
      <w:r>
        <w:rPr>
          <w:rFonts w:ascii="Times New Roman" w:cs="Times New Roman" w:eastAsia="Times New Roman" w:hAnsi="Times New Roman"/>
          <w:sz w:val="11"/>
          <w:szCs w:val="11"/>
          <w:b w:val="1"/>
          <w:bCs w:val="1"/>
          <w:color w:val="auto"/>
        </w:rPr>
        <w:t xml:space="preserve">Operating System (OS): </w:t>
      </w:r>
      <w:r>
        <w:rPr>
          <w:rFonts w:ascii="Times New Roman" w:cs="Times New Roman" w:eastAsia="Times New Roman" w:hAnsi="Times New Roman"/>
          <w:sz w:val="11"/>
          <w:szCs w:val="11"/>
          <w:color w:val="auto"/>
        </w:rPr>
        <w:t>Software that controls the basic</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operation of a computer or a mobile device, such as managing the processor and memory. The term is also often used to refer more generally to the software within a device, for example, the user interface.</w:t>
      </w:r>
    </w:p>
    <w:p>
      <w:pPr>
        <w:spacing w:after="0" w:line="44" w:lineRule="exact"/>
        <w:rPr>
          <w:sz w:val="20"/>
          <w:szCs w:val="20"/>
          <w:color w:val="auto"/>
        </w:rPr>
      </w:pPr>
    </w:p>
    <w:p>
      <w:pPr>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O-RAN: </w:t>
      </w:r>
      <w:r>
        <w:rPr>
          <w:rFonts w:ascii="Times New Roman" w:cs="Times New Roman" w:eastAsia="Times New Roman" w:hAnsi="Times New Roman"/>
          <w:sz w:val="11"/>
          <w:szCs w:val="11"/>
          <w:color w:val="auto"/>
        </w:rPr>
        <w:t>The term O-RAN refers to interfaces and architecture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elements as specified by the O-RAN alliance. O-RAN Alliance is a specification group defining next-generation RAN infrastructures, empowered by principles of intelligence and openness.</w:t>
      </w:r>
    </w:p>
    <w:p>
      <w:pPr>
        <w:spacing w:after="0" w:line="53" w:lineRule="exact"/>
        <w:rPr>
          <w:sz w:val="20"/>
          <w:szCs w:val="20"/>
          <w:color w:val="auto"/>
        </w:rPr>
      </w:pPr>
    </w:p>
    <w:p>
      <w:pPr>
        <w:ind w:right="220"/>
        <w:spacing w:after="0" w:line="294" w:lineRule="auto"/>
        <w:rPr>
          <w:sz w:val="20"/>
          <w:szCs w:val="20"/>
          <w:color w:val="auto"/>
        </w:rPr>
      </w:pPr>
      <w:r>
        <w:rPr>
          <w:rFonts w:ascii="Times New Roman" w:cs="Times New Roman" w:eastAsia="Times New Roman" w:hAnsi="Times New Roman"/>
          <w:sz w:val="11"/>
          <w:szCs w:val="11"/>
          <w:b w:val="1"/>
          <w:bCs w:val="1"/>
          <w:color w:val="auto"/>
        </w:rPr>
        <w:t xml:space="preserve">Packet: </w:t>
      </w:r>
      <w:r>
        <w:rPr>
          <w:rFonts w:ascii="Times New Roman" w:cs="Times New Roman" w:eastAsia="Times New Roman" w:hAnsi="Times New Roman"/>
          <w:sz w:val="11"/>
          <w:szCs w:val="11"/>
          <w:color w:val="auto"/>
        </w:rPr>
        <w:t>Part of a message transmitted over a packet-switched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network.</w:t>
      </w:r>
    </w:p>
    <w:p>
      <w:pPr>
        <w:spacing w:after="0" w:line="44" w:lineRule="exact"/>
        <w:rPr>
          <w:sz w:val="20"/>
          <w:szCs w:val="20"/>
          <w:color w:val="auto"/>
        </w:rPr>
      </w:pPr>
    </w:p>
    <w:p>
      <w:pPr>
        <w:ind w:right="44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Platform: </w:t>
      </w:r>
      <w:r>
        <w:rPr>
          <w:rFonts w:ascii="Times New Roman" w:cs="Times New Roman" w:eastAsia="Times New Roman" w:hAnsi="Times New Roman"/>
          <w:sz w:val="11"/>
          <w:szCs w:val="11"/>
          <w:color w:val="auto"/>
        </w:rPr>
        <w:t>Software platform is a term used to refer to an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operating system or programming environment, or a combination of the two.</w:t>
      </w:r>
    </w:p>
    <w:p>
      <w:pPr>
        <w:spacing w:after="0" w:line="51" w:lineRule="exact"/>
        <w:rPr>
          <w:sz w:val="20"/>
          <w:szCs w:val="20"/>
          <w:color w:val="auto"/>
        </w:rPr>
      </w:pPr>
    </w:p>
    <w:p>
      <w:pPr>
        <w:ind w:right="20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PON (Passive Optical Network): </w:t>
      </w:r>
      <w:r>
        <w:rPr>
          <w:rFonts w:ascii="Times New Roman" w:cs="Times New Roman" w:eastAsia="Times New Roman" w:hAnsi="Times New Roman"/>
          <w:sz w:val="11"/>
          <w:szCs w:val="11"/>
          <w:color w:val="auto"/>
        </w:rPr>
        <w:t>A fiber access architecture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in which unpowered fiber optic splitters are used to enable a single optical fiber to serve multiple endpoints without having to provide individual fibers between the hub and customer.</w:t>
      </w:r>
    </w:p>
    <w:p>
      <w:pPr>
        <w:spacing w:after="0" w:line="43" w:lineRule="exact"/>
        <w:rPr>
          <w:sz w:val="20"/>
          <w:szCs w:val="20"/>
          <w:color w:val="auto"/>
        </w:rPr>
      </w:pPr>
    </w:p>
    <w:p>
      <w:pPr>
        <w:ind w:right="120"/>
        <w:spacing w:after="0" w:line="275" w:lineRule="auto"/>
        <w:rPr>
          <w:sz w:val="20"/>
          <w:szCs w:val="20"/>
          <w:color w:val="auto"/>
        </w:rPr>
      </w:pPr>
      <w:r>
        <w:rPr>
          <w:rFonts w:ascii="Times New Roman" w:cs="Times New Roman" w:eastAsia="Times New Roman" w:hAnsi="Times New Roman"/>
          <w:sz w:val="11"/>
          <w:szCs w:val="11"/>
          <w:b w:val="1"/>
          <w:bCs w:val="1"/>
          <w:color w:val="auto"/>
        </w:rPr>
        <w:t xml:space="preserve">Private wireless network: </w:t>
      </w:r>
      <w:r>
        <w:rPr>
          <w:rFonts w:ascii="Times New Roman" w:cs="Times New Roman" w:eastAsia="Times New Roman" w:hAnsi="Times New Roman"/>
          <w:sz w:val="11"/>
          <w:szCs w:val="11"/>
          <w:color w:val="auto"/>
        </w:rPr>
        <w:t>Private wireless is a standalone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network focused on industrial operational assets and users. A private wireless network provides broadband connectivity, similar to a public wireless network, but is owned and controlled by the organization that built or purchased it.</w:t>
      </w:r>
    </w:p>
    <w:p>
      <w:pPr>
        <w:spacing w:after="0" w:line="44" w:lineRule="exact"/>
        <w:rPr>
          <w:sz w:val="20"/>
          <w:szCs w:val="20"/>
          <w:color w:val="auto"/>
        </w:rPr>
      </w:pPr>
    </w:p>
    <w:p>
      <w:pPr>
        <w:ind w:right="80"/>
        <w:spacing w:after="0" w:line="266" w:lineRule="auto"/>
        <w:rPr>
          <w:sz w:val="20"/>
          <w:szCs w:val="20"/>
          <w:color w:val="auto"/>
        </w:rPr>
      </w:pPr>
      <w:r>
        <w:rPr>
          <w:rFonts w:ascii="Times New Roman" w:cs="Times New Roman" w:eastAsia="Times New Roman" w:hAnsi="Times New Roman"/>
          <w:sz w:val="11"/>
          <w:szCs w:val="11"/>
          <w:b w:val="1"/>
          <w:bCs w:val="1"/>
          <w:color w:val="auto"/>
        </w:rPr>
        <w:t xml:space="preserve">Programmable world: </w:t>
      </w:r>
      <w:r>
        <w:rPr>
          <w:rFonts w:ascii="Times New Roman" w:cs="Times New Roman" w:eastAsia="Times New Roman" w:hAnsi="Times New Roman"/>
          <w:sz w:val="11"/>
          <w:szCs w:val="11"/>
          <w:color w:val="auto"/>
        </w:rPr>
        <w:t>A world where connectivity will expand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massively, linking people as well as billions of physical objects – from cars, home appliances and smartphones, to wearables, industrial equipment and health monitors. What distinguishes the Programmable World from the Internet of Things (IoT)</w:t>
      </w:r>
    </w:p>
    <w:p>
      <w:pPr>
        <w:spacing w:after="0" w:line="1" w:lineRule="exact"/>
        <w:rPr>
          <w:sz w:val="20"/>
          <w:szCs w:val="20"/>
          <w:color w:val="auto"/>
        </w:rPr>
      </w:pPr>
    </w:p>
    <w:p>
      <w:pPr>
        <w:ind w:right="480"/>
        <w:spacing w:after="0" w:line="286" w:lineRule="auto"/>
        <w:rPr>
          <w:sz w:val="20"/>
          <w:szCs w:val="20"/>
          <w:color w:val="auto"/>
        </w:rPr>
      </w:pPr>
      <w:r>
        <w:rPr>
          <w:rFonts w:ascii="Times New Roman" w:cs="Times New Roman" w:eastAsia="Times New Roman" w:hAnsi="Times New Roman"/>
          <w:sz w:val="11"/>
          <w:szCs w:val="11"/>
          <w:color w:val="auto"/>
        </w:rPr>
        <w:t>is the intelligence that is added to data to allow people to interpret and use it, rather than just capture it.</w:t>
      </w:r>
    </w:p>
    <w:p>
      <w:pPr>
        <w:spacing w:after="0" w:line="38" w:lineRule="exact"/>
        <w:rPr>
          <w:sz w:val="20"/>
          <w:szCs w:val="20"/>
          <w:color w:val="auto"/>
        </w:rPr>
      </w:pPr>
    </w:p>
    <w:p>
      <w:pPr>
        <w:ind w:right="24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PSE-3: </w:t>
      </w:r>
      <w:r>
        <w:rPr>
          <w:rFonts w:ascii="Times New Roman" w:cs="Times New Roman" w:eastAsia="Times New Roman" w:hAnsi="Times New Roman"/>
          <w:sz w:val="11"/>
          <w:szCs w:val="11"/>
          <w:color w:val="auto"/>
        </w:rPr>
        <w:t>The PSE-3 chipset is the first coherent digital signal</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processor to implement Probabilistic Constellation Shaping (PCS), a modulation technique pioneered by Nokia Bell Labs.</w:t>
      </w:r>
    </w:p>
    <w:p>
      <w:pPr>
        <w:spacing w:after="0" w:line="35" w:lineRule="exact"/>
        <w:rPr>
          <w:sz w:val="20"/>
          <w:szCs w:val="20"/>
          <w:color w:val="auto"/>
        </w:rPr>
      </w:pPr>
    </w:p>
    <w:p>
      <w:pPr>
        <w:ind w:right="16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RAN (Radio Access Network): </w:t>
      </w:r>
      <w:r>
        <w:rPr>
          <w:rFonts w:ascii="Times New Roman" w:cs="Times New Roman" w:eastAsia="Times New Roman" w:hAnsi="Times New Roman"/>
          <w:sz w:val="11"/>
          <w:szCs w:val="11"/>
          <w:color w:val="auto"/>
        </w:rPr>
        <w:t>A mobile telecommunications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system consisting of radio base stations and transmission equipment.</w:t>
      </w:r>
    </w:p>
    <w:p>
      <w:pPr>
        <w:spacing w:after="0" w:line="5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SDAN: </w:t>
      </w:r>
      <w:r>
        <w:rPr>
          <w:rFonts w:ascii="Times New Roman" w:cs="Times New Roman" w:eastAsia="Times New Roman" w:hAnsi="Times New Roman"/>
          <w:sz w:val="11"/>
          <w:szCs w:val="11"/>
          <w:color w:val="auto"/>
        </w:rPr>
        <w:t>Software Defined Access Network.</w:t>
      </w:r>
    </w:p>
    <w:p>
      <w:pPr>
        <w:spacing w:after="0" w:line="200" w:lineRule="exact"/>
        <w:rPr>
          <w:sz w:val="20"/>
          <w:szCs w:val="20"/>
          <w:color w:val="auto"/>
        </w:rPr>
      </w:pPr>
    </w:p>
    <w:p>
      <w:pPr>
        <w:spacing w:after="0" w:line="200" w:lineRule="exact"/>
        <w:rPr>
          <w:sz w:val="20"/>
          <w:szCs w:val="20"/>
          <w:color w:val="auto"/>
        </w:rPr>
      </w:pPr>
    </w:p>
    <w:p>
      <w:pPr>
        <w:spacing w:after="0" w:line="34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ind w:right="26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SDN (Software-Defined Network): </w:t>
      </w:r>
      <w:r>
        <w:rPr>
          <w:rFonts w:ascii="Times New Roman" w:cs="Times New Roman" w:eastAsia="Times New Roman" w:hAnsi="Times New Roman"/>
          <w:sz w:val="11"/>
          <w:szCs w:val="11"/>
          <w:color w:val="auto"/>
        </w:rPr>
        <w:t>Decoupling of network</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control and data forwarding to simplify and automate connections in data centers, clouds and across the wide area.</w:t>
      </w:r>
    </w:p>
    <w:p>
      <w:pPr>
        <w:spacing w:after="0" w:line="35" w:lineRule="exact"/>
        <w:rPr>
          <w:sz w:val="20"/>
          <w:szCs w:val="20"/>
          <w:color w:val="auto"/>
        </w:rPr>
      </w:pPr>
    </w:p>
    <w:p>
      <w:pPr>
        <w:ind w:right="6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SD-WAN: </w:t>
      </w:r>
      <w:r>
        <w:rPr>
          <w:rFonts w:ascii="Times New Roman" w:cs="Times New Roman" w:eastAsia="Times New Roman" w:hAnsi="Times New Roman"/>
          <w:sz w:val="11"/>
          <w:szCs w:val="11"/>
          <w:color w:val="auto"/>
        </w:rPr>
        <w:t>Software-Defined Networking in a Wide Area Network</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(WAN) that simplifies and automates enterprise networks, seamlessly connecting users and applications, from branch office to cloud.</w:t>
      </w:r>
    </w:p>
    <w:p>
      <w:pPr>
        <w:spacing w:after="0" w:line="53" w:lineRule="exact"/>
        <w:rPr>
          <w:sz w:val="20"/>
          <w:szCs w:val="20"/>
          <w:color w:val="auto"/>
        </w:rPr>
      </w:pPr>
    </w:p>
    <w:p>
      <w:pPr>
        <w:ind w:right="80"/>
        <w:spacing w:after="0" w:line="264" w:lineRule="auto"/>
        <w:rPr>
          <w:sz w:val="20"/>
          <w:szCs w:val="20"/>
          <w:color w:val="auto"/>
        </w:rPr>
      </w:pPr>
      <w:r>
        <w:rPr>
          <w:rFonts w:ascii="Times New Roman" w:cs="Times New Roman" w:eastAsia="Times New Roman" w:hAnsi="Times New Roman"/>
          <w:sz w:val="11"/>
          <w:szCs w:val="11"/>
          <w:b w:val="1"/>
          <w:bCs w:val="1"/>
          <w:color w:val="auto"/>
        </w:rPr>
        <w:t xml:space="preserve">SEP (Standard-Essential Patent): </w:t>
      </w:r>
      <w:r>
        <w:rPr>
          <w:rFonts w:ascii="Times New Roman" w:cs="Times New Roman" w:eastAsia="Times New Roman" w:hAnsi="Times New Roman"/>
          <w:sz w:val="11"/>
          <w:szCs w:val="11"/>
          <w:color w:val="auto"/>
        </w:rPr>
        <w:t>Generally, patents needed to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produce products which work on a standard which companies declare as essential and agree to license on Fair, Reasonable</w:t>
      </w:r>
    </w:p>
    <w:p>
      <w:pPr>
        <w:spacing w:after="0" w:line="1" w:lineRule="exact"/>
        <w:rPr>
          <w:sz w:val="20"/>
          <w:szCs w:val="20"/>
          <w:color w:val="auto"/>
        </w:rPr>
      </w:pPr>
    </w:p>
    <w:p>
      <w:pPr>
        <w:ind w:right="240"/>
        <w:spacing w:after="0" w:line="286" w:lineRule="auto"/>
        <w:rPr>
          <w:sz w:val="20"/>
          <w:szCs w:val="20"/>
          <w:color w:val="auto"/>
        </w:rPr>
      </w:pPr>
      <w:r>
        <w:rPr>
          <w:rFonts w:ascii="Times New Roman" w:cs="Times New Roman" w:eastAsia="Times New Roman" w:hAnsi="Times New Roman"/>
          <w:sz w:val="11"/>
          <w:szCs w:val="11"/>
          <w:color w:val="auto"/>
        </w:rPr>
        <w:t>and Non-Discriminatory (FRAND) terms. Can also be referred to as essential patent.</w:t>
      </w:r>
    </w:p>
    <w:p>
      <w:pPr>
        <w:spacing w:after="0" w:line="49" w:lineRule="exact"/>
        <w:rPr>
          <w:sz w:val="20"/>
          <w:szCs w:val="20"/>
          <w:color w:val="auto"/>
        </w:rPr>
      </w:pPr>
    </w:p>
    <w:p>
      <w:pPr>
        <w:jc w:val="both"/>
        <w:ind w:right="44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Single RAN: </w:t>
      </w:r>
      <w:r>
        <w:rPr>
          <w:rFonts w:ascii="Times New Roman" w:cs="Times New Roman" w:eastAsia="Times New Roman" w:hAnsi="Times New Roman"/>
          <w:sz w:val="11"/>
          <w:szCs w:val="11"/>
          <w:color w:val="auto"/>
        </w:rPr>
        <w:t>Single RAN (S-RAN) allows different radio</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technologies to be provided at the same time from a single base station, using a multi-purpose platform.</w:t>
      </w:r>
    </w:p>
    <w:p>
      <w:pPr>
        <w:spacing w:after="0" w:line="41" w:lineRule="exact"/>
        <w:rPr>
          <w:sz w:val="20"/>
          <w:szCs w:val="20"/>
          <w:color w:val="auto"/>
        </w:rPr>
      </w:pPr>
    </w:p>
    <w:p>
      <w:pPr>
        <w:ind w:right="240"/>
        <w:spacing w:after="0" w:line="275" w:lineRule="auto"/>
        <w:rPr>
          <w:sz w:val="20"/>
          <w:szCs w:val="20"/>
          <w:color w:val="auto"/>
        </w:rPr>
      </w:pPr>
      <w:r>
        <w:rPr>
          <w:rFonts w:ascii="Times New Roman" w:cs="Times New Roman" w:eastAsia="Times New Roman" w:hAnsi="Times New Roman"/>
          <w:sz w:val="11"/>
          <w:szCs w:val="11"/>
          <w:b w:val="1"/>
          <w:bCs w:val="1"/>
          <w:color w:val="auto"/>
        </w:rPr>
        <w:t xml:space="preserve">Small cells: </w:t>
      </w:r>
      <w:r>
        <w:rPr>
          <w:rFonts w:ascii="Times New Roman" w:cs="Times New Roman" w:eastAsia="Times New Roman" w:hAnsi="Times New Roman"/>
          <w:sz w:val="11"/>
          <w:szCs w:val="11"/>
          <w:color w:val="auto"/>
        </w:rPr>
        <w:t>Low-powered radio access nodes (micro cells or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picocells) that are a vital element in handling very dense data traffic demands. 3G and LTE small cells use spectrum licensed by the operator; Wi-Fi uses unlicensed spectrum which is therefore not under the operator’s exclusive control.</w:t>
      </w:r>
    </w:p>
    <w:p>
      <w:pPr>
        <w:spacing w:after="0" w:line="44" w:lineRule="exact"/>
        <w:rPr>
          <w:sz w:val="20"/>
          <w:szCs w:val="20"/>
          <w:color w:val="auto"/>
        </w:rPr>
      </w:pPr>
    </w:p>
    <w:p>
      <w:pPr>
        <w:ind w:right="140"/>
        <w:spacing w:after="0" w:line="291" w:lineRule="auto"/>
        <w:rPr>
          <w:sz w:val="20"/>
          <w:szCs w:val="20"/>
          <w:color w:val="auto"/>
        </w:rPr>
      </w:pPr>
      <w:r>
        <w:rPr>
          <w:rFonts w:ascii="Times New Roman" w:cs="Times New Roman" w:eastAsia="Times New Roman" w:hAnsi="Times New Roman"/>
          <w:sz w:val="11"/>
          <w:szCs w:val="11"/>
          <w:b w:val="1"/>
          <w:bCs w:val="1"/>
          <w:color w:val="auto"/>
        </w:rPr>
        <w:t xml:space="preserve">Standalone (SA): </w:t>
      </w:r>
      <w:r>
        <w:rPr>
          <w:rFonts w:ascii="Times New Roman" w:cs="Times New Roman" w:eastAsia="Times New Roman" w:hAnsi="Times New Roman"/>
          <w:sz w:val="11"/>
          <w:szCs w:val="11"/>
          <w:color w:val="auto"/>
        </w:rPr>
        <w:t>Network architecture that allows independent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operation of a 5G service without interaction with an existing 4G core and 4G radio network.</w:t>
      </w:r>
    </w:p>
    <w:p>
      <w:pPr>
        <w:spacing w:after="0" w:line="35" w:lineRule="exact"/>
        <w:rPr>
          <w:sz w:val="20"/>
          <w:szCs w:val="20"/>
          <w:color w:val="auto"/>
        </w:rPr>
      </w:pPr>
    </w:p>
    <w:p>
      <w:pPr>
        <w:ind w:right="280"/>
        <w:spacing w:after="0" w:line="275" w:lineRule="auto"/>
        <w:rPr>
          <w:sz w:val="20"/>
          <w:szCs w:val="20"/>
          <w:color w:val="auto"/>
        </w:rPr>
      </w:pPr>
      <w:r>
        <w:rPr>
          <w:rFonts w:ascii="Times New Roman" w:cs="Times New Roman" w:eastAsia="Times New Roman" w:hAnsi="Times New Roman"/>
          <w:sz w:val="11"/>
          <w:szCs w:val="11"/>
          <w:b w:val="1"/>
          <w:bCs w:val="1"/>
          <w:color w:val="auto"/>
        </w:rPr>
        <w:t xml:space="preserve">Technology licensing: </w:t>
      </w:r>
      <w:r>
        <w:rPr>
          <w:rFonts w:ascii="Times New Roman" w:cs="Times New Roman" w:eastAsia="Times New Roman" w:hAnsi="Times New Roman"/>
          <w:sz w:val="11"/>
          <w:szCs w:val="11"/>
          <w:color w:val="auto"/>
        </w:rPr>
        <w:t>Generally, refers to an agreement or</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arrangement where under certain terms a company provides another company with its technology and possibly know-how, whether protected by intellectual property or not, for use in products or services offered by the other company.</w:t>
      </w:r>
    </w:p>
    <w:p>
      <w:pPr>
        <w:spacing w:after="0" w:line="44" w:lineRule="exact"/>
        <w:rPr>
          <w:sz w:val="20"/>
          <w:szCs w:val="20"/>
          <w:color w:val="auto"/>
        </w:rPr>
      </w:pPr>
    </w:p>
    <w:p>
      <w:pPr>
        <w:spacing w:after="0" w:line="267" w:lineRule="auto"/>
        <w:rPr>
          <w:sz w:val="20"/>
          <w:szCs w:val="20"/>
          <w:color w:val="auto"/>
        </w:rPr>
      </w:pPr>
      <w:r>
        <w:rPr>
          <w:rFonts w:ascii="Times New Roman" w:cs="Times New Roman" w:eastAsia="Times New Roman" w:hAnsi="Times New Roman"/>
          <w:sz w:val="11"/>
          <w:szCs w:val="11"/>
          <w:b w:val="1"/>
          <w:bCs w:val="1"/>
          <w:color w:val="auto"/>
        </w:rPr>
        <w:t xml:space="preserve">Telco cloud: </w:t>
      </w:r>
      <w:r>
        <w:rPr>
          <w:rFonts w:ascii="Times New Roman" w:cs="Times New Roman" w:eastAsia="Times New Roman" w:hAnsi="Times New Roman"/>
          <w:sz w:val="11"/>
          <w:szCs w:val="11"/>
          <w:color w:val="auto"/>
        </w:rPr>
        <w:t>Applying cloud computing, SDN and NFV principles</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in telecommunications environment, for example separating application software from underlying hardware with</w:t>
      </w:r>
    </w:p>
    <w:p>
      <w:pPr>
        <w:spacing w:after="0" w:line="1" w:lineRule="exact"/>
        <w:rPr>
          <w:sz w:val="20"/>
          <w:szCs w:val="20"/>
          <w:color w:val="auto"/>
        </w:rPr>
      </w:pPr>
    </w:p>
    <w:p>
      <w:pPr>
        <w:ind w:right="440"/>
        <w:spacing w:after="0" w:line="273" w:lineRule="auto"/>
        <w:rPr>
          <w:sz w:val="20"/>
          <w:szCs w:val="20"/>
          <w:color w:val="auto"/>
        </w:rPr>
      </w:pPr>
      <w:r>
        <w:rPr>
          <w:rFonts w:ascii="Times New Roman" w:cs="Times New Roman" w:eastAsia="Times New Roman" w:hAnsi="Times New Roman"/>
          <w:sz w:val="11"/>
          <w:szCs w:val="11"/>
          <w:color w:val="auto"/>
        </w:rPr>
        <w:t>automated, programmable interfaces while still retaining telecommunications requirements such as high availability and low latency.</w:t>
      </w:r>
    </w:p>
    <w:p>
      <w:pPr>
        <w:spacing w:after="0" w:line="55" w:lineRule="exact"/>
        <w:rPr>
          <w:sz w:val="20"/>
          <w:szCs w:val="20"/>
          <w:color w:val="auto"/>
        </w:rPr>
      </w:pPr>
    </w:p>
    <w:p>
      <w:pPr>
        <w:ind w:right="180"/>
        <w:spacing w:after="0" w:line="294" w:lineRule="auto"/>
        <w:rPr>
          <w:sz w:val="20"/>
          <w:szCs w:val="20"/>
          <w:color w:val="auto"/>
        </w:rPr>
      </w:pPr>
      <w:r>
        <w:rPr>
          <w:rFonts w:ascii="Times New Roman" w:cs="Times New Roman" w:eastAsia="Times New Roman" w:hAnsi="Times New Roman"/>
          <w:sz w:val="11"/>
          <w:szCs w:val="11"/>
          <w:b w:val="1"/>
          <w:bCs w:val="1"/>
          <w:color w:val="auto"/>
        </w:rPr>
        <w:t xml:space="preserve">Transmission: </w:t>
      </w:r>
      <w:r>
        <w:rPr>
          <w:rFonts w:ascii="Times New Roman" w:cs="Times New Roman" w:eastAsia="Times New Roman" w:hAnsi="Times New Roman"/>
          <w:sz w:val="11"/>
          <w:szCs w:val="11"/>
          <w:color w:val="auto"/>
        </w:rPr>
        <w:t>The action of conveying signals from one point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to one or more other points.</w:t>
      </w:r>
    </w:p>
    <w:p>
      <w:pPr>
        <w:spacing w:after="0" w:line="4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TXLE (Technical Extra-Large Enterprise): </w:t>
      </w:r>
      <w:r>
        <w:rPr>
          <w:rFonts w:ascii="Times New Roman" w:cs="Times New Roman" w:eastAsia="Times New Roman" w:hAnsi="Times New Roman"/>
          <w:sz w:val="11"/>
          <w:szCs w:val="11"/>
          <w:color w:val="auto"/>
        </w:rPr>
        <w:t>Technically</w:t>
      </w:r>
    </w:p>
    <w:p>
      <w:pPr>
        <w:spacing w:after="0" w:line="24" w:lineRule="exact"/>
        <w:rPr>
          <w:sz w:val="20"/>
          <w:szCs w:val="20"/>
          <w:color w:val="auto"/>
        </w:rPr>
      </w:pPr>
    </w:p>
    <w:p>
      <w:pPr>
        <w:ind w:right="300"/>
        <w:spacing w:after="0" w:line="273" w:lineRule="auto"/>
        <w:rPr>
          <w:sz w:val="20"/>
          <w:szCs w:val="20"/>
          <w:color w:val="auto"/>
        </w:rPr>
      </w:pPr>
      <w:r>
        <w:rPr>
          <w:rFonts w:ascii="Times New Roman" w:cs="Times New Roman" w:eastAsia="Times New Roman" w:hAnsi="Times New Roman"/>
          <w:sz w:val="11"/>
          <w:szCs w:val="11"/>
          <w:color w:val="auto"/>
        </w:rPr>
        <w:t>sophisticated companies, such as banks, that invest heavily in their own network infrastructures to gain a key competitive advantage.</w:t>
      </w:r>
    </w:p>
    <w:p>
      <w:pPr>
        <w:spacing w:after="0" w:line="20" w:lineRule="exact"/>
        <w:rPr>
          <w:sz w:val="20"/>
          <w:szCs w:val="20"/>
          <w:color w:val="auto"/>
        </w:rPr>
      </w:pPr>
      <w:r>
        <w:rPr>
          <w:sz w:val="20"/>
          <w:szCs w:val="20"/>
          <w:color w:val="auto"/>
        </w:rPr>
        <w:br w:type="column"/>
      </w:r>
    </w:p>
    <w:p>
      <w:pPr>
        <w:spacing w:after="0" w:line="30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 xml:space="preserve">VDSL2 (Very High Bit Rate Digital Subscriber Line 2): </w:t>
      </w:r>
      <w:r>
        <w:rPr>
          <w:rFonts w:ascii="Times New Roman" w:cs="Times New Roman" w:eastAsia="Times New Roman" w:hAnsi="Times New Roman"/>
          <w:sz w:val="11"/>
          <w:szCs w:val="11"/>
          <w:color w:val="auto"/>
        </w:rPr>
        <w:t>A fixed</w:t>
      </w:r>
    </w:p>
    <w:p>
      <w:pPr>
        <w:spacing w:after="0" w:line="24" w:lineRule="exact"/>
        <w:rPr>
          <w:sz w:val="20"/>
          <w:szCs w:val="20"/>
          <w:color w:val="auto"/>
        </w:rPr>
      </w:pPr>
    </w:p>
    <w:p>
      <w:pPr>
        <w:jc w:val="both"/>
        <w:ind w:right="380"/>
        <w:spacing w:after="0" w:line="271" w:lineRule="auto"/>
        <w:rPr>
          <w:sz w:val="20"/>
          <w:szCs w:val="20"/>
          <w:color w:val="auto"/>
        </w:rPr>
      </w:pPr>
      <w:r>
        <w:rPr>
          <w:rFonts w:ascii="Times New Roman" w:cs="Times New Roman" w:eastAsia="Times New Roman" w:hAnsi="Times New Roman"/>
          <w:sz w:val="11"/>
          <w:szCs w:val="11"/>
          <w:color w:val="auto"/>
        </w:rPr>
        <w:t>broadband technology, the successor of ADSL. Launched in 2007, it typically delivers a 30Mbps broadband service from a street cabinet (also called a Fiber to the Node deployment) over existing telephone lines.</w:t>
      </w:r>
    </w:p>
    <w:p>
      <w:pPr>
        <w:spacing w:after="0" w:line="47" w:lineRule="exact"/>
        <w:rPr>
          <w:sz w:val="20"/>
          <w:szCs w:val="20"/>
          <w:color w:val="auto"/>
        </w:rPr>
      </w:pPr>
    </w:p>
    <w:p>
      <w:pPr>
        <w:ind w:right="260"/>
        <w:spacing w:after="0" w:line="277" w:lineRule="auto"/>
        <w:rPr>
          <w:sz w:val="20"/>
          <w:szCs w:val="20"/>
          <w:color w:val="auto"/>
        </w:rPr>
      </w:pPr>
      <w:r>
        <w:rPr>
          <w:rFonts w:ascii="Times New Roman" w:cs="Times New Roman" w:eastAsia="Times New Roman" w:hAnsi="Times New Roman"/>
          <w:sz w:val="11"/>
          <w:szCs w:val="11"/>
          <w:b w:val="1"/>
          <w:bCs w:val="1"/>
          <w:color w:val="auto"/>
        </w:rPr>
        <w:t xml:space="preserve">VDSL2 vectoring: </w:t>
      </w:r>
      <w:r>
        <w:rPr>
          <w:rFonts w:ascii="Times New Roman" w:cs="Times New Roman" w:eastAsia="Times New Roman" w:hAnsi="Times New Roman"/>
          <w:sz w:val="11"/>
          <w:szCs w:val="11"/>
          <w:color w:val="auto"/>
        </w:rPr>
        <w:t>A fixed broadband technology launched in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2011, able to deliver up to 100Mbps over a VDSL2 line by applying noise cancellation techniques to remove cross-talk between neighboring VDSL2 lines.</w:t>
      </w:r>
    </w:p>
    <w:p>
      <w:pPr>
        <w:spacing w:after="0" w:line="53" w:lineRule="exact"/>
        <w:rPr>
          <w:sz w:val="20"/>
          <w:szCs w:val="20"/>
          <w:color w:val="auto"/>
        </w:rPr>
      </w:pPr>
    </w:p>
    <w:p>
      <w:pPr>
        <w:ind w:right="36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Virtual Reality (VR): </w:t>
      </w:r>
      <w:r>
        <w:rPr>
          <w:rFonts w:ascii="Times New Roman" w:cs="Times New Roman" w:eastAsia="Times New Roman" w:hAnsi="Times New Roman"/>
          <w:sz w:val="11"/>
          <w:szCs w:val="11"/>
          <w:color w:val="auto"/>
        </w:rPr>
        <w:t>The simulation of a three-dimensional</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image or environment that can be interacted with in a seemingly real or physical way by a person using special electronic equipment, such as a helmet with a screen inside or gloves fitted with sensors.</w:t>
      </w:r>
    </w:p>
    <w:p>
      <w:pPr>
        <w:spacing w:after="0" w:line="57" w:lineRule="exact"/>
        <w:rPr>
          <w:sz w:val="20"/>
          <w:szCs w:val="20"/>
          <w:color w:val="auto"/>
        </w:rPr>
      </w:pPr>
    </w:p>
    <w:p>
      <w:pPr>
        <w:ind w:right="160"/>
        <w:spacing w:after="0" w:line="270" w:lineRule="auto"/>
        <w:rPr>
          <w:sz w:val="20"/>
          <w:szCs w:val="20"/>
          <w:color w:val="auto"/>
        </w:rPr>
      </w:pPr>
      <w:r>
        <w:rPr>
          <w:rFonts w:ascii="Times New Roman" w:cs="Times New Roman" w:eastAsia="Times New Roman" w:hAnsi="Times New Roman"/>
          <w:sz w:val="11"/>
          <w:szCs w:val="11"/>
          <w:b w:val="1"/>
          <w:bCs w:val="1"/>
          <w:color w:val="auto"/>
        </w:rPr>
        <w:t xml:space="preserve">VoLTE (Voice over LTE): </w:t>
      </w:r>
      <w:r>
        <w:rPr>
          <w:rFonts w:ascii="Times New Roman" w:cs="Times New Roman" w:eastAsia="Times New Roman" w:hAnsi="Times New Roman"/>
          <w:sz w:val="11"/>
          <w:szCs w:val="11"/>
          <w:color w:val="auto"/>
        </w:rPr>
        <w:t>Required to offer voice services on an</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all-IP LTE network and generally provided using IP Multimedia Subsystem, which is an architectural framework designed to deliver IP-based multimedia services on telecommunications networks; standardized by 3GPP.</w:t>
      </w:r>
    </w:p>
    <w:p>
      <w:pPr>
        <w:spacing w:after="0" w:line="57" w:lineRule="exact"/>
        <w:rPr>
          <w:sz w:val="20"/>
          <w:szCs w:val="20"/>
          <w:color w:val="auto"/>
        </w:rPr>
      </w:pPr>
    </w:p>
    <w:p>
      <w:pPr>
        <w:ind w:right="8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WAN (Wide Area Network): </w:t>
      </w:r>
      <w:r>
        <w:rPr>
          <w:rFonts w:ascii="Times New Roman" w:cs="Times New Roman" w:eastAsia="Times New Roman" w:hAnsi="Times New Roman"/>
          <w:sz w:val="11"/>
          <w:szCs w:val="11"/>
          <w:color w:val="auto"/>
        </w:rPr>
        <w:t>A geographically distributed private</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telecommunications network that interconnects multiple local area networks.</w:t>
      </w:r>
    </w:p>
    <w:p>
      <w:pPr>
        <w:spacing w:after="0" w:line="51" w:lineRule="exact"/>
        <w:rPr>
          <w:sz w:val="20"/>
          <w:szCs w:val="20"/>
          <w:color w:val="auto"/>
        </w:rPr>
      </w:pPr>
    </w:p>
    <w:p>
      <w:pPr>
        <w:ind w:right="120"/>
        <w:spacing w:after="0" w:line="264" w:lineRule="auto"/>
        <w:rPr>
          <w:sz w:val="20"/>
          <w:szCs w:val="20"/>
          <w:color w:val="auto"/>
        </w:rPr>
      </w:pPr>
      <w:r>
        <w:rPr>
          <w:rFonts w:ascii="Times New Roman" w:cs="Times New Roman" w:eastAsia="Times New Roman" w:hAnsi="Times New Roman"/>
          <w:sz w:val="11"/>
          <w:szCs w:val="11"/>
          <w:b w:val="1"/>
          <w:bCs w:val="1"/>
          <w:color w:val="auto"/>
        </w:rPr>
        <w:t xml:space="preserve">WCDMA (Wideband Code Division Multiple Access): </w:t>
      </w:r>
      <w:r>
        <w:rPr>
          <w:rFonts w:ascii="Times New Roman" w:cs="Times New Roman" w:eastAsia="Times New Roman" w:hAnsi="Times New Roman"/>
          <w:sz w:val="11"/>
          <w:szCs w:val="11"/>
          <w:color w:val="auto"/>
        </w:rPr>
        <w:t>A third-generation mobile wireless technology that offers high data speeds to mobile and portable wireless devices. Also referred</w:t>
      </w:r>
    </w:p>
    <w:p>
      <w:pPr>
        <w:spacing w:after="0" w:line="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to as 3G.</w:t>
      </w:r>
    </w:p>
    <w:p>
      <w:pPr>
        <w:spacing w:after="0" w:line="82" w:lineRule="exact"/>
        <w:rPr>
          <w:sz w:val="20"/>
          <w:szCs w:val="20"/>
          <w:color w:val="auto"/>
        </w:rPr>
      </w:pPr>
    </w:p>
    <w:p>
      <w:pPr>
        <w:ind w:right="160"/>
        <w:spacing w:after="0" w:line="272" w:lineRule="auto"/>
        <w:rPr>
          <w:sz w:val="20"/>
          <w:szCs w:val="20"/>
          <w:color w:val="auto"/>
        </w:rPr>
      </w:pPr>
      <w:r>
        <w:rPr>
          <w:rFonts w:ascii="Times New Roman" w:cs="Times New Roman" w:eastAsia="Times New Roman" w:hAnsi="Times New Roman"/>
          <w:sz w:val="11"/>
          <w:szCs w:val="11"/>
          <w:b w:val="1"/>
          <w:bCs w:val="1"/>
          <w:color w:val="auto"/>
        </w:rPr>
        <w:t xml:space="preserve">Webscale companies: </w:t>
      </w:r>
      <w:r>
        <w:rPr>
          <w:rFonts w:ascii="Times New Roman" w:cs="Times New Roman" w:eastAsia="Times New Roman" w:hAnsi="Times New Roman"/>
          <w:sz w:val="11"/>
          <w:szCs w:val="11"/>
          <w:color w:val="auto"/>
        </w:rPr>
        <w:t>Companies which are investing in cloud</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technology and network infrastructure on an increasing scale</w:t>
      </w:r>
    </w:p>
    <w:p>
      <w:pPr>
        <w:spacing w:after="0"/>
        <w:rPr>
          <w:sz w:val="20"/>
          <w:szCs w:val="20"/>
          <w:color w:val="auto"/>
        </w:rPr>
      </w:pPr>
      <w:r>
        <w:rPr>
          <w:rFonts w:ascii="Times New Roman" w:cs="Times New Roman" w:eastAsia="Times New Roman" w:hAnsi="Times New Roman"/>
          <w:sz w:val="11"/>
          <w:szCs w:val="11"/>
          <w:color w:val="auto"/>
        </w:rPr>
        <w:t>to fulfill their needs for massive, mission-critical networks.</w:t>
      </w:r>
    </w:p>
    <w:p>
      <w:pPr>
        <w:spacing w:after="0" w:line="82" w:lineRule="exact"/>
        <w:rPr>
          <w:sz w:val="20"/>
          <w:szCs w:val="20"/>
          <w:color w:val="auto"/>
        </w:rPr>
      </w:pPr>
    </w:p>
    <w:p>
      <w:pPr>
        <w:ind w:right="260"/>
        <w:spacing w:after="0" w:line="281" w:lineRule="auto"/>
        <w:rPr>
          <w:sz w:val="20"/>
          <w:szCs w:val="20"/>
          <w:color w:val="auto"/>
        </w:rPr>
      </w:pPr>
      <w:r>
        <w:rPr>
          <w:rFonts w:ascii="Times New Roman" w:cs="Times New Roman" w:eastAsia="Times New Roman" w:hAnsi="Times New Roman"/>
          <w:sz w:val="11"/>
          <w:szCs w:val="11"/>
          <w:b w:val="1"/>
          <w:bCs w:val="1"/>
          <w:color w:val="auto"/>
        </w:rPr>
        <w:t>WING:</w:t>
      </w:r>
      <w:r>
        <w:rPr>
          <w:rFonts w:ascii="Times New Roman" w:cs="Times New Roman" w:eastAsia="Times New Roman" w:hAnsi="Times New Roman"/>
          <w:sz w:val="11"/>
          <w:szCs w:val="11"/>
          <w:color w:val="auto"/>
        </w:rPr>
        <w:t>Worldwide IoT Network Grid is a managed service that</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offers CSPs the ability to support their enterprise customers with global IoT connectivity across borders and technologies.</w:t>
      </w:r>
    </w:p>
    <w:p>
      <w:pPr>
        <w:spacing w:after="0" w:line="51" w:lineRule="exact"/>
        <w:rPr>
          <w:sz w:val="20"/>
          <w:szCs w:val="20"/>
          <w:color w:val="auto"/>
        </w:rPr>
      </w:pPr>
    </w:p>
    <w:p>
      <w:pPr>
        <w:ind w:right="240"/>
        <w:spacing w:after="0" w:line="281" w:lineRule="auto"/>
        <w:rPr>
          <w:sz w:val="20"/>
          <w:szCs w:val="20"/>
          <w:color w:val="auto"/>
        </w:rPr>
      </w:pPr>
      <w:r>
        <w:rPr>
          <w:rFonts w:ascii="Times New Roman" w:cs="Times New Roman" w:eastAsia="Times New Roman" w:hAnsi="Times New Roman"/>
          <w:sz w:val="11"/>
          <w:szCs w:val="11"/>
          <w:b w:val="1"/>
          <w:bCs w:val="1"/>
          <w:color w:val="auto"/>
        </w:rPr>
        <w:t xml:space="preserve">WLAN (Wireless Local Area Network): </w:t>
      </w:r>
      <w:r>
        <w:rPr>
          <w:rFonts w:ascii="Times New Roman" w:cs="Times New Roman" w:eastAsia="Times New Roman" w:hAnsi="Times New Roman"/>
          <w:sz w:val="11"/>
          <w:szCs w:val="11"/>
          <w:color w:val="auto"/>
        </w:rPr>
        <w:t>A local area network</w:t>
      </w:r>
      <w:r>
        <w:rPr>
          <w:rFonts w:ascii="Times New Roman" w:cs="Times New Roman" w:eastAsia="Times New Roman" w:hAnsi="Times New Roman"/>
          <w:sz w:val="11"/>
          <w:szCs w:val="11"/>
          <w:b w:val="1"/>
          <w:bCs w:val="1"/>
          <w:color w:val="auto"/>
        </w:rPr>
        <w:t xml:space="preserve"> </w:t>
      </w:r>
      <w:r>
        <w:rPr>
          <w:rFonts w:ascii="Times New Roman" w:cs="Times New Roman" w:eastAsia="Times New Roman" w:hAnsi="Times New Roman"/>
          <w:sz w:val="11"/>
          <w:szCs w:val="11"/>
          <w:color w:val="auto"/>
        </w:rPr>
        <w:t>using wireless connections, such as radio, microwave or infrared links, in place of physical cables.</w:t>
      </w:r>
    </w:p>
    <w:p>
      <w:pPr>
        <w:sectPr>
          <w:pgSz w:w="11900" w:h="16838" w:orient="portrait"/>
          <w:cols w:equalWidth="0" w:num="3">
            <w:col w:w="3080" w:space="320"/>
            <w:col w:w="3120" w:space="280"/>
            <w:col w:w="3160"/>
          </w:cols>
          <w:pgMar w:left="960" w:top="409" w:right="979" w:bottom="1440" w:gutter="0" w:footer="0" w:header="0"/>
          <w:type w:val="continuous"/>
        </w:sectPr>
      </w:pPr>
    </w:p>
    <w:bookmarkStart w:id="219" w:name="page220"/>
    <w:bookmarkEnd w:id="219"/>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Other</w:t>
            </w:r>
          </w:p>
        </w:tc>
        <w:tc>
          <w:tcPr>
            <w:tcW w:w="39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212</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information</w:t>
            </w:r>
          </w:p>
        </w:tc>
        <w:tc>
          <w:tcPr>
            <w:tcW w:w="39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280" w:type="dxa"/>
            <w:vAlign w:val="bottom"/>
          </w:tcPr>
          <w:p>
            <w:pPr>
              <w:spacing w:after="0"/>
              <w:rPr>
                <w:sz w:val="3"/>
                <w:szCs w:val="3"/>
                <w:color w:val="auto"/>
              </w:rPr>
            </w:pPr>
          </w:p>
        </w:tc>
        <w:tc>
          <w:tcPr>
            <w:tcW w:w="580" w:type="dxa"/>
            <w:vAlign w:val="bottom"/>
            <w:tcBorders>
              <w:bottom w:val="single" w:sz="8" w:color="005AFF"/>
            </w:tcBorders>
          </w:tcPr>
          <w:p>
            <w:pPr>
              <w:spacing w:after="0"/>
              <w:rPr>
                <w:sz w:val="3"/>
                <w:szCs w:val="3"/>
                <w:color w:val="auto"/>
              </w:rPr>
            </w:pPr>
          </w:p>
        </w:tc>
        <w:tc>
          <w:tcPr>
            <w:tcW w:w="39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150495</wp:posOffset>
            </wp:positionV>
            <wp:extent cx="7216140" cy="511810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2">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Investor information</w:t>
      </w:r>
    </w:p>
    <w:p>
      <w:pPr>
        <w:sectPr>
          <w:pgSz w:w="11900" w:h="16838" w:orient="portrait"/>
          <w:cols w:equalWidth="0" w:num="1">
            <w:col w:w="9980"/>
          </w:cols>
          <w:pgMar w:left="960" w:top="410" w:right="959" w:bottom="1440" w:gutter="0" w:footer="0" w:header="0"/>
        </w:sectPr>
      </w:pPr>
    </w:p>
    <w:p>
      <w:pPr>
        <w:spacing w:after="0" w:line="318" w:lineRule="exact"/>
        <w:rPr>
          <w:sz w:val="20"/>
          <w:szCs w:val="20"/>
          <w:color w:val="auto"/>
        </w:rPr>
      </w:pPr>
    </w:p>
    <w:p>
      <w:pPr>
        <w:spacing w:after="0"/>
        <w:rPr>
          <w:sz w:val="20"/>
          <w:szCs w:val="20"/>
          <w:color w:val="auto"/>
        </w:rPr>
      </w:pPr>
      <w:r>
        <w:rPr>
          <w:rFonts w:ascii="Times New Roman" w:cs="Times New Roman" w:eastAsia="Times New Roman" w:hAnsi="Times New Roman"/>
          <w:sz w:val="16"/>
          <w:szCs w:val="16"/>
          <w:color w:val="005AFF"/>
        </w:rPr>
        <w:t>Investor information</w:t>
      </w:r>
    </w:p>
    <w:p>
      <w:pPr>
        <w:spacing w:after="0" w:line="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Information on the internet</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www.nokia.com</w:t>
      </w:r>
    </w:p>
    <w:p>
      <w:pPr>
        <w:spacing w:after="0" w:line="86" w:lineRule="exact"/>
        <w:rPr>
          <w:sz w:val="20"/>
          <w:szCs w:val="20"/>
          <w:color w:val="auto"/>
        </w:rPr>
      </w:pPr>
    </w:p>
    <w:p>
      <w:pPr>
        <w:ind w:right="500"/>
        <w:spacing w:after="0" w:line="275" w:lineRule="auto"/>
        <w:rPr>
          <w:sz w:val="20"/>
          <w:szCs w:val="20"/>
          <w:color w:val="auto"/>
        </w:rPr>
      </w:pPr>
      <w:r>
        <w:rPr>
          <w:rFonts w:ascii="Times New Roman" w:cs="Times New Roman" w:eastAsia="Times New Roman" w:hAnsi="Times New Roman"/>
          <w:sz w:val="11"/>
          <w:szCs w:val="11"/>
          <w:color w:val="auto"/>
        </w:rPr>
        <w:t>Available on the internet: financial reports, members of the Group Leadership Team, other investor-related materials and events, and press releases as well as environmental and social information, including our People &amp; Planet Report, Code of Conduct, Corporate Governance Statement and Remuneration Statement.</w:t>
      </w:r>
    </w:p>
    <w:p>
      <w:pPr>
        <w:spacing w:after="0" w:line="57" w:lineRule="exact"/>
        <w:rPr>
          <w:sz w:val="20"/>
          <w:szCs w:val="20"/>
          <w:color w:val="auto"/>
        </w:rPr>
      </w:pPr>
    </w:p>
    <w:p>
      <w:pPr>
        <w:ind w:right="440"/>
        <w:spacing w:after="0" w:line="290" w:lineRule="auto"/>
        <w:rPr>
          <w:sz w:val="20"/>
          <w:szCs w:val="20"/>
          <w:color w:val="auto"/>
        </w:rPr>
      </w:pPr>
      <w:r>
        <w:rPr>
          <w:rFonts w:ascii="Times New Roman" w:cs="Times New Roman" w:eastAsia="Times New Roman" w:hAnsi="Times New Roman"/>
          <w:sz w:val="11"/>
          <w:szCs w:val="11"/>
          <w:color w:val="auto"/>
        </w:rPr>
        <w:t>SEC maintains an internet site that contains reports, proxy and information statements, and other information regarding issuers that file electronically with the SEC (http://www.sec.gov).</w:t>
      </w:r>
    </w:p>
    <w:p>
      <w:pPr>
        <w:spacing w:after="0" w:line="20" w:lineRule="exact"/>
        <w:rPr>
          <w:sz w:val="20"/>
          <w:szCs w:val="20"/>
          <w:color w:val="auto"/>
        </w:rPr>
      </w:pPr>
      <w:r>
        <w:rPr>
          <w:sz w:val="20"/>
          <w:szCs w:val="20"/>
          <w:color w:val="auto"/>
        </w:rPr>
        <w:br w:type="column"/>
      </w:r>
    </w:p>
    <w:p>
      <w:pPr>
        <w:spacing w:after="0" w:line="30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Contact information</w:t>
      </w:r>
    </w:p>
    <w:p>
      <w:pPr>
        <w:spacing w:after="0" w:line="9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Nokia Head Office</w:t>
      </w:r>
    </w:p>
    <w:p>
      <w:pPr>
        <w:spacing w:after="0" w:line="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Karakaari 7</w:t>
      </w:r>
    </w:p>
    <w:p>
      <w:pPr>
        <w:spacing w:after="0" w:line="8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FI-02610 Espoo, Finland</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FINLAND</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Tel. +358 (0) 10 44 88 000</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Fax +358 (0) 10 44 81 002</w:t>
      </w:r>
    </w:p>
    <w:p>
      <w:pPr>
        <w:spacing w:after="0" w:line="377" w:lineRule="exact"/>
        <w:rPr>
          <w:sz w:val="20"/>
          <w:szCs w:val="20"/>
          <w:color w:val="auto"/>
        </w:rPr>
      </w:pPr>
    </w:p>
    <w:p>
      <w:pPr>
        <w:sectPr>
          <w:pgSz w:w="11900" w:h="16838" w:orient="portrait"/>
          <w:cols w:equalWidth="0" w:num="2">
            <w:col w:w="4760" w:space="720"/>
            <w:col w:w="450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3"/>
          <w:szCs w:val="13"/>
          <w:color w:val="auto"/>
        </w:rPr>
        <w:t>Investor Relations contacts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investor.relations@nokia.com</w:t>
      </w:r>
    </w:p>
    <w:p>
      <w:pPr>
        <w:spacing w:after="0" w:line="8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Annual General Meeting</w:t>
      </w:r>
    </w:p>
    <w:p>
      <w:pPr>
        <w:spacing w:after="0" w:line="32" w:lineRule="exact"/>
        <w:rPr>
          <w:sz w:val="20"/>
          <w:szCs w:val="20"/>
          <w:color w:val="auto"/>
        </w:rPr>
      </w:pPr>
    </w:p>
    <w:p>
      <w:pPr>
        <w:spacing w:after="0"/>
        <w:tabs>
          <w:tab w:leader="none" w:pos="460" w:val="left"/>
        </w:tabs>
        <w:rPr>
          <w:sz w:val="20"/>
          <w:szCs w:val="20"/>
          <w:color w:val="auto"/>
        </w:rPr>
      </w:pPr>
      <w:r>
        <w:rPr>
          <w:rFonts w:ascii="Times New Roman" w:cs="Times New Roman" w:eastAsia="Times New Roman" w:hAnsi="Times New Roman"/>
          <w:sz w:val="11"/>
          <w:szCs w:val="11"/>
          <w:color w:val="auto"/>
        </w:rPr>
        <w:t>Date:</w:t>
      </w:r>
      <w:r>
        <w:rPr>
          <w:sz w:val="20"/>
          <w:szCs w:val="20"/>
          <w:color w:val="auto"/>
        </w:rPr>
        <w:tab/>
      </w:r>
      <w:r>
        <w:rPr>
          <w:rFonts w:ascii="Times New Roman" w:cs="Times New Roman" w:eastAsia="Times New Roman" w:hAnsi="Times New Roman"/>
          <w:sz w:val="11"/>
          <w:szCs w:val="11"/>
          <w:color w:val="auto"/>
        </w:rPr>
        <w:t>3 April 2024</w:t>
      </w:r>
    </w:p>
    <w:p>
      <w:pPr>
        <w:spacing w:after="0" w:line="96" w:lineRule="exact"/>
        <w:rPr>
          <w:sz w:val="20"/>
          <w:szCs w:val="20"/>
          <w:color w:val="auto"/>
        </w:rPr>
      </w:pPr>
    </w:p>
    <w:p>
      <w:pPr>
        <w:spacing w:after="0"/>
        <w:tabs>
          <w:tab w:leader="none" w:pos="460" w:val="left"/>
        </w:tabs>
        <w:rPr>
          <w:sz w:val="20"/>
          <w:szCs w:val="20"/>
          <w:color w:val="auto"/>
        </w:rPr>
      </w:pPr>
      <w:r>
        <w:rPr>
          <w:rFonts w:ascii="Times New Roman" w:cs="Times New Roman" w:eastAsia="Times New Roman" w:hAnsi="Times New Roman"/>
          <w:sz w:val="11"/>
          <w:szCs w:val="11"/>
          <w:color w:val="auto"/>
        </w:rPr>
        <w:t>Place:</w:t>
      </w:r>
      <w:r>
        <w:rPr>
          <w:sz w:val="20"/>
          <w:szCs w:val="20"/>
          <w:color w:val="auto"/>
        </w:rPr>
        <w:tab/>
      </w:r>
      <w:r>
        <w:rPr>
          <w:rFonts w:ascii="Times New Roman" w:cs="Times New Roman" w:eastAsia="Times New Roman" w:hAnsi="Times New Roman"/>
          <w:sz w:val="11"/>
          <w:szCs w:val="11"/>
          <w:color w:val="auto"/>
        </w:rPr>
        <w:t>Helsinki, Finland</w:t>
      </w:r>
    </w:p>
    <w:p>
      <w:pPr>
        <w:spacing w:after="0" w:line="9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Dividend</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Board proposes to the Annual General Meeting 2024 to be authorized to decide, in its</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discretion, on the distribution of an aggregate maximum of EUR 0.13 per share as dividend from</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retained earnings and/or as assets from the reserve for invested unrestricted equity.</w:t>
      </w:r>
    </w:p>
    <w:p>
      <w:pPr>
        <w:spacing w:after="0" w:line="8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Financial reporting</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Our interim reports in 2024 are planned to be published on 18 April 2024, 18 July 2024 and</w:t>
      </w:r>
    </w:p>
    <w:p>
      <w:pPr>
        <w:spacing w:after="0" w:line="2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17 October 2024. The full-year 2024 results are planned to be published in January 2025.</w:t>
      </w:r>
    </w:p>
    <w:p>
      <w:pPr>
        <w:spacing w:after="0" w:line="90" w:lineRule="exact"/>
        <w:rPr>
          <w:sz w:val="20"/>
          <w:szCs w:val="20"/>
          <w:color w:val="auto"/>
        </w:rPr>
      </w:pPr>
    </w:p>
    <w:p>
      <w:pPr>
        <w:spacing w:after="0"/>
        <w:tabs>
          <w:tab w:leader="none" w:pos="1500" w:val="left"/>
        </w:tabs>
        <w:rPr>
          <w:sz w:val="20"/>
          <w:szCs w:val="20"/>
          <w:color w:val="auto"/>
        </w:rPr>
      </w:pPr>
      <w:r>
        <w:rPr>
          <w:rFonts w:ascii="Times New Roman" w:cs="Times New Roman" w:eastAsia="Times New Roman" w:hAnsi="Times New Roman"/>
          <w:sz w:val="13"/>
          <w:szCs w:val="13"/>
          <w:color w:val="auto"/>
        </w:rPr>
        <w:t>Information published in</w:t>
        <w:tab/>
        <w:t>2023</w:t>
      </w:r>
    </w:p>
    <w:p>
      <w:pPr>
        <w:spacing w:after="0" w:line="32" w:lineRule="exact"/>
        <w:rPr>
          <w:sz w:val="20"/>
          <w:szCs w:val="20"/>
          <w:color w:val="auto"/>
        </w:rPr>
      </w:pPr>
    </w:p>
    <w:p>
      <w:pPr>
        <w:spacing w:after="0"/>
        <w:tabs>
          <w:tab w:leader="none" w:pos="2900" w:val="left"/>
        </w:tabs>
        <w:rPr>
          <w:sz w:val="20"/>
          <w:szCs w:val="20"/>
          <w:color w:val="auto"/>
        </w:rPr>
      </w:pPr>
      <w:r>
        <w:rPr>
          <w:rFonts w:ascii="Times New Roman" w:cs="Times New Roman" w:eastAsia="Times New Roman" w:hAnsi="Times New Roman"/>
          <w:sz w:val="11"/>
          <w:szCs w:val="11"/>
          <w:color w:val="auto"/>
        </w:rPr>
        <w:t>All our global press releases and statements published in</w:t>
      </w:r>
      <w:r>
        <w:rPr>
          <w:sz w:val="20"/>
          <w:szCs w:val="20"/>
          <w:color w:val="auto"/>
        </w:rPr>
        <w:tab/>
      </w:r>
      <w:r>
        <w:rPr>
          <w:rFonts w:ascii="Times New Roman" w:cs="Times New Roman" w:eastAsia="Times New Roman" w:hAnsi="Times New Roman"/>
          <w:sz w:val="11"/>
          <w:szCs w:val="11"/>
          <w:color w:val="auto"/>
        </w:rPr>
        <w:t>2023 are available on the internet at</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www.nokia.com/en_int/news/releases.</w:t>
      </w:r>
    </w:p>
    <w:p>
      <w:pPr>
        <w:spacing w:after="0" w:line="84"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Stock exchanges</w:t>
      </w:r>
    </w:p>
    <w:p>
      <w:pPr>
        <w:spacing w:after="0" w:line="3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Nokia Corporation share is quoted on the following stock exchanges:</w:t>
      </w:r>
    </w:p>
    <w:p>
      <w:pPr>
        <w:spacing w:after="0" w:line="148" w:lineRule="exact"/>
        <w:rPr>
          <w:sz w:val="20"/>
          <w:szCs w:val="20"/>
          <w:color w:val="auto"/>
        </w:rPr>
      </w:pPr>
    </w:p>
    <w:tbl>
      <w:tblPr>
        <w:tblLayout w:type="fixed"/>
        <w:tblInd w:w="0" w:type="dxa"/>
        <w:tblCellMar>
          <w:top w:w="0" w:type="dxa"/>
          <w:left w:w="0" w:type="dxa"/>
          <w:bottom w:w="0" w:type="dxa"/>
          <w:right w:w="0" w:type="dxa"/>
        </w:tblCellMar>
      </w:tblPr>
      <w:tr>
        <w:trPr>
          <w:trHeight w:val="109"/>
        </w:trPr>
        <w:tc>
          <w:tcPr>
            <w:tcW w:w="2380" w:type="dxa"/>
            <w:vAlign w:val="bottom"/>
            <w:tcBorders>
              <w:bottom w:val="single" w:sz="8" w:color="005AFF"/>
            </w:tcBorders>
          </w:tcPr>
          <w:p>
            <w:pPr>
              <w:spacing w:after="0"/>
              <w:rPr>
                <w:sz w:val="9"/>
                <w:szCs w:val="9"/>
                <w:color w:val="auto"/>
              </w:rPr>
            </w:pPr>
          </w:p>
        </w:tc>
        <w:tc>
          <w:tcPr>
            <w:tcW w:w="1360" w:type="dxa"/>
            <w:vAlign w:val="bottom"/>
            <w:tcBorders>
              <w:bottom w:val="single" w:sz="8" w:color="005AFF"/>
            </w:tcBorders>
          </w:tcPr>
          <w:p>
            <w:pPr>
              <w:ind w:left="720"/>
              <w:spacing w:after="0"/>
              <w:rPr>
                <w:sz w:val="20"/>
                <w:szCs w:val="20"/>
                <w:color w:val="auto"/>
              </w:rPr>
            </w:pPr>
            <w:r>
              <w:rPr>
                <w:rFonts w:ascii="Times New Roman" w:cs="Times New Roman" w:eastAsia="Times New Roman" w:hAnsi="Times New Roman"/>
                <w:sz w:val="8"/>
                <w:szCs w:val="8"/>
                <w:b w:val="1"/>
                <w:bCs w:val="1"/>
                <w:color w:val="005AFF"/>
              </w:rPr>
              <w:t>Symbol</w:t>
            </w:r>
          </w:p>
        </w:tc>
        <w:tc>
          <w:tcPr>
            <w:tcW w:w="120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8"/>
                <w:szCs w:val="8"/>
                <w:b w:val="1"/>
                <w:bCs w:val="1"/>
                <w:color w:val="005AFF"/>
              </w:rPr>
              <w:t>Trading currency</w:t>
            </w:r>
          </w:p>
        </w:tc>
      </w:tr>
      <w:tr>
        <w:trPr>
          <w:trHeight w:val="135"/>
        </w:trPr>
        <w:tc>
          <w:tcPr>
            <w:tcW w:w="23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Nasdaq Helsinki (since 1915)</w:t>
            </w:r>
          </w:p>
        </w:tc>
        <w:tc>
          <w:tcPr>
            <w:tcW w:w="1360" w:type="dxa"/>
            <w:vAlign w:val="bottom"/>
          </w:tcPr>
          <w:p>
            <w:pPr>
              <w:ind w:left="720"/>
              <w:spacing w:after="0"/>
              <w:rPr>
                <w:sz w:val="20"/>
                <w:szCs w:val="20"/>
                <w:color w:val="auto"/>
              </w:rPr>
            </w:pPr>
            <w:r>
              <w:rPr>
                <w:rFonts w:ascii="Times New Roman" w:cs="Times New Roman" w:eastAsia="Times New Roman" w:hAnsi="Times New Roman"/>
                <w:sz w:val="10"/>
                <w:szCs w:val="10"/>
                <w:color w:val="0D0D0D"/>
              </w:rPr>
              <w:t>NOKIA</w:t>
            </w:r>
          </w:p>
        </w:tc>
        <w:tc>
          <w:tcPr>
            <w:tcW w:w="1200" w:type="dxa"/>
            <w:vAlign w:val="bottom"/>
          </w:tcPr>
          <w:p>
            <w:pPr>
              <w:ind w:left="300"/>
              <w:spacing w:after="0"/>
              <w:rPr>
                <w:sz w:val="20"/>
                <w:szCs w:val="20"/>
                <w:color w:val="auto"/>
              </w:rPr>
            </w:pPr>
            <w:r>
              <w:rPr>
                <w:rFonts w:ascii="Times New Roman" w:cs="Times New Roman" w:eastAsia="Times New Roman" w:hAnsi="Times New Roman"/>
                <w:sz w:val="10"/>
                <w:szCs w:val="10"/>
                <w:color w:val="0D0D0D"/>
              </w:rPr>
              <w:t>EUR</w:t>
            </w:r>
          </w:p>
        </w:tc>
      </w:tr>
      <w:tr>
        <w:trPr>
          <w:trHeight w:val="162"/>
        </w:trPr>
        <w:tc>
          <w:tcPr>
            <w:tcW w:w="2380" w:type="dxa"/>
            <w:vAlign w:val="bottom"/>
          </w:tcPr>
          <w:p>
            <w:pPr>
              <w:ind w:left="40"/>
              <w:spacing w:after="0"/>
              <w:rPr>
                <w:sz w:val="20"/>
                <w:szCs w:val="20"/>
                <w:color w:val="auto"/>
              </w:rPr>
            </w:pPr>
            <w:r>
              <w:rPr>
                <w:rFonts w:ascii="Times New Roman" w:cs="Times New Roman" w:eastAsia="Times New Roman" w:hAnsi="Times New Roman"/>
                <w:sz w:val="10"/>
                <w:szCs w:val="10"/>
                <w:color w:val="0D0D0D"/>
              </w:rPr>
              <w:t>New York Stock Exchange (since 1994)</w:t>
            </w:r>
          </w:p>
        </w:tc>
        <w:tc>
          <w:tcPr>
            <w:tcW w:w="1360" w:type="dxa"/>
            <w:vAlign w:val="bottom"/>
          </w:tcPr>
          <w:p>
            <w:pPr>
              <w:ind w:left="720"/>
              <w:spacing w:after="0"/>
              <w:rPr>
                <w:sz w:val="20"/>
                <w:szCs w:val="20"/>
                <w:color w:val="auto"/>
              </w:rPr>
            </w:pPr>
            <w:r>
              <w:rPr>
                <w:rFonts w:ascii="Times New Roman" w:cs="Times New Roman" w:eastAsia="Times New Roman" w:hAnsi="Times New Roman"/>
                <w:sz w:val="10"/>
                <w:szCs w:val="10"/>
                <w:color w:val="0D0D0D"/>
              </w:rPr>
              <w:t>NOK</w:t>
            </w:r>
          </w:p>
        </w:tc>
        <w:tc>
          <w:tcPr>
            <w:tcW w:w="1200" w:type="dxa"/>
            <w:vAlign w:val="bottom"/>
          </w:tcPr>
          <w:p>
            <w:pPr>
              <w:ind w:left="300"/>
              <w:spacing w:after="0"/>
              <w:rPr>
                <w:sz w:val="20"/>
                <w:szCs w:val="20"/>
                <w:color w:val="auto"/>
              </w:rPr>
            </w:pPr>
            <w:r>
              <w:rPr>
                <w:rFonts w:ascii="Times New Roman" w:cs="Times New Roman" w:eastAsia="Times New Roman" w:hAnsi="Times New Roman"/>
                <w:sz w:val="10"/>
                <w:szCs w:val="10"/>
                <w:color w:val="0D0D0D"/>
              </w:rPr>
              <w:t>USD</w:t>
            </w:r>
          </w:p>
        </w:tc>
      </w:tr>
      <w:tr>
        <w:trPr>
          <w:trHeight w:val="167"/>
        </w:trPr>
        <w:tc>
          <w:tcPr>
            <w:tcW w:w="2380" w:type="dxa"/>
            <w:vAlign w:val="bottom"/>
            <w:tcBorders>
              <w:bottom w:val="single" w:sz="8" w:color="005AFF"/>
            </w:tcBorders>
          </w:tcPr>
          <w:p>
            <w:pPr>
              <w:ind w:left="40"/>
              <w:spacing w:after="0"/>
              <w:rPr>
                <w:sz w:val="20"/>
                <w:szCs w:val="20"/>
                <w:color w:val="auto"/>
              </w:rPr>
            </w:pPr>
            <w:r>
              <w:rPr>
                <w:rFonts w:ascii="Times New Roman" w:cs="Times New Roman" w:eastAsia="Times New Roman" w:hAnsi="Times New Roman"/>
                <w:sz w:val="10"/>
                <w:szCs w:val="10"/>
                <w:color w:val="0D0D0D"/>
              </w:rPr>
              <w:t>Euronext Paris (since 2015)</w:t>
            </w:r>
          </w:p>
        </w:tc>
        <w:tc>
          <w:tcPr>
            <w:tcW w:w="1360" w:type="dxa"/>
            <w:vAlign w:val="bottom"/>
            <w:tcBorders>
              <w:bottom w:val="single" w:sz="8" w:color="005AFF"/>
            </w:tcBorders>
          </w:tcPr>
          <w:p>
            <w:pPr>
              <w:ind w:left="720"/>
              <w:spacing w:after="0"/>
              <w:rPr>
                <w:sz w:val="20"/>
                <w:szCs w:val="20"/>
                <w:color w:val="auto"/>
              </w:rPr>
            </w:pPr>
            <w:r>
              <w:rPr>
                <w:rFonts w:ascii="Times New Roman" w:cs="Times New Roman" w:eastAsia="Times New Roman" w:hAnsi="Times New Roman"/>
                <w:sz w:val="10"/>
                <w:szCs w:val="10"/>
                <w:color w:val="0D0D0D"/>
              </w:rPr>
              <w:t>NOKIA</w:t>
            </w:r>
          </w:p>
        </w:tc>
        <w:tc>
          <w:tcPr>
            <w:tcW w:w="1200" w:type="dxa"/>
            <w:vAlign w:val="bottom"/>
            <w:tcBorders>
              <w:bottom w:val="single" w:sz="8" w:color="005AFF"/>
            </w:tcBorders>
          </w:tcPr>
          <w:p>
            <w:pPr>
              <w:ind w:left="300"/>
              <w:spacing w:after="0"/>
              <w:rPr>
                <w:sz w:val="20"/>
                <w:szCs w:val="20"/>
                <w:color w:val="auto"/>
              </w:rPr>
            </w:pPr>
            <w:r>
              <w:rPr>
                <w:rFonts w:ascii="Times New Roman" w:cs="Times New Roman" w:eastAsia="Times New Roman" w:hAnsi="Times New Roman"/>
                <w:sz w:val="10"/>
                <w:szCs w:val="10"/>
                <w:color w:val="0D0D0D"/>
              </w:rPr>
              <w:t>EUR</w:t>
            </w:r>
          </w:p>
        </w:tc>
      </w:tr>
    </w:tbl>
    <w:p>
      <w:pPr>
        <w:spacing w:after="0" w:line="119"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Documents on display</w:t>
      </w:r>
    </w:p>
    <w:p>
      <w:pPr>
        <w:spacing w:after="0" w:line="2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documents referred to in this Annual Report on Form 20-F can be read at the Securities and</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Exchange Commission’s internet site at http://www.sec.gov.</w:t>
      </w:r>
    </w:p>
    <w:p>
      <w:pPr>
        <w:spacing w:after="0" w:line="200" w:lineRule="exact"/>
        <w:rPr>
          <w:sz w:val="20"/>
          <w:szCs w:val="20"/>
          <w:color w:val="auto"/>
        </w:rPr>
      </w:pPr>
    </w:p>
    <w:p>
      <w:pPr>
        <w:spacing w:after="0" w:line="34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220" w:name="page221"/>
    <w:bookmarkEnd w:id="220"/>
    <w:tbl>
      <w:tblPr>
        <w:tblLayout w:type="fixed"/>
        <w:tblInd w:w="20" w:type="dxa"/>
        <w:tblCellMar>
          <w:top w:w="0" w:type="dxa"/>
          <w:left w:w="0" w:type="dxa"/>
          <w:bottom w:w="0" w:type="dxa"/>
          <w:right w:w="0" w:type="dxa"/>
        </w:tblCellMar>
      </w:tblPr>
      <w:tr>
        <w:trPr>
          <w:trHeight w:val="111"/>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Business</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Corporate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Operating and financial</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General facts</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Financial</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Other</w:t>
            </w:r>
          </w:p>
        </w:tc>
        <w:tc>
          <w:tcPr>
            <w:tcW w:w="3920" w:type="dxa"/>
            <w:vAlign w:val="bottom"/>
            <w:vMerge w:val="restart"/>
          </w:tcPr>
          <w:p>
            <w:pPr>
              <w:jc w:val="right"/>
              <w:spacing w:after="0"/>
              <w:rPr>
                <w:sz w:val="20"/>
                <w:szCs w:val="20"/>
                <w:color w:val="auto"/>
              </w:rPr>
            </w:pPr>
            <w:r>
              <w:rPr>
                <w:rFonts w:ascii="Times New Roman" w:cs="Times New Roman" w:eastAsia="Times New Roman" w:hAnsi="Times New Roman"/>
                <w:sz w:val="12"/>
                <w:szCs w:val="12"/>
                <w:color w:val="auto"/>
              </w:rPr>
              <w:t>213</w:t>
            </w:r>
          </w:p>
        </w:tc>
        <w:tc>
          <w:tcPr>
            <w:tcW w:w="0" w:type="dxa"/>
            <w:vAlign w:val="bottom"/>
          </w:tcPr>
          <w:p>
            <w:pPr>
              <w:spacing w:after="0"/>
              <w:rPr>
                <w:sz w:val="1"/>
                <w:szCs w:val="1"/>
                <w:color w:val="auto"/>
              </w:rPr>
            </w:pPr>
          </w:p>
        </w:tc>
      </w:tr>
      <w:tr>
        <w:trPr>
          <w:trHeight w:val="130"/>
        </w:trPr>
        <w:tc>
          <w:tcPr>
            <w:tcW w:w="620" w:type="dxa"/>
            <w:vAlign w:val="bottom"/>
          </w:tcPr>
          <w:p>
            <w:pPr>
              <w:spacing w:after="0"/>
              <w:rPr>
                <w:sz w:val="20"/>
                <w:szCs w:val="20"/>
                <w:color w:val="auto"/>
              </w:rPr>
            </w:pPr>
            <w:r>
              <w:rPr>
                <w:rFonts w:ascii="Times New Roman" w:cs="Times New Roman" w:eastAsia="Times New Roman" w:hAnsi="Times New Roman"/>
                <w:sz w:val="9"/>
                <w:szCs w:val="9"/>
                <w:color w:val="auto"/>
              </w:rPr>
              <w:t>overview</w:t>
            </w:r>
          </w:p>
        </w:tc>
        <w:tc>
          <w:tcPr>
            <w:tcW w:w="1020" w:type="dxa"/>
            <w:vAlign w:val="bottom"/>
          </w:tcPr>
          <w:p>
            <w:pPr>
              <w:ind w:left="280"/>
              <w:spacing w:after="0"/>
              <w:rPr>
                <w:sz w:val="20"/>
                <w:szCs w:val="20"/>
                <w:color w:val="auto"/>
              </w:rPr>
            </w:pPr>
            <w:r>
              <w:rPr>
                <w:rFonts w:ascii="Times New Roman" w:cs="Times New Roman" w:eastAsia="Times New Roman" w:hAnsi="Times New Roman"/>
                <w:sz w:val="9"/>
                <w:szCs w:val="9"/>
                <w:color w:val="auto"/>
              </w:rPr>
              <w:t>governance</w:t>
            </w:r>
          </w:p>
        </w:tc>
        <w:tc>
          <w:tcPr>
            <w:tcW w:w="1460" w:type="dxa"/>
            <w:vAlign w:val="bottom"/>
          </w:tcPr>
          <w:p>
            <w:pPr>
              <w:ind w:left="280"/>
              <w:spacing w:after="0"/>
              <w:rPr>
                <w:sz w:val="20"/>
                <w:szCs w:val="20"/>
                <w:color w:val="auto"/>
              </w:rPr>
            </w:pPr>
            <w:r>
              <w:rPr>
                <w:rFonts w:ascii="Times New Roman" w:cs="Times New Roman" w:eastAsia="Times New Roman" w:hAnsi="Times New Roman"/>
                <w:sz w:val="9"/>
                <w:szCs w:val="9"/>
                <w:color w:val="auto"/>
              </w:rPr>
              <w:t>review and prospects</w:t>
            </w:r>
          </w:p>
        </w:tc>
        <w:tc>
          <w:tcPr>
            <w:tcW w:w="10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on Nokia</w:t>
            </w:r>
          </w:p>
        </w:tc>
        <w:tc>
          <w:tcPr>
            <w:tcW w:w="1280" w:type="dxa"/>
            <w:vAlign w:val="bottom"/>
          </w:tcPr>
          <w:p>
            <w:pPr>
              <w:ind w:left="280"/>
              <w:spacing w:after="0"/>
              <w:rPr>
                <w:sz w:val="20"/>
                <w:szCs w:val="20"/>
                <w:color w:val="auto"/>
              </w:rPr>
            </w:pPr>
            <w:r>
              <w:rPr>
                <w:rFonts w:ascii="Times New Roman" w:cs="Times New Roman" w:eastAsia="Times New Roman" w:hAnsi="Times New Roman"/>
                <w:sz w:val="9"/>
                <w:szCs w:val="9"/>
                <w:color w:val="auto"/>
              </w:rPr>
              <w:t>statements</w:t>
            </w:r>
          </w:p>
        </w:tc>
        <w:tc>
          <w:tcPr>
            <w:tcW w:w="580" w:type="dxa"/>
            <w:vAlign w:val="bottom"/>
          </w:tcPr>
          <w:p>
            <w:pPr>
              <w:ind w:left="20"/>
              <w:spacing w:after="0"/>
              <w:rPr>
                <w:sz w:val="20"/>
                <w:szCs w:val="20"/>
                <w:color w:val="auto"/>
              </w:rPr>
            </w:pPr>
            <w:r>
              <w:rPr>
                <w:rFonts w:ascii="Times New Roman" w:cs="Times New Roman" w:eastAsia="Times New Roman" w:hAnsi="Times New Roman"/>
                <w:sz w:val="9"/>
                <w:szCs w:val="9"/>
                <w:color w:val="005AFF"/>
              </w:rPr>
              <w:t>information</w:t>
            </w:r>
          </w:p>
        </w:tc>
        <w:tc>
          <w:tcPr>
            <w:tcW w:w="3920" w:type="dxa"/>
            <w:vAlign w:val="bottom"/>
            <w:vMerge w:val="continue"/>
          </w:tcPr>
          <w:p>
            <w:pPr>
              <w:spacing w:after="0"/>
              <w:rPr>
                <w:sz w:val="11"/>
                <w:szCs w:val="11"/>
                <w:color w:val="auto"/>
              </w:rPr>
            </w:pPr>
          </w:p>
        </w:tc>
        <w:tc>
          <w:tcPr>
            <w:tcW w:w="0" w:type="dxa"/>
            <w:vAlign w:val="bottom"/>
          </w:tcPr>
          <w:p>
            <w:pPr>
              <w:spacing w:after="0"/>
              <w:rPr>
                <w:sz w:val="1"/>
                <w:szCs w:val="1"/>
                <w:color w:val="auto"/>
              </w:rPr>
            </w:pPr>
          </w:p>
        </w:tc>
      </w:tr>
      <w:tr>
        <w:trPr>
          <w:trHeight w:val="45"/>
        </w:trPr>
        <w:tc>
          <w:tcPr>
            <w:tcW w:w="620" w:type="dxa"/>
            <w:vAlign w:val="bottom"/>
          </w:tcPr>
          <w:p>
            <w:pPr>
              <w:spacing w:after="0"/>
              <w:rPr>
                <w:sz w:val="3"/>
                <w:szCs w:val="3"/>
                <w:color w:val="auto"/>
              </w:rPr>
            </w:pPr>
          </w:p>
        </w:tc>
        <w:tc>
          <w:tcPr>
            <w:tcW w:w="1020" w:type="dxa"/>
            <w:vAlign w:val="bottom"/>
          </w:tcPr>
          <w:p>
            <w:pPr>
              <w:spacing w:after="0"/>
              <w:rPr>
                <w:sz w:val="3"/>
                <w:szCs w:val="3"/>
                <w:color w:val="auto"/>
              </w:rPr>
            </w:pPr>
          </w:p>
        </w:tc>
        <w:tc>
          <w:tcPr>
            <w:tcW w:w="1460" w:type="dxa"/>
            <w:vAlign w:val="bottom"/>
          </w:tcPr>
          <w:p>
            <w:pPr>
              <w:spacing w:after="0"/>
              <w:rPr>
                <w:sz w:val="3"/>
                <w:szCs w:val="3"/>
                <w:color w:val="auto"/>
              </w:rPr>
            </w:pPr>
          </w:p>
        </w:tc>
        <w:tc>
          <w:tcPr>
            <w:tcW w:w="1080" w:type="dxa"/>
            <w:vAlign w:val="bottom"/>
          </w:tcPr>
          <w:p>
            <w:pPr>
              <w:spacing w:after="0"/>
              <w:rPr>
                <w:sz w:val="3"/>
                <w:szCs w:val="3"/>
                <w:color w:val="auto"/>
              </w:rPr>
            </w:pPr>
          </w:p>
        </w:tc>
        <w:tc>
          <w:tcPr>
            <w:tcW w:w="1280" w:type="dxa"/>
            <w:vAlign w:val="bottom"/>
          </w:tcPr>
          <w:p>
            <w:pPr>
              <w:spacing w:after="0"/>
              <w:rPr>
                <w:sz w:val="3"/>
                <w:szCs w:val="3"/>
                <w:color w:val="auto"/>
              </w:rPr>
            </w:pPr>
          </w:p>
        </w:tc>
        <w:tc>
          <w:tcPr>
            <w:tcW w:w="580" w:type="dxa"/>
            <w:vAlign w:val="bottom"/>
            <w:tcBorders>
              <w:bottom w:val="single" w:sz="8" w:color="005AFF"/>
            </w:tcBorders>
          </w:tcPr>
          <w:p>
            <w:pPr>
              <w:spacing w:after="0"/>
              <w:rPr>
                <w:sz w:val="3"/>
                <w:szCs w:val="3"/>
                <w:color w:val="auto"/>
              </w:rPr>
            </w:pPr>
          </w:p>
        </w:tc>
        <w:tc>
          <w:tcPr>
            <w:tcW w:w="3920" w:type="dxa"/>
            <w:vAlign w:val="bottom"/>
          </w:tcPr>
          <w:p>
            <w:pPr>
              <w:spacing w:after="0"/>
              <w:rPr>
                <w:sz w:val="3"/>
                <w:szCs w:val="3"/>
                <w:color w:val="auto"/>
              </w:rPr>
            </w:pPr>
          </w:p>
        </w:tc>
        <w:tc>
          <w:tcPr>
            <w:tcW w:w="0" w:type="dxa"/>
            <w:vAlign w:val="bottom"/>
          </w:tcPr>
          <w:p>
            <w:pPr>
              <w:spacing w:after="0"/>
              <w:rPr>
                <w:sz w:val="1"/>
                <w:szCs w:val="1"/>
                <w:color w:val="auto"/>
              </w:rPr>
            </w:pPr>
          </w:p>
        </w:tc>
      </w:tr>
    </w:tbl>
    <w:p>
      <w:pPr>
        <w:spacing w:after="0" w:line="19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187960</wp:posOffset>
            </wp:positionH>
            <wp:positionV relativeFrom="page">
              <wp:posOffset>149860</wp:posOffset>
            </wp:positionV>
            <wp:extent cx="7216140" cy="511810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3">
                      <a:extLst>
                        <a:ext uri="{28A0092B-C50C-407E-A947-70E740481C1C}"/>
                      </a:extLst>
                    </a:blip>
                    <a:srcRect/>
                    <a:stretch>
                      <a:fillRect/>
                    </a:stretch>
                  </pic:blipFill>
                  <pic:spPr bwMode="auto">
                    <a:xfrm>
                      <a:off x="0" y="0"/>
                      <a:ext cx="7216140" cy="5118100"/>
                    </a:xfrm>
                    <a:prstGeom prst="rect">
                      <a:avLst/>
                    </a:prstGeom>
                    <a:noFill/>
                  </pic:spPr>
                </pic:pic>
              </a:graphicData>
            </a:graphic>
          </wp:anchor>
        </w:drawing>
      </w:r>
    </w:p>
    <w:p>
      <w:pPr>
        <w:spacing w:after="0"/>
        <w:rPr>
          <w:sz w:val="20"/>
          <w:szCs w:val="20"/>
          <w:color w:val="auto"/>
        </w:rPr>
      </w:pPr>
      <w:r>
        <w:rPr>
          <w:rFonts w:ascii="Times New Roman" w:cs="Times New Roman" w:eastAsia="Times New Roman" w:hAnsi="Times New Roman"/>
          <w:sz w:val="13"/>
          <w:szCs w:val="13"/>
          <w:color w:val="005AFF"/>
        </w:rPr>
        <w:t>Signatures</w:t>
      </w:r>
    </w:p>
    <w:p>
      <w:pPr>
        <w:spacing w:after="0" w:line="3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Signatures</w:t>
      </w:r>
    </w:p>
    <w:p>
      <w:pPr>
        <w:spacing w:after="0" w:line="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The registrant hereby certifies that it meets all of the</w:t>
      </w:r>
    </w:p>
    <w:p>
      <w:pPr>
        <w:spacing w:after="0" w:line="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requirements for filing on Form 20-F and that it has duly</w:t>
      </w:r>
    </w:p>
    <w:p>
      <w:pPr>
        <w:spacing w:after="0" w:line="10"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caused and authorized the undersigned to sign this</w:t>
      </w:r>
    </w:p>
    <w:p>
      <w:pPr>
        <w:spacing w:after="0" w:line="1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Annual Report on Form 20-F on its behalf.</w:t>
      </w:r>
    </w:p>
    <w:p>
      <w:pPr>
        <w:spacing w:after="0" w:line="80"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Nokia Corporation</w:t>
      </w:r>
    </w:p>
    <w:p>
      <w:pPr>
        <w:sectPr>
          <w:pgSz w:w="11900" w:h="16838" w:orient="portrait"/>
          <w:cols w:equalWidth="0" w:num="1">
            <w:col w:w="9980"/>
          </w:cols>
          <w:pgMar w:left="960" w:top="410" w:right="959" w:bottom="1440" w:gutter="0" w:footer="0" w:header="0"/>
        </w:sectPr>
      </w:pPr>
    </w:p>
    <w:p>
      <w:pPr>
        <w:spacing w:after="0" w:line="305"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By:</w:t>
      </w:r>
    </w:p>
    <w:p>
      <w:pPr>
        <w:spacing w:after="0" w:line="20" w:lineRule="exact"/>
        <w:rPr>
          <w:sz w:val="20"/>
          <w:szCs w:val="20"/>
          <w:color w:val="auto"/>
        </w:rPr>
      </w:pPr>
      <w:r>
        <w:rPr>
          <w:sz w:val="20"/>
          <w:szCs w:val="20"/>
          <w:color w:val="auto"/>
        </w:rPr>
        <w:br w:type="column"/>
      </w:r>
    </w:p>
    <w:p>
      <w:pPr>
        <w:spacing w:after="0" w:line="283"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b w:val="1"/>
          <w:bCs w:val="1"/>
          <w:color w:val="auto"/>
        </w:rPr>
        <w:t>/S/  STEPHAN PROSI</w:t>
      </w:r>
    </w:p>
    <w:p>
      <w:pPr>
        <w:spacing w:after="0" w:line="24" w:lineRule="exact"/>
        <w:rPr>
          <w:sz w:val="20"/>
          <w:szCs w:val="20"/>
          <w:color w:val="auto"/>
        </w:rPr>
      </w:pPr>
    </w:p>
    <w:p>
      <w:pPr>
        <w:sectPr>
          <w:pgSz w:w="11900" w:h="16838" w:orient="portrait"/>
          <w:cols w:equalWidth="0" w:num="2">
            <w:col w:w="160" w:space="320"/>
            <w:col w:w="950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Name: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Stephan Prosi</w:t>
      </w:r>
    </w:p>
    <w:p>
      <w:pPr>
        <w:spacing w:after="0" w:line="15" w:lineRule="exact"/>
        <w:rPr>
          <w:sz w:val="20"/>
          <w:szCs w:val="20"/>
          <w:color w:val="auto"/>
        </w:rPr>
      </w:pPr>
    </w:p>
    <w:p>
      <w:pPr>
        <w:sectPr>
          <w:pgSz w:w="11900" w:h="16838" w:orient="portrait"/>
          <w:cols w:equalWidth="0" w:num="2">
            <w:col w:w="300" w:space="180"/>
            <w:col w:w="950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Title: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Vice President, Corporate Controlling and Accounting</w:t>
      </w:r>
    </w:p>
    <w:p>
      <w:pPr>
        <w:spacing w:after="0" w:line="200" w:lineRule="exact"/>
        <w:rPr>
          <w:sz w:val="20"/>
          <w:szCs w:val="20"/>
          <w:color w:val="auto"/>
        </w:rPr>
      </w:pPr>
    </w:p>
    <w:p>
      <w:pPr>
        <w:sectPr>
          <w:pgSz w:w="11900" w:h="16838" w:orient="portrait"/>
          <w:cols w:equalWidth="0" w:num="2">
            <w:col w:w="240" w:space="240"/>
            <w:col w:w="9500"/>
          </w:cols>
          <w:pgMar w:left="960" w:top="410" w:right="959" w:bottom="1440" w:gutter="0" w:footer="0" w:header="0"/>
          <w:type w:val="continuous"/>
        </w:sectPr>
      </w:pPr>
    </w:p>
    <w:p>
      <w:pPr>
        <w:spacing w:after="0" w:line="21"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By:</w:t>
      </w:r>
    </w:p>
    <w:p>
      <w:pPr>
        <w:spacing w:after="0" w:line="17"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Name: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b w:val="1"/>
          <w:bCs w:val="1"/>
          <w:color w:val="auto"/>
        </w:rPr>
        <w:t>/S/  JOHANNA MANDELIN</w:t>
      </w:r>
    </w:p>
    <w:p>
      <w:pPr>
        <w:spacing w:after="0" w:line="19"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Johanna Mandelin</w:t>
      </w:r>
    </w:p>
    <w:p>
      <w:pPr>
        <w:spacing w:after="0" w:line="10" w:lineRule="exact"/>
        <w:rPr>
          <w:sz w:val="20"/>
          <w:szCs w:val="20"/>
          <w:color w:val="auto"/>
        </w:rPr>
      </w:pPr>
    </w:p>
    <w:p>
      <w:pPr>
        <w:sectPr>
          <w:pgSz w:w="11900" w:h="16838" w:orient="portrait"/>
          <w:cols w:equalWidth="0" w:num="2">
            <w:col w:w="300" w:space="180"/>
            <w:col w:w="9500"/>
          </w:cols>
          <w:pgMar w:left="960" w:top="410" w:right="959" w:bottom="1440" w:gutter="0" w:footer="0" w:header="0"/>
          <w:type w:val="continuous"/>
        </w:sectPr>
      </w:pPr>
    </w:p>
    <w:p>
      <w:pPr>
        <w:spacing w:after="0"/>
        <w:rPr>
          <w:sz w:val="20"/>
          <w:szCs w:val="20"/>
          <w:color w:val="auto"/>
        </w:rPr>
      </w:pPr>
      <w:r>
        <w:rPr>
          <w:rFonts w:ascii="Times New Roman" w:cs="Times New Roman" w:eastAsia="Times New Roman" w:hAnsi="Times New Roman"/>
          <w:sz w:val="11"/>
          <w:szCs w:val="11"/>
          <w:color w:val="auto"/>
        </w:rPr>
        <w:t>Title:</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Times New Roman" w:cs="Times New Roman" w:eastAsia="Times New Roman" w:hAnsi="Times New Roman"/>
          <w:sz w:val="11"/>
          <w:szCs w:val="11"/>
          <w:color w:val="auto"/>
        </w:rPr>
        <w:t>Global Head of Corporate Legal</w:t>
      </w:r>
    </w:p>
    <w:p>
      <w:pPr>
        <w:spacing w:after="0" w:line="200" w:lineRule="exact"/>
        <w:rPr>
          <w:sz w:val="20"/>
          <w:szCs w:val="20"/>
          <w:color w:val="auto"/>
        </w:rPr>
      </w:pPr>
    </w:p>
    <w:p>
      <w:pPr>
        <w:sectPr>
          <w:pgSz w:w="11900" w:h="16838" w:orient="portrait"/>
          <w:cols w:equalWidth="0" w:num="2">
            <w:col w:w="240" w:space="240"/>
            <w:col w:w="9500"/>
          </w:cols>
          <w:pgMar w:left="960" w:top="410" w:right="959" w:bottom="1440" w:gutter="0" w:footer="0" w:header="0"/>
          <w:type w:val="continuous"/>
        </w:sectPr>
      </w:pPr>
    </w:p>
    <w:p>
      <w:pPr>
        <w:spacing w:after="0" w:line="152"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29 February 2024</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4" w:lineRule="exact"/>
        <w:rPr>
          <w:sz w:val="20"/>
          <w:szCs w:val="20"/>
          <w:color w:val="auto"/>
        </w:rPr>
      </w:pPr>
    </w:p>
    <w:p>
      <w:pPr>
        <w:spacing w:after="0"/>
        <w:rPr>
          <w:sz w:val="20"/>
          <w:szCs w:val="20"/>
          <w:color w:val="auto"/>
        </w:rPr>
      </w:pPr>
      <w:r>
        <w:rPr>
          <w:rFonts w:ascii="Times New Roman" w:cs="Times New Roman" w:eastAsia="Times New Roman" w:hAnsi="Times New Roman"/>
          <w:sz w:val="11"/>
          <w:szCs w:val="11"/>
          <w:color w:val="auto"/>
        </w:rPr>
        <w:t>Nokia Annual Report on Form 20-F 2023</w:t>
      </w:r>
    </w:p>
    <w:p>
      <w:pPr>
        <w:sectPr>
          <w:pgSz w:w="11900" w:h="16838" w:orient="portrait"/>
          <w:cols w:equalWidth="0" w:num="1">
            <w:col w:w="9980"/>
          </w:cols>
          <w:pgMar w:left="960" w:top="410" w:right="959" w:bottom="1440" w:gutter="0" w:footer="0" w:header="0"/>
          <w:type w:val="continuous"/>
        </w:sectPr>
      </w:pPr>
    </w:p>
    <w:bookmarkStart w:id="221" w:name="page222"/>
    <w:bookmarkEnd w:id="221"/>
    <w:p>
      <w:pPr>
        <w:jc w:val="right"/>
        <w:spacing w:after="0"/>
        <w:rPr>
          <w:sz w:val="20"/>
          <w:szCs w:val="20"/>
          <w:color w:val="auto"/>
        </w:rPr>
      </w:pPr>
      <w:r>
        <w:rPr>
          <w:rFonts w:ascii="Times New Roman" w:cs="Times New Roman" w:eastAsia="Times New Roman" w:hAnsi="Times New Roman"/>
          <w:sz w:val="13"/>
          <w:szCs w:val="13"/>
          <w:b w:val="1"/>
          <w:bCs w:val="1"/>
          <w:color w:val="auto"/>
        </w:rPr>
        <w:t>Exhibit 12.1</w:t>
      </w:r>
    </w:p>
    <w:p>
      <w:pPr>
        <w:spacing w:after="0" w:line="164" w:lineRule="exact"/>
        <w:rPr>
          <w:sz w:val="20"/>
          <w:szCs w:val="20"/>
          <w:color w:val="auto"/>
        </w:rPr>
      </w:pPr>
    </w:p>
    <w:p>
      <w:pPr>
        <w:jc w:val="center"/>
        <w:spacing w:after="0"/>
        <w:rPr>
          <w:sz w:val="20"/>
          <w:szCs w:val="20"/>
          <w:color w:val="auto"/>
        </w:rPr>
      </w:pPr>
      <w:r>
        <w:rPr>
          <w:rFonts w:ascii="Times New Roman" w:cs="Times New Roman" w:eastAsia="Times New Roman" w:hAnsi="Times New Roman"/>
          <w:sz w:val="13"/>
          <w:szCs w:val="13"/>
          <w:b w:val="1"/>
          <w:bCs w:val="1"/>
          <w:color w:val="auto"/>
        </w:rPr>
        <w:t>CERTIFICATION</w:t>
      </w:r>
    </w:p>
    <w:p>
      <w:pPr>
        <w:spacing w:after="0" w:line="17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 PEKKA LUNDMARK, certify that:</w:t>
      </w:r>
    </w:p>
    <w:p>
      <w:pPr>
        <w:spacing w:after="0" w:line="164" w:lineRule="exact"/>
        <w:rPr>
          <w:sz w:val="20"/>
          <w:szCs w:val="20"/>
          <w:color w:val="auto"/>
        </w:rPr>
      </w:pPr>
    </w:p>
    <w:p>
      <w:pPr>
        <w:ind w:left="240" w:hanging="239"/>
        <w:spacing w:after="0"/>
        <w:tabs>
          <w:tab w:leader="none" w:pos="240" w:val="left"/>
        </w:tabs>
        <w:numPr>
          <w:ilvl w:val="0"/>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I have reviewed this Annual Report on Form 20-F of Nokia Corporation;</w:t>
      </w:r>
    </w:p>
    <w:p>
      <w:pPr>
        <w:spacing w:after="0" w:line="164" w:lineRule="exact"/>
        <w:rPr>
          <w:rFonts w:ascii="Times New Roman" w:cs="Times New Roman" w:eastAsia="Times New Roman" w:hAnsi="Times New Roman"/>
          <w:sz w:val="13"/>
          <w:szCs w:val="13"/>
          <w:color w:val="auto"/>
        </w:rPr>
      </w:pPr>
    </w:p>
    <w:p>
      <w:pPr>
        <w:ind w:left="240" w:hanging="239"/>
        <w:spacing w:after="0" w:line="266" w:lineRule="auto"/>
        <w:tabs>
          <w:tab w:leader="none" w:pos="269" w:val="left"/>
        </w:tabs>
        <w:numPr>
          <w:ilvl w:val="0"/>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pPr>
        <w:spacing w:after="0" w:line="123" w:lineRule="exact"/>
        <w:rPr>
          <w:rFonts w:ascii="Times New Roman" w:cs="Times New Roman" w:eastAsia="Times New Roman" w:hAnsi="Times New Roman"/>
          <w:sz w:val="13"/>
          <w:szCs w:val="13"/>
          <w:color w:val="auto"/>
        </w:rPr>
      </w:pPr>
    </w:p>
    <w:p>
      <w:pPr>
        <w:ind w:left="240" w:hanging="239"/>
        <w:spacing w:after="0" w:line="250" w:lineRule="auto"/>
        <w:tabs>
          <w:tab w:leader="none" w:pos="249" w:val="left"/>
        </w:tabs>
        <w:numPr>
          <w:ilvl w:val="0"/>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Based on my knowledge, the financial statements, and other financial information included in this report, fairly present in all material respects the financial condition, results of operations and cash flows of the company as of, and for, the periods presented in this report;</w:t>
      </w:r>
    </w:p>
    <w:p>
      <w:pPr>
        <w:spacing w:after="0" w:line="143" w:lineRule="exact"/>
        <w:rPr>
          <w:rFonts w:ascii="Times New Roman" w:cs="Times New Roman" w:eastAsia="Times New Roman" w:hAnsi="Times New Roman"/>
          <w:sz w:val="13"/>
          <w:szCs w:val="13"/>
          <w:color w:val="auto"/>
        </w:rPr>
      </w:pPr>
    </w:p>
    <w:p>
      <w:pPr>
        <w:ind w:left="240" w:hanging="239"/>
        <w:spacing w:after="0" w:line="250" w:lineRule="auto"/>
        <w:tabs>
          <w:tab w:leader="none" w:pos="252" w:val="left"/>
        </w:tabs>
        <w:numPr>
          <w:ilvl w:val="0"/>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company’s other certifying officer and I are responsible for establishing and maintaining disclosure controls and procedures (as defined in Exchange Act Rules 13a-15(e) and 15d-15(e)) and internal control over financial reporting (as defined in Exchange Act Rules 13a-15(f) and 15d-15(f)) for the company and have:</w:t>
      </w:r>
    </w:p>
    <w:p>
      <w:pPr>
        <w:spacing w:after="0" w:line="133" w:lineRule="exact"/>
        <w:rPr>
          <w:rFonts w:ascii="Times New Roman" w:cs="Times New Roman" w:eastAsia="Times New Roman" w:hAnsi="Times New Roman"/>
          <w:sz w:val="13"/>
          <w:szCs w:val="13"/>
          <w:color w:val="auto"/>
        </w:rPr>
      </w:pPr>
    </w:p>
    <w:p>
      <w:pPr>
        <w:ind w:left="480" w:hanging="236"/>
        <w:spacing w:after="0" w:line="230" w:lineRule="auto"/>
        <w:tabs>
          <w:tab w:leader="none" w:pos="473"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Designed such disclosure controls and procedures, or caused such disclosure controls and procedures to be designed under our supervision, to ensure that material information relating to the company, including its consolidated subsidiaries, is made known to us by others within those entities, particularly during the period in which this report is being prepared;</w:t>
      </w:r>
    </w:p>
    <w:p>
      <w:pPr>
        <w:ind w:left="480" w:hanging="236"/>
        <w:spacing w:after="0" w:line="219" w:lineRule="auto"/>
        <w:tabs>
          <w:tab w:leader="none" w:pos="508"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pPr>
        <w:ind w:left="480" w:hanging="236"/>
        <w:spacing w:after="0" w:line="211" w:lineRule="auto"/>
        <w:tabs>
          <w:tab w:leader="none" w:pos="472"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Evaluated the effectiveness of the company’s disclosure controls and procedures and presented in this report our conclusions about the effectiveness of the disclosure controls and procedures, as of the end of the period covered by this report based on such evaluation; and</w:t>
      </w:r>
    </w:p>
    <w:p>
      <w:pPr>
        <w:ind w:left="480" w:hanging="236"/>
        <w:spacing w:after="0" w:line="244" w:lineRule="auto"/>
        <w:tabs>
          <w:tab w:leader="none" w:pos="484"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Disclosed in this report any change in the company’s internal control over financial reporting that occurred during the period covered by the annual report that has materially affected, or is reasonably likely to materially affect, the company’s internal control over financial reporting; and</w:t>
      </w:r>
    </w:p>
    <w:p>
      <w:pPr>
        <w:spacing w:after="0" w:line="137" w:lineRule="exact"/>
        <w:rPr>
          <w:rFonts w:ascii="Times New Roman" w:cs="Times New Roman" w:eastAsia="Times New Roman" w:hAnsi="Times New Roman"/>
          <w:sz w:val="13"/>
          <w:szCs w:val="13"/>
          <w:color w:val="auto"/>
        </w:rPr>
      </w:pPr>
    </w:p>
    <w:p>
      <w:pPr>
        <w:ind w:left="240" w:hanging="239"/>
        <w:spacing w:after="0" w:line="250" w:lineRule="auto"/>
        <w:tabs>
          <w:tab w:leader="none" w:pos="275" w:val="left"/>
        </w:tabs>
        <w:numPr>
          <w:ilvl w:val="0"/>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company’s other certifying officer and I have disclosed, based on our most recent evaluation of internal control over financial reporting, to the company’s auditors and the audit committee of the company’s board of directors (or persons performing the equivalent functions):</w:t>
      </w:r>
    </w:p>
    <w:p>
      <w:pPr>
        <w:spacing w:after="0" w:line="143" w:lineRule="exact"/>
        <w:rPr>
          <w:rFonts w:ascii="Times New Roman" w:cs="Times New Roman" w:eastAsia="Times New Roman" w:hAnsi="Times New Roman"/>
          <w:sz w:val="13"/>
          <w:szCs w:val="13"/>
          <w:color w:val="auto"/>
        </w:rPr>
      </w:pPr>
    </w:p>
    <w:p>
      <w:pPr>
        <w:ind w:left="480" w:hanging="236"/>
        <w:spacing w:after="0" w:line="222" w:lineRule="auto"/>
        <w:tabs>
          <w:tab w:leader="none" w:pos="509"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All significant deficiencies and material weaknesses in the design or operation of internal control over financial reporting which are reasonably likely to adversely affect the company’s ability to record, process, summarize and report financial information; and</w:t>
      </w:r>
    </w:p>
    <w:p>
      <w:pPr>
        <w:ind w:left="480" w:hanging="236"/>
        <w:spacing w:after="0"/>
        <w:tabs>
          <w:tab w:leader="none" w:pos="480" w:val="left"/>
        </w:tabs>
        <w:numPr>
          <w:ilvl w:val="1"/>
          <w:numId w:val="161"/>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Any fraud, whether or not material, that involves management or other employees who have a significant role in the company’s internal control over financial reporting.</w:t>
      </w:r>
    </w:p>
    <w:p>
      <w:pPr>
        <w:spacing w:after="0" w:line="34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Date: 29 February 2024</w:t>
      </w:r>
    </w:p>
    <w:p>
      <w:pPr>
        <w:spacing w:after="0" w:line="200" w:lineRule="exact"/>
        <w:rPr>
          <w:sz w:val="20"/>
          <w:szCs w:val="20"/>
          <w:color w:val="auto"/>
        </w:rPr>
      </w:pPr>
    </w:p>
    <w:p>
      <w:pPr>
        <w:spacing w:after="0" w:line="334" w:lineRule="exact"/>
        <w:rPr>
          <w:sz w:val="20"/>
          <w:szCs w:val="20"/>
          <w:color w:val="auto"/>
        </w:rPr>
      </w:pPr>
    </w:p>
    <w:p>
      <w:pPr>
        <w:ind w:left="5660"/>
        <w:spacing w:after="0"/>
        <w:rPr>
          <w:sz w:val="20"/>
          <w:szCs w:val="20"/>
          <w:color w:val="auto"/>
        </w:rPr>
      </w:pPr>
      <w:r>
        <w:rPr>
          <w:rFonts w:ascii="Times New Roman" w:cs="Times New Roman" w:eastAsia="Times New Roman" w:hAnsi="Times New Roman"/>
          <w:sz w:val="13"/>
          <w:szCs w:val="13"/>
          <w:b w:val="1"/>
          <w:bCs w:val="1"/>
          <w:color w:val="auto"/>
        </w:rPr>
        <w:t>/s/ PEKKA LUNDMARK</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3583940</wp:posOffset>
            </wp:positionH>
            <wp:positionV relativeFrom="paragraph">
              <wp:posOffset>18415</wp:posOffset>
            </wp:positionV>
            <wp:extent cx="3583305" cy="635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4">
                      <a:extLst>
                        <a:ext uri="{28A0092B-C50C-407E-A947-70E740481C1C}"/>
                      </a:extLst>
                    </a:blip>
                    <a:srcRect/>
                    <a:stretch>
                      <a:fillRect/>
                    </a:stretch>
                  </pic:blipFill>
                  <pic:spPr bwMode="auto">
                    <a:xfrm>
                      <a:off x="0" y="0"/>
                      <a:ext cx="3583305" cy="6350"/>
                    </a:xfrm>
                    <a:prstGeom prst="rect">
                      <a:avLst/>
                    </a:prstGeom>
                    <a:noFill/>
                  </pic:spPr>
                </pic:pic>
              </a:graphicData>
            </a:graphic>
          </wp:anchor>
        </w:drawing>
      </w:r>
    </w:p>
    <w:p>
      <w:pPr>
        <w:spacing w:after="0" w:line="13" w:lineRule="exact"/>
        <w:rPr>
          <w:sz w:val="20"/>
          <w:szCs w:val="20"/>
          <w:color w:val="auto"/>
        </w:rPr>
      </w:pPr>
    </w:p>
    <w:p>
      <w:pPr>
        <w:ind w:left="5660"/>
        <w:spacing w:after="0"/>
        <w:rPr>
          <w:sz w:val="20"/>
          <w:szCs w:val="20"/>
          <w:color w:val="auto"/>
        </w:rPr>
      </w:pPr>
      <w:r>
        <w:rPr>
          <w:rFonts w:ascii="Times New Roman" w:cs="Times New Roman" w:eastAsia="Times New Roman" w:hAnsi="Times New Roman"/>
          <w:sz w:val="13"/>
          <w:szCs w:val="13"/>
          <w:color w:val="auto"/>
        </w:rPr>
        <w:t>PEKKA LUNDMARK</w:t>
      </w:r>
    </w:p>
    <w:p>
      <w:pPr>
        <w:ind w:left="5660"/>
        <w:spacing w:after="0"/>
        <w:rPr>
          <w:sz w:val="20"/>
          <w:szCs w:val="20"/>
          <w:color w:val="auto"/>
        </w:rPr>
      </w:pPr>
      <w:r>
        <w:rPr>
          <w:rFonts w:ascii="Times New Roman" w:cs="Times New Roman" w:eastAsia="Times New Roman" w:hAnsi="Times New Roman"/>
          <w:sz w:val="13"/>
          <w:szCs w:val="13"/>
          <w:color w:val="auto"/>
        </w:rPr>
        <w:t>President and Chief Executive Officer</w:t>
      </w:r>
    </w:p>
    <w:p>
      <w:pPr>
        <w:sectPr>
          <w:pgSz w:w="11900" w:h="16838" w:orient="portrait"/>
          <w:cols w:equalWidth="0" w:num="1">
            <w:col w:w="11280"/>
          </w:cols>
          <w:pgMar w:left="300" w:top="598" w:right="319" w:bottom="1440" w:gutter="0" w:footer="0" w:header="0"/>
        </w:sectPr>
      </w:pPr>
    </w:p>
    <w:bookmarkStart w:id="222" w:name="page223"/>
    <w:bookmarkEnd w:id="222"/>
    <w:p>
      <w:pPr>
        <w:jc w:val="right"/>
        <w:spacing w:after="0"/>
        <w:rPr>
          <w:sz w:val="20"/>
          <w:szCs w:val="20"/>
          <w:color w:val="auto"/>
        </w:rPr>
      </w:pPr>
      <w:r>
        <w:rPr>
          <w:rFonts w:ascii="Times New Roman" w:cs="Times New Roman" w:eastAsia="Times New Roman" w:hAnsi="Times New Roman"/>
          <w:sz w:val="13"/>
          <w:szCs w:val="13"/>
          <w:b w:val="1"/>
          <w:bCs w:val="1"/>
          <w:color w:val="auto"/>
        </w:rPr>
        <w:t>Exhibit 12.2</w:t>
      </w:r>
    </w:p>
    <w:p>
      <w:pPr>
        <w:spacing w:after="0" w:line="164" w:lineRule="exact"/>
        <w:rPr>
          <w:sz w:val="20"/>
          <w:szCs w:val="20"/>
          <w:color w:val="auto"/>
        </w:rPr>
      </w:pPr>
    </w:p>
    <w:p>
      <w:pPr>
        <w:jc w:val="center"/>
        <w:spacing w:after="0"/>
        <w:rPr>
          <w:sz w:val="20"/>
          <w:szCs w:val="20"/>
          <w:color w:val="auto"/>
        </w:rPr>
      </w:pPr>
      <w:r>
        <w:rPr>
          <w:rFonts w:ascii="Times New Roman" w:cs="Times New Roman" w:eastAsia="Times New Roman" w:hAnsi="Times New Roman"/>
          <w:sz w:val="13"/>
          <w:szCs w:val="13"/>
          <w:b w:val="1"/>
          <w:bCs w:val="1"/>
          <w:color w:val="auto"/>
        </w:rPr>
        <w:t>CERTIFICATION</w:t>
      </w:r>
    </w:p>
    <w:p>
      <w:pPr>
        <w:spacing w:after="0" w:line="178"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I, MARCO WIRÉN, certify that:</w:t>
      </w:r>
    </w:p>
    <w:p>
      <w:pPr>
        <w:spacing w:after="0" w:line="164" w:lineRule="exact"/>
        <w:rPr>
          <w:sz w:val="20"/>
          <w:szCs w:val="20"/>
          <w:color w:val="auto"/>
        </w:rPr>
      </w:pPr>
    </w:p>
    <w:p>
      <w:pPr>
        <w:ind w:left="240" w:hanging="239"/>
        <w:spacing w:after="0"/>
        <w:tabs>
          <w:tab w:leader="none" w:pos="240" w:val="left"/>
        </w:tabs>
        <w:numPr>
          <w:ilvl w:val="0"/>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I have reviewed this Annual Report on Form 20-F of Nokia Corporation;</w:t>
      </w:r>
    </w:p>
    <w:p>
      <w:pPr>
        <w:spacing w:after="0" w:line="164" w:lineRule="exact"/>
        <w:rPr>
          <w:rFonts w:ascii="Times New Roman" w:cs="Times New Roman" w:eastAsia="Times New Roman" w:hAnsi="Times New Roman"/>
          <w:sz w:val="13"/>
          <w:szCs w:val="13"/>
          <w:color w:val="auto"/>
        </w:rPr>
      </w:pPr>
    </w:p>
    <w:p>
      <w:pPr>
        <w:ind w:left="240" w:hanging="239"/>
        <w:spacing w:after="0" w:line="266" w:lineRule="auto"/>
        <w:tabs>
          <w:tab w:leader="none" w:pos="269" w:val="left"/>
        </w:tabs>
        <w:numPr>
          <w:ilvl w:val="0"/>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pPr>
        <w:spacing w:after="0" w:line="123" w:lineRule="exact"/>
        <w:rPr>
          <w:rFonts w:ascii="Times New Roman" w:cs="Times New Roman" w:eastAsia="Times New Roman" w:hAnsi="Times New Roman"/>
          <w:sz w:val="13"/>
          <w:szCs w:val="13"/>
          <w:color w:val="auto"/>
        </w:rPr>
      </w:pPr>
    </w:p>
    <w:p>
      <w:pPr>
        <w:ind w:left="240" w:hanging="239"/>
        <w:spacing w:after="0" w:line="250" w:lineRule="auto"/>
        <w:tabs>
          <w:tab w:leader="none" w:pos="249" w:val="left"/>
        </w:tabs>
        <w:numPr>
          <w:ilvl w:val="0"/>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Based on my knowledge, the financial statements, and other financial information included in this report, fairly present in all material respects the financial condition, results of operations and cash flows of the company as of, and for, the periods presented in this report;</w:t>
      </w:r>
    </w:p>
    <w:p>
      <w:pPr>
        <w:spacing w:after="0" w:line="143" w:lineRule="exact"/>
        <w:rPr>
          <w:rFonts w:ascii="Times New Roman" w:cs="Times New Roman" w:eastAsia="Times New Roman" w:hAnsi="Times New Roman"/>
          <w:sz w:val="13"/>
          <w:szCs w:val="13"/>
          <w:color w:val="auto"/>
        </w:rPr>
      </w:pPr>
    </w:p>
    <w:p>
      <w:pPr>
        <w:ind w:left="240" w:hanging="239"/>
        <w:spacing w:after="0" w:line="250" w:lineRule="auto"/>
        <w:tabs>
          <w:tab w:leader="none" w:pos="252" w:val="left"/>
        </w:tabs>
        <w:numPr>
          <w:ilvl w:val="0"/>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company’s other certifying officer and I are responsible for establishing and maintaining disclosure controls and procedures (as defined in Exchange Act Rules 13a-15(e) and 15d-15(e)) and internal control over financial reporting (as defined in Exchange Act Rules 13a-15(f) and 15d-15(f)) for the company and have:</w:t>
      </w:r>
    </w:p>
    <w:p>
      <w:pPr>
        <w:spacing w:after="0" w:line="133" w:lineRule="exact"/>
        <w:rPr>
          <w:rFonts w:ascii="Times New Roman" w:cs="Times New Roman" w:eastAsia="Times New Roman" w:hAnsi="Times New Roman"/>
          <w:sz w:val="13"/>
          <w:szCs w:val="13"/>
          <w:color w:val="auto"/>
        </w:rPr>
      </w:pPr>
    </w:p>
    <w:p>
      <w:pPr>
        <w:ind w:left="480" w:hanging="236"/>
        <w:spacing w:after="0" w:line="230" w:lineRule="auto"/>
        <w:tabs>
          <w:tab w:leader="none" w:pos="473"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Designed such disclosure controls and procedures, or caused such disclosure controls and procedures to be designed under our supervision, to ensure that material information relating to the company, including its consolidated subsidiaries, is made known to us by others within those entities, particularly during the period in which this report is being prepared;</w:t>
      </w:r>
    </w:p>
    <w:p>
      <w:pPr>
        <w:ind w:left="480" w:hanging="236"/>
        <w:spacing w:after="0" w:line="219" w:lineRule="auto"/>
        <w:tabs>
          <w:tab w:leader="none" w:pos="508"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pPr>
        <w:ind w:left="480" w:hanging="236"/>
        <w:spacing w:after="0" w:line="211" w:lineRule="auto"/>
        <w:tabs>
          <w:tab w:leader="none" w:pos="472"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Evaluated the effectiveness of the company’s disclosure controls and procedures and presented in this report our conclusions about the effectiveness of the disclosure controls and procedures, as of the end of the period covered by this report based on such evaluation; and</w:t>
      </w:r>
    </w:p>
    <w:p>
      <w:pPr>
        <w:ind w:left="480" w:hanging="236"/>
        <w:spacing w:after="0" w:line="244" w:lineRule="auto"/>
        <w:tabs>
          <w:tab w:leader="none" w:pos="484"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Disclosed in this report any change in the company’s internal control over financial reporting that occurred during the period covered by the annual report that has materially affected, or is reasonably likely to materially affect, the company’s internal control over financial reporting; and</w:t>
      </w:r>
    </w:p>
    <w:p>
      <w:pPr>
        <w:spacing w:after="0" w:line="137" w:lineRule="exact"/>
        <w:rPr>
          <w:rFonts w:ascii="Times New Roman" w:cs="Times New Roman" w:eastAsia="Times New Roman" w:hAnsi="Times New Roman"/>
          <w:sz w:val="13"/>
          <w:szCs w:val="13"/>
          <w:color w:val="auto"/>
        </w:rPr>
      </w:pPr>
    </w:p>
    <w:p>
      <w:pPr>
        <w:ind w:left="240" w:hanging="239"/>
        <w:spacing w:after="0" w:line="250" w:lineRule="auto"/>
        <w:tabs>
          <w:tab w:leader="none" w:pos="275" w:val="left"/>
        </w:tabs>
        <w:numPr>
          <w:ilvl w:val="0"/>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company’s other certifying officer and I have disclosed, based on our most recent evaluation of internal control over financial reporting, to the company’s auditors and the audit committee of the company’s board of directors (or persons performing the equivalent functions):</w:t>
      </w:r>
    </w:p>
    <w:p>
      <w:pPr>
        <w:spacing w:after="0" w:line="143" w:lineRule="exact"/>
        <w:rPr>
          <w:rFonts w:ascii="Times New Roman" w:cs="Times New Roman" w:eastAsia="Times New Roman" w:hAnsi="Times New Roman"/>
          <w:sz w:val="13"/>
          <w:szCs w:val="13"/>
          <w:color w:val="auto"/>
        </w:rPr>
      </w:pPr>
    </w:p>
    <w:p>
      <w:pPr>
        <w:ind w:left="480" w:hanging="236"/>
        <w:spacing w:after="0" w:line="222" w:lineRule="auto"/>
        <w:tabs>
          <w:tab w:leader="none" w:pos="509"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All significant deficiencies and material weaknesses in the design or operation of internal control over financial reporting which are reasonably likely to adversely affect the company’s ability to record, process, summarize and report financial information; and</w:t>
      </w:r>
    </w:p>
    <w:p>
      <w:pPr>
        <w:ind w:left="480" w:hanging="236"/>
        <w:spacing w:after="0"/>
        <w:tabs>
          <w:tab w:leader="none" w:pos="480" w:val="left"/>
        </w:tabs>
        <w:numPr>
          <w:ilvl w:val="1"/>
          <w:numId w:val="162"/>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Any fraud, whether or not material, that involves management or other employees who have a significant role in the company’s internal control over financial reporting.</w:t>
      </w:r>
    </w:p>
    <w:p>
      <w:pPr>
        <w:spacing w:after="0" w:line="211"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Date: 29 February 2024</w:t>
      </w:r>
    </w:p>
    <w:p>
      <w:pPr>
        <w:spacing w:after="0" w:line="180" w:lineRule="exact"/>
        <w:rPr>
          <w:sz w:val="20"/>
          <w:szCs w:val="20"/>
          <w:color w:val="auto"/>
        </w:rPr>
      </w:pPr>
    </w:p>
    <w:p>
      <w:pPr>
        <w:ind w:left="5660"/>
        <w:spacing w:after="0"/>
        <w:rPr>
          <w:sz w:val="20"/>
          <w:szCs w:val="20"/>
          <w:color w:val="auto"/>
        </w:rPr>
      </w:pPr>
      <w:r>
        <w:rPr>
          <w:rFonts w:ascii="Times New Roman" w:cs="Times New Roman" w:eastAsia="Times New Roman" w:hAnsi="Times New Roman"/>
          <w:sz w:val="13"/>
          <w:szCs w:val="13"/>
          <w:b w:val="1"/>
          <w:bCs w:val="1"/>
          <w:color w:val="auto"/>
        </w:rPr>
        <w:t>/s/ MARCO WIRÉN</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3583940</wp:posOffset>
            </wp:positionH>
            <wp:positionV relativeFrom="paragraph">
              <wp:posOffset>18415</wp:posOffset>
            </wp:positionV>
            <wp:extent cx="3583305" cy="63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5">
                      <a:extLst>
                        <a:ext uri="{28A0092B-C50C-407E-A947-70E740481C1C}"/>
                      </a:extLst>
                    </a:blip>
                    <a:srcRect/>
                    <a:stretch>
                      <a:fillRect/>
                    </a:stretch>
                  </pic:blipFill>
                  <pic:spPr bwMode="auto">
                    <a:xfrm>
                      <a:off x="0" y="0"/>
                      <a:ext cx="3583305" cy="6350"/>
                    </a:xfrm>
                    <a:prstGeom prst="rect">
                      <a:avLst/>
                    </a:prstGeom>
                    <a:noFill/>
                  </pic:spPr>
                </pic:pic>
              </a:graphicData>
            </a:graphic>
          </wp:anchor>
        </w:drawing>
      </w:r>
    </w:p>
    <w:p>
      <w:pPr>
        <w:spacing w:after="0" w:line="17" w:lineRule="exact"/>
        <w:rPr>
          <w:sz w:val="20"/>
          <w:szCs w:val="20"/>
          <w:color w:val="auto"/>
        </w:rPr>
      </w:pPr>
    </w:p>
    <w:p>
      <w:pPr>
        <w:ind w:left="5660"/>
        <w:spacing w:after="0"/>
        <w:rPr>
          <w:sz w:val="20"/>
          <w:szCs w:val="20"/>
          <w:color w:val="auto"/>
        </w:rPr>
      </w:pPr>
      <w:r>
        <w:rPr>
          <w:rFonts w:ascii="Times New Roman" w:cs="Times New Roman" w:eastAsia="Times New Roman" w:hAnsi="Times New Roman"/>
          <w:sz w:val="13"/>
          <w:szCs w:val="13"/>
          <w:color w:val="auto"/>
        </w:rPr>
        <w:t>MARCO WIRÉN</w:t>
      </w:r>
    </w:p>
    <w:p>
      <w:pPr>
        <w:spacing w:after="0" w:line="25" w:lineRule="exact"/>
        <w:rPr>
          <w:sz w:val="20"/>
          <w:szCs w:val="20"/>
          <w:color w:val="auto"/>
        </w:rPr>
      </w:pPr>
    </w:p>
    <w:p>
      <w:pPr>
        <w:ind w:left="5660"/>
        <w:spacing w:after="0"/>
        <w:rPr>
          <w:sz w:val="20"/>
          <w:szCs w:val="20"/>
          <w:color w:val="auto"/>
        </w:rPr>
      </w:pPr>
      <w:r>
        <w:rPr>
          <w:rFonts w:ascii="Times New Roman" w:cs="Times New Roman" w:eastAsia="Times New Roman" w:hAnsi="Times New Roman"/>
          <w:sz w:val="13"/>
          <w:szCs w:val="13"/>
          <w:color w:val="auto"/>
        </w:rPr>
        <w:t>Chief Financial Officer</w:t>
      </w:r>
    </w:p>
    <w:p>
      <w:pPr>
        <w:sectPr>
          <w:pgSz w:w="11900" w:h="16838" w:orient="portrait"/>
          <w:cols w:equalWidth="0" w:num="1">
            <w:col w:w="11280"/>
          </w:cols>
          <w:pgMar w:left="300" w:top="598" w:right="319" w:bottom="1440" w:gutter="0" w:footer="0" w:header="0"/>
        </w:sectPr>
      </w:pPr>
    </w:p>
    <w:bookmarkStart w:id="223" w:name="page224"/>
    <w:bookmarkEnd w:id="223"/>
    <w:p>
      <w:pPr>
        <w:jc w:val="right"/>
        <w:spacing w:after="0"/>
        <w:rPr>
          <w:sz w:val="20"/>
          <w:szCs w:val="20"/>
          <w:color w:val="auto"/>
        </w:rPr>
      </w:pPr>
      <w:r>
        <w:rPr>
          <w:rFonts w:ascii="Times New Roman" w:cs="Times New Roman" w:eastAsia="Times New Roman" w:hAnsi="Times New Roman"/>
          <w:sz w:val="13"/>
          <w:szCs w:val="13"/>
          <w:b w:val="1"/>
          <w:bCs w:val="1"/>
          <w:color w:val="auto"/>
        </w:rPr>
        <w:t>Exhibit 13</w:t>
      </w:r>
    </w:p>
    <w:p>
      <w:pPr>
        <w:spacing w:after="0" w:line="174" w:lineRule="exact"/>
        <w:rPr>
          <w:sz w:val="20"/>
          <w:szCs w:val="20"/>
          <w:color w:val="auto"/>
        </w:rPr>
      </w:pPr>
    </w:p>
    <w:p>
      <w:pPr>
        <w:jc w:val="center"/>
        <w:spacing w:after="0"/>
        <w:rPr>
          <w:sz w:val="20"/>
          <w:szCs w:val="20"/>
          <w:color w:val="auto"/>
        </w:rPr>
      </w:pPr>
      <w:r>
        <w:rPr>
          <w:rFonts w:ascii="Times New Roman" w:cs="Times New Roman" w:eastAsia="Times New Roman" w:hAnsi="Times New Roman"/>
          <w:sz w:val="13"/>
          <w:szCs w:val="13"/>
          <w:b w:val="1"/>
          <w:bCs w:val="1"/>
          <w:color w:val="auto"/>
        </w:rPr>
        <w:t>CERTIFICATION PURSUANT TO</w:t>
      </w:r>
    </w:p>
    <w:p>
      <w:pPr>
        <w:jc w:val="center"/>
        <w:spacing w:after="0" w:line="211" w:lineRule="auto"/>
        <w:rPr>
          <w:sz w:val="20"/>
          <w:szCs w:val="20"/>
          <w:color w:val="auto"/>
        </w:rPr>
      </w:pPr>
      <w:r>
        <w:rPr>
          <w:rFonts w:ascii="Times New Roman" w:cs="Times New Roman" w:eastAsia="Times New Roman" w:hAnsi="Times New Roman"/>
          <w:sz w:val="13"/>
          <w:szCs w:val="13"/>
          <w:b w:val="1"/>
          <w:bCs w:val="1"/>
          <w:color w:val="auto"/>
        </w:rPr>
        <w:t>18 U.S.C. SECTION 1350,</w:t>
      </w:r>
    </w:p>
    <w:p>
      <w:pPr>
        <w:jc w:val="center"/>
        <w:spacing w:after="0" w:line="227" w:lineRule="auto"/>
        <w:rPr>
          <w:sz w:val="20"/>
          <w:szCs w:val="20"/>
          <w:color w:val="auto"/>
        </w:rPr>
      </w:pPr>
      <w:r>
        <w:rPr>
          <w:rFonts w:ascii="Times New Roman" w:cs="Times New Roman" w:eastAsia="Times New Roman" w:hAnsi="Times New Roman"/>
          <w:sz w:val="13"/>
          <w:szCs w:val="13"/>
          <w:b w:val="1"/>
          <w:bCs w:val="1"/>
          <w:color w:val="auto"/>
        </w:rPr>
        <w:t>AS ADOPTED PURSUANT TO</w:t>
      </w:r>
    </w:p>
    <w:p>
      <w:pPr>
        <w:jc w:val="center"/>
        <w:spacing w:after="0"/>
        <w:rPr>
          <w:sz w:val="20"/>
          <w:szCs w:val="20"/>
          <w:color w:val="auto"/>
        </w:rPr>
      </w:pPr>
      <w:r>
        <w:rPr>
          <w:rFonts w:ascii="Times New Roman" w:cs="Times New Roman" w:eastAsia="Times New Roman" w:hAnsi="Times New Roman"/>
          <w:sz w:val="13"/>
          <w:szCs w:val="13"/>
          <w:b w:val="1"/>
          <w:bCs w:val="1"/>
          <w:color w:val="auto"/>
        </w:rPr>
        <w:t>SECTION 906 OF THE SARBANES-OXLEY ACT OF 2002</w:t>
      </w:r>
    </w:p>
    <w:p>
      <w:pPr>
        <w:spacing w:after="0" w:line="150" w:lineRule="exact"/>
        <w:rPr>
          <w:sz w:val="20"/>
          <w:szCs w:val="20"/>
          <w:color w:val="auto"/>
        </w:rPr>
      </w:pPr>
    </w:p>
    <w:p>
      <w:pPr>
        <w:ind w:right="80"/>
        <w:spacing w:after="0" w:line="250" w:lineRule="auto"/>
        <w:rPr>
          <w:sz w:val="20"/>
          <w:szCs w:val="20"/>
          <w:color w:val="auto"/>
        </w:rPr>
      </w:pPr>
      <w:r>
        <w:rPr>
          <w:rFonts w:ascii="Times New Roman" w:cs="Times New Roman" w:eastAsia="Times New Roman" w:hAnsi="Times New Roman"/>
          <w:sz w:val="13"/>
          <w:szCs w:val="13"/>
          <w:color w:val="auto"/>
        </w:rPr>
        <w:t>In connection with the Annual Report on Form 20-F of Nokia Corporation (the “Company”) for the period ended December 31, 2022, as filed with the Securities and Exchange Commission on the date hereof (the “Report”), pursuant to 18 U.S.C. Section 1350, as adopted pursuant to Section 906 of the Sarbanes-Oxley Act of 2002, the undersigned hereby certify that, to the best of our knowledge:</w:t>
      </w:r>
    </w:p>
    <w:p>
      <w:pPr>
        <w:spacing w:after="0" w:line="144" w:lineRule="exact"/>
        <w:rPr>
          <w:sz w:val="20"/>
          <w:szCs w:val="20"/>
          <w:color w:val="auto"/>
        </w:rPr>
      </w:pPr>
    </w:p>
    <w:p>
      <w:pPr>
        <w:ind w:left="240" w:hanging="239"/>
        <w:spacing w:after="0"/>
        <w:tabs>
          <w:tab w:leader="none" w:pos="240" w:val="left"/>
        </w:tabs>
        <w:numPr>
          <w:ilvl w:val="0"/>
          <w:numId w:val="163"/>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Report fully complies with the requirements of Section 13(a) or 15(d) of the Securities Exchange Act of 1934; and</w:t>
      </w:r>
    </w:p>
    <w:p>
      <w:pPr>
        <w:spacing w:after="0" w:line="164" w:lineRule="exact"/>
        <w:rPr>
          <w:rFonts w:ascii="Times New Roman" w:cs="Times New Roman" w:eastAsia="Times New Roman" w:hAnsi="Times New Roman"/>
          <w:sz w:val="13"/>
          <w:szCs w:val="13"/>
          <w:color w:val="auto"/>
        </w:rPr>
      </w:pPr>
    </w:p>
    <w:p>
      <w:pPr>
        <w:ind w:left="240" w:hanging="239"/>
        <w:spacing w:after="0"/>
        <w:tabs>
          <w:tab w:leader="none" w:pos="240" w:val="left"/>
        </w:tabs>
        <w:numPr>
          <w:ilvl w:val="0"/>
          <w:numId w:val="163"/>
        </w:numPr>
        <w:rPr>
          <w:rFonts w:ascii="Times New Roman" w:cs="Times New Roman" w:eastAsia="Times New Roman" w:hAnsi="Times New Roman"/>
          <w:sz w:val="13"/>
          <w:szCs w:val="13"/>
          <w:color w:val="auto"/>
        </w:rPr>
      </w:pPr>
      <w:r>
        <w:rPr>
          <w:rFonts w:ascii="Times New Roman" w:cs="Times New Roman" w:eastAsia="Times New Roman" w:hAnsi="Times New Roman"/>
          <w:sz w:val="13"/>
          <w:szCs w:val="13"/>
          <w:color w:val="auto"/>
        </w:rPr>
        <w:t>The information contained in the Report fairly presents, in all material respects, the financial condition and results of operations of the Company.</w:t>
      </w:r>
    </w:p>
    <w:p>
      <w:pPr>
        <w:spacing w:after="0" w:line="346"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Date: 29 February 2024</w:t>
      </w:r>
    </w:p>
    <w:p>
      <w:pPr>
        <w:spacing w:after="0" w:line="39" w:lineRule="exact"/>
        <w:rPr>
          <w:sz w:val="20"/>
          <w:szCs w:val="20"/>
          <w:color w:val="auto"/>
        </w:rPr>
      </w:pPr>
    </w:p>
    <w:p>
      <w:pPr>
        <w:ind w:left="5720"/>
        <w:spacing w:after="0"/>
        <w:rPr>
          <w:sz w:val="20"/>
          <w:szCs w:val="20"/>
          <w:color w:val="auto"/>
        </w:rPr>
      </w:pPr>
      <w:r>
        <w:rPr>
          <w:rFonts w:ascii="Times New Roman" w:cs="Times New Roman" w:eastAsia="Times New Roman" w:hAnsi="Times New Roman"/>
          <w:sz w:val="13"/>
          <w:szCs w:val="13"/>
          <w:b w:val="1"/>
          <w:bCs w:val="1"/>
          <w:color w:val="auto"/>
        </w:rPr>
        <w:t>/s/ PEKKA LUNDMARK</w:t>
      </w:r>
    </w:p>
    <w:p>
      <w:pPr>
        <w:spacing w:after="0" w:line="29" w:lineRule="exact"/>
        <w:rPr>
          <w:sz w:val="20"/>
          <w:szCs w:val="20"/>
          <w:color w:val="auto"/>
        </w:rPr>
      </w:pPr>
    </w:p>
    <w:tbl>
      <w:tblPr>
        <w:tblLayout w:type="fixed"/>
        <w:tblInd w:w="5700" w:type="dxa"/>
        <w:tblCellMar>
          <w:top w:w="0" w:type="dxa"/>
          <w:left w:w="0" w:type="dxa"/>
          <w:bottom w:w="0" w:type="dxa"/>
          <w:right w:w="0" w:type="dxa"/>
        </w:tblCellMar>
      </w:tblPr>
      <w:tr>
        <w:trPr>
          <w:trHeight w:val="160"/>
        </w:trPr>
        <w:tc>
          <w:tcPr>
            <w:tcW w:w="520" w:type="dxa"/>
            <w:vAlign w:val="bottom"/>
            <w:tcBorders>
              <w:top w:val="single" w:sz="8" w:color="auto"/>
            </w:tcBorders>
          </w:tcPr>
          <w:p>
            <w:pPr>
              <w:ind w:left="20"/>
              <w:spacing w:after="0"/>
              <w:rPr>
                <w:sz w:val="20"/>
                <w:szCs w:val="20"/>
                <w:color w:val="auto"/>
              </w:rPr>
            </w:pPr>
            <w:r>
              <w:rPr>
                <w:rFonts w:ascii="Times New Roman" w:cs="Times New Roman" w:eastAsia="Times New Roman" w:hAnsi="Times New Roman"/>
                <w:sz w:val="13"/>
                <w:szCs w:val="13"/>
                <w:color w:val="auto"/>
              </w:rPr>
              <w:t>Name:</w:t>
            </w:r>
          </w:p>
        </w:tc>
        <w:tc>
          <w:tcPr>
            <w:tcW w:w="5060" w:type="dxa"/>
            <w:vAlign w:val="bottom"/>
            <w:tcBorders>
              <w:top w:val="single" w:sz="8" w:color="auto"/>
            </w:tcBorders>
          </w:tcPr>
          <w:p>
            <w:pPr>
              <w:ind w:left="120"/>
              <w:spacing w:after="0"/>
              <w:rPr>
                <w:sz w:val="20"/>
                <w:szCs w:val="20"/>
                <w:color w:val="auto"/>
              </w:rPr>
            </w:pPr>
            <w:r>
              <w:rPr>
                <w:rFonts w:ascii="Times New Roman" w:cs="Times New Roman" w:eastAsia="Times New Roman" w:hAnsi="Times New Roman"/>
                <w:sz w:val="13"/>
                <w:szCs w:val="13"/>
                <w:color w:val="auto"/>
              </w:rPr>
              <w:t>PEKKA LUNDMARK</w:t>
            </w:r>
          </w:p>
        </w:tc>
      </w:tr>
      <w:tr>
        <w:trPr>
          <w:trHeight w:val="174"/>
        </w:trPr>
        <w:tc>
          <w:tcPr>
            <w:tcW w:w="520" w:type="dxa"/>
            <w:vAlign w:val="bottom"/>
          </w:tcPr>
          <w:p>
            <w:pPr>
              <w:ind w:left="20"/>
              <w:spacing w:after="0"/>
              <w:rPr>
                <w:sz w:val="20"/>
                <w:szCs w:val="20"/>
                <w:color w:val="auto"/>
              </w:rPr>
            </w:pPr>
            <w:r>
              <w:rPr>
                <w:rFonts w:ascii="Times New Roman" w:cs="Times New Roman" w:eastAsia="Times New Roman" w:hAnsi="Times New Roman"/>
                <w:sz w:val="13"/>
                <w:szCs w:val="13"/>
                <w:color w:val="auto"/>
              </w:rPr>
              <w:t>Title:</w:t>
            </w:r>
          </w:p>
        </w:tc>
        <w:tc>
          <w:tcPr>
            <w:tcW w:w="5060" w:type="dxa"/>
            <w:vAlign w:val="bottom"/>
          </w:tcPr>
          <w:p>
            <w:pPr>
              <w:ind w:left="120"/>
              <w:spacing w:after="0"/>
              <w:rPr>
                <w:sz w:val="20"/>
                <w:szCs w:val="20"/>
                <w:color w:val="auto"/>
              </w:rPr>
            </w:pPr>
            <w:r>
              <w:rPr>
                <w:rFonts w:ascii="Times New Roman" w:cs="Times New Roman" w:eastAsia="Times New Roman" w:hAnsi="Times New Roman"/>
                <w:sz w:val="13"/>
                <w:szCs w:val="13"/>
                <w:color w:val="auto"/>
              </w:rPr>
              <w:t>President and Chief Executive Officer</w:t>
            </w:r>
          </w:p>
        </w:tc>
      </w:tr>
      <w:tr>
        <w:trPr>
          <w:trHeight w:val="496"/>
        </w:trPr>
        <w:tc>
          <w:tcPr>
            <w:tcW w:w="5580" w:type="dxa"/>
            <w:vAlign w:val="bottom"/>
            <w:tcBorders>
              <w:bottom w:val="single" w:sz="8" w:color="auto"/>
            </w:tcBorders>
            <w:gridSpan w:val="2"/>
          </w:tcPr>
          <w:p>
            <w:pPr>
              <w:ind w:left="20"/>
              <w:spacing w:after="0"/>
              <w:rPr>
                <w:sz w:val="20"/>
                <w:szCs w:val="20"/>
                <w:color w:val="auto"/>
              </w:rPr>
            </w:pPr>
            <w:r>
              <w:rPr>
                <w:rFonts w:ascii="Times New Roman" w:cs="Times New Roman" w:eastAsia="Times New Roman" w:hAnsi="Times New Roman"/>
                <w:sz w:val="13"/>
                <w:szCs w:val="13"/>
                <w:b w:val="1"/>
                <w:bCs w:val="1"/>
                <w:color w:val="auto"/>
              </w:rPr>
              <w:t>/s/ MARCO WIRÉN</w:t>
            </w:r>
          </w:p>
        </w:tc>
      </w:tr>
      <w:tr>
        <w:trPr>
          <w:trHeight w:val="160"/>
        </w:trPr>
        <w:tc>
          <w:tcPr>
            <w:tcW w:w="520" w:type="dxa"/>
            <w:vAlign w:val="bottom"/>
          </w:tcPr>
          <w:p>
            <w:pPr>
              <w:ind w:left="20"/>
              <w:spacing w:after="0"/>
              <w:rPr>
                <w:sz w:val="20"/>
                <w:szCs w:val="20"/>
                <w:color w:val="auto"/>
              </w:rPr>
            </w:pPr>
            <w:r>
              <w:rPr>
                <w:rFonts w:ascii="Times New Roman" w:cs="Times New Roman" w:eastAsia="Times New Roman" w:hAnsi="Times New Roman"/>
                <w:sz w:val="13"/>
                <w:szCs w:val="13"/>
                <w:color w:val="auto"/>
              </w:rPr>
              <w:t>Name:</w:t>
            </w:r>
          </w:p>
        </w:tc>
        <w:tc>
          <w:tcPr>
            <w:tcW w:w="5060" w:type="dxa"/>
            <w:vAlign w:val="bottom"/>
          </w:tcPr>
          <w:p>
            <w:pPr>
              <w:ind w:left="120"/>
              <w:spacing w:after="0"/>
              <w:rPr>
                <w:sz w:val="20"/>
                <w:szCs w:val="20"/>
                <w:color w:val="auto"/>
              </w:rPr>
            </w:pPr>
            <w:r>
              <w:rPr>
                <w:rFonts w:ascii="Times New Roman" w:cs="Times New Roman" w:eastAsia="Times New Roman" w:hAnsi="Times New Roman"/>
                <w:sz w:val="13"/>
                <w:szCs w:val="13"/>
                <w:color w:val="auto"/>
              </w:rPr>
              <w:t>MARCO WIRÉN</w:t>
            </w:r>
          </w:p>
        </w:tc>
      </w:tr>
      <w:tr>
        <w:trPr>
          <w:trHeight w:val="174"/>
        </w:trPr>
        <w:tc>
          <w:tcPr>
            <w:tcW w:w="520" w:type="dxa"/>
            <w:vAlign w:val="bottom"/>
          </w:tcPr>
          <w:p>
            <w:pPr>
              <w:ind w:left="20"/>
              <w:spacing w:after="0"/>
              <w:rPr>
                <w:sz w:val="20"/>
                <w:szCs w:val="20"/>
                <w:color w:val="auto"/>
              </w:rPr>
            </w:pPr>
            <w:r>
              <w:rPr>
                <w:rFonts w:ascii="Times New Roman" w:cs="Times New Roman" w:eastAsia="Times New Roman" w:hAnsi="Times New Roman"/>
                <w:sz w:val="13"/>
                <w:szCs w:val="13"/>
                <w:color w:val="auto"/>
              </w:rPr>
              <w:t>Title:</w:t>
            </w:r>
          </w:p>
        </w:tc>
        <w:tc>
          <w:tcPr>
            <w:tcW w:w="5060" w:type="dxa"/>
            <w:vAlign w:val="bottom"/>
          </w:tcPr>
          <w:p>
            <w:pPr>
              <w:ind w:left="120"/>
              <w:spacing w:after="0"/>
              <w:rPr>
                <w:sz w:val="20"/>
                <w:szCs w:val="20"/>
                <w:color w:val="auto"/>
              </w:rPr>
            </w:pPr>
            <w:r>
              <w:rPr>
                <w:rFonts w:ascii="Times New Roman" w:cs="Times New Roman" w:eastAsia="Times New Roman" w:hAnsi="Times New Roman"/>
                <w:sz w:val="13"/>
                <w:szCs w:val="13"/>
                <w:color w:val="auto"/>
              </w:rPr>
              <w:t>Chief Financial Officer</w:t>
            </w:r>
          </w:p>
        </w:tc>
      </w:tr>
    </w:tbl>
    <w:p>
      <w:pPr>
        <w:spacing w:after="0" w:line="200" w:lineRule="exact"/>
        <w:rPr>
          <w:sz w:val="20"/>
          <w:szCs w:val="20"/>
          <w:color w:val="auto"/>
        </w:rPr>
      </w:pPr>
    </w:p>
    <w:p>
      <w:pPr>
        <w:spacing w:after="0" w:line="202" w:lineRule="exact"/>
        <w:rPr>
          <w:sz w:val="20"/>
          <w:szCs w:val="20"/>
          <w:color w:val="auto"/>
        </w:rPr>
      </w:pPr>
    </w:p>
    <w:p>
      <w:pPr>
        <w:spacing w:after="0"/>
        <w:rPr>
          <w:sz w:val="20"/>
          <w:szCs w:val="20"/>
          <w:color w:val="auto"/>
        </w:rPr>
      </w:pPr>
      <w:r>
        <w:rPr>
          <w:rFonts w:ascii="Times New Roman" w:cs="Times New Roman" w:eastAsia="Times New Roman" w:hAnsi="Times New Roman"/>
          <w:sz w:val="13"/>
          <w:szCs w:val="13"/>
          <w:color w:val="auto"/>
        </w:rPr>
        <w:t>* The foregoing certification is being furnished solely pursuant to 18 U.S.C. Section 1350 and is not being filed as part of the Report or as a separate disclosure document.</w:t>
      </w:r>
    </w:p>
    <w:p>
      <w:pPr>
        <w:sectPr>
          <w:pgSz w:w="11900" w:h="16838" w:orient="portrait"/>
          <w:cols w:equalWidth="0" w:num="1">
            <w:col w:w="11280"/>
          </w:cols>
          <w:pgMar w:left="300" w:top="962" w:right="319" w:bottom="1440" w:gutter="0" w:footer="0" w:header="0"/>
        </w:sectPr>
      </w:pPr>
    </w:p>
    <w:bookmarkStart w:id="224" w:name="page225"/>
    <w:bookmarkEnd w:id="224"/>
    <w:p>
      <w:pPr>
        <w:jc w:val="right"/>
        <w:spacing w:after="0"/>
        <w:rPr>
          <w:sz w:val="20"/>
          <w:szCs w:val="20"/>
          <w:color w:val="auto"/>
        </w:rPr>
      </w:pPr>
      <w:r>
        <w:rPr>
          <w:rFonts w:ascii="Times New Roman" w:cs="Times New Roman" w:eastAsia="Times New Roman" w:hAnsi="Times New Roman"/>
          <w:sz w:val="13"/>
          <w:szCs w:val="13"/>
          <w:b w:val="1"/>
          <w:bCs w:val="1"/>
          <w:color w:val="auto"/>
        </w:rPr>
        <w:t>Exhibit 15.1</w:t>
      </w:r>
    </w:p>
    <w:p>
      <w:pPr>
        <w:spacing w:after="0" w:line="178" w:lineRule="exact"/>
        <w:rPr>
          <w:sz w:val="20"/>
          <w:szCs w:val="20"/>
          <w:color w:val="auto"/>
        </w:rPr>
      </w:pPr>
    </w:p>
    <w:p>
      <w:pPr>
        <w:jc w:val="center"/>
        <w:spacing w:after="0"/>
        <w:rPr>
          <w:sz w:val="20"/>
          <w:szCs w:val="20"/>
          <w:color w:val="auto"/>
        </w:rPr>
      </w:pPr>
      <w:r>
        <w:rPr>
          <w:rFonts w:ascii="Times New Roman" w:cs="Times New Roman" w:eastAsia="Times New Roman" w:hAnsi="Times New Roman"/>
          <w:sz w:val="13"/>
          <w:szCs w:val="13"/>
          <w:u w:val="single" w:color="auto"/>
          <w:color w:val="auto"/>
        </w:rPr>
        <w:t>CONSENT OF INDEPENDENT REGISTERED PUBLIC ACCOUNTING FIRM</w:t>
      </w:r>
    </w:p>
    <w:p>
      <w:pPr>
        <w:spacing w:after="0" w:line="346" w:lineRule="exact"/>
        <w:rPr>
          <w:sz w:val="20"/>
          <w:szCs w:val="20"/>
          <w:color w:val="auto"/>
        </w:rPr>
      </w:pPr>
    </w:p>
    <w:p>
      <w:pPr>
        <w:ind w:right="20"/>
        <w:spacing w:after="0" w:line="250" w:lineRule="auto"/>
        <w:rPr>
          <w:sz w:val="20"/>
          <w:szCs w:val="20"/>
          <w:color w:val="auto"/>
        </w:rPr>
      </w:pPr>
      <w:r>
        <w:rPr>
          <w:rFonts w:ascii="Times New Roman" w:cs="Times New Roman" w:eastAsia="Times New Roman" w:hAnsi="Times New Roman"/>
          <w:sz w:val="13"/>
          <w:szCs w:val="13"/>
          <w:color w:val="auto"/>
        </w:rPr>
        <w:t>We consent to the incorporation by reference in Registration Statement Nos. 333-253253, 333-236903, 333-230467, and 333-223848 on Form S-8 of our reports dated 29 February 2024 relating to the financial statements of Nokia Corporation and the effectiveness of Nokia Corporation’s internal control over financial reporting appearing in this Annual Report on Form 20-F for the year ended 31 December 2023.</w:t>
      </w:r>
    </w:p>
    <w:p>
      <w:pPr>
        <w:spacing w:after="0" w:line="200" w:lineRule="exact"/>
        <w:rPr>
          <w:sz w:val="20"/>
          <w:szCs w:val="20"/>
          <w:color w:val="auto"/>
        </w:rPr>
      </w:pPr>
    </w:p>
    <w:p>
      <w:pPr>
        <w:spacing w:after="0" w:line="344"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b w:val="1"/>
          <w:bCs w:val="1"/>
          <w:color w:val="auto"/>
        </w:rPr>
        <w:t>/s/ Deloitte Oy</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635</wp:posOffset>
            </wp:positionH>
            <wp:positionV relativeFrom="paragraph">
              <wp:posOffset>18415</wp:posOffset>
            </wp:positionV>
            <wp:extent cx="2067560" cy="635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6">
                      <a:extLst>
                        <a:ext uri="{28A0092B-C50C-407E-A947-70E740481C1C}"/>
                      </a:extLst>
                    </a:blip>
                    <a:srcRect/>
                    <a:stretch>
                      <a:fillRect/>
                    </a:stretch>
                  </pic:blipFill>
                  <pic:spPr bwMode="auto">
                    <a:xfrm>
                      <a:off x="0" y="0"/>
                      <a:ext cx="2067560" cy="6350"/>
                    </a:xfrm>
                    <a:prstGeom prst="rect">
                      <a:avLst/>
                    </a:prstGeom>
                    <a:noFill/>
                  </pic:spPr>
                </pic:pic>
              </a:graphicData>
            </a:graphic>
          </wp:anchor>
        </w:drawing>
      </w:r>
    </w:p>
    <w:p>
      <w:pPr>
        <w:spacing w:after="0" w:line="168"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Deloitte Oy</w:t>
      </w:r>
    </w:p>
    <w:p>
      <w:pPr>
        <w:spacing w:after="0" w:line="25"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Helsinki, Finland</w:t>
      </w:r>
    </w:p>
    <w:p>
      <w:pPr>
        <w:spacing w:after="0" w:line="22" w:lineRule="exact"/>
        <w:rPr>
          <w:sz w:val="20"/>
          <w:szCs w:val="20"/>
          <w:color w:val="auto"/>
        </w:rPr>
      </w:pPr>
    </w:p>
    <w:p>
      <w:pPr>
        <w:ind w:left="20"/>
        <w:spacing w:after="0"/>
        <w:rPr>
          <w:sz w:val="20"/>
          <w:szCs w:val="20"/>
          <w:color w:val="auto"/>
        </w:rPr>
      </w:pPr>
      <w:r>
        <w:rPr>
          <w:rFonts w:ascii="Times New Roman" w:cs="Times New Roman" w:eastAsia="Times New Roman" w:hAnsi="Times New Roman"/>
          <w:sz w:val="13"/>
          <w:szCs w:val="13"/>
          <w:color w:val="auto"/>
        </w:rPr>
        <w:t>29 February 2024</w:t>
      </w:r>
    </w:p>
    <w:p>
      <w:pPr>
        <w:sectPr>
          <w:pgSz w:w="11900" w:h="16838" w:orient="portrait"/>
          <w:cols w:equalWidth="0" w:num="1">
            <w:col w:w="11280"/>
          </w:cols>
          <w:pgMar w:left="300" w:top="962" w:right="319" w:bottom="1440" w:gutter="0" w:footer="0" w:header="0"/>
        </w:sectPr>
      </w:pPr>
    </w:p>
    <w:bookmarkStart w:id="225" w:name="page226"/>
    <w:bookmarkEnd w:id="225"/>
    <w:p>
      <w:pPr>
        <w:ind w:left="7000"/>
        <w:spacing w:after="0"/>
        <w:rPr>
          <w:sz w:val="20"/>
          <w:szCs w:val="20"/>
          <w:color w:val="auto"/>
        </w:rPr>
      </w:pPr>
      <w:r>
        <w:rPr>
          <w:rFonts w:ascii="Times New Roman" w:cs="Times New Roman" w:eastAsia="Times New Roman" w:hAnsi="Times New Roman"/>
          <w:sz w:val="15"/>
          <w:szCs w:val="15"/>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1051560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7">
                      <a:extLst>
                        <a:ext uri="{28A0092B-C50C-407E-A947-70E740481C1C}"/>
                      </a:extLst>
                    </a:blip>
                    <a:srcRect/>
                    <a:stretch>
                      <a:fillRect/>
                    </a:stretch>
                  </pic:blipFill>
                  <pic:spPr bwMode="auto">
                    <a:xfrm>
                      <a:off x="0" y="0"/>
                      <a:ext cx="7166610" cy="10515600"/>
                    </a:xfrm>
                    <a:prstGeom prst="rect">
                      <a:avLst/>
                    </a:prstGeom>
                    <a:noFill/>
                  </pic:spPr>
                </pic:pic>
              </a:graphicData>
            </a:graphic>
          </wp:anchor>
        </w:drawing>
        <w:t>Exhibit 97</w:t>
      </w:r>
    </w:p>
    <w:p>
      <w:pPr>
        <w:spacing w:after="0" w:line="136" w:lineRule="exact"/>
        <w:rPr>
          <w:sz w:val="20"/>
          <w:szCs w:val="20"/>
          <w:color w:val="auto"/>
        </w:rPr>
      </w:pPr>
    </w:p>
    <w:p>
      <w:pPr>
        <w:ind w:left="3740"/>
        <w:spacing w:after="0"/>
        <w:rPr>
          <w:sz w:val="20"/>
          <w:szCs w:val="20"/>
          <w:color w:val="auto"/>
        </w:rPr>
      </w:pPr>
      <w:r>
        <w:rPr>
          <w:rFonts w:ascii="Times New Roman" w:cs="Times New Roman" w:eastAsia="Times New Roman" w:hAnsi="Times New Roman"/>
          <w:sz w:val="15"/>
          <w:szCs w:val="15"/>
          <w:b w:val="1"/>
          <w:bCs w:val="1"/>
          <w:color w:val="auto"/>
        </w:rPr>
        <w:t>NOKIA CORPORATION</w:t>
      </w:r>
    </w:p>
    <w:p>
      <w:pPr>
        <w:ind w:left="3140"/>
        <w:spacing w:after="0"/>
        <w:rPr>
          <w:sz w:val="20"/>
          <w:szCs w:val="20"/>
          <w:color w:val="auto"/>
        </w:rPr>
      </w:pPr>
      <w:r>
        <w:rPr>
          <w:rFonts w:ascii="Times New Roman" w:cs="Times New Roman" w:eastAsia="Times New Roman" w:hAnsi="Times New Roman"/>
          <w:sz w:val="15"/>
          <w:szCs w:val="15"/>
          <w:b w:val="1"/>
          <w:bCs w:val="1"/>
          <w:color w:val="auto"/>
        </w:rPr>
        <w:t>EXECUTIVE OFFICER CLAWBACK POLICY</w:t>
      </w:r>
    </w:p>
    <w:p>
      <w:pPr>
        <w:spacing w:after="0" w:line="100" w:lineRule="exact"/>
        <w:rPr>
          <w:sz w:val="20"/>
          <w:szCs w:val="20"/>
          <w:color w:val="auto"/>
        </w:rPr>
      </w:pPr>
    </w:p>
    <w:p>
      <w:pPr>
        <w:ind w:left="1340"/>
        <w:spacing w:after="0"/>
        <w:tabs>
          <w:tab w:leader="none" w:pos="3460" w:val="left"/>
          <w:tab w:leader="none" w:pos="6400" w:val="left"/>
        </w:tabs>
        <w:rPr>
          <w:sz w:val="20"/>
          <w:szCs w:val="20"/>
          <w:color w:val="auto"/>
        </w:rPr>
      </w:pPr>
      <w:r>
        <w:rPr>
          <w:rFonts w:ascii="Times New Roman" w:cs="Times New Roman" w:eastAsia="Times New Roman" w:hAnsi="Times New Roman"/>
          <w:sz w:val="15"/>
          <w:szCs w:val="15"/>
          <w:color w:val="auto"/>
        </w:rPr>
        <w:t>The Personnel Committee (the “</w:t>
      </w:r>
      <w:r>
        <w:rPr>
          <w:sz w:val="20"/>
          <w:szCs w:val="20"/>
          <w:color w:val="auto"/>
        </w:rPr>
        <w:tab/>
      </w:r>
      <w:r>
        <w:rPr>
          <w:rFonts w:ascii="Times New Roman" w:cs="Times New Roman" w:eastAsia="Times New Roman" w:hAnsi="Times New Roman"/>
          <w:sz w:val="15"/>
          <w:szCs w:val="15"/>
          <w:u w:val="single" w:color="auto"/>
          <w:color w:val="auto"/>
        </w:rPr>
        <w:t xml:space="preserve">Committee </w:t>
      </w:r>
      <w:r>
        <w:rPr>
          <w:rFonts w:ascii="Times New Roman" w:cs="Times New Roman" w:eastAsia="Times New Roman" w:hAnsi="Times New Roman"/>
          <w:sz w:val="15"/>
          <w:szCs w:val="15"/>
          <w:color w:val="auto"/>
        </w:rPr>
        <w:t>”) of the Board of Directors (the “</w:t>
      </w:r>
      <w:r>
        <w:rPr>
          <w:sz w:val="20"/>
          <w:szCs w:val="20"/>
          <w:color w:val="auto"/>
        </w:rPr>
        <w:tab/>
      </w:r>
      <w:r>
        <w:rPr>
          <w:rFonts w:ascii="Times New Roman" w:cs="Times New Roman" w:eastAsia="Times New Roman" w:hAnsi="Times New Roman"/>
          <w:sz w:val="14"/>
          <w:szCs w:val="14"/>
          <w:u w:val="single" w:color="auto"/>
          <w:color w:val="auto"/>
        </w:rPr>
        <w:t xml:space="preserve">Board </w:t>
      </w:r>
      <w:r>
        <w:rPr>
          <w:rFonts w:ascii="Times New Roman" w:cs="Times New Roman" w:eastAsia="Times New Roman" w:hAnsi="Times New Roman"/>
          <w:sz w:val="14"/>
          <w:szCs w:val="14"/>
          <w:color w:val="auto"/>
        </w:rPr>
        <w:t>”) of Nokia</w:t>
      </w:r>
    </w:p>
    <w:p>
      <w:pPr>
        <w:ind w:left="1340" w:right="2159"/>
        <w:spacing w:after="0" w:line="218" w:lineRule="auto"/>
        <w:rPr>
          <w:sz w:val="20"/>
          <w:szCs w:val="20"/>
          <w:color w:val="auto"/>
        </w:rPr>
      </w:pPr>
      <w:r>
        <w:rPr>
          <w:rFonts w:ascii="Times New Roman" w:cs="Times New Roman" w:eastAsia="Times New Roman" w:hAnsi="Times New Roman"/>
          <w:sz w:val="14"/>
          <w:szCs w:val="14"/>
          <w:color w:val="auto"/>
        </w:rPr>
        <w:t xml:space="preserve">Corporation (the “ </w:t>
      </w:r>
      <w:r>
        <w:rPr>
          <w:rFonts w:ascii="Times New Roman" w:cs="Times New Roman" w:eastAsia="Times New Roman" w:hAnsi="Times New Roman"/>
          <w:sz w:val="14"/>
          <w:szCs w:val="14"/>
          <w:u w:val="single" w:color="auto"/>
          <w:color w:val="auto"/>
        </w:rPr>
        <w:t>Company</w:t>
      </w:r>
      <w:r>
        <w:rPr>
          <w:rFonts w:ascii="Times New Roman" w:cs="Times New Roman" w:eastAsia="Times New Roman" w:hAnsi="Times New Roman"/>
          <w:sz w:val="14"/>
          <w:szCs w:val="14"/>
          <w:color w:val="auto"/>
        </w:rPr>
        <w:t xml:space="preserve"> ”) believes that it is appropriate for the Company to adopt this Clawback Policy (the “ </w:t>
      </w:r>
      <w:r>
        <w:rPr>
          <w:rFonts w:ascii="Times New Roman" w:cs="Times New Roman" w:eastAsia="Times New Roman" w:hAnsi="Times New Roman"/>
          <w:sz w:val="14"/>
          <w:szCs w:val="14"/>
          <w:u w:val="single" w:color="auto"/>
          <w:color w:val="auto"/>
        </w:rPr>
        <w:t>Policy</w:t>
      </w:r>
      <w:r>
        <w:rPr>
          <w:rFonts w:ascii="Times New Roman" w:cs="Times New Roman" w:eastAsia="Times New Roman" w:hAnsi="Times New Roman"/>
          <w:sz w:val="14"/>
          <w:szCs w:val="14"/>
          <w:color w:val="auto"/>
        </w:rPr>
        <w:t>”) to be applied to the Executive Officers of the Company and</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adopts this Policy to be effective and apply as of the Effective Date on 2 October 2023.</w:t>
      </w:r>
    </w:p>
    <w:p>
      <w:pPr>
        <w:spacing w:after="0" w:line="121" w:lineRule="exact"/>
        <w:rPr>
          <w:sz w:val="20"/>
          <w:szCs w:val="20"/>
          <w:color w:val="auto"/>
        </w:rPr>
      </w:pP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1.</w:t>
      </w:r>
      <w:r>
        <w:rPr>
          <w:sz w:val="20"/>
          <w:szCs w:val="20"/>
          <w:color w:val="auto"/>
        </w:rPr>
        <w:tab/>
      </w:r>
      <w:r>
        <w:rPr>
          <w:rFonts w:ascii="Times New Roman" w:cs="Times New Roman" w:eastAsia="Times New Roman" w:hAnsi="Times New Roman"/>
          <w:sz w:val="14"/>
          <w:szCs w:val="14"/>
          <w:b w:val="1"/>
          <w:bCs w:val="1"/>
          <w:color w:val="auto"/>
        </w:rPr>
        <w:t>DEFINITIONS</w:t>
      </w:r>
    </w:p>
    <w:p>
      <w:pPr>
        <w:spacing w:after="0" w:line="135"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For purposes of this Policy, the following definitions shall apply:</w:t>
      </w:r>
    </w:p>
    <w:p>
      <w:pPr>
        <w:spacing w:after="0" w:line="136" w:lineRule="exact"/>
        <w:rPr>
          <w:sz w:val="20"/>
          <w:szCs w:val="20"/>
          <w:color w:val="auto"/>
        </w:rPr>
      </w:pPr>
    </w:p>
    <w:p>
      <w:pPr>
        <w:ind w:left="1840"/>
        <w:spacing w:after="0"/>
        <w:tabs>
          <w:tab w:leader="none" w:pos="2060" w:val="left"/>
          <w:tab w:leader="none" w:pos="3980" w:val="left"/>
        </w:tabs>
        <w:rPr>
          <w:sz w:val="20"/>
          <w:szCs w:val="20"/>
          <w:color w:val="auto"/>
        </w:rPr>
      </w:pPr>
      <w:r>
        <w:rPr>
          <w:rFonts w:ascii="Times New Roman" w:cs="Times New Roman" w:eastAsia="Times New Roman" w:hAnsi="Times New Roman"/>
          <w:sz w:val="15"/>
          <w:szCs w:val="15"/>
          <w:color w:val="auto"/>
        </w:rPr>
        <w:t>a)</w:t>
        <w:tab/>
        <w:t>"</w:t>
      </w:r>
      <w:r>
        <w:rPr>
          <w:rFonts w:ascii="Times New Roman" w:cs="Times New Roman" w:eastAsia="Times New Roman" w:hAnsi="Times New Roman"/>
          <w:sz w:val="15"/>
          <w:szCs w:val="15"/>
          <w:u w:val="single" w:color="auto"/>
          <w:color w:val="auto"/>
        </w:rPr>
        <w:t>Applicable Listing Standards</w:t>
      </w:r>
      <w:r>
        <w:rPr>
          <w:sz w:val="20"/>
          <w:szCs w:val="20"/>
          <w:color w:val="auto"/>
        </w:rPr>
        <w:tab/>
      </w:r>
      <w:r>
        <w:rPr>
          <w:rFonts w:ascii="Times New Roman" w:cs="Times New Roman" w:eastAsia="Times New Roman" w:hAnsi="Times New Roman"/>
          <w:sz w:val="14"/>
          <w:szCs w:val="14"/>
          <w:color w:val="auto"/>
        </w:rPr>
        <w:t>“ mean the listing standards of the Applicable Stock</w:t>
      </w:r>
    </w:p>
    <w:p>
      <w:pPr>
        <w:ind w:left="2080" w:right="1979"/>
        <w:spacing w:after="0" w:line="221" w:lineRule="auto"/>
        <w:rPr>
          <w:sz w:val="20"/>
          <w:szCs w:val="20"/>
          <w:color w:val="auto"/>
        </w:rPr>
      </w:pPr>
      <w:r>
        <w:rPr>
          <w:rFonts w:ascii="Times New Roman" w:cs="Times New Roman" w:eastAsia="Times New Roman" w:hAnsi="Times New Roman"/>
          <w:sz w:val="15"/>
          <w:szCs w:val="15"/>
          <w:color w:val="auto"/>
        </w:rPr>
        <w:t>Exchange implementing compensation recovery rules mandated by the Dodd-Frank Wall Street Reform and Consumer Protection Act.</w:t>
      </w:r>
    </w:p>
    <w:p>
      <w:pPr>
        <w:spacing w:after="0" w:line="121" w:lineRule="exact"/>
        <w:rPr>
          <w:sz w:val="20"/>
          <w:szCs w:val="20"/>
          <w:color w:val="auto"/>
        </w:rPr>
      </w:pPr>
    </w:p>
    <w:p>
      <w:pPr>
        <w:ind w:left="2080" w:right="1699" w:hanging="246"/>
        <w:spacing w:after="0" w:line="215" w:lineRule="auto"/>
        <w:tabs>
          <w:tab w:leader="none" w:pos="2080" w:val="left"/>
        </w:tabs>
        <w:numPr>
          <w:ilvl w:val="0"/>
          <w:numId w:val="164"/>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Applicable Stock Exchange</w:t>
      </w:r>
      <w:r>
        <w:rPr>
          <w:rFonts w:ascii="Times New Roman" w:cs="Times New Roman" w:eastAsia="Times New Roman" w:hAnsi="Times New Roman"/>
          <w:sz w:val="15"/>
          <w:szCs w:val="15"/>
          <w:color w:val="auto"/>
        </w:rPr>
        <w:t xml:space="preserve"> “ means the New York Stock Exchange, the Nasdaq Stock Market or any other stock exchange in the United States where the Company is</w:t>
      </w:r>
    </w:p>
    <w:p>
      <w:pPr>
        <w:ind w:left="2080"/>
        <w:spacing w:after="0"/>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listed, as applicable.</w:t>
      </w:r>
    </w:p>
    <w:p>
      <w:pPr>
        <w:spacing w:after="0" w:line="125" w:lineRule="exact"/>
        <w:rPr>
          <w:rFonts w:ascii="Times New Roman" w:cs="Times New Roman" w:eastAsia="Times New Roman" w:hAnsi="Times New Roman"/>
          <w:sz w:val="15"/>
          <w:szCs w:val="15"/>
          <w:color w:val="auto"/>
        </w:rPr>
      </w:pPr>
    </w:p>
    <w:p>
      <w:pPr>
        <w:ind w:left="2080" w:right="1919" w:hanging="246"/>
        <w:spacing w:after="0" w:line="215" w:lineRule="auto"/>
        <w:tabs>
          <w:tab w:leader="none" w:pos="2080" w:val="left"/>
        </w:tabs>
        <w:numPr>
          <w:ilvl w:val="0"/>
          <w:numId w:val="164"/>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Covered Compensation</w:t>
      </w:r>
      <w:r>
        <w:rPr>
          <w:rFonts w:ascii="Times New Roman" w:cs="Times New Roman" w:eastAsia="Times New Roman" w:hAnsi="Times New Roman"/>
          <w:sz w:val="15"/>
          <w:szCs w:val="15"/>
          <w:color w:val="auto"/>
        </w:rPr>
        <w:t xml:space="preserve"> ” means any Incentive-Based Compensation granted, vested or paid to a person who served as an Executive Officer at any time during the performance period for the Incentive-Based Compensation and that was Received (i) on or after the effective date of the Applicable Listing Standards, (ii) after the person became an Executive Officer and (iii) at a time that the Company had a class of securities listed on a national securities exchange or a national securities association.</w:t>
      </w:r>
    </w:p>
    <w:p>
      <w:pPr>
        <w:spacing w:after="0" w:line="121" w:lineRule="exact"/>
        <w:rPr>
          <w:rFonts w:ascii="Times New Roman" w:cs="Times New Roman" w:eastAsia="Times New Roman" w:hAnsi="Times New Roman"/>
          <w:sz w:val="15"/>
          <w:szCs w:val="15"/>
          <w:color w:val="auto"/>
        </w:rPr>
      </w:pPr>
    </w:p>
    <w:p>
      <w:pPr>
        <w:ind w:left="2080" w:hanging="246"/>
        <w:spacing w:after="0"/>
        <w:tabs>
          <w:tab w:leader="none" w:pos="2080" w:val="left"/>
        </w:tabs>
        <w:numPr>
          <w:ilvl w:val="0"/>
          <w:numId w:val="164"/>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Effective Date</w:t>
      </w:r>
      <w:r>
        <w:rPr>
          <w:rFonts w:ascii="Times New Roman" w:cs="Times New Roman" w:eastAsia="Times New Roman" w:hAnsi="Times New Roman"/>
          <w:sz w:val="15"/>
          <w:szCs w:val="15"/>
          <w:color w:val="auto"/>
        </w:rPr>
        <w:t xml:space="preserve"> ” means 2 October, 2023.</w:t>
      </w:r>
    </w:p>
    <w:p>
      <w:pPr>
        <w:spacing w:after="0" w:line="130" w:lineRule="exact"/>
        <w:rPr>
          <w:rFonts w:ascii="Times New Roman" w:cs="Times New Roman" w:eastAsia="Times New Roman" w:hAnsi="Times New Roman"/>
          <w:sz w:val="15"/>
          <w:szCs w:val="15"/>
          <w:color w:val="auto"/>
        </w:rPr>
      </w:pPr>
    </w:p>
    <w:p>
      <w:pPr>
        <w:ind w:left="2080" w:right="1719" w:hanging="246"/>
        <w:spacing w:after="0" w:line="212" w:lineRule="auto"/>
        <w:tabs>
          <w:tab w:leader="none" w:pos="2080" w:val="left"/>
        </w:tabs>
        <w:numPr>
          <w:ilvl w:val="0"/>
          <w:numId w:val="164"/>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Erroneously Awarded Compensation</w:t>
      </w:r>
      <w:r>
        <w:rPr>
          <w:rFonts w:ascii="Times New Roman" w:cs="Times New Roman" w:eastAsia="Times New Roman" w:hAnsi="Times New Roman"/>
          <w:sz w:val="15"/>
          <w:szCs w:val="15"/>
          <w:color w:val="auto"/>
        </w:rPr>
        <w:t xml:space="preserve"> ” means the amount of Covered Compensation granted, vested or paid to a person during the fiscal period when the applicable Financial Reporting Measure relating to such Covered Compensation was attained that exceeds the amount of Covered Compensation that otherwise would have been granted, vested or paid to the person had such amount been determined based on</w:t>
      </w:r>
    </w:p>
    <w:p>
      <w:pPr>
        <w:spacing w:after="0" w:line="2" w:lineRule="exact"/>
        <w:rPr>
          <w:rFonts w:ascii="Times New Roman" w:cs="Times New Roman" w:eastAsia="Times New Roman" w:hAnsi="Times New Roman"/>
          <w:sz w:val="15"/>
          <w:szCs w:val="15"/>
          <w:color w:val="auto"/>
        </w:rPr>
      </w:pPr>
    </w:p>
    <w:p>
      <w:pPr>
        <w:ind w:left="2080" w:right="2159"/>
        <w:spacing w:after="0" w:line="221" w:lineRule="auto"/>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the applicable Restatement, computed without regard to any taxes paid (i.e., on a pre-tax basis). For Covered Compensation based on stock price or total</w:t>
      </w:r>
    </w:p>
    <w:p>
      <w:pPr>
        <w:spacing w:after="0" w:line="323" w:lineRule="exact"/>
        <w:rPr>
          <w:sz w:val="20"/>
          <w:szCs w:val="20"/>
          <w:color w:val="auto"/>
        </w:rPr>
      </w:pPr>
    </w:p>
    <w:p>
      <w:pPr>
        <w:ind w:left="1340" w:right="1979" w:firstLine="9"/>
        <w:spacing w:after="0" w:line="255" w:lineRule="auto"/>
        <w:tabs>
          <w:tab w:leader="none" w:pos="1609" w:val="left"/>
        </w:tabs>
        <w:numPr>
          <w:ilvl w:val="0"/>
          <w:numId w:val="165"/>
        </w:numPr>
        <w:rPr>
          <w:rFonts w:ascii="Times New Roman" w:cs="Times New Roman" w:eastAsia="Times New Roman" w:hAnsi="Times New Roman"/>
          <w:sz w:val="11"/>
          <w:szCs w:val="11"/>
          <w:color w:val="auto"/>
        </w:rPr>
      </w:pPr>
      <w:r>
        <w:rPr>
          <w:rFonts w:ascii="Times New Roman" w:cs="Times New Roman" w:eastAsia="Times New Roman" w:hAnsi="Times New Roman"/>
          <w:sz w:val="11"/>
          <w:szCs w:val="11"/>
          <w:color w:val="auto"/>
        </w:rPr>
        <w:t>The New York Stock Exchange and the Nasdaq Stock Market released their respective versions of the listing standards on the clawback rule mandated by the Dodd-Frank Act, to become effective on 2 October, 2023.</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2"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1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084" w:right="1440" w:bottom="1440" w:gutter="0" w:footer="0" w:header="0"/>
        </w:sectPr>
      </w:pPr>
    </w:p>
    <w:bookmarkStart w:id="226" w:name="page227"/>
    <w:bookmarkEnd w:id="226"/>
    <w:p>
      <w:pPr>
        <w:ind w:left="1340" w:right="2059"/>
        <w:spacing w:after="0" w:line="237" w:lineRule="auto"/>
        <w:rPr>
          <w:sz w:val="20"/>
          <w:szCs w:val="20"/>
          <w:color w:val="auto"/>
        </w:rPr>
      </w:pPr>
      <w:r>
        <w:rPr>
          <w:rFonts w:ascii="Times New Roman" w:cs="Times New Roman" w:eastAsia="Times New Roman" w:hAnsi="Times New Roman"/>
          <w:sz w:val="15"/>
          <w:szCs w:val="15"/>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1051560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8">
                      <a:extLst>
                        <a:ext uri="{28A0092B-C50C-407E-A947-70E740481C1C}"/>
                      </a:extLst>
                    </a:blip>
                    <a:srcRect/>
                    <a:stretch>
                      <a:fillRect/>
                    </a:stretch>
                  </pic:blipFill>
                  <pic:spPr bwMode="auto">
                    <a:xfrm>
                      <a:off x="0" y="0"/>
                      <a:ext cx="7166610" cy="10515600"/>
                    </a:xfrm>
                    <a:prstGeom prst="rect">
                      <a:avLst/>
                    </a:prstGeom>
                    <a:noFill/>
                  </pic:spPr>
                </pic:pic>
              </a:graphicData>
            </a:graphic>
          </wp:anchor>
        </w:drawing>
        <w:t>shareholder return, where the amount of Erroneously Awarded Compensation is not subject to mathematical recalculation directly from the information in a Restatement, the Committee will determine the amount of such Covered Compensation that constitutes Erroneously Awarded Compensation, if any, based on a reasonable estimate of the effect of the Restatement on the stock price or total shareholder return upon which the Covered Compensation was granted, vested or paid and the Committee shall maintain documentation of such determination and provide such documentation to the Applicable Stock Exchange.</w:t>
      </w:r>
    </w:p>
    <w:p>
      <w:pPr>
        <w:spacing w:after="0" w:line="163" w:lineRule="exact"/>
        <w:rPr>
          <w:sz w:val="20"/>
          <w:szCs w:val="20"/>
          <w:color w:val="auto"/>
        </w:rPr>
      </w:pPr>
    </w:p>
    <w:p>
      <w:pPr>
        <w:ind w:left="2080" w:hanging="246"/>
        <w:spacing w:after="0"/>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Exchange Act</w:t>
      </w:r>
      <w:r>
        <w:rPr>
          <w:rFonts w:ascii="Times New Roman" w:cs="Times New Roman" w:eastAsia="Times New Roman" w:hAnsi="Times New Roman"/>
          <w:sz w:val="15"/>
          <w:szCs w:val="15"/>
          <w:color w:val="auto"/>
        </w:rPr>
        <w:t xml:space="preserve"> ” means the United States Securities Exchange Act of 1934.</w:t>
      </w:r>
    </w:p>
    <w:p>
      <w:pPr>
        <w:spacing w:after="0" w:line="141" w:lineRule="exact"/>
        <w:rPr>
          <w:rFonts w:ascii="Times New Roman" w:cs="Times New Roman" w:eastAsia="Times New Roman" w:hAnsi="Times New Roman"/>
          <w:sz w:val="15"/>
          <w:szCs w:val="15"/>
          <w:color w:val="auto"/>
        </w:rPr>
      </w:pPr>
    </w:p>
    <w:p>
      <w:pPr>
        <w:ind w:left="2080" w:right="1839" w:hanging="246"/>
        <w:spacing w:after="0" w:line="211" w:lineRule="auto"/>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Executive Officer</w:t>
      </w:r>
      <w:r>
        <w:rPr>
          <w:rFonts w:ascii="Times New Roman" w:cs="Times New Roman" w:eastAsia="Times New Roman" w:hAnsi="Times New Roman"/>
          <w:sz w:val="15"/>
          <w:szCs w:val="15"/>
          <w:color w:val="auto"/>
        </w:rPr>
        <w:t xml:space="preserve"> ” means the Company’s president, principal financial officer, principal accounting officer (or if there is no such accounting officer, the controller), any vice-president of the Company in charge of a principal business unit, division, or function (such as sales, administration, or finance), any other officer who performs a policy-making function, or any other person who performs similar policy-making functions for the Company. Executive officers of the Company’s parent(s) or subsidiaries are deemed executive officers of the Company if they perform such policy-making functions for the Company. “Policy-making function” does not include policy-making functions that are not significant. Both current and former Executive Officers are subject to the Policy in accordance with its terms. In Nokia Group, all members of the Group Leadership Team in addition to Vice President, Corporate Controlling and Accounting, are deemed Executive Officers under the above definition and subject to this Policy.</w:t>
      </w:r>
    </w:p>
    <w:p>
      <w:pPr>
        <w:spacing w:after="0" w:line="121" w:lineRule="exact"/>
        <w:rPr>
          <w:rFonts w:ascii="Times New Roman" w:cs="Times New Roman" w:eastAsia="Times New Roman" w:hAnsi="Times New Roman"/>
          <w:sz w:val="15"/>
          <w:szCs w:val="15"/>
          <w:color w:val="auto"/>
        </w:rPr>
      </w:pPr>
    </w:p>
    <w:p>
      <w:pPr>
        <w:ind w:left="2080" w:right="2059" w:hanging="246"/>
        <w:spacing w:after="0" w:line="212" w:lineRule="auto"/>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Financial Reporting Measure</w:t>
      </w:r>
      <w:r>
        <w:rPr>
          <w:rFonts w:ascii="Times New Roman" w:cs="Times New Roman" w:eastAsia="Times New Roman" w:hAnsi="Times New Roman"/>
          <w:sz w:val="15"/>
          <w:szCs w:val="15"/>
          <w:color w:val="auto"/>
        </w:rPr>
        <w:t xml:space="preserve"> ” means (i) any measure that is determined and presented in accordance with the accounting principles used in preparing the Company’s financial statements, and any measures derived wholly or in part from such measures and may consist of IFRS/GAAP or non-IFRS/non-GAAP financial measures (as defined under Regulation G of the Exchange Act and Item 10 of Regulation S-K under the Exchange Act), (ii) stock price or (iii) total shareholder return. Financial Reporting Measures need not be presented within the Company’s financial statements or included in a filing with the SEC.</w:t>
      </w:r>
    </w:p>
    <w:p>
      <w:pPr>
        <w:spacing w:after="0" w:line="126" w:lineRule="exact"/>
        <w:rPr>
          <w:rFonts w:ascii="Times New Roman" w:cs="Times New Roman" w:eastAsia="Times New Roman" w:hAnsi="Times New Roman"/>
          <w:sz w:val="15"/>
          <w:szCs w:val="15"/>
          <w:color w:val="auto"/>
        </w:rPr>
      </w:pPr>
    </w:p>
    <w:p>
      <w:pPr>
        <w:ind w:left="2080" w:hanging="246"/>
        <w:spacing w:after="0"/>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Home Country</w:t>
      </w:r>
      <w:r>
        <w:rPr>
          <w:rFonts w:ascii="Times New Roman" w:cs="Times New Roman" w:eastAsia="Times New Roman" w:hAnsi="Times New Roman"/>
          <w:sz w:val="15"/>
          <w:szCs w:val="15"/>
          <w:color w:val="auto"/>
        </w:rPr>
        <w:t xml:space="preserve"> ” means the Company’s jurisdiction of incorporation.</w:t>
      </w:r>
    </w:p>
    <w:p>
      <w:pPr>
        <w:spacing w:after="0" w:line="141" w:lineRule="exact"/>
        <w:rPr>
          <w:rFonts w:ascii="Times New Roman" w:cs="Times New Roman" w:eastAsia="Times New Roman" w:hAnsi="Times New Roman"/>
          <w:sz w:val="15"/>
          <w:szCs w:val="15"/>
          <w:color w:val="auto"/>
        </w:rPr>
      </w:pPr>
    </w:p>
    <w:p>
      <w:pPr>
        <w:ind w:left="2080" w:right="1879" w:hanging="246"/>
        <w:spacing w:after="0" w:line="225" w:lineRule="auto"/>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Incentive-Based Compensation</w:t>
      </w:r>
      <w:r>
        <w:rPr>
          <w:rFonts w:ascii="Times New Roman" w:cs="Times New Roman" w:eastAsia="Times New Roman" w:hAnsi="Times New Roman"/>
          <w:sz w:val="15"/>
          <w:szCs w:val="15"/>
          <w:color w:val="auto"/>
        </w:rPr>
        <w:t xml:space="preserve"> ” means any compensation that is granted, earned or vested based wholly or in part upon the attainment of a Financial Reporting Measure.</w:t>
      </w:r>
    </w:p>
    <w:p>
      <w:pPr>
        <w:spacing w:after="0" w:line="121" w:lineRule="exact"/>
        <w:rPr>
          <w:rFonts w:ascii="Times New Roman" w:cs="Times New Roman" w:eastAsia="Times New Roman" w:hAnsi="Times New Roman"/>
          <w:sz w:val="15"/>
          <w:szCs w:val="15"/>
          <w:color w:val="auto"/>
        </w:rPr>
      </w:pPr>
    </w:p>
    <w:p>
      <w:pPr>
        <w:ind w:left="2080" w:right="1999" w:hanging="246"/>
        <w:spacing w:after="0" w:line="211" w:lineRule="auto"/>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Lookback Period</w:t>
      </w:r>
      <w:r>
        <w:rPr>
          <w:rFonts w:ascii="Times New Roman" w:cs="Times New Roman" w:eastAsia="Times New Roman" w:hAnsi="Times New Roman"/>
          <w:sz w:val="15"/>
          <w:szCs w:val="15"/>
          <w:color w:val="auto"/>
        </w:rPr>
        <w:t xml:space="preserve"> ” means the three completed fiscal years (plus any transition period of less than nine months that is within or immediately following the three completed fiscal years and that results from a change in the Company’s fiscal year) immediately preceding the date on which the Company is required to prepare a Restatement for a given reporting period, with such date being the earlier of: (i) the date the Board, a committee of the Board, or the officer or officers of the Company authorized to take such action if Board action is not required, concludes, or reasonably should have concluded, that the Company is required to prepare a Restatement, or (ii) the date a court, regulator or other legally authorized body directs the Company to prepare a Restatement. Recovery of any Erroneously Awarded Compensation under the Policy is not dependent on if or when the Restatement is actually filed.</w:t>
      </w:r>
    </w:p>
    <w:p>
      <w:pPr>
        <w:spacing w:after="0" w:line="121" w:lineRule="exact"/>
        <w:rPr>
          <w:rFonts w:ascii="Times New Roman" w:cs="Times New Roman" w:eastAsia="Times New Roman" w:hAnsi="Times New Roman"/>
          <w:sz w:val="15"/>
          <w:szCs w:val="15"/>
          <w:color w:val="auto"/>
        </w:rPr>
      </w:pPr>
    </w:p>
    <w:p>
      <w:pPr>
        <w:ind w:left="2080" w:hanging="246"/>
        <w:spacing w:after="0"/>
        <w:tabs>
          <w:tab w:leader="none" w:pos="2080" w:val="left"/>
        </w:tabs>
        <w:numPr>
          <w:ilvl w:val="0"/>
          <w:numId w:val="166"/>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Nokia Group</w:t>
      </w:r>
      <w:r>
        <w:rPr>
          <w:rFonts w:ascii="Times New Roman" w:cs="Times New Roman" w:eastAsia="Times New Roman" w:hAnsi="Times New Roman"/>
          <w:sz w:val="15"/>
          <w:szCs w:val="15"/>
          <w:color w:val="auto"/>
        </w:rPr>
        <w:t xml:space="preserve"> ” means the Company and each of its Subsidiaries, as applicable.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9"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2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185" w:right="1440" w:bottom="1440" w:gutter="0" w:footer="0" w:header="0"/>
        </w:sectPr>
      </w:pPr>
    </w:p>
    <w:bookmarkStart w:id="227" w:name="page228"/>
    <w:bookmarkEnd w:id="227"/>
    <w:p>
      <w:pPr>
        <w:spacing w:after="0" w:line="6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1051560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9">
                      <a:extLst>
                        <a:ext uri="{28A0092B-C50C-407E-A947-70E740481C1C}"/>
                      </a:extLst>
                    </a:blip>
                    <a:srcRect/>
                    <a:stretch>
                      <a:fillRect/>
                    </a:stretch>
                  </pic:blipFill>
                  <pic:spPr bwMode="auto">
                    <a:xfrm>
                      <a:off x="0" y="0"/>
                      <a:ext cx="7166610" cy="10515600"/>
                    </a:xfrm>
                    <a:prstGeom prst="rect">
                      <a:avLst/>
                    </a:prstGeom>
                    <a:noFill/>
                  </pic:spPr>
                </pic:pic>
              </a:graphicData>
            </a:graphic>
          </wp:anchor>
        </w:drawing>
      </w:r>
    </w:p>
    <w:p>
      <w:pPr>
        <w:ind w:left="2080" w:right="1859" w:hanging="246"/>
        <w:spacing w:after="0" w:line="219" w:lineRule="auto"/>
        <w:tabs>
          <w:tab w:leader="none" w:pos="2080" w:val="left"/>
        </w:tabs>
        <w:numPr>
          <w:ilvl w:val="1"/>
          <w:numId w:val="167"/>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Received</w:t>
      </w:r>
      <w:r>
        <w:rPr>
          <w:rFonts w:ascii="Times New Roman" w:cs="Times New Roman" w:eastAsia="Times New Roman" w:hAnsi="Times New Roman"/>
          <w:sz w:val="15"/>
          <w:szCs w:val="15"/>
          <w:color w:val="auto"/>
        </w:rPr>
        <w:t xml:space="preserve"> ”: Incentive-Based Compensation is deemed “Received” in the Company’s fiscal period during which the Financial Reporting Measure specified in or otherwise relating to the Incentive-Based Compensation award is attained, even if the grant, vesting or payment of the Incentive-Based Compensation occurs after the end of that period.</w:t>
      </w:r>
    </w:p>
    <w:p>
      <w:pPr>
        <w:spacing w:after="0" w:line="123" w:lineRule="exact"/>
        <w:rPr>
          <w:rFonts w:ascii="Times New Roman" w:cs="Times New Roman" w:eastAsia="Times New Roman" w:hAnsi="Times New Roman"/>
          <w:sz w:val="15"/>
          <w:szCs w:val="15"/>
          <w:color w:val="auto"/>
        </w:rPr>
      </w:pPr>
    </w:p>
    <w:p>
      <w:pPr>
        <w:ind w:left="2080" w:right="1919" w:hanging="246"/>
        <w:spacing w:after="0" w:line="210" w:lineRule="auto"/>
        <w:tabs>
          <w:tab w:leader="none" w:pos="2080" w:val="left"/>
        </w:tabs>
        <w:numPr>
          <w:ilvl w:val="1"/>
          <w:numId w:val="167"/>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Restatement</w:t>
      </w:r>
      <w:r>
        <w:rPr>
          <w:rFonts w:ascii="Times New Roman" w:cs="Times New Roman" w:eastAsia="Times New Roman" w:hAnsi="Times New Roman"/>
          <w:sz w:val="15"/>
          <w:szCs w:val="15"/>
          <w:color w:val="auto"/>
        </w:rPr>
        <w:t xml:space="preserve"> ” means a required accounting restatement of any Company financial statement due to the material noncompliance of the Company with any financial reporting requirement under the securities laws, including (i) to correct an error in previously issued financial statements that is material to the previously issued financial statements (commonly referred to as a “Big R” restatement) or (ii) to correct an error in previously issued financial statements that is not material to the previously issued financial statements but that would result in a material misstatement if the error were corrected in the current period or left uncorrected in the current period (commonly referred to as a “little r” restatement). Changes to the Company’s financial statements that do not represent error corrections under the then-current relevant accounting standards will not constitute Restatements. Recovery of any Erroneously Awarded Compensation under the Policy is not dependent on fraud or misconduct by any person in connection with the Restatement.</w:t>
      </w:r>
    </w:p>
    <w:p>
      <w:pPr>
        <w:spacing w:after="0" w:line="121" w:lineRule="exact"/>
        <w:rPr>
          <w:rFonts w:ascii="Times New Roman" w:cs="Times New Roman" w:eastAsia="Times New Roman" w:hAnsi="Times New Roman"/>
          <w:sz w:val="15"/>
          <w:szCs w:val="15"/>
          <w:color w:val="auto"/>
        </w:rPr>
      </w:pPr>
    </w:p>
    <w:p>
      <w:pPr>
        <w:ind w:left="2080" w:hanging="246"/>
        <w:spacing w:after="0"/>
        <w:tabs>
          <w:tab w:leader="none" w:pos="2080" w:val="left"/>
        </w:tabs>
        <w:numPr>
          <w:ilvl w:val="1"/>
          <w:numId w:val="167"/>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SEC</w:t>
      </w:r>
      <w:r>
        <w:rPr>
          <w:rFonts w:ascii="Times New Roman" w:cs="Times New Roman" w:eastAsia="Times New Roman" w:hAnsi="Times New Roman"/>
          <w:sz w:val="15"/>
          <w:szCs w:val="15"/>
          <w:color w:val="auto"/>
        </w:rPr>
        <w:t>” means the United States Securities and Exchange Commission.</w:t>
      </w:r>
    </w:p>
    <w:p>
      <w:pPr>
        <w:spacing w:after="0" w:line="141" w:lineRule="exact"/>
        <w:rPr>
          <w:rFonts w:ascii="Times New Roman" w:cs="Times New Roman" w:eastAsia="Times New Roman" w:hAnsi="Times New Roman"/>
          <w:sz w:val="15"/>
          <w:szCs w:val="15"/>
          <w:color w:val="auto"/>
        </w:rPr>
      </w:pPr>
    </w:p>
    <w:p>
      <w:pPr>
        <w:ind w:left="2080" w:right="1939" w:hanging="246"/>
        <w:spacing w:after="0" w:line="215" w:lineRule="auto"/>
        <w:tabs>
          <w:tab w:leader="none" w:pos="2080" w:val="left"/>
        </w:tabs>
        <w:numPr>
          <w:ilvl w:val="1"/>
          <w:numId w:val="167"/>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w:t>
      </w:r>
      <w:r>
        <w:rPr>
          <w:rFonts w:ascii="Times New Roman" w:cs="Times New Roman" w:eastAsia="Times New Roman" w:hAnsi="Times New Roman"/>
          <w:sz w:val="15"/>
          <w:szCs w:val="15"/>
          <w:u w:val="single" w:color="auto"/>
          <w:color w:val="auto"/>
        </w:rPr>
        <w:t>Subsidiary</w:t>
      </w:r>
      <w:r>
        <w:rPr>
          <w:rFonts w:ascii="Times New Roman" w:cs="Times New Roman" w:eastAsia="Times New Roman" w:hAnsi="Times New Roman"/>
          <w:sz w:val="15"/>
          <w:szCs w:val="15"/>
          <w:color w:val="auto"/>
        </w:rPr>
        <w:t xml:space="preserve"> ” means any domestic or foreign corporation, partnership, association, joint stock company, joint venture, trust or unincorporated organization “affiliated” with the Company, that is, directly or indirectly, through one or more intermediaries, “controlling”, “controlled by” or “under common control with”, the Company. “Control” for this purpose means the possession, direct or indirect, of the power to direct or cause the direction of the management and policies of such person, whether through the ownership of voting securities, contract or otherwise.</w:t>
      </w:r>
    </w:p>
    <w:p>
      <w:pPr>
        <w:spacing w:after="0" w:line="107" w:lineRule="exact"/>
        <w:rPr>
          <w:rFonts w:ascii="Times New Roman" w:cs="Times New Roman" w:eastAsia="Times New Roman" w:hAnsi="Times New Roman"/>
          <w:sz w:val="15"/>
          <w:szCs w:val="15"/>
          <w:color w:val="auto"/>
        </w:rPr>
      </w:pPr>
    </w:p>
    <w:p>
      <w:pPr>
        <w:ind w:left="1840" w:hanging="249"/>
        <w:spacing w:after="0"/>
        <w:tabs>
          <w:tab w:leader="none" w:pos="1840" w:val="left"/>
        </w:tabs>
        <w:numPr>
          <w:ilvl w:val="0"/>
          <w:numId w:val="168"/>
        </w:numPr>
        <w:rPr>
          <w:rFonts w:ascii="Times New Roman" w:cs="Times New Roman" w:eastAsia="Times New Roman" w:hAnsi="Times New Roman"/>
          <w:sz w:val="15"/>
          <w:szCs w:val="15"/>
          <w:b w:val="1"/>
          <w:bCs w:val="1"/>
          <w:color w:val="auto"/>
        </w:rPr>
      </w:pPr>
      <w:r>
        <w:rPr>
          <w:rFonts w:ascii="Times New Roman" w:cs="Times New Roman" w:eastAsia="Times New Roman" w:hAnsi="Times New Roman"/>
          <w:sz w:val="15"/>
          <w:szCs w:val="15"/>
          <w:b w:val="1"/>
          <w:bCs w:val="1"/>
          <w:color w:val="auto"/>
        </w:rPr>
        <w:t>RECOUPMENT OF ERRONEOUSLY AWARDED COMPENSATION</w:t>
      </w:r>
    </w:p>
    <w:p>
      <w:pPr>
        <w:spacing w:after="0" w:line="140"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In the event of a Restatement, any Erroneously Awarded Compensation Received during the</w:t>
      </w:r>
    </w:p>
    <w:p>
      <w:pPr>
        <w:ind w:left="1340" w:right="2099"/>
        <w:spacing w:after="0" w:line="218" w:lineRule="auto"/>
        <w:rPr>
          <w:sz w:val="20"/>
          <w:szCs w:val="20"/>
          <w:color w:val="auto"/>
        </w:rPr>
      </w:pPr>
      <w:r>
        <w:rPr>
          <w:rFonts w:ascii="Times New Roman" w:cs="Times New Roman" w:eastAsia="Times New Roman" w:hAnsi="Times New Roman"/>
          <w:sz w:val="14"/>
          <w:szCs w:val="14"/>
          <w:color w:val="auto"/>
        </w:rPr>
        <w:t>Lookback Period prior to the Restatement (a) that is then-outstanding but has not yet been paid shall be automatically and immediately forfeited and (b) that has been paid to any person</w:t>
      </w:r>
    </w:p>
    <w:p>
      <w:pPr>
        <w:ind w:left="1340"/>
        <w:spacing w:after="0" w:line="212" w:lineRule="auto"/>
        <w:rPr>
          <w:sz w:val="20"/>
          <w:szCs w:val="20"/>
          <w:color w:val="auto"/>
        </w:rPr>
      </w:pPr>
      <w:r>
        <w:rPr>
          <w:rFonts w:ascii="Times New Roman" w:cs="Times New Roman" w:eastAsia="Times New Roman" w:hAnsi="Times New Roman"/>
          <w:sz w:val="15"/>
          <w:szCs w:val="15"/>
          <w:color w:val="auto"/>
        </w:rPr>
        <w:t>shall be subject to reasonably prompt repayment to the Nokia Group in accordance with</w:t>
      </w:r>
    </w:p>
    <w:p>
      <w:pPr>
        <w:ind w:left="1340" w:right="2379"/>
        <w:spacing w:after="0" w:line="218" w:lineRule="auto"/>
        <w:rPr>
          <w:sz w:val="20"/>
          <w:szCs w:val="20"/>
          <w:color w:val="auto"/>
        </w:rPr>
      </w:pPr>
      <w:r>
        <w:rPr>
          <w:rFonts w:ascii="Times New Roman" w:cs="Times New Roman" w:eastAsia="Times New Roman" w:hAnsi="Times New Roman"/>
          <w:sz w:val="14"/>
          <w:szCs w:val="14"/>
          <w:color w:val="auto"/>
        </w:rPr>
        <w:t>Section 3 of this Policy. The Committee must pursue (and shall not have the discretion to waive) the forfeiture and/or repayment of such Erroneously Awarded Compensation in</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accordance with Section 3 of this Policy, except as provided below.</w:t>
      </w:r>
    </w:p>
    <w:p>
      <w:pPr>
        <w:spacing w:after="0" w:line="125" w:lineRule="exact"/>
        <w:rPr>
          <w:sz w:val="20"/>
          <w:szCs w:val="20"/>
          <w:color w:val="auto"/>
        </w:rPr>
      </w:pPr>
    </w:p>
    <w:p>
      <w:pPr>
        <w:ind w:left="1340" w:right="2019"/>
        <w:spacing w:after="0" w:line="230" w:lineRule="auto"/>
        <w:rPr>
          <w:sz w:val="20"/>
          <w:szCs w:val="20"/>
          <w:color w:val="auto"/>
        </w:rPr>
      </w:pPr>
      <w:r>
        <w:rPr>
          <w:rFonts w:ascii="Times New Roman" w:cs="Times New Roman" w:eastAsia="Times New Roman" w:hAnsi="Times New Roman"/>
          <w:sz w:val="14"/>
          <w:szCs w:val="14"/>
          <w:color w:val="auto"/>
        </w:rPr>
        <w:t>Notwithstanding the foregoing, the Committee (or, if the Committee is not a committee of the Board responsible for the Company’s executive compensation decisions and composed entirely</w:t>
      </w:r>
    </w:p>
    <w:p>
      <w:pPr>
        <w:ind w:left="1340"/>
        <w:spacing w:after="0" w:line="212" w:lineRule="auto"/>
        <w:rPr>
          <w:sz w:val="20"/>
          <w:szCs w:val="20"/>
          <w:color w:val="auto"/>
        </w:rPr>
      </w:pPr>
      <w:r>
        <w:rPr>
          <w:rFonts w:ascii="Times New Roman" w:cs="Times New Roman" w:eastAsia="Times New Roman" w:hAnsi="Times New Roman"/>
          <w:sz w:val="15"/>
          <w:szCs w:val="15"/>
          <w:color w:val="auto"/>
        </w:rPr>
        <w:t>of independent directors, a majority of the independent directors serving on the Board) may</w:t>
      </w:r>
    </w:p>
    <w:p>
      <w:pPr>
        <w:ind w:left="1340" w:right="2099"/>
        <w:spacing w:after="0" w:line="218" w:lineRule="auto"/>
        <w:rPr>
          <w:sz w:val="20"/>
          <w:szCs w:val="20"/>
          <w:color w:val="auto"/>
        </w:rPr>
      </w:pPr>
      <w:r>
        <w:rPr>
          <w:rFonts w:ascii="Times New Roman" w:cs="Times New Roman" w:eastAsia="Times New Roman" w:hAnsi="Times New Roman"/>
          <w:sz w:val="14"/>
          <w:szCs w:val="14"/>
          <w:color w:val="auto"/>
        </w:rPr>
        <w:t>determine not to pursue the forfeiture and/or recovery of Erroneously Awarded Compensation from any person if the Committee determines that such forfeiture and/or recovery would be</w:t>
      </w:r>
    </w:p>
    <w:p>
      <w:pPr>
        <w:ind w:left="1340"/>
        <w:spacing w:after="0" w:line="212" w:lineRule="auto"/>
        <w:rPr>
          <w:sz w:val="20"/>
          <w:szCs w:val="20"/>
          <w:color w:val="auto"/>
        </w:rPr>
      </w:pPr>
      <w:r>
        <w:rPr>
          <w:rFonts w:ascii="Times New Roman" w:cs="Times New Roman" w:eastAsia="Times New Roman" w:hAnsi="Times New Roman"/>
          <w:sz w:val="15"/>
          <w:szCs w:val="15"/>
          <w:color w:val="auto"/>
        </w:rPr>
        <w:t>impracticable due to any of the following circumstances: (i) the direct expense paid to a third</w:t>
      </w:r>
    </w:p>
    <w:p>
      <w:pPr>
        <w:ind w:left="1340" w:right="2139"/>
        <w:spacing w:after="0" w:line="236" w:lineRule="auto"/>
        <w:rPr>
          <w:sz w:val="20"/>
          <w:szCs w:val="20"/>
          <w:color w:val="auto"/>
        </w:rPr>
      </w:pPr>
      <w:r>
        <w:rPr>
          <w:rFonts w:ascii="Times New Roman" w:cs="Times New Roman" w:eastAsia="Times New Roman" w:hAnsi="Times New Roman"/>
          <w:sz w:val="14"/>
          <w:szCs w:val="14"/>
          <w:color w:val="auto"/>
        </w:rPr>
        <w:t>party (for example, reasonable legal expenses and consulting fees) to assist in enforcing the Policy would exceed the amount to be recovered, including the costs that could be incurred if</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5"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3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440" w:right="1440" w:bottom="1440" w:gutter="0" w:footer="0" w:header="0"/>
        </w:sectPr>
      </w:pPr>
    </w:p>
    <w:bookmarkStart w:id="228" w:name="page229"/>
    <w:bookmarkEnd w:id="228"/>
    <w:p>
      <w:pPr>
        <w:ind w:left="1340" w:right="2019"/>
        <w:spacing w:after="0" w:line="238" w:lineRule="auto"/>
        <w:rPr>
          <w:sz w:val="20"/>
          <w:szCs w:val="20"/>
          <w:color w:val="auto"/>
        </w:rPr>
      </w:pPr>
      <w:r>
        <w:rPr>
          <w:rFonts w:ascii="Times New Roman" w:cs="Times New Roman" w:eastAsia="Times New Roman" w:hAnsi="Times New Roman"/>
          <w:sz w:val="14"/>
          <w:szCs w:val="14"/>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1051560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0">
                      <a:extLst>
                        <a:ext uri="{28A0092B-C50C-407E-A947-70E740481C1C}"/>
                      </a:extLst>
                    </a:blip>
                    <a:srcRect/>
                    <a:stretch>
                      <a:fillRect/>
                    </a:stretch>
                  </pic:blipFill>
                  <pic:spPr bwMode="auto">
                    <a:xfrm>
                      <a:off x="0" y="0"/>
                      <a:ext cx="7166610" cy="10515600"/>
                    </a:xfrm>
                    <a:prstGeom prst="rect">
                      <a:avLst/>
                    </a:prstGeom>
                    <a:noFill/>
                  </pic:spPr>
                </pic:pic>
              </a:graphicData>
            </a:graphic>
          </wp:anchor>
        </w:drawing>
        <w:t>pursuing such recovery would violate local laws other than the Company’s Home Country laws (following reasonable attempts by the Nokia Group to recover such Erroneously Awarded</w:t>
      </w:r>
    </w:p>
    <w:p>
      <w:pPr>
        <w:ind w:left="1340" w:right="2139"/>
        <w:spacing w:after="0" w:line="218" w:lineRule="auto"/>
        <w:rPr>
          <w:sz w:val="20"/>
          <w:szCs w:val="20"/>
          <w:color w:val="auto"/>
        </w:rPr>
      </w:pPr>
      <w:r>
        <w:rPr>
          <w:rFonts w:ascii="Times New Roman" w:cs="Times New Roman" w:eastAsia="Times New Roman" w:hAnsi="Times New Roman"/>
          <w:sz w:val="14"/>
          <w:szCs w:val="14"/>
          <w:color w:val="auto"/>
        </w:rPr>
        <w:t>Compensation, the documentation of such attempts, and the provision of such documentation to the Applicable Stock Exchange), (ii) pursuing such recovery would violate the Company’s</w:t>
      </w:r>
    </w:p>
    <w:p>
      <w:pPr>
        <w:ind w:left="1340"/>
        <w:spacing w:after="0" w:line="212" w:lineRule="auto"/>
        <w:rPr>
          <w:sz w:val="20"/>
          <w:szCs w:val="20"/>
          <w:color w:val="auto"/>
        </w:rPr>
      </w:pPr>
      <w:r>
        <w:rPr>
          <w:rFonts w:ascii="Times New Roman" w:cs="Times New Roman" w:eastAsia="Times New Roman" w:hAnsi="Times New Roman"/>
          <w:sz w:val="15"/>
          <w:szCs w:val="15"/>
          <w:color w:val="auto"/>
        </w:rPr>
        <w:t>Home Country laws adopted prior to November 28, 2022 (provided that the Company obtains</w:t>
      </w:r>
    </w:p>
    <w:p>
      <w:pPr>
        <w:ind w:left="1340" w:right="1939"/>
        <w:spacing w:after="0" w:line="218" w:lineRule="auto"/>
        <w:rPr>
          <w:sz w:val="20"/>
          <w:szCs w:val="20"/>
          <w:color w:val="auto"/>
        </w:rPr>
      </w:pPr>
      <w:r>
        <w:rPr>
          <w:rFonts w:ascii="Times New Roman" w:cs="Times New Roman" w:eastAsia="Times New Roman" w:hAnsi="Times New Roman"/>
          <w:sz w:val="14"/>
          <w:szCs w:val="14"/>
          <w:color w:val="auto"/>
        </w:rPr>
        <w:t>an opinion of Home Country counsel acceptable to the Applicable Stock Exchange that recovery would result in such a violation and provides such opinion to the Applicable Stock Exchange),</w:t>
      </w:r>
    </w:p>
    <w:p>
      <w:pPr>
        <w:spacing w:after="0" w:line="1" w:lineRule="exact"/>
        <w:rPr>
          <w:sz w:val="20"/>
          <w:szCs w:val="20"/>
          <w:color w:val="auto"/>
        </w:rPr>
      </w:pPr>
    </w:p>
    <w:p>
      <w:pPr>
        <w:ind w:left="1340" w:right="1979" w:firstLine="9"/>
        <w:spacing w:after="0" w:line="212" w:lineRule="auto"/>
        <w:tabs>
          <w:tab w:leader="none" w:pos="1599" w:val="left"/>
        </w:tabs>
        <w:numPr>
          <w:ilvl w:val="0"/>
          <w:numId w:val="169"/>
        </w:numPr>
        <w:rPr>
          <w:rFonts w:ascii="Times New Roman" w:cs="Times New Roman" w:eastAsia="Times New Roman" w:hAnsi="Times New Roman"/>
          <w:sz w:val="15"/>
          <w:szCs w:val="15"/>
          <w:color w:val="auto"/>
        </w:rPr>
      </w:pPr>
      <w:r>
        <w:rPr>
          <w:rFonts w:ascii="Times New Roman" w:cs="Times New Roman" w:eastAsia="Times New Roman" w:hAnsi="Times New Roman"/>
          <w:sz w:val="15"/>
          <w:szCs w:val="15"/>
          <w:color w:val="auto"/>
        </w:rPr>
        <w:t>recovery would likely cause any otherwise tax-qualified retirement plan, under which benefits are broadly available to employees of the Nokia Group, to fail to meet the requirements of 26 U.S.C. 401(a)(13) or 26 U.S.C. 411(a) and regulations thereunder, or (iv) recovery would likely cause any otherwise tax-favored retirement scheme, under which benefits are broadly available to employees of Company Group, to fail to meet the requirements of applicable law respecting such tax-favored status.</w:t>
      </w:r>
    </w:p>
    <w:p>
      <w:pPr>
        <w:spacing w:after="0" w:line="122" w:lineRule="exact"/>
        <w:rPr>
          <w:sz w:val="20"/>
          <w:szCs w:val="20"/>
          <w:color w:val="auto"/>
        </w:rPr>
      </w:pPr>
    </w:p>
    <w:p>
      <w:pPr>
        <w:ind w:left="1340" w:right="1979"/>
        <w:spacing w:after="0" w:line="239" w:lineRule="auto"/>
        <w:rPr>
          <w:sz w:val="20"/>
          <w:szCs w:val="20"/>
          <w:color w:val="auto"/>
        </w:rPr>
      </w:pPr>
      <w:r>
        <w:rPr>
          <w:rFonts w:ascii="Times New Roman" w:cs="Times New Roman" w:eastAsia="Times New Roman" w:hAnsi="Times New Roman"/>
          <w:sz w:val="15"/>
          <w:szCs w:val="15"/>
          <w:color w:val="auto"/>
        </w:rPr>
        <w:t>In no event shall the Nokia Group be required to award any person an additional payment if any Restatement would result in a higher incentive compensation payment.</w:t>
      </w:r>
    </w:p>
    <w:p>
      <w:pPr>
        <w:spacing w:after="0" w:line="108" w:lineRule="exact"/>
        <w:rPr>
          <w:sz w:val="20"/>
          <w:szCs w:val="20"/>
          <w:color w:val="auto"/>
        </w:rPr>
      </w:pP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3.</w:t>
      </w:r>
      <w:r>
        <w:rPr>
          <w:sz w:val="20"/>
          <w:szCs w:val="20"/>
          <w:color w:val="auto"/>
        </w:rPr>
        <w:tab/>
      </w:r>
      <w:r>
        <w:rPr>
          <w:rFonts w:ascii="Times New Roman" w:cs="Times New Roman" w:eastAsia="Times New Roman" w:hAnsi="Times New Roman"/>
          <w:sz w:val="14"/>
          <w:szCs w:val="14"/>
          <w:b w:val="1"/>
          <w:bCs w:val="1"/>
          <w:color w:val="auto"/>
        </w:rPr>
        <w:t>MEANS OF REPAYMENT</w:t>
      </w:r>
    </w:p>
    <w:p>
      <w:pPr>
        <w:spacing w:after="0" w:line="140"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In the event that the Committee determines that any person shall repay any Erroneously</w:t>
      </w:r>
    </w:p>
    <w:p>
      <w:pPr>
        <w:ind w:left="1340" w:right="2019"/>
        <w:spacing w:after="0" w:line="218" w:lineRule="auto"/>
        <w:rPr>
          <w:sz w:val="20"/>
          <w:szCs w:val="20"/>
          <w:color w:val="auto"/>
        </w:rPr>
      </w:pPr>
      <w:r>
        <w:rPr>
          <w:rFonts w:ascii="Times New Roman" w:cs="Times New Roman" w:eastAsia="Times New Roman" w:hAnsi="Times New Roman"/>
          <w:sz w:val="14"/>
          <w:szCs w:val="14"/>
          <w:color w:val="auto"/>
        </w:rPr>
        <w:t>Awarded Compensation, the Committee shall provide written notice to such person by email or by certified mail to the physical address on file with the Nokia Group for such person, and the</w:t>
      </w:r>
    </w:p>
    <w:p>
      <w:pPr>
        <w:ind w:left="1340"/>
        <w:spacing w:after="0" w:line="212" w:lineRule="auto"/>
        <w:rPr>
          <w:sz w:val="20"/>
          <w:szCs w:val="20"/>
          <w:color w:val="auto"/>
        </w:rPr>
      </w:pPr>
      <w:r>
        <w:rPr>
          <w:rFonts w:ascii="Times New Roman" w:cs="Times New Roman" w:eastAsia="Times New Roman" w:hAnsi="Times New Roman"/>
          <w:sz w:val="15"/>
          <w:szCs w:val="15"/>
          <w:color w:val="auto"/>
        </w:rPr>
        <w:t>person shall satisfy such repayment in a manner and on such terms as required by the</w:t>
      </w:r>
    </w:p>
    <w:p>
      <w:pPr>
        <w:ind w:left="1340" w:right="2079"/>
        <w:spacing w:after="0" w:line="218" w:lineRule="auto"/>
        <w:rPr>
          <w:sz w:val="20"/>
          <w:szCs w:val="20"/>
          <w:color w:val="auto"/>
        </w:rPr>
      </w:pPr>
      <w:r>
        <w:rPr>
          <w:rFonts w:ascii="Times New Roman" w:cs="Times New Roman" w:eastAsia="Times New Roman" w:hAnsi="Times New Roman"/>
          <w:sz w:val="14"/>
          <w:szCs w:val="14"/>
          <w:color w:val="auto"/>
        </w:rPr>
        <w:t>Committee, and the Nokia Group shall be entitled to set off the repayment amount against any amount owed to the person by the Nokia Group, to require the forfeiture of any award granted</w:t>
      </w:r>
    </w:p>
    <w:p>
      <w:pPr>
        <w:ind w:left="1340"/>
        <w:spacing w:after="0" w:line="212" w:lineRule="auto"/>
        <w:rPr>
          <w:sz w:val="20"/>
          <w:szCs w:val="20"/>
          <w:color w:val="auto"/>
        </w:rPr>
      </w:pPr>
      <w:r>
        <w:rPr>
          <w:rFonts w:ascii="Times New Roman" w:cs="Times New Roman" w:eastAsia="Times New Roman" w:hAnsi="Times New Roman"/>
          <w:sz w:val="15"/>
          <w:szCs w:val="15"/>
          <w:color w:val="auto"/>
        </w:rPr>
        <w:t>by the Nokia Group to the person, or to take any and all necessary actions to reasonably</w:t>
      </w:r>
    </w:p>
    <w:p>
      <w:pPr>
        <w:ind w:left="1340" w:right="2339"/>
        <w:spacing w:after="0" w:line="218" w:lineRule="auto"/>
        <w:rPr>
          <w:sz w:val="20"/>
          <w:szCs w:val="20"/>
          <w:color w:val="auto"/>
        </w:rPr>
      </w:pPr>
      <w:r>
        <w:rPr>
          <w:rFonts w:ascii="Times New Roman" w:cs="Times New Roman" w:eastAsia="Times New Roman" w:hAnsi="Times New Roman"/>
          <w:sz w:val="14"/>
          <w:szCs w:val="14"/>
          <w:color w:val="auto"/>
        </w:rPr>
        <w:t>promptly recoup the repayment amount from the person, in each case, to the fullest extent permitted under applicable law, including without limitation, Section 409A of the Internal</w:t>
      </w:r>
    </w:p>
    <w:p>
      <w:pPr>
        <w:ind w:left="1340"/>
        <w:spacing w:after="0" w:line="212" w:lineRule="auto"/>
        <w:rPr>
          <w:sz w:val="20"/>
          <w:szCs w:val="20"/>
          <w:color w:val="auto"/>
        </w:rPr>
      </w:pPr>
      <w:r>
        <w:rPr>
          <w:rFonts w:ascii="Times New Roman" w:cs="Times New Roman" w:eastAsia="Times New Roman" w:hAnsi="Times New Roman"/>
          <w:sz w:val="15"/>
          <w:szCs w:val="15"/>
          <w:color w:val="auto"/>
        </w:rPr>
        <w:t>Revenue Code and the regulations and guidance thereunder. If the Committee does not specify</w:t>
      </w:r>
    </w:p>
    <w:p>
      <w:pPr>
        <w:ind w:left="1340" w:right="2039"/>
        <w:spacing w:after="0" w:line="218" w:lineRule="auto"/>
        <w:rPr>
          <w:sz w:val="20"/>
          <w:szCs w:val="20"/>
          <w:color w:val="auto"/>
        </w:rPr>
      </w:pPr>
      <w:r>
        <w:rPr>
          <w:rFonts w:ascii="Times New Roman" w:cs="Times New Roman" w:eastAsia="Times New Roman" w:hAnsi="Times New Roman"/>
          <w:sz w:val="14"/>
          <w:szCs w:val="14"/>
          <w:color w:val="auto"/>
        </w:rPr>
        <w:t>a repayment timing in the written notice described above, the applicable person shall be required to repay the Erroneously Awarded Compensation to the Nokia Group by wire, cash or</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cashier’s check no later than thirty (30) days after receipt of such notice.</w:t>
      </w:r>
    </w:p>
    <w:p>
      <w:pPr>
        <w:spacing w:after="0" w:line="121" w:lineRule="exact"/>
        <w:rPr>
          <w:sz w:val="20"/>
          <w:szCs w:val="20"/>
          <w:color w:val="auto"/>
        </w:rPr>
      </w:pP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4.</w:t>
      </w:r>
      <w:r>
        <w:rPr>
          <w:sz w:val="20"/>
          <w:szCs w:val="20"/>
          <w:color w:val="auto"/>
        </w:rPr>
        <w:tab/>
      </w:r>
      <w:r>
        <w:rPr>
          <w:rFonts w:ascii="Times New Roman" w:cs="Times New Roman" w:eastAsia="Times New Roman" w:hAnsi="Times New Roman"/>
          <w:sz w:val="14"/>
          <w:szCs w:val="14"/>
          <w:b w:val="1"/>
          <w:bCs w:val="1"/>
          <w:color w:val="auto"/>
        </w:rPr>
        <w:t>NO INDEMNIFICATION</w:t>
      </w:r>
    </w:p>
    <w:p>
      <w:pPr>
        <w:spacing w:after="0" w:line="135" w:lineRule="exact"/>
        <w:rPr>
          <w:sz w:val="20"/>
          <w:szCs w:val="20"/>
          <w:color w:val="auto"/>
        </w:rPr>
      </w:pPr>
    </w:p>
    <w:p>
      <w:pPr>
        <w:ind w:left="1340" w:right="2199"/>
        <w:spacing w:after="0" w:line="238" w:lineRule="auto"/>
        <w:rPr>
          <w:sz w:val="20"/>
          <w:szCs w:val="20"/>
          <w:color w:val="auto"/>
        </w:rPr>
      </w:pPr>
      <w:r>
        <w:rPr>
          <w:rFonts w:ascii="Times New Roman" w:cs="Times New Roman" w:eastAsia="Times New Roman" w:hAnsi="Times New Roman"/>
          <w:sz w:val="14"/>
          <w:szCs w:val="14"/>
          <w:color w:val="auto"/>
        </w:rPr>
        <w:t>No person shall be indemnified, insured or reimbursed by the Nokia Group in respect of any loss of compensation by such person in accordance with this Policy, nor shall any person</w:t>
      </w:r>
    </w:p>
    <w:p>
      <w:pPr>
        <w:ind w:left="1340" w:right="2079"/>
        <w:spacing w:after="0" w:line="218" w:lineRule="auto"/>
        <w:rPr>
          <w:sz w:val="20"/>
          <w:szCs w:val="20"/>
          <w:color w:val="auto"/>
        </w:rPr>
      </w:pPr>
      <w:r>
        <w:rPr>
          <w:rFonts w:ascii="Times New Roman" w:cs="Times New Roman" w:eastAsia="Times New Roman" w:hAnsi="Times New Roman"/>
          <w:sz w:val="14"/>
          <w:szCs w:val="14"/>
          <w:color w:val="auto"/>
        </w:rPr>
        <w:t>receive any advancement of expenses for disputes related to any loss of compensation by such person in accordance with this Policy, and no person shall be paid or reimbursed by the Nokia</w:t>
      </w:r>
    </w:p>
    <w:p>
      <w:pPr>
        <w:ind w:left="1340"/>
        <w:spacing w:after="0" w:line="212" w:lineRule="auto"/>
        <w:rPr>
          <w:sz w:val="20"/>
          <w:szCs w:val="20"/>
          <w:color w:val="auto"/>
        </w:rPr>
      </w:pPr>
      <w:r>
        <w:rPr>
          <w:rFonts w:ascii="Times New Roman" w:cs="Times New Roman" w:eastAsia="Times New Roman" w:hAnsi="Times New Roman"/>
          <w:sz w:val="15"/>
          <w:szCs w:val="15"/>
          <w:color w:val="auto"/>
        </w:rPr>
        <w:t>Group for any premiums paid by such person for any third-party insurance policy covering</w:t>
      </w:r>
    </w:p>
    <w:p>
      <w:pPr>
        <w:ind w:left="1340" w:right="2139"/>
        <w:spacing w:after="0" w:line="218" w:lineRule="auto"/>
        <w:rPr>
          <w:sz w:val="20"/>
          <w:szCs w:val="20"/>
          <w:color w:val="auto"/>
        </w:rPr>
      </w:pPr>
      <w:r>
        <w:rPr>
          <w:rFonts w:ascii="Times New Roman" w:cs="Times New Roman" w:eastAsia="Times New Roman" w:hAnsi="Times New Roman"/>
          <w:sz w:val="14"/>
          <w:szCs w:val="14"/>
          <w:color w:val="auto"/>
        </w:rPr>
        <w:t>potential recovery obligations under this Policy. For this purpose, “indemnification” includes any modification to current compensation arrangements or other means that would amount to</w:t>
      </w:r>
    </w:p>
    <w:p>
      <w:pPr>
        <w:spacing w:after="0" w:line="1" w:lineRule="exact"/>
        <w:rPr>
          <w:sz w:val="20"/>
          <w:szCs w:val="20"/>
          <w:color w:val="auto"/>
        </w:rPr>
      </w:pPr>
    </w:p>
    <w:p>
      <w:pPr>
        <w:ind w:left="1340" w:right="1999"/>
        <w:spacing w:after="0" w:line="228" w:lineRule="auto"/>
        <w:rPr>
          <w:sz w:val="20"/>
          <w:szCs w:val="20"/>
          <w:color w:val="auto"/>
        </w:rPr>
      </w:pPr>
      <w:r>
        <w:rPr>
          <w:rFonts w:ascii="Times New Roman" w:cs="Times New Roman" w:eastAsia="Times New Roman" w:hAnsi="Times New Roman"/>
          <w:sz w:val="15"/>
          <w:szCs w:val="15"/>
          <w:i w:val="1"/>
          <w:iCs w:val="1"/>
          <w:color w:val="auto"/>
        </w:rPr>
        <w:t xml:space="preserve">de facto </w:t>
      </w:r>
      <w:r>
        <w:rPr>
          <w:rFonts w:ascii="Times New Roman" w:cs="Times New Roman" w:eastAsia="Times New Roman" w:hAnsi="Times New Roman"/>
          <w:sz w:val="15"/>
          <w:szCs w:val="15"/>
          <w:color w:val="auto"/>
        </w:rPr>
        <w:t>indemnification (for example, providing the person a new cash award that would then</w:t>
      </w:r>
      <w:r>
        <w:rPr>
          <w:rFonts w:ascii="Times New Roman" w:cs="Times New Roman" w:eastAsia="Times New Roman" w:hAnsi="Times New Roman"/>
          <w:sz w:val="15"/>
          <w:szCs w:val="15"/>
          <w:i w:val="1"/>
          <w:iCs w:val="1"/>
          <w:color w:val="auto"/>
        </w:rPr>
        <w:t xml:space="preserve"> </w:t>
      </w:r>
      <w:r>
        <w:rPr>
          <w:rFonts w:ascii="Times New Roman" w:cs="Times New Roman" w:eastAsia="Times New Roman" w:hAnsi="Times New Roman"/>
          <w:sz w:val="15"/>
          <w:szCs w:val="15"/>
          <w:color w:val="auto"/>
        </w:rPr>
        <w:t>be cancelled to effect the recovery of any Erroneously Awarded Compensation).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6"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4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185" w:right="1440" w:bottom="1440" w:gutter="0" w:footer="0" w:header="0"/>
        </w:sectPr>
      </w:pPr>
    </w:p>
    <w:bookmarkStart w:id="229" w:name="page230"/>
    <w:bookmarkEnd w:id="229"/>
    <w:p>
      <w:pPr>
        <w:spacing w:after="0" w:line="65"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1051560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1">
                      <a:extLst>
                        <a:ext uri="{28A0092B-C50C-407E-A947-70E740481C1C}"/>
                      </a:extLst>
                    </a:blip>
                    <a:srcRect/>
                    <a:stretch>
                      <a:fillRect/>
                    </a:stretch>
                  </pic:blipFill>
                  <pic:spPr bwMode="auto">
                    <a:xfrm>
                      <a:off x="0" y="0"/>
                      <a:ext cx="7166610" cy="10515600"/>
                    </a:xfrm>
                    <a:prstGeom prst="rect">
                      <a:avLst/>
                    </a:prstGeom>
                    <a:noFill/>
                  </pic:spPr>
                </pic:pic>
              </a:graphicData>
            </a:graphic>
          </wp:anchor>
        </w:drawing>
      </w: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5.</w:t>
      </w:r>
      <w:r>
        <w:rPr>
          <w:sz w:val="20"/>
          <w:szCs w:val="20"/>
          <w:color w:val="auto"/>
        </w:rPr>
        <w:tab/>
      </w:r>
      <w:r>
        <w:rPr>
          <w:rFonts w:ascii="Times New Roman" w:cs="Times New Roman" w:eastAsia="Times New Roman" w:hAnsi="Times New Roman"/>
          <w:sz w:val="14"/>
          <w:szCs w:val="14"/>
          <w:b w:val="1"/>
          <w:bCs w:val="1"/>
          <w:color w:val="auto"/>
        </w:rPr>
        <w:t>MISCELLANEOUS</w:t>
      </w:r>
    </w:p>
    <w:p>
      <w:pPr>
        <w:spacing w:after="0" w:line="140"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This Policy generally will be administered and interpreted by the Committee, provided that the</w:t>
      </w:r>
    </w:p>
    <w:p>
      <w:pPr>
        <w:ind w:left="1340" w:right="2199"/>
        <w:spacing w:after="0" w:line="218" w:lineRule="auto"/>
        <w:rPr>
          <w:sz w:val="20"/>
          <w:szCs w:val="20"/>
          <w:color w:val="auto"/>
        </w:rPr>
      </w:pPr>
      <w:r>
        <w:rPr>
          <w:rFonts w:ascii="Times New Roman" w:cs="Times New Roman" w:eastAsia="Times New Roman" w:hAnsi="Times New Roman"/>
          <w:sz w:val="14"/>
          <w:szCs w:val="14"/>
          <w:color w:val="auto"/>
        </w:rPr>
        <w:t>Board may, from time to time, exercise discretion to administer and interpret this Policy, in which case, all references herein to “Committee” shall be deemed to refer to the Board. Any</w:t>
      </w:r>
    </w:p>
    <w:p>
      <w:pPr>
        <w:ind w:left="1340"/>
        <w:spacing w:after="0" w:line="212" w:lineRule="auto"/>
        <w:rPr>
          <w:sz w:val="20"/>
          <w:szCs w:val="20"/>
          <w:color w:val="auto"/>
        </w:rPr>
      </w:pPr>
      <w:r>
        <w:rPr>
          <w:rFonts w:ascii="Times New Roman" w:cs="Times New Roman" w:eastAsia="Times New Roman" w:hAnsi="Times New Roman"/>
          <w:sz w:val="15"/>
          <w:szCs w:val="15"/>
          <w:color w:val="auto"/>
        </w:rPr>
        <w:t>determination by the Committee with respect to this Policy shall be final, conclusive and</w:t>
      </w:r>
    </w:p>
    <w:p>
      <w:pPr>
        <w:ind w:left="1340" w:right="2039"/>
        <w:spacing w:after="0" w:line="218" w:lineRule="auto"/>
        <w:rPr>
          <w:sz w:val="20"/>
          <w:szCs w:val="20"/>
          <w:color w:val="auto"/>
        </w:rPr>
      </w:pPr>
      <w:r>
        <w:rPr>
          <w:rFonts w:ascii="Times New Roman" w:cs="Times New Roman" w:eastAsia="Times New Roman" w:hAnsi="Times New Roman"/>
          <w:sz w:val="14"/>
          <w:szCs w:val="14"/>
          <w:color w:val="auto"/>
        </w:rPr>
        <w:t>binding on all interested parties. Any discretionary determinations of the Committee under this Policy, if any, need not be uniform with respect to all persons, and may be made selectively</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amongst persons, whether or not such persons are similarly situated.</w:t>
      </w:r>
    </w:p>
    <w:p>
      <w:pPr>
        <w:spacing w:after="0" w:line="125" w:lineRule="exact"/>
        <w:rPr>
          <w:sz w:val="20"/>
          <w:szCs w:val="20"/>
          <w:color w:val="auto"/>
        </w:rPr>
      </w:pPr>
    </w:p>
    <w:p>
      <w:pPr>
        <w:ind w:left="1340" w:right="2059"/>
        <w:spacing w:after="0" w:line="230" w:lineRule="auto"/>
        <w:rPr>
          <w:sz w:val="20"/>
          <w:szCs w:val="20"/>
          <w:color w:val="auto"/>
        </w:rPr>
      </w:pPr>
      <w:r>
        <w:rPr>
          <w:rFonts w:ascii="Times New Roman" w:cs="Times New Roman" w:eastAsia="Times New Roman" w:hAnsi="Times New Roman"/>
          <w:sz w:val="14"/>
          <w:szCs w:val="14"/>
          <w:color w:val="auto"/>
        </w:rPr>
        <w:t>This Policy is intended to satisfy the requirements of Section 954 of the Dodd-Frank Wall Street Reform and Consumer Protection Act, as it may be amended from time to time, and any</w:t>
      </w:r>
    </w:p>
    <w:p>
      <w:pPr>
        <w:ind w:left="1340"/>
        <w:spacing w:after="0" w:line="212" w:lineRule="auto"/>
        <w:rPr>
          <w:sz w:val="20"/>
          <w:szCs w:val="20"/>
          <w:color w:val="auto"/>
        </w:rPr>
      </w:pPr>
      <w:r>
        <w:rPr>
          <w:rFonts w:ascii="Times New Roman" w:cs="Times New Roman" w:eastAsia="Times New Roman" w:hAnsi="Times New Roman"/>
          <w:sz w:val="15"/>
          <w:szCs w:val="15"/>
          <w:color w:val="auto"/>
        </w:rPr>
        <w:t>related rules or regulations promulgated by the SEC or the Applicable Stock Exchange, including</w:t>
      </w:r>
    </w:p>
    <w:p>
      <w:pPr>
        <w:ind w:left="1340" w:right="2079"/>
        <w:spacing w:after="0" w:line="218" w:lineRule="auto"/>
        <w:rPr>
          <w:sz w:val="20"/>
          <w:szCs w:val="20"/>
          <w:color w:val="auto"/>
        </w:rPr>
      </w:pPr>
      <w:r>
        <w:rPr>
          <w:rFonts w:ascii="Times New Roman" w:cs="Times New Roman" w:eastAsia="Times New Roman" w:hAnsi="Times New Roman"/>
          <w:sz w:val="14"/>
          <w:szCs w:val="14"/>
          <w:color w:val="auto"/>
        </w:rPr>
        <w:t>any additional or new requirements that become effective after the Effective Date, which upon effectiveness shall be deemed to automatically amend this Policy to the extent necessary to</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comply with such additional or new requirements.</w:t>
      </w:r>
    </w:p>
    <w:p>
      <w:pPr>
        <w:spacing w:after="0" w:line="125" w:lineRule="exact"/>
        <w:rPr>
          <w:sz w:val="20"/>
          <w:szCs w:val="20"/>
          <w:color w:val="auto"/>
        </w:rPr>
      </w:pPr>
    </w:p>
    <w:p>
      <w:pPr>
        <w:ind w:left="1340" w:right="2159"/>
        <w:spacing w:after="0" w:line="230" w:lineRule="auto"/>
        <w:rPr>
          <w:sz w:val="20"/>
          <w:szCs w:val="20"/>
          <w:color w:val="auto"/>
        </w:rPr>
      </w:pPr>
      <w:r>
        <w:rPr>
          <w:rFonts w:ascii="Times New Roman" w:cs="Times New Roman" w:eastAsia="Times New Roman" w:hAnsi="Times New Roman"/>
          <w:sz w:val="14"/>
          <w:szCs w:val="14"/>
          <w:color w:val="auto"/>
        </w:rPr>
        <w:t>The provisions in this Policy are intended to be applied to the fullest extent of the law. To the extent that any provision of this Policy is found to be unenforceable or invalid under any</w:t>
      </w:r>
    </w:p>
    <w:p>
      <w:pPr>
        <w:ind w:left="1340"/>
        <w:spacing w:after="0" w:line="212" w:lineRule="auto"/>
        <w:rPr>
          <w:sz w:val="20"/>
          <w:szCs w:val="20"/>
          <w:color w:val="auto"/>
        </w:rPr>
      </w:pPr>
      <w:r>
        <w:rPr>
          <w:rFonts w:ascii="Times New Roman" w:cs="Times New Roman" w:eastAsia="Times New Roman" w:hAnsi="Times New Roman"/>
          <w:sz w:val="15"/>
          <w:szCs w:val="15"/>
          <w:color w:val="auto"/>
        </w:rPr>
        <w:t>applicable law, such provision will be applied to the maximum extent permitted and shall</w:t>
      </w:r>
    </w:p>
    <w:p>
      <w:pPr>
        <w:ind w:left="1340" w:right="2119"/>
        <w:spacing w:after="0" w:line="218" w:lineRule="auto"/>
        <w:rPr>
          <w:sz w:val="20"/>
          <w:szCs w:val="20"/>
          <w:color w:val="auto"/>
        </w:rPr>
      </w:pPr>
      <w:r>
        <w:rPr>
          <w:rFonts w:ascii="Times New Roman" w:cs="Times New Roman" w:eastAsia="Times New Roman" w:hAnsi="Times New Roman"/>
          <w:sz w:val="14"/>
          <w:szCs w:val="14"/>
          <w:color w:val="auto"/>
        </w:rPr>
        <w:t>automatically be deemed amended in a manner consistent with its objectives to the extent necessary to conform to applicable law. The invalidity or unenforceability of any provision of</w:t>
      </w:r>
    </w:p>
    <w:p>
      <w:pPr>
        <w:ind w:left="1340"/>
        <w:spacing w:after="0" w:line="212" w:lineRule="auto"/>
        <w:rPr>
          <w:sz w:val="20"/>
          <w:szCs w:val="20"/>
          <w:color w:val="auto"/>
        </w:rPr>
      </w:pPr>
      <w:r>
        <w:rPr>
          <w:rFonts w:ascii="Times New Roman" w:cs="Times New Roman" w:eastAsia="Times New Roman" w:hAnsi="Times New Roman"/>
          <w:sz w:val="15"/>
          <w:szCs w:val="15"/>
          <w:color w:val="auto"/>
        </w:rPr>
        <w:t>this Policy shall not affect the validity or enforceability of any other provision of this Policy.</w:t>
      </w:r>
    </w:p>
    <w:p>
      <w:pPr>
        <w:ind w:left="1340" w:right="1999"/>
        <w:spacing w:after="0" w:line="218" w:lineRule="auto"/>
        <w:rPr>
          <w:sz w:val="20"/>
          <w:szCs w:val="20"/>
          <w:color w:val="auto"/>
        </w:rPr>
      </w:pPr>
      <w:r>
        <w:rPr>
          <w:rFonts w:ascii="Times New Roman" w:cs="Times New Roman" w:eastAsia="Times New Roman" w:hAnsi="Times New Roman"/>
          <w:sz w:val="14"/>
          <w:szCs w:val="14"/>
          <w:color w:val="auto"/>
        </w:rPr>
        <w:t>Recoupment of Erroneously Awarded Compensation under this Policy is not dependent upon the Nokia Group satisfying any conditions in this Policy, including any requirements to provide</w:t>
      </w:r>
    </w:p>
    <w:p>
      <w:pPr>
        <w:spacing w:after="0" w:line="1"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applicable documentation to the Applicable Stock Exchange.</w:t>
      </w:r>
    </w:p>
    <w:p>
      <w:pPr>
        <w:spacing w:after="0" w:line="125" w:lineRule="exact"/>
        <w:rPr>
          <w:sz w:val="20"/>
          <w:szCs w:val="20"/>
          <w:color w:val="auto"/>
        </w:rPr>
      </w:pPr>
    </w:p>
    <w:p>
      <w:pPr>
        <w:ind w:left="1340" w:right="2319"/>
        <w:spacing w:after="0" w:line="230" w:lineRule="auto"/>
        <w:rPr>
          <w:sz w:val="20"/>
          <w:szCs w:val="20"/>
          <w:color w:val="auto"/>
        </w:rPr>
      </w:pPr>
      <w:r>
        <w:rPr>
          <w:rFonts w:ascii="Times New Roman" w:cs="Times New Roman" w:eastAsia="Times New Roman" w:hAnsi="Times New Roman"/>
          <w:sz w:val="14"/>
          <w:szCs w:val="14"/>
          <w:color w:val="auto"/>
        </w:rPr>
        <w:t>The rights of the Nokia Group under this Policy to seek forfeiture or reimbursement are in addition to, and not in lieu of, any rights of recoupment, or remedies or rights other than</w:t>
      </w:r>
    </w:p>
    <w:p>
      <w:pPr>
        <w:ind w:left="1340"/>
        <w:spacing w:after="0" w:line="212" w:lineRule="auto"/>
        <w:rPr>
          <w:sz w:val="20"/>
          <w:szCs w:val="20"/>
          <w:color w:val="auto"/>
        </w:rPr>
      </w:pPr>
      <w:r>
        <w:rPr>
          <w:rFonts w:ascii="Times New Roman" w:cs="Times New Roman" w:eastAsia="Times New Roman" w:hAnsi="Times New Roman"/>
          <w:sz w:val="15"/>
          <w:szCs w:val="15"/>
          <w:color w:val="auto"/>
        </w:rPr>
        <w:t>recoupment, that may be available to the Nokia Group pursuant to the terms of any law,</w:t>
      </w:r>
    </w:p>
    <w:p>
      <w:pPr>
        <w:ind w:left="1340" w:right="2219"/>
        <w:spacing w:after="0" w:line="204" w:lineRule="auto"/>
        <w:rPr>
          <w:sz w:val="20"/>
          <w:szCs w:val="20"/>
          <w:color w:val="auto"/>
        </w:rPr>
      </w:pPr>
      <w:r>
        <w:rPr>
          <w:rFonts w:ascii="Times New Roman" w:cs="Times New Roman" w:eastAsia="Times New Roman" w:hAnsi="Times New Roman"/>
          <w:sz w:val="15"/>
          <w:szCs w:val="15"/>
          <w:color w:val="auto"/>
        </w:rPr>
        <w:t>government regulation or stock exchange listing standard or other requirement, or any other policy, code of conduct, employee handbook, employment agreement, equity award</w:t>
      </w:r>
    </w:p>
    <w:p>
      <w:pPr>
        <w:ind w:left="1340"/>
        <w:spacing w:after="0"/>
        <w:rPr>
          <w:sz w:val="20"/>
          <w:szCs w:val="20"/>
          <w:color w:val="auto"/>
        </w:rPr>
      </w:pPr>
      <w:r>
        <w:rPr>
          <w:rFonts w:ascii="Times New Roman" w:cs="Times New Roman" w:eastAsia="Times New Roman" w:hAnsi="Times New Roman"/>
          <w:sz w:val="15"/>
          <w:szCs w:val="15"/>
          <w:color w:val="auto"/>
        </w:rPr>
        <w:t>agreement, or other plan or agreement of the Nokia Group.</w:t>
      </w:r>
    </w:p>
    <w:p>
      <w:pPr>
        <w:spacing w:after="0" w:line="121" w:lineRule="exact"/>
        <w:rPr>
          <w:sz w:val="20"/>
          <w:szCs w:val="20"/>
          <w:color w:val="auto"/>
        </w:rPr>
      </w:pP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6.</w:t>
      </w:r>
      <w:r>
        <w:rPr>
          <w:sz w:val="20"/>
          <w:szCs w:val="20"/>
          <w:color w:val="auto"/>
        </w:rPr>
        <w:tab/>
      </w:r>
      <w:r>
        <w:rPr>
          <w:rFonts w:ascii="Times New Roman" w:cs="Times New Roman" w:eastAsia="Times New Roman" w:hAnsi="Times New Roman"/>
          <w:sz w:val="14"/>
          <w:szCs w:val="14"/>
          <w:b w:val="1"/>
          <w:bCs w:val="1"/>
          <w:color w:val="auto"/>
        </w:rPr>
        <w:t>ADMINISTRATION, AMENDMENTS AND TERMINATION</w:t>
      </w:r>
    </w:p>
    <w:p>
      <w:pPr>
        <w:spacing w:after="0" w:line="135" w:lineRule="exact"/>
        <w:rPr>
          <w:sz w:val="20"/>
          <w:szCs w:val="20"/>
          <w:color w:val="auto"/>
        </w:rPr>
      </w:pPr>
    </w:p>
    <w:p>
      <w:pPr>
        <w:ind w:left="1340" w:right="2159"/>
        <w:spacing w:after="0" w:line="238" w:lineRule="auto"/>
        <w:rPr>
          <w:sz w:val="20"/>
          <w:szCs w:val="20"/>
          <w:color w:val="auto"/>
        </w:rPr>
      </w:pPr>
      <w:r>
        <w:rPr>
          <w:rFonts w:ascii="Times New Roman" w:cs="Times New Roman" w:eastAsia="Times New Roman" w:hAnsi="Times New Roman"/>
          <w:sz w:val="14"/>
          <w:szCs w:val="14"/>
          <w:color w:val="auto"/>
        </w:rPr>
        <w:t>This Policy was approved by the Board of Directors of the Company on 19 July 2023, on the recommendation of the Personnel Committee. The Personnel Committee of the Board of</w:t>
      </w:r>
    </w:p>
    <w:p>
      <w:pPr>
        <w:ind w:left="1340" w:right="1999"/>
        <w:spacing w:after="0" w:line="218" w:lineRule="auto"/>
        <w:rPr>
          <w:sz w:val="20"/>
          <w:szCs w:val="20"/>
          <w:color w:val="auto"/>
        </w:rPr>
      </w:pPr>
      <w:r>
        <w:rPr>
          <w:rFonts w:ascii="Times New Roman" w:cs="Times New Roman" w:eastAsia="Times New Roman" w:hAnsi="Times New Roman"/>
          <w:sz w:val="14"/>
          <w:szCs w:val="14"/>
          <w:color w:val="auto"/>
        </w:rPr>
        <w:t>Directors may periodically review the Nokia Executive Officers’ Clawback Policy to determine their appropriateness against stated objectives and that the Policy continues to function in the</w:t>
      </w:r>
    </w:p>
    <w:p>
      <w:pPr>
        <w:ind w:left="1340"/>
        <w:spacing w:after="0" w:line="212" w:lineRule="auto"/>
        <w:rPr>
          <w:sz w:val="20"/>
          <w:szCs w:val="20"/>
          <w:color w:val="auto"/>
        </w:rPr>
      </w:pPr>
      <w:r>
        <w:rPr>
          <w:rFonts w:ascii="Times New Roman" w:cs="Times New Roman" w:eastAsia="Times New Roman" w:hAnsi="Times New Roman"/>
          <w:sz w:val="15"/>
          <w:szCs w:val="15"/>
          <w:color w:val="auto"/>
        </w:rPr>
        <w:t>best interests of the Company as well as to ensure regulatory compliance. To the extent</w:t>
      </w:r>
    </w:p>
    <w:p>
      <w:pPr>
        <w:ind w:left="1340" w:right="1979"/>
        <w:spacing w:after="0" w:line="218" w:lineRule="auto"/>
        <w:rPr>
          <w:sz w:val="20"/>
          <w:szCs w:val="20"/>
          <w:color w:val="auto"/>
        </w:rPr>
      </w:pPr>
      <w:r>
        <w:rPr>
          <w:rFonts w:ascii="Times New Roman" w:cs="Times New Roman" w:eastAsia="Times New Roman" w:hAnsi="Times New Roman"/>
          <w:sz w:val="14"/>
          <w:szCs w:val="14"/>
          <w:color w:val="auto"/>
        </w:rPr>
        <w:t>permitted by, and in a manner consistent with applicable law, including SEC and the Applicable Stock Exchange rules, the Personnel Committee may propose to terminate, suspend or amend</w:t>
      </w:r>
    </w:p>
    <w:p>
      <w:pPr>
        <w:ind w:left="1340"/>
        <w:spacing w:after="0" w:line="212" w:lineRule="auto"/>
        <w:rPr>
          <w:sz w:val="20"/>
          <w:szCs w:val="20"/>
          <w:color w:val="auto"/>
        </w:rPr>
      </w:pPr>
      <w:r>
        <w:rPr>
          <w:rFonts w:ascii="Times New Roman" w:cs="Times New Roman" w:eastAsia="Times New Roman" w:hAnsi="Times New Roman"/>
          <w:sz w:val="15"/>
          <w:szCs w:val="15"/>
          <w:color w:val="auto"/>
        </w:rPr>
        <w:t>this Policy. When it deems appropriate, the Committee will make such recommendations to the</w:t>
      </w:r>
    </w:p>
    <w:p>
      <w:pPr>
        <w:ind w:left="1340" w:right="1879"/>
        <w:spacing w:after="0" w:line="221" w:lineRule="auto"/>
        <w:rPr>
          <w:sz w:val="20"/>
          <w:szCs w:val="20"/>
          <w:color w:val="auto"/>
        </w:rPr>
      </w:pPr>
      <w:r>
        <w:rPr>
          <w:rFonts w:ascii="Times New Roman" w:cs="Times New Roman" w:eastAsia="Times New Roman" w:hAnsi="Times New Roman"/>
          <w:sz w:val="15"/>
          <w:szCs w:val="15"/>
          <w:color w:val="auto"/>
        </w:rPr>
        <w:t>Board regarding modifications of the Policy. In addition, the Board may modify this Policy at any time in its sole discretion.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9"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5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440" w:right="1440" w:bottom="1440" w:gutter="0" w:footer="0" w:header="0"/>
        </w:sectPr>
      </w:pPr>
    </w:p>
    <w:bookmarkStart w:id="230" w:name="page231"/>
    <w:bookmarkEnd w:id="230"/>
    <w:p>
      <w:pPr>
        <w:spacing w:after="0" w:line="65"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191135</wp:posOffset>
            </wp:positionH>
            <wp:positionV relativeFrom="page">
              <wp:posOffset>88900</wp:posOffset>
            </wp:positionV>
            <wp:extent cx="7166610" cy="686117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2">
                      <a:extLst>
                        <a:ext uri="{28A0092B-C50C-407E-A947-70E740481C1C}"/>
                      </a:extLst>
                    </a:blip>
                    <a:srcRect/>
                    <a:stretch>
                      <a:fillRect/>
                    </a:stretch>
                  </pic:blipFill>
                  <pic:spPr bwMode="auto">
                    <a:xfrm>
                      <a:off x="0" y="0"/>
                      <a:ext cx="7166610" cy="6861175"/>
                    </a:xfrm>
                    <a:prstGeom prst="rect">
                      <a:avLst/>
                    </a:prstGeom>
                    <a:noFill/>
                  </pic:spPr>
                </pic:pic>
              </a:graphicData>
            </a:graphic>
          </wp:anchor>
        </w:drawing>
      </w:r>
    </w:p>
    <w:p>
      <w:pPr>
        <w:ind w:left="1600"/>
        <w:spacing w:after="0"/>
        <w:tabs>
          <w:tab w:leader="none" w:pos="1820" w:val="left"/>
        </w:tabs>
        <w:rPr>
          <w:sz w:val="20"/>
          <w:szCs w:val="20"/>
          <w:color w:val="auto"/>
        </w:rPr>
      </w:pPr>
      <w:r>
        <w:rPr>
          <w:rFonts w:ascii="Times New Roman" w:cs="Times New Roman" w:eastAsia="Times New Roman" w:hAnsi="Times New Roman"/>
          <w:sz w:val="15"/>
          <w:szCs w:val="15"/>
          <w:b w:val="1"/>
          <w:bCs w:val="1"/>
          <w:color w:val="auto"/>
        </w:rPr>
        <w:t>7.</w:t>
      </w:r>
      <w:r>
        <w:rPr>
          <w:sz w:val="20"/>
          <w:szCs w:val="20"/>
          <w:color w:val="auto"/>
        </w:rPr>
        <w:tab/>
      </w:r>
      <w:r>
        <w:rPr>
          <w:rFonts w:ascii="Times New Roman" w:cs="Times New Roman" w:eastAsia="Times New Roman" w:hAnsi="Times New Roman"/>
          <w:sz w:val="14"/>
          <w:szCs w:val="14"/>
          <w:b w:val="1"/>
          <w:bCs w:val="1"/>
          <w:color w:val="auto"/>
        </w:rPr>
        <w:t>SUCCESSORS</w:t>
      </w:r>
    </w:p>
    <w:p>
      <w:pPr>
        <w:spacing w:after="0" w:line="140" w:lineRule="exact"/>
        <w:rPr>
          <w:sz w:val="20"/>
          <w:szCs w:val="20"/>
          <w:color w:val="auto"/>
        </w:rPr>
      </w:pPr>
    </w:p>
    <w:p>
      <w:pPr>
        <w:ind w:left="1340"/>
        <w:spacing w:after="0"/>
        <w:rPr>
          <w:sz w:val="20"/>
          <w:szCs w:val="20"/>
          <w:color w:val="auto"/>
        </w:rPr>
      </w:pPr>
      <w:r>
        <w:rPr>
          <w:rFonts w:ascii="Times New Roman" w:cs="Times New Roman" w:eastAsia="Times New Roman" w:hAnsi="Times New Roman"/>
          <w:sz w:val="15"/>
          <w:szCs w:val="15"/>
          <w:color w:val="auto"/>
        </w:rPr>
        <w:t>This Policy shall be binding and enforceable against all persons and their respective</w:t>
      </w:r>
    </w:p>
    <w:p>
      <w:pPr>
        <w:ind w:left="1340" w:right="2079"/>
        <w:spacing w:after="0" w:line="236" w:lineRule="auto"/>
        <w:rPr>
          <w:sz w:val="20"/>
          <w:szCs w:val="20"/>
          <w:color w:val="auto"/>
        </w:rPr>
      </w:pPr>
      <w:r>
        <w:rPr>
          <w:rFonts w:ascii="Times New Roman" w:cs="Times New Roman" w:eastAsia="Times New Roman" w:hAnsi="Times New Roman"/>
          <w:sz w:val="14"/>
          <w:szCs w:val="14"/>
          <w:color w:val="auto"/>
        </w:rPr>
        <w:t>beneficiaries, heirs, executors, administrators or other legal representatives with respect to any Covered Compensation granted, vested or paid to or administered by such persons or entities.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9" w:lineRule="exact"/>
        <w:rPr>
          <w:sz w:val="20"/>
          <w:szCs w:val="20"/>
          <w:color w:val="auto"/>
        </w:rPr>
      </w:pPr>
    </w:p>
    <w:p>
      <w:pPr>
        <w:ind w:left="1380"/>
        <w:spacing w:after="0"/>
        <w:tabs>
          <w:tab w:leader="none" w:pos="2980" w:val="left"/>
          <w:tab w:leader="none" w:pos="7320" w:val="left"/>
        </w:tabs>
        <w:rPr>
          <w:sz w:val="20"/>
          <w:szCs w:val="20"/>
          <w:color w:val="auto"/>
        </w:rPr>
      </w:pPr>
      <w:r>
        <w:rPr>
          <w:rFonts w:ascii="Arial" w:cs="Arial" w:eastAsia="Arial" w:hAnsi="Arial"/>
          <w:sz w:val="11"/>
          <w:szCs w:val="11"/>
          <w:color w:val="auto"/>
        </w:rPr>
        <w:t>6 / 6</w:t>
      </w:r>
      <w:r>
        <w:rPr>
          <w:sz w:val="20"/>
          <w:szCs w:val="20"/>
          <w:color w:val="auto"/>
        </w:rPr>
        <w:tab/>
      </w:r>
      <w:r>
        <w:rPr>
          <w:rFonts w:ascii="Arial" w:cs="Arial" w:eastAsia="Arial" w:hAnsi="Arial"/>
          <w:sz w:val="11"/>
          <w:szCs w:val="11"/>
          <w:color w:val="auto"/>
          <w:highlight w:val="white"/>
        </w:rPr>
        <w:t>Nokia Corporation - Executive Officer Clawback Policy</w:t>
      </w:r>
      <w:r>
        <w:rPr>
          <w:sz w:val="20"/>
          <w:szCs w:val="20"/>
          <w:color w:val="auto"/>
        </w:rPr>
        <w:tab/>
      </w:r>
      <w:r>
        <w:rPr>
          <w:rFonts w:ascii="Arial" w:cs="Arial" w:eastAsia="Arial" w:hAnsi="Arial"/>
          <w:sz w:val="10"/>
          <w:szCs w:val="10"/>
          <w:color w:val="auto"/>
        </w:rPr>
        <w:t>© 2023 Nokia</w:t>
      </w:r>
    </w:p>
    <w:p>
      <w:pPr>
        <w:sectPr>
          <w:pgSz w:w="11900" w:h="16838" w:orient="portrait"/>
          <w:cols w:equalWidth="0" w:num="1">
            <w:col w:w="9019"/>
          </w:cols>
          <w:pgMar w:left="1440" w:top="1440" w:right="1440" w:bottom="1440" w:gutter="0" w:footer="0" w:header="0"/>
        </w:sectPr>
      </w:pPr>
    </w:p>
    <w:bookmarkStart w:id="231" w:name="page232"/>
    <w:bookmarkEnd w:id="231"/>
    <w:sectPr>
      <w:pgSz w:w="11900" w:h="16838" w:orient="portrait"/>
      <w:cols w:equalWidth="1" w:num="1" w:space="0"/>
      <w:pgMar w:left="1440" w:top="1440" w:right="1440" w:bottom="875" w:gutter="0" w:footer="0" w:header="0"/>
    </w:sectPr>
  </w:body>
</w:document>
</file>

<file path=word/fontTable.xml><?xml version="1.0" encoding="utf-8"?>
<w:font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8000012" w:usb3="00000000" w:csb0="4002009F" w:csb1="DFD70000"/>
  </w:font>
  <w:font w:name="Arial">
    <w:panose1 w:val="020B0604020202020204"/>
    <w:charset w:val="00"/>
    <w:family w:val="swiss"/>
    <w:pitch w:val="variable"/>
    <w:sig w:usb0="E0002EFF" w:usb1="C0007843" w:usb2="00000009" w:usb3="00000000" w:csb0="400001FF" w:csb1="FFFF0000"/>
  </w:font>
</w:fonts>
</file>

<file path=word/numbering.xml><?xml version="1.0" encoding="utf-8"?>
<w:numbering xmlns:w="http://schemas.openxmlformats.org/wordprocessingml/2006/main">
  <w:abstractNum w:abstractNumId="0">
    <w:nsid w:val="6EB5BD4"/>
    <w:multiLevelType w:val="hybridMultilevel"/>
    <w:lvl w:ilvl="0">
      <w:lvlJc w:val="left"/>
      <w:lvlText w:val="%1)"/>
      <w:numFmt w:val="lowerLetter"/>
      <w:start w:val="1"/>
    </w:lvl>
  </w:abstractNum>
  <w:abstractNum w:abstractNumId="1">
    <w:nsid w:val="6F6DD9AC"/>
    <w:multiLevelType w:val="hybridMultilevel"/>
    <w:lvl w:ilvl="0">
      <w:lvlJc w:val="left"/>
      <w:lvlText w:val="%1)"/>
      <w:numFmt w:val="lowerLetter"/>
      <w:start w:val="8"/>
    </w:lvl>
  </w:abstractNum>
  <w:abstractNum w:abstractNumId="2">
    <w:nsid w:val="94211F2"/>
    <w:multiLevelType w:val="hybridMultilevel"/>
    <w:lvl w:ilvl="0">
      <w:lvlJc w:val="left"/>
      <w:lvlText w:val="■"/>
      <w:numFmt w:val="bullet"/>
      <w:start w:val="1"/>
    </w:lvl>
  </w:abstractNum>
  <w:abstractNum w:abstractNumId="3">
    <w:nsid w:val="885E1B"/>
    <w:multiLevelType w:val="hybridMultilevel"/>
    <w:lvl w:ilvl="0">
      <w:lvlJc w:val="left"/>
      <w:lvlText w:val="(%1)"/>
      <w:numFmt w:val="decimal"/>
      <w:start w:val="1"/>
    </w:lvl>
  </w:abstractNum>
  <w:abstractNum w:abstractNumId="4">
    <w:nsid w:val="76272110"/>
    <w:multiLevelType w:val="hybridMultilevel"/>
    <w:lvl w:ilvl="0">
      <w:lvlJc w:val="left"/>
      <w:lvlText w:val="(%1)"/>
      <w:numFmt w:val="decimal"/>
      <w:start w:val="3"/>
    </w:lvl>
  </w:abstractNum>
  <w:abstractNum w:abstractNumId="5">
    <w:nsid w:val="4C04A8AF"/>
    <w:multiLevelType w:val="hybridMultilevel"/>
    <w:lvl w:ilvl="0">
      <w:lvlJc w:val="left"/>
      <w:lvlText w:val="(%1)"/>
      <w:numFmt w:val="decimal"/>
      <w:start w:val="1"/>
    </w:lvl>
  </w:abstractNum>
  <w:abstractNum w:abstractNumId="6">
    <w:nsid w:val="1716703B"/>
    <w:multiLevelType w:val="hybridMultilevel"/>
    <w:lvl w:ilvl="0">
      <w:lvlJc w:val="left"/>
      <w:lvlText w:val="(%1)"/>
      <w:numFmt w:val="decimal"/>
      <w:start w:val="1"/>
    </w:lvl>
  </w:abstractNum>
  <w:abstractNum w:abstractNumId="7">
    <w:nsid w:val="14E17E33"/>
    <w:multiLevelType w:val="hybridMultilevel"/>
    <w:lvl w:ilvl="0">
      <w:lvlJc w:val="left"/>
      <w:lvlText w:val="(%1)"/>
      <w:numFmt w:val="decimal"/>
      <w:start w:val="2"/>
    </w:lvl>
  </w:abstractNum>
  <w:abstractNum w:abstractNumId="8">
    <w:nsid w:val="3222E7CD"/>
    <w:multiLevelType w:val="hybridMultilevel"/>
    <w:lvl w:ilvl="0">
      <w:lvlJc w:val="left"/>
      <w:lvlText w:val="(%1)"/>
      <w:numFmt w:val="decimal"/>
      <w:start w:val="3"/>
    </w:lvl>
  </w:abstractNum>
  <w:abstractNum w:abstractNumId="9">
    <w:nsid w:val="74DE0EE3"/>
    <w:multiLevelType w:val="hybridMultilevel"/>
    <w:lvl w:ilvl="0">
      <w:lvlJc w:val="left"/>
      <w:lvlText w:val="A"/>
      <w:numFmt w:val="bullet"/>
      <w:start w:val="1"/>
    </w:lvl>
  </w:abstractNum>
  <w:abstractNum w:abstractNumId="10">
    <w:nsid w:val="68EBC550"/>
    <w:multiLevelType w:val="hybridMultilevel"/>
    <w:lvl w:ilvl="0">
      <w:lvlJc w:val="left"/>
      <w:lvlText w:val="1"/>
      <w:numFmt w:val="bullet"/>
      <w:start w:val="1"/>
    </w:lvl>
  </w:abstractNum>
  <w:abstractNum w:abstractNumId="11">
    <w:nsid w:val="2DF6D648"/>
    <w:multiLevelType w:val="hybridMultilevel"/>
    <w:lvl w:ilvl="0">
      <w:lvlJc w:val="left"/>
      <w:lvlText w:val="3"/>
      <w:numFmt w:val="bullet"/>
      <w:start w:val="1"/>
    </w:lvl>
  </w:abstractNum>
  <w:abstractNum w:abstractNumId="12">
    <w:nsid w:val="46B7D447"/>
    <w:multiLevelType w:val="hybridMultilevel"/>
    <w:lvl w:ilvl="0">
      <w:lvlJc w:val="left"/>
      <w:lvlText w:val="■"/>
      <w:numFmt w:val="bullet"/>
      <w:start w:val="1"/>
    </w:lvl>
  </w:abstractNum>
  <w:abstractNum w:abstractNumId="13">
    <w:nsid w:val="4A2AC315"/>
    <w:multiLevelType w:val="hybridMultilevel"/>
    <w:lvl w:ilvl="0">
      <w:lvlJc w:val="left"/>
      <w:lvlText w:val="■"/>
      <w:numFmt w:val="bullet"/>
      <w:start w:val="1"/>
    </w:lvl>
  </w:abstractNum>
  <w:abstractNum w:abstractNumId="14">
    <w:nsid w:val="39EE015C"/>
    <w:multiLevelType w:val="hybridMultilevel"/>
    <w:lvl w:ilvl="0">
      <w:lvlJc w:val="left"/>
      <w:lvlText w:val="(%1)"/>
      <w:numFmt w:val="decimal"/>
      <w:start w:val="1"/>
    </w:lvl>
  </w:abstractNum>
  <w:abstractNum w:abstractNumId="15">
    <w:nsid w:val="57FC4FBB"/>
    <w:multiLevelType w:val="hybridMultilevel"/>
    <w:lvl w:ilvl="0">
      <w:lvlJc w:val="left"/>
      <w:lvlText w:val="■"/>
      <w:numFmt w:val="bullet"/>
      <w:start w:val="1"/>
    </w:lvl>
  </w:abstractNum>
  <w:abstractNum w:abstractNumId="16">
    <w:nsid w:val="CC1016F"/>
    <w:multiLevelType w:val="hybridMultilevel"/>
    <w:lvl w:ilvl="0">
      <w:lvlJc w:val="left"/>
      <w:lvlText w:val="(%1)"/>
      <w:numFmt w:val="decimal"/>
      <w:start w:val="1"/>
    </w:lvl>
  </w:abstractNum>
  <w:abstractNum w:abstractNumId="17">
    <w:nsid w:val="43F18422"/>
    <w:multiLevelType w:val="hybridMultilevel"/>
    <w:lvl w:ilvl="0">
      <w:lvlJc w:val="left"/>
      <w:lvlText w:val="■"/>
      <w:numFmt w:val="bullet"/>
      <w:start w:val="1"/>
    </w:lvl>
  </w:abstractNum>
  <w:abstractNum w:abstractNumId="18">
    <w:nsid w:val="60EF0119"/>
    <w:multiLevelType w:val="hybridMultilevel"/>
    <w:lvl w:ilvl="0">
      <w:lvlJc w:val="left"/>
      <w:lvlText w:val="(%1)"/>
      <w:numFmt w:val="decimal"/>
      <w:start w:val="1"/>
    </w:lvl>
  </w:abstractNum>
  <w:abstractNum w:abstractNumId="19">
    <w:nsid w:val="26F324BA"/>
    <w:multiLevelType w:val="hybridMultilevel"/>
    <w:lvl w:ilvl="0">
      <w:lvlJc w:val="left"/>
      <w:lvlText w:val="■"/>
      <w:numFmt w:val="bullet"/>
      <w:start w:val="1"/>
    </w:lvl>
  </w:abstractNum>
  <w:abstractNum w:abstractNumId="20">
    <w:nsid w:val="7F01579B"/>
    <w:multiLevelType w:val="hybridMultilevel"/>
    <w:lvl w:ilvl="0">
      <w:lvlJc w:val="left"/>
      <w:lvlText w:val="(%1)"/>
      <w:numFmt w:val="decimal"/>
      <w:start w:val="1"/>
    </w:lvl>
  </w:abstractNum>
  <w:abstractNum w:abstractNumId="21">
    <w:nsid w:val="49DA307D"/>
    <w:multiLevelType w:val="hybridMultilevel"/>
    <w:lvl w:ilvl="0">
      <w:lvlJc w:val="left"/>
      <w:lvlText w:val="(%1)"/>
      <w:numFmt w:val="decimal"/>
      <w:start w:val="2"/>
    </w:lvl>
  </w:abstractNum>
  <w:abstractNum w:abstractNumId="22">
    <w:nsid w:val="7055A5F5"/>
    <w:multiLevelType w:val="hybridMultilevel"/>
    <w:lvl w:ilvl="0">
      <w:lvlJc w:val="left"/>
      <w:lvlText w:val="(%1)"/>
      <w:numFmt w:val="decimal"/>
      <w:start w:val="4"/>
    </w:lvl>
  </w:abstractNum>
  <w:abstractNum w:abstractNumId="23">
    <w:nsid w:val="5FB8370B"/>
    <w:multiLevelType w:val="hybridMultilevel"/>
    <w:lvl w:ilvl="0">
      <w:lvlJc w:val="left"/>
      <w:lvlText w:val="(%1)"/>
      <w:numFmt w:val="decimal"/>
      <w:start w:val="1"/>
    </w:lvl>
  </w:abstractNum>
  <w:abstractNum w:abstractNumId="24">
    <w:nsid w:val="50801EE1"/>
    <w:multiLevelType w:val="hybridMultilevel"/>
    <w:lvl w:ilvl="0">
      <w:lvlJc w:val="left"/>
      <w:lvlText w:val="&amp;"/>
      <w:numFmt w:val="bullet"/>
      <w:start w:val="1"/>
    </w:lvl>
  </w:abstractNum>
  <w:abstractNum w:abstractNumId="25">
    <w:nsid w:val="488AC1A"/>
    <w:multiLevelType w:val="hybridMultilevel"/>
    <w:lvl w:ilvl="0">
      <w:lvlJc w:val="left"/>
      <w:lvlText w:val="(%1)"/>
      <w:numFmt w:val="decimal"/>
      <w:start w:val="1"/>
    </w:lvl>
  </w:abstractNum>
  <w:abstractNum w:abstractNumId="26">
    <w:nsid w:val="5FB8011C"/>
    <w:multiLevelType w:val="hybridMultilevel"/>
    <w:lvl w:ilvl="0">
      <w:lvlJc w:val="left"/>
      <w:lvlText w:val="■"/>
      <w:numFmt w:val="bullet"/>
      <w:start w:val="1"/>
    </w:lvl>
  </w:abstractNum>
  <w:abstractNum w:abstractNumId="27">
    <w:nsid w:val="6AA78F7F"/>
    <w:multiLevelType w:val="hybridMultilevel"/>
    <w:lvl w:ilvl="0">
      <w:lvlJc w:val="left"/>
      <w:lvlText w:val="■"/>
      <w:numFmt w:val="bullet"/>
      <w:start w:val="1"/>
    </w:lvl>
  </w:abstractNum>
  <w:abstractNum w:abstractNumId="28">
    <w:nsid w:val="7672BD23"/>
    <w:multiLevelType w:val="hybridMultilevel"/>
    <w:lvl w:ilvl="0">
      <w:lvlJc w:val="left"/>
      <w:lvlText w:val="(%1)"/>
      <w:numFmt w:val="lowerRoman"/>
      <w:start w:val="1"/>
    </w:lvl>
  </w:abstractNum>
  <w:abstractNum w:abstractNumId="29">
    <w:nsid w:val="6FC75AF8"/>
    <w:multiLevelType w:val="hybridMultilevel"/>
    <w:lvl w:ilvl="0">
      <w:lvlJc w:val="left"/>
      <w:lvlText w:val="■"/>
      <w:numFmt w:val="bullet"/>
      <w:start w:val="1"/>
    </w:lvl>
  </w:abstractNum>
  <w:abstractNum w:abstractNumId="30">
    <w:nsid w:val="6A5F7029"/>
    <w:multiLevelType w:val="hybridMultilevel"/>
    <w:lvl w:ilvl="0">
      <w:lvlJc w:val="left"/>
      <w:lvlText w:val="■"/>
      <w:numFmt w:val="bullet"/>
      <w:start w:val="1"/>
    </w:lvl>
  </w:abstractNum>
  <w:abstractNum w:abstractNumId="31">
    <w:nsid w:val="7D5E18F8"/>
    <w:multiLevelType w:val="hybridMultilevel"/>
    <w:lvl w:ilvl="0">
      <w:lvlJc w:val="left"/>
      <w:lvlText w:val="■"/>
      <w:numFmt w:val="bullet"/>
      <w:start w:val="1"/>
    </w:lvl>
  </w:abstractNum>
  <w:abstractNum w:abstractNumId="32">
    <w:nsid w:val="5F3534A4"/>
    <w:multiLevelType w:val="hybridMultilevel"/>
    <w:lvl w:ilvl="0">
      <w:lvlJc w:val="left"/>
      <w:lvlText w:val="■"/>
      <w:numFmt w:val="bullet"/>
      <w:start w:val="1"/>
    </w:lvl>
  </w:abstractNum>
  <w:abstractNum w:abstractNumId="33">
    <w:nsid w:val="73A1821B"/>
    <w:multiLevelType w:val="hybridMultilevel"/>
    <w:lvl w:ilvl="0">
      <w:lvlJc w:val="left"/>
      <w:lvlText w:val="■"/>
      <w:numFmt w:val="bullet"/>
      <w:start w:val="1"/>
    </w:lvl>
  </w:abstractNum>
  <w:abstractNum w:abstractNumId="34">
    <w:nsid w:val="7DE67713"/>
    <w:multiLevelType w:val="hybridMultilevel"/>
    <w:lvl w:ilvl="0">
      <w:lvlJc w:val="left"/>
      <w:lvlText w:val="■"/>
      <w:numFmt w:val="bullet"/>
      <w:start w:val="1"/>
    </w:lvl>
  </w:abstractNum>
  <w:abstractNum w:abstractNumId="35">
    <w:nsid w:val="555C55B5"/>
    <w:multiLevelType w:val="hybridMultilevel"/>
    <w:lvl w:ilvl="0">
      <w:lvlJc w:val="left"/>
      <w:lvlText w:val="■"/>
      <w:numFmt w:val="bullet"/>
      <w:start w:val="1"/>
    </w:lvl>
  </w:abstractNum>
  <w:abstractNum w:abstractNumId="36">
    <w:nsid w:val="3FA62ACA"/>
    <w:multiLevelType w:val="hybridMultilevel"/>
    <w:lvl w:ilvl="0">
      <w:lvlJc w:val="left"/>
      <w:lvlText w:val="(%1)"/>
      <w:numFmt w:val="decimal"/>
      <w:start w:val="1"/>
    </w:lvl>
  </w:abstractNum>
  <w:abstractNum w:abstractNumId="37">
    <w:nsid w:val="14FCE74E"/>
    <w:multiLevelType w:val="hybridMultilevel"/>
    <w:lvl w:ilvl="0">
      <w:lvlJc w:val="left"/>
      <w:lvlText w:val="■"/>
      <w:numFmt w:val="bullet"/>
      <w:start w:val="1"/>
    </w:lvl>
  </w:abstractNum>
  <w:abstractNum w:abstractNumId="38">
    <w:nsid w:val="6A3DD3E8"/>
    <w:multiLevelType w:val="hybridMultilevel"/>
    <w:lvl w:ilvl="0">
      <w:lvlJc w:val="left"/>
      <w:lvlText w:val="■"/>
      <w:numFmt w:val="bullet"/>
      <w:start w:val="1"/>
    </w:lvl>
  </w:abstractNum>
  <w:abstractNum w:abstractNumId="39">
    <w:nsid w:val="71C91298"/>
    <w:multiLevelType w:val="hybridMultilevel"/>
    <w:lvl w:ilvl="0">
      <w:lvlJc w:val="left"/>
      <w:lvlText w:val="■"/>
      <w:numFmt w:val="bullet"/>
      <w:start w:val="1"/>
    </w:lvl>
  </w:abstractNum>
  <w:abstractNum w:abstractNumId="40">
    <w:nsid w:val="9DAF632"/>
    <w:multiLevelType w:val="hybridMultilevel"/>
    <w:lvl w:ilvl="0">
      <w:lvlJc w:val="left"/>
      <w:lvlText w:val="(%1)"/>
      <w:numFmt w:val="decimal"/>
      <w:start w:val="1"/>
    </w:lvl>
  </w:abstractNum>
  <w:abstractNum w:abstractNumId="41">
    <w:nsid w:val="53299938"/>
    <w:multiLevelType w:val="hybridMultilevel"/>
    <w:lvl w:ilvl="0">
      <w:lvlJc w:val="left"/>
      <w:lvlText w:val="(%1)"/>
      <w:numFmt w:val="decimal"/>
      <w:start w:val="1"/>
    </w:lvl>
  </w:abstractNum>
  <w:abstractNum w:abstractNumId="42">
    <w:nsid w:val="1FBFE8E0"/>
    <w:multiLevelType w:val="hybridMultilevel"/>
    <w:lvl w:ilvl="0">
      <w:lvlJc w:val="left"/>
      <w:lvlText w:val="(%1)"/>
      <w:numFmt w:val="decimal"/>
      <w:start w:val="1"/>
    </w:lvl>
  </w:abstractNum>
  <w:abstractNum w:abstractNumId="43">
    <w:nsid w:val="5092CA79"/>
    <w:multiLevelType w:val="hybridMultilevel"/>
    <w:lvl w:ilvl="0">
      <w:lvlJc w:val="left"/>
      <w:lvlText w:val="(%1)"/>
      <w:numFmt w:val="decimal"/>
      <w:start w:val="1"/>
    </w:lvl>
  </w:abstractNum>
  <w:abstractNum w:abstractNumId="44">
    <w:nsid w:val="1D545C4D"/>
    <w:multiLevelType w:val="hybridMultilevel"/>
    <w:lvl w:ilvl="0">
      <w:lvlJc w:val="left"/>
      <w:lvlText w:val="(%1)"/>
      <w:numFmt w:val="decimal"/>
      <w:start w:val="1"/>
    </w:lvl>
  </w:abstractNum>
  <w:abstractNum w:abstractNumId="45">
    <w:nsid w:val="59ADEA3D"/>
    <w:multiLevelType w:val="hybridMultilevel"/>
    <w:lvl w:ilvl="0">
      <w:lvlJc w:val="left"/>
      <w:lvlText w:val="(%1)"/>
      <w:numFmt w:val="decimal"/>
      <w:start w:val="1"/>
    </w:lvl>
  </w:abstractNum>
  <w:abstractNum w:abstractNumId="46">
    <w:nsid w:val="288F1A34"/>
    <w:multiLevelType w:val="hybridMultilevel"/>
    <w:lvl w:ilvl="0">
      <w:lvlJc w:val="left"/>
      <w:lvlText w:val="■"/>
      <w:numFmt w:val="bullet"/>
      <w:start w:val="1"/>
    </w:lvl>
  </w:abstractNum>
  <w:abstractNum w:abstractNumId="47">
    <w:nsid w:val="2A155DBC"/>
    <w:multiLevelType w:val="hybridMultilevel"/>
    <w:lvl w:ilvl="0">
      <w:lvlJc w:val="left"/>
      <w:lvlText w:val="■"/>
      <w:numFmt w:val="bullet"/>
      <w:start w:val="1"/>
    </w:lvl>
  </w:abstractNum>
  <w:abstractNum w:abstractNumId="48">
    <w:nsid w:val="1D9F6E5F"/>
    <w:multiLevelType w:val="hybridMultilevel"/>
    <w:lvl w:ilvl="0">
      <w:lvlJc w:val="left"/>
      <w:lvlText w:val="■"/>
      <w:numFmt w:val="bullet"/>
      <w:start w:val="1"/>
    </w:lvl>
  </w:abstractNum>
  <w:abstractNum w:abstractNumId="49">
    <w:nsid w:val="97E1B4E"/>
    <w:multiLevelType w:val="hybridMultilevel"/>
    <w:lvl w:ilvl="0">
      <w:lvlJc w:val="left"/>
      <w:lvlText w:val="■"/>
      <w:numFmt w:val="bullet"/>
      <w:start w:val="1"/>
    </w:lvl>
  </w:abstractNum>
  <w:abstractNum w:abstractNumId="50">
    <w:nsid w:val="51088277"/>
    <w:multiLevelType w:val="hybridMultilevel"/>
    <w:lvl w:ilvl="0">
      <w:lvlJc w:val="left"/>
      <w:lvlText w:val="■"/>
      <w:numFmt w:val="bullet"/>
      <w:start w:val="1"/>
    </w:lvl>
  </w:abstractNum>
  <w:abstractNum w:abstractNumId="51">
    <w:nsid w:val="1CA0C5FA"/>
    <w:multiLevelType w:val="hybridMultilevel"/>
    <w:lvl w:ilvl="0">
      <w:lvlJc w:val="left"/>
      <w:lvlText w:val="(%1)"/>
      <w:numFmt w:val="decimal"/>
      <w:start w:val="1"/>
    </w:lvl>
  </w:abstractNum>
  <w:abstractNum w:abstractNumId="52">
    <w:nsid w:val="53584BCB"/>
    <w:multiLevelType w:val="hybridMultilevel"/>
    <w:lvl w:ilvl="0">
      <w:lvlJc w:val="left"/>
      <w:lvlText w:val="(%1)"/>
      <w:numFmt w:val="decimal"/>
      <w:start w:val="2"/>
    </w:lvl>
  </w:abstractNum>
  <w:abstractNum w:abstractNumId="53">
    <w:nsid w:val="415E286C"/>
    <w:multiLevelType w:val="hybridMultilevel"/>
    <w:lvl w:ilvl="0">
      <w:lvlJc w:val="left"/>
      <w:lvlText w:val="(%1)"/>
      <w:numFmt w:val="decimal"/>
      <w:start w:val="3"/>
    </w:lvl>
  </w:abstractNum>
  <w:abstractNum w:abstractNumId="54">
    <w:nsid w:val="7C58FD05"/>
    <w:multiLevelType w:val="hybridMultilevel"/>
    <w:lvl w:ilvl="0">
      <w:lvlJc w:val="left"/>
      <w:lvlText w:val="(%1)"/>
      <w:numFmt w:val="decimal"/>
      <w:start w:val="1"/>
    </w:lvl>
  </w:abstractNum>
  <w:abstractNum w:abstractNumId="55">
    <w:nsid w:val="23D86AAC"/>
    <w:multiLevelType w:val="hybridMultilevel"/>
    <w:lvl w:ilvl="0">
      <w:lvlJc w:val="left"/>
      <w:lvlText w:val="(%1)"/>
      <w:numFmt w:val="decimal"/>
      <w:start w:val="4"/>
    </w:lvl>
  </w:abstractNum>
  <w:abstractNum w:abstractNumId="56">
    <w:nsid w:val="45E6D486"/>
    <w:multiLevelType w:val="hybridMultilevel"/>
    <w:lvl w:ilvl="0">
      <w:lvlJc w:val="left"/>
      <w:lvlText w:val="(%1)"/>
      <w:numFmt w:val="decimal"/>
      <w:start w:val="1"/>
    </w:lvl>
  </w:abstractNum>
  <w:abstractNum w:abstractNumId="57">
    <w:nsid w:val="5C10FE21"/>
    <w:multiLevelType w:val="hybridMultilevel"/>
    <w:lvl w:ilvl="0">
      <w:lvlJc w:val="left"/>
      <w:lvlText w:val="(%1)"/>
      <w:numFmt w:val="decimal"/>
      <w:start w:val="1"/>
    </w:lvl>
  </w:abstractNum>
  <w:abstractNum w:abstractNumId="58">
    <w:nsid w:val="E7FFA2B"/>
    <w:multiLevelType w:val="hybridMultilevel"/>
    <w:lvl w:ilvl="0">
      <w:lvlJc w:val="left"/>
      <w:lvlText w:val="(%1)"/>
      <w:numFmt w:val="decimal"/>
      <w:start w:val="1"/>
    </w:lvl>
  </w:abstractNum>
  <w:abstractNum w:abstractNumId="59">
    <w:nsid w:val="3C5991AA"/>
    <w:multiLevelType w:val="hybridMultilevel"/>
    <w:lvl w:ilvl="0">
      <w:lvlJc w:val="left"/>
      <w:lvlText w:val="(%1)"/>
      <w:numFmt w:val="decimal"/>
      <w:start w:val="1"/>
    </w:lvl>
  </w:abstractNum>
  <w:abstractNum w:abstractNumId="60">
    <w:nsid w:val="4BD8591A"/>
    <w:multiLevelType w:val="hybridMultilevel"/>
    <w:lvl w:ilvl="0">
      <w:lvlJc w:val="left"/>
      <w:lvlText w:val="(%1)"/>
      <w:numFmt w:val="decimal"/>
      <w:start w:val="1"/>
    </w:lvl>
  </w:abstractNum>
  <w:abstractNum w:abstractNumId="61">
    <w:nsid w:val="78DF6A55"/>
    <w:multiLevelType w:val="hybridMultilevel"/>
    <w:lvl w:ilvl="0">
      <w:lvlJc w:val="left"/>
      <w:lvlText w:val="■"/>
      <w:numFmt w:val="bullet"/>
      <w:start w:val="1"/>
    </w:lvl>
  </w:abstractNum>
  <w:abstractNum w:abstractNumId="62">
    <w:nsid w:val="39B7AAA2"/>
    <w:multiLevelType w:val="hybridMultilevel"/>
    <w:lvl w:ilvl="0">
      <w:lvlJc w:val="left"/>
      <w:lvlText w:val="(%1)"/>
      <w:numFmt w:val="decimal"/>
      <w:start w:val="1"/>
    </w:lvl>
  </w:abstractNum>
  <w:abstractNum w:abstractNumId="63">
    <w:nsid w:val="2B0D8DBE"/>
    <w:multiLevelType w:val="hybridMultilevel"/>
    <w:lvl w:ilvl="0">
      <w:lvlJc w:val="left"/>
      <w:lvlText w:val="■"/>
      <w:numFmt w:val="bullet"/>
      <w:start w:val="1"/>
    </w:lvl>
  </w:abstractNum>
  <w:abstractNum w:abstractNumId="64">
    <w:nsid w:val="6C80EC70"/>
    <w:multiLevelType w:val="hybridMultilevel"/>
    <w:lvl w:ilvl="0">
      <w:lvlJc w:val="left"/>
      <w:lvlText w:val="■"/>
      <w:numFmt w:val="bullet"/>
      <w:start w:val="1"/>
    </w:lvl>
  </w:abstractNum>
  <w:abstractNum w:abstractNumId="65">
    <w:nsid w:val="379E21B5"/>
    <w:multiLevelType w:val="hybridMultilevel"/>
    <w:lvl w:ilvl="0">
      <w:lvlJc w:val="left"/>
      <w:lvlText w:val="■"/>
      <w:numFmt w:val="bullet"/>
      <w:start w:val="1"/>
    </w:lvl>
  </w:abstractNum>
  <w:abstractNum w:abstractNumId="66">
    <w:nsid w:val="69E373"/>
    <w:multiLevelType w:val="hybridMultilevel"/>
    <w:lvl w:ilvl="0">
      <w:lvlJc w:val="left"/>
      <w:lvlText w:val="&amp;"/>
      <w:numFmt w:val="bullet"/>
      <w:start w:val="1"/>
    </w:lvl>
  </w:abstractNum>
  <w:abstractNum w:abstractNumId="67">
    <w:nsid w:val="2C27173B"/>
    <w:multiLevelType w:val="hybridMultilevel"/>
    <w:lvl w:ilvl="0">
      <w:lvlJc w:val="left"/>
      <w:lvlText w:val="■"/>
      <w:numFmt w:val="bullet"/>
      <w:start w:val="1"/>
    </w:lvl>
  </w:abstractNum>
  <w:abstractNum w:abstractNumId="68">
    <w:nsid w:val="4C9B0904"/>
    <w:multiLevelType w:val="hybridMultilevel"/>
    <w:lvl w:ilvl="0">
      <w:lvlJc w:val="left"/>
      <w:lvlText w:val="■"/>
      <w:numFmt w:val="bullet"/>
      <w:start w:val="1"/>
    </w:lvl>
  </w:abstractNum>
  <w:abstractNum w:abstractNumId="69">
    <w:nsid w:val="6AA7B75C"/>
    <w:multiLevelType w:val="hybridMultilevel"/>
    <w:lvl w:ilvl="0">
      <w:lvlJc w:val="left"/>
      <w:lvlText w:val="%1"/>
      <w:numFmt w:val="upperLetter"/>
      <w:start w:val="53"/>
    </w:lvl>
  </w:abstractNum>
  <w:abstractNum w:abstractNumId="70">
    <w:nsid w:val="1DF029D3"/>
    <w:multiLevelType w:val="hybridMultilevel"/>
    <w:lvl w:ilvl="0">
      <w:lvlJc w:val="left"/>
      <w:lvlText w:val="■"/>
      <w:numFmt w:val="bullet"/>
      <w:start w:val="1"/>
    </w:lvl>
  </w:abstractNum>
  <w:abstractNum w:abstractNumId="71">
    <w:nsid w:val="5675FF36"/>
    <w:multiLevelType w:val="hybridMultilevel"/>
    <w:lvl w:ilvl="0">
      <w:lvlJc w:val="left"/>
      <w:lvlText w:val="■"/>
      <w:numFmt w:val="bullet"/>
      <w:start w:val="1"/>
    </w:lvl>
  </w:abstractNum>
  <w:abstractNum w:abstractNumId="72">
    <w:nsid w:val="3DD15094"/>
    <w:multiLevelType w:val="hybridMultilevel"/>
    <w:lvl w:ilvl="0">
      <w:lvlJc w:val="left"/>
      <w:lvlText w:val="■"/>
      <w:numFmt w:val="bullet"/>
      <w:start w:val="1"/>
    </w:lvl>
  </w:abstractNum>
  <w:abstractNum w:abstractNumId="73">
    <w:nsid w:val="3DB012B3"/>
    <w:multiLevelType w:val="hybridMultilevel"/>
    <w:lvl w:ilvl="0">
      <w:lvlJc w:val="left"/>
      <w:lvlText w:val="■"/>
      <w:numFmt w:val="bullet"/>
      <w:start w:val="1"/>
    </w:lvl>
  </w:abstractNum>
  <w:abstractNum w:abstractNumId="74">
    <w:nsid w:val="2708C9AF"/>
    <w:multiLevelType w:val="hybridMultilevel"/>
    <w:lvl w:ilvl="0">
      <w:lvlJc w:val="left"/>
      <w:lvlText w:val="(%1)"/>
      <w:numFmt w:val="decimal"/>
      <w:start w:val="1"/>
    </w:lvl>
  </w:abstractNum>
  <w:abstractNum w:abstractNumId="75">
    <w:nsid w:val="5B25ACE2"/>
    <w:multiLevelType w:val="hybridMultilevel"/>
    <w:lvl w:ilvl="0">
      <w:lvlJc w:val="left"/>
      <w:lvlText w:val="(%1)"/>
      <w:numFmt w:val="decimal"/>
      <w:start w:val="1"/>
    </w:lvl>
  </w:abstractNum>
  <w:abstractNum w:abstractNumId="76">
    <w:nsid w:val="175DFCF0"/>
    <w:multiLevelType w:val="hybridMultilevel"/>
    <w:lvl w:ilvl="0">
      <w:lvlJc w:val="left"/>
      <w:lvlText w:val="■"/>
      <w:numFmt w:val="bullet"/>
      <w:start w:val="1"/>
    </w:lvl>
  </w:abstractNum>
  <w:abstractNum w:abstractNumId="77">
    <w:nsid w:val="4F97E3E4"/>
    <w:multiLevelType w:val="hybridMultilevel"/>
    <w:lvl w:ilvl="0">
      <w:lvlJc w:val="left"/>
      <w:lvlText w:val="■"/>
      <w:numFmt w:val="bullet"/>
      <w:start w:val="1"/>
    </w:lvl>
  </w:abstractNum>
  <w:abstractNum w:abstractNumId="78">
    <w:nsid w:val="53B0A9E"/>
    <w:multiLevelType w:val="hybridMultilevel"/>
    <w:lvl w:ilvl="0">
      <w:lvlJc w:val="left"/>
      <w:lvlText w:val="■"/>
      <w:numFmt w:val="bullet"/>
      <w:start w:val="1"/>
    </w:lvl>
  </w:abstractNum>
  <w:abstractNum w:abstractNumId="79">
    <w:nsid w:val="34FD6B4F"/>
    <w:multiLevelType w:val="hybridMultilevel"/>
    <w:lvl w:ilvl="0">
      <w:lvlJc w:val="left"/>
      <w:lvlText w:val="■"/>
      <w:numFmt w:val="bullet"/>
      <w:start w:val="1"/>
    </w:lvl>
  </w:abstractNum>
  <w:abstractNum w:abstractNumId="80">
    <w:nsid w:val="5915FF32"/>
    <w:multiLevelType w:val="hybridMultilevel"/>
    <w:lvl w:ilvl="0">
      <w:lvlJc w:val="left"/>
      <w:lvlText w:val="■"/>
      <w:numFmt w:val="bullet"/>
      <w:start w:val="1"/>
    </w:lvl>
  </w:abstractNum>
  <w:abstractNum w:abstractNumId="81">
    <w:nsid w:val="56438D15"/>
    <w:multiLevelType w:val="hybridMultilevel"/>
    <w:lvl w:ilvl="0">
      <w:lvlJc w:val="left"/>
      <w:lvlText w:val="(%1)"/>
      <w:numFmt w:val="decimal"/>
      <w:start w:val="1"/>
    </w:lvl>
  </w:abstractNum>
  <w:abstractNum w:abstractNumId="82">
    <w:nsid w:val="519E3149"/>
    <w:multiLevelType w:val="hybridMultilevel"/>
    <w:lvl w:ilvl="0">
      <w:lvlJc w:val="left"/>
      <w:lvlText w:val="(%1)"/>
      <w:numFmt w:val="decimal"/>
      <w:start w:val="1"/>
    </w:lvl>
  </w:abstractNum>
  <w:abstractNum w:abstractNumId="83">
    <w:nsid w:val="2C6E4AFD"/>
    <w:multiLevelType w:val="hybridMultilevel"/>
    <w:lvl w:ilvl="0">
      <w:lvlJc w:val="left"/>
      <w:lvlText w:val="(%1)"/>
      <w:numFmt w:val="decimal"/>
      <w:start w:val="1"/>
    </w:lvl>
  </w:abstractNum>
  <w:abstractNum w:abstractNumId="84">
    <w:nsid w:val="17A1B582"/>
    <w:multiLevelType w:val="hybridMultilevel"/>
    <w:lvl w:ilvl="0">
      <w:lvlJc w:val="left"/>
      <w:lvlText w:val="(%1)"/>
      <w:numFmt w:val="decimal"/>
      <w:start w:val="3"/>
    </w:lvl>
  </w:abstractNum>
  <w:abstractNum w:abstractNumId="85">
    <w:nsid w:val="4DF72E4E"/>
    <w:multiLevelType w:val="hybridMultilevel"/>
    <w:lvl w:ilvl="0">
      <w:lvlJc w:val="left"/>
      <w:lvlText w:val="(%1)"/>
      <w:numFmt w:val="decimal"/>
      <w:start w:val="1"/>
    </w:lvl>
  </w:abstractNum>
  <w:abstractNum w:abstractNumId="86">
    <w:nsid w:val="5046B5A9"/>
    <w:multiLevelType w:val="hybridMultilevel"/>
    <w:lvl w:ilvl="0">
      <w:lvlJc w:val="left"/>
      <w:lvlText w:val="(%1)"/>
      <w:numFmt w:val="decimal"/>
      <w:start w:val="1"/>
    </w:lvl>
  </w:abstractNum>
  <w:abstractNum w:abstractNumId="87">
    <w:nsid w:val="5D888A08"/>
    <w:multiLevelType w:val="hybridMultilevel"/>
    <w:lvl w:ilvl="0">
      <w:lvlJc w:val="left"/>
      <w:lvlText w:val="■"/>
      <w:numFmt w:val="bullet"/>
      <w:start w:val="1"/>
    </w:lvl>
  </w:abstractNum>
  <w:abstractNum w:abstractNumId="88">
    <w:nsid w:val="2A082C70"/>
    <w:multiLevelType w:val="hybridMultilevel"/>
    <w:lvl w:ilvl="0">
      <w:lvlJc w:val="left"/>
      <w:lvlText w:val="■"/>
      <w:numFmt w:val="bullet"/>
      <w:start w:val="1"/>
    </w:lvl>
  </w:abstractNum>
  <w:abstractNum w:abstractNumId="89">
    <w:nsid w:val="5EC6AFD4"/>
    <w:multiLevelType w:val="hybridMultilevel"/>
    <w:lvl w:ilvl="0">
      <w:lvlJc w:val="left"/>
      <w:lvlText w:val="■"/>
      <w:numFmt w:val="bullet"/>
      <w:start w:val="1"/>
    </w:lvl>
  </w:abstractNum>
  <w:abstractNum w:abstractNumId="90">
    <w:nsid w:val="19E21BB2"/>
    <w:multiLevelType w:val="hybridMultilevel"/>
    <w:lvl w:ilvl="0">
      <w:lvlJc w:val="left"/>
      <w:lvlText w:val="■"/>
      <w:numFmt w:val="bullet"/>
      <w:start w:val="1"/>
    </w:lvl>
  </w:abstractNum>
  <w:abstractNum w:abstractNumId="91">
    <w:nsid w:val="75E0858A"/>
    <w:multiLevelType w:val="hybridMultilevel"/>
    <w:lvl w:ilvl="0">
      <w:lvlJc w:val="left"/>
      <w:lvlText w:val="■"/>
      <w:numFmt w:val="bullet"/>
      <w:start w:val="1"/>
    </w:lvl>
  </w:abstractNum>
  <w:abstractNum w:abstractNumId="92">
    <w:nsid w:val="57A61A29"/>
    <w:multiLevelType w:val="hybridMultilevel"/>
    <w:lvl w:ilvl="0">
      <w:lvlJc w:val="left"/>
      <w:lvlText w:val="■"/>
      <w:numFmt w:val="bullet"/>
      <w:start w:val="1"/>
    </w:lvl>
  </w:abstractNum>
  <w:abstractNum w:abstractNumId="93">
    <w:nsid w:val="5399C654"/>
    <w:multiLevelType w:val="hybridMultilevel"/>
    <w:lvl w:ilvl="0">
      <w:lvlJc w:val="left"/>
      <w:lvlText w:val="■"/>
      <w:numFmt w:val="bullet"/>
      <w:start w:val="1"/>
    </w:lvl>
  </w:abstractNum>
  <w:abstractNum w:abstractNumId="94">
    <w:nsid w:val="20EE1348"/>
    <w:multiLevelType w:val="hybridMultilevel"/>
    <w:lvl w:ilvl="0">
      <w:lvlJc w:val="left"/>
      <w:lvlText w:val="■"/>
      <w:numFmt w:val="bullet"/>
      <w:start w:val="1"/>
    </w:lvl>
  </w:abstractNum>
  <w:abstractNum w:abstractNumId="95">
    <w:nsid w:val="4427069A"/>
    <w:multiLevelType w:val="hybridMultilevel"/>
    <w:lvl w:ilvl="0">
      <w:lvlJc w:val="left"/>
      <w:lvlText w:val="■"/>
      <w:numFmt w:val="bullet"/>
      <w:start w:val="1"/>
    </w:lvl>
  </w:abstractNum>
  <w:abstractNum w:abstractNumId="96">
    <w:nsid w:val="B37E80A"/>
    <w:multiLevelType w:val="hybridMultilevel"/>
    <w:lvl w:ilvl="0">
      <w:lvlJc w:val="left"/>
      <w:lvlText w:val="■"/>
      <w:numFmt w:val="bullet"/>
      <w:start w:val="1"/>
    </w:lvl>
  </w:abstractNum>
  <w:abstractNum w:abstractNumId="97">
    <w:nsid w:val="2157F6BC"/>
    <w:multiLevelType w:val="hybridMultilevel"/>
    <w:lvl w:ilvl="0">
      <w:lvlJc w:val="left"/>
      <w:lvlText w:val="■"/>
      <w:numFmt w:val="bullet"/>
      <w:start w:val="1"/>
    </w:lvl>
  </w:abstractNum>
  <w:abstractNum w:abstractNumId="98">
    <w:nsid w:val="704E1DD5"/>
    <w:multiLevelType w:val="hybridMultilevel"/>
    <w:lvl w:ilvl="0">
      <w:lvlJc w:val="left"/>
      <w:lvlText w:val="■"/>
      <w:numFmt w:val="bullet"/>
      <w:start w:val="1"/>
    </w:lvl>
  </w:abstractNum>
  <w:abstractNum w:abstractNumId="99">
    <w:nsid w:val="57D2F10E"/>
    <w:multiLevelType w:val="hybridMultilevel"/>
    <w:lvl w:ilvl="0">
      <w:lvlJc w:val="left"/>
      <w:lvlText w:val="■"/>
      <w:numFmt w:val="bullet"/>
      <w:start w:val="1"/>
    </w:lvl>
  </w:abstractNum>
  <w:abstractNum w:abstractNumId="100">
    <w:nsid w:val="BFFAE18"/>
    <w:multiLevelType w:val="hybridMultilevel"/>
    <w:lvl w:ilvl="0">
      <w:lvlJc w:val="left"/>
      <w:lvlText w:val="■"/>
      <w:numFmt w:val="bullet"/>
      <w:start w:val="1"/>
    </w:lvl>
  </w:abstractNum>
  <w:abstractNum w:abstractNumId="101">
    <w:nsid w:val="E3E47A8"/>
    <w:multiLevelType w:val="hybridMultilevel"/>
    <w:lvl w:ilvl="0">
      <w:lvlJc w:val="left"/>
      <w:lvlText w:val="(%1)"/>
      <w:numFmt w:val="lowerRoman"/>
      <w:start w:val="1"/>
    </w:lvl>
  </w:abstractNum>
  <w:abstractNum w:abstractNumId="102">
    <w:nsid w:val="2E48F044"/>
    <w:multiLevelType w:val="hybridMultilevel"/>
    <w:lvl w:ilvl="0">
      <w:lvlJc w:val="left"/>
      <w:lvlText w:val="(%1)"/>
      <w:numFmt w:val="decimal"/>
      <w:start w:val="1"/>
    </w:lvl>
  </w:abstractNum>
  <w:abstractNum w:abstractNumId="103">
    <w:nsid w:val="49D0FEAC"/>
    <w:multiLevelType w:val="hybridMultilevel"/>
    <w:lvl w:ilvl="0">
      <w:lvlJc w:val="left"/>
      <w:lvlText w:val="(%1)"/>
      <w:numFmt w:val="decimal"/>
      <w:start w:val="1"/>
    </w:lvl>
  </w:abstractNum>
  <w:abstractNum w:abstractNumId="104">
    <w:nsid w:val="4BEE5A5B"/>
    <w:multiLevelType w:val="hybridMultilevel"/>
    <w:lvl w:ilvl="0">
      <w:lvlJc w:val="left"/>
      <w:lvlText w:val="(%1)"/>
      <w:numFmt w:val="decimal"/>
      <w:start w:val="1"/>
    </w:lvl>
  </w:abstractNum>
  <w:abstractNum w:abstractNumId="105">
    <w:nsid w:val="5551B9F3"/>
    <w:multiLevelType w:val="hybridMultilevel"/>
    <w:lvl w:ilvl="0">
      <w:lvlJc w:val="left"/>
      <w:lvlText w:val="%1"/>
      <w:numFmt w:val="decimal"/>
      <w:start w:val="155"/>
    </w:lvl>
  </w:abstractNum>
  <w:abstractNum w:abstractNumId="106">
    <w:nsid w:val="24F6AB8E"/>
    <w:multiLevelType w:val="hybridMultilevel"/>
    <w:lvl w:ilvl="0">
      <w:lvlJc w:val="left"/>
      <w:lvlText w:val="(%1)"/>
      <w:numFmt w:val="decimal"/>
      <w:start w:val="1"/>
    </w:lvl>
  </w:abstractNum>
  <w:abstractNum w:abstractNumId="107">
    <w:nsid w:val="634C574C"/>
    <w:multiLevelType w:val="hybridMultilevel"/>
    <w:lvl w:ilvl="0">
      <w:lvlJc w:val="left"/>
      <w:lvlText w:val="(%1)"/>
      <w:numFmt w:val="decimal"/>
      <w:start w:val="1"/>
    </w:lvl>
  </w:abstractNum>
  <w:abstractNum w:abstractNumId="108">
    <w:nsid w:val="24E99DD7"/>
    <w:multiLevelType w:val="hybridMultilevel"/>
    <w:lvl w:ilvl="0">
      <w:lvlJc w:val="left"/>
      <w:lvlText w:val="■"/>
      <w:numFmt w:val="bullet"/>
      <w:start w:val="1"/>
    </w:lvl>
  </w:abstractNum>
  <w:abstractNum w:abstractNumId="109">
    <w:nsid w:val="2A31B62D"/>
    <w:multiLevelType w:val="hybridMultilevel"/>
    <w:lvl w:ilvl="0">
      <w:lvlJc w:val="left"/>
      <w:lvlText w:val="(%1)"/>
      <w:numFmt w:val="decimal"/>
      <w:start w:val="1"/>
    </w:lvl>
  </w:abstractNum>
  <w:abstractNum w:abstractNumId="110">
    <w:nsid w:val="1849C29B"/>
    <w:multiLevelType w:val="hybridMultilevel"/>
    <w:lvl w:ilvl="0">
      <w:lvlJc w:val="left"/>
      <w:lvlText w:val="(%1)"/>
      <w:numFmt w:val="decimal"/>
      <w:start w:val="2"/>
    </w:lvl>
  </w:abstractNum>
  <w:abstractNum w:abstractNumId="111">
    <w:nsid w:val="7DFF9D09"/>
    <w:multiLevelType w:val="hybridMultilevel"/>
    <w:lvl w:ilvl="0">
      <w:lvlJc w:val="left"/>
      <w:lvlText w:val="(%1)"/>
      <w:numFmt w:val="decimal"/>
      <w:start w:val="2"/>
    </w:lvl>
  </w:abstractNum>
  <w:abstractNum w:abstractNumId="112">
    <w:nsid w:val="754342"/>
    <w:multiLevelType w:val="hybridMultilevel"/>
    <w:lvl w:ilvl="0">
      <w:lvlJc w:val="left"/>
      <w:lvlText w:val="(%1)"/>
      <w:numFmt w:val="decimal"/>
      <w:start w:val="1"/>
    </w:lvl>
  </w:abstractNum>
  <w:abstractNum w:abstractNumId="113">
    <w:nsid w:val="69E7F3E5"/>
    <w:multiLevelType w:val="hybridMultilevel"/>
    <w:lvl w:ilvl="0">
      <w:lvlJc w:val="left"/>
      <w:lvlText w:val="(%1)"/>
      <w:numFmt w:val="decimal"/>
      <w:start w:val="1"/>
    </w:lvl>
  </w:abstractNum>
  <w:abstractNum w:abstractNumId="114">
    <w:nsid w:val="2A6DE806"/>
    <w:multiLevelType w:val="hybridMultilevel"/>
    <w:lvl w:ilvl="0">
      <w:lvlJc w:val="left"/>
      <w:lvlText w:val="(%1)"/>
      <w:numFmt w:val="decimal"/>
      <w:start w:val="1"/>
    </w:lvl>
  </w:abstractNum>
  <w:abstractNum w:abstractNumId="115">
    <w:nsid w:val="1816F8C4"/>
    <w:multiLevelType w:val="hybridMultilevel"/>
    <w:lvl w:ilvl="0">
      <w:lvlJc w:val="left"/>
      <w:lvlText w:val="(%1)"/>
      <w:numFmt w:val="decimal"/>
      <w:start w:val="1"/>
    </w:lvl>
  </w:abstractNum>
  <w:abstractNum w:abstractNumId="116">
    <w:nsid w:val="37DF2233"/>
    <w:multiLevelType w:val="hybridMultilevel"/>
    <w:lvl w:ilvl="0">
      <w:lvlJc w:val="left"/>
      <w:lvlText w:val="■"/>
      <w:numFmt w:val="bullet"/>
      <w:start w:val="1"/>
    </w:lvl>
  </w:abstractNum>
  <w:abstractNum w:abstractNumId="117">
    <w:nsid w:val="7AB49DAF"/>
    <w:multiLevelType w:val="hybridMultilevel"/>
    <w:lvl w:ilvl="0">
      <w:lvlJc w:val="left"/>
      <w:lvlText w:val="■"/>
      <w:numFmt w:val="bullet"/>
      <w:start w:val="1"/>
    </w:lvl>
  </w:abstractNum>
  <w:abstractNum w:abstractNumId="118">
    <w:nsid w:val="759F82CD"/>
    <w:multiLevelType w:val="hybridMultilevel"/>
    <w:lvl w:ilvl="0">
      <w:lvlJc w:val="left"/>
      <w:lvlText w:val="(%1)"/>
      <w:numFmt w:val="decimal"/>
      <w:start w:val="1"/>
    </w:lvl>
  </w:abstractNum>
  <w:abstractNum w:abstractNumId="119">
    <w:nsid w:val="61E74EA3"/>
    <w:multiLevelType w:val="hybridMultilevel"/>
    <w:lvl w:ilvl="0">
      <w:lvlJc w:val="left"/>
      <w:lvlText w:val="(%1)"/>
      <w:numFmt w:val="decimal"/>
      <w:start w:val="1"/>
    </w:lvl>
  </w:abstractNum>
  <w:abstractNum w:abstractNumId="120">
    <w:nsid w:val="597B4D84"/>
    <w:multiLevelType w:val="hybridMultilevel"/>
    <w:lvl w:ilvl="0">
      <w:lvlJc w:val="left"/>
      <w:lvlText w:val="(%1)"/>
      <w:numFmt w:val="decimal"/>
      <w:start w:val="1"/>
    </w:lvl>
  </w:abstractNum>
  <w:abstractNum w:abstractNumId="121">
    <w:nsid w:val="F819E7F"/>
    <w:multiLevelType w:val="hybridMultilevel"/>
    <w:lvl w:ilvl="0">
      <w:lvlJc w:val="left"/>
      <w:lvlText w:val="(%1)"/>
      <w:numFmt w:val="decimal"/>
      <w:start w:val="1"/>
    </w:lvl>
  </w:abstractNum>
  <w:abstractNum w:abstractNumId="122">
    <w:nsid w:val="57C7D42D"/>
    <w:multiLevelType w:val="hybridMultilevel"/>
    <w:lvl w:ilvl="0">
      <w:lvlJc w:val="left"/>
      <w:lvlText w:val="(%1)"/>
      <w:numFmt w:val="decimal"/>
      <w:start w:val="1"/>
    </w:lvl>
  </w:abstractNum>
  <w:abstractNum w:abstractNumId="123">
    <w:nsid w:val="312167AD"/>
    <w:multiLevelType w:val="hybridMultilevel"/>
    <w:lvl w:ilvl="0">
      <w:lvlJc w:val="left"/>
      <w:lvlText w:val="(%1)"/>
      <w:numFmt w:val="decimal"/>
      <w:start w:val="1"/>
    </w:lvl>
  </w:abstractNum>
  <w:abstractNum w:abstractNumId="124">
    <w:nsid w:val="631B64D4"/>
    <w:multiLevelType w:val="hybridMultilevel"/>
    <w:lvl w:ilvl="0">
      <w:lvlJc w:val="left"/>
      <w:lvlText w:val="(%1)"/>
      <w:numFmt w:val="decimal"/>
      <w:start w:val="1"/>
    </w:lvl>
  </w:abstractNum>
  <w:abstractNum w:abstractNumId="125">
    <w:nsid w:val="78B5E776"/>
    <w:multiLevelType w:val="hybridMultilevel"/>
    <w:lvl w:ilvl="0">
      <w:lvlJc w:val="left"/>
      <w:lvlText w:val="■"/>
      <w:numFmt w:val="bullet"/>
      <w:start w:val="1"/>
    </w:lvl>
  </w:abstractNum>
  <w:abstractNum w:abstractNumId="126">
    <w:nsid w:val="75486E47"/>
    <w:multiLevelType w:val="hybridMultilevel"/>
    <w:lvl w:ilvl="0">
      <w:lvlJc w:val="left"/>
      <w:lvlText w:val="(%1)"/>
      <w:numFmt w:val="decimal"/>
      <w:start w:val="1"/>
    </w:lvl>
  </w:abstractNum>
  <w:abstractNum w:abstractNumId="127">
    <w:nsid w:val="6E534CDE"/>
    <w:multiLevelType w:val="hybridMultilevel"/>
    <w:lvl w:ilvl="0">
      <w:lvlJc w:val="left"/>
      <w:lvlText w:val="%1)"/>
      <w:numFmt w:val="lowerLetter"/>
      <w:start w:val="1"/>
    </w:lvl>
  </w:abstractNum>
  <w:abstractNum w:abstractNumId="128">
    <w:nsid w:val="1A0DDE32"/>
    <w:multiLevelType w:val="hybridMultilevel"/>
    <w:lvl w:ilvl="0">
      <w:lvlJc w:val="left"/>
      <w:lvlText w:val="(%1)"/>
      <w:numFmt w:val="decimal"/>
      <w:start w:val="1"/>
    </w:lvl>
  </w:abstractNum>
  <w:abstractNum w:abstractNumId="129">
    <w:nsid w:val="65968C1C"/>
    <w:multiLevelType w:val="hybridMultilevel"/>
    <w:lvl w:ilvl="0">
      <w:lvlJc w:val="left"/>
      <w:lvlText w:val="(%1)"/>
      <w:numFmt w:val="decimal"/>
      <w:start w:val="2"/>
    </w:lvl>
  </w:abstractNum>
  <w:abstractNum w:abstractNumId="130">
    <w:nsid w:val="46263DEC"/>
    <w:multiLevelType w:val="hybridMultilevel"/>
    <w:lvl w:ilvl="0">
      <w:lvlJc w:val="left"/>
      <w:lvlText w:val="%1"/>
      <w:numFmt w:val="decimal"/>
      <w:start w:val="50"/>
    </w:lvl>
  </w:abstractNum>
  <w:abstractNum w:abstractNumId="131">
    <w:nsid w:val="260D8C4A"/>
    <w:multiLevelType w:val="hybridMultilevel"/>
    <w:lvl w:ilvl="0">
      <w:lvlJc w:val="left"/>
      <w:lvlText w:val="(%1)"/>
      <w:numFmt w:val="decimal"/>
      <w:start w:val="1"/>
    </w:lvl>
  </w:abstractNum>
  <w:abstractNum w:abstractNumId="132">
    <w:nsid w:val="73D4D3C4"/>
    <w:multiLevelType w:val="hybridMultilevel"/>
    <w:lvl w:ilvl="0">
      <w:lvlJc w:val="left"/>
      <w:lvlText w:val="(%1)"/>
      <w:numFmt w:val="decimal"/>
      <w:start w:val="1"/>
    </w:lvl>
  </w:abstractNum>
  <w:abstractNum w:abstractNumId="133">
    <w:nsid w:val="746F2E30"/>
    <w:multiLevelType w:val="hybridMultilevel"/>
    <w:lvl w:ilvl="0">
      <w:lvlJc w:val="left"/>
      <w:lvlText w:val="(%1)"/>
      <w:numFmt w:val="decimal"/>
      <w:start w:val="1"/>
    </w:lvl>
  </w:abstractNum>
  <w:abstractNum w:abstractNumId="134">
    <w:nsid w:val="6FDE8AF6"/>
    <w:multiLevelType w:val="hybridMultilevel"/>
    <w:lvl w:ilvl="0">
      <w:lvlJc w:val="left"/>
      <w:lvlText w:val="(%1)"/>
      <w:numFmt w:val="decimal"/>
      <w:start w:val="5"/>
    </w:lvl>
  </w:abstractNum>
  <w:abstractNum w:abstractNumId="135">
    <w:nsid w:val="3FC32E20"/>
    <w:multiLevelType w:val="hybridMultilevel"/>
    <w:lvl w:ilvl="0">
      <w:lvlJc w:val="left"/>
      <w:lvlText w:val="(%1)"/>
      <w:numFmt w:val="decimal"/>
      <w:start w:val="1"/>
    </w:lvl>
  </w:abstractNum>
  <w:abstractNum w:abstractNumId="136">
    <w:nsid w:val="49C0E823"/>
    <w:multiLevelType w:val="hybridMultilevel"/>
    <w:lvl w:ilvl="0">
      <w:lvlJc w:val="left"/>
      <w:lvlText w:val="(%1)"/>
      <w:numFmt w:val="decimal"/>
      <w:start w:val="1"/>
    </w:lvl>
  </w:abstractNum>
  <w:abstractNum w:abstractNumId="137">
    <w:nsid w:val="14D53685"/>
    <w:multiLevelType w:val="hybridMultilevel"/>
    <w:lvl w:ilvl="0">
      <w:lvlJc w:val="left"/>
      <w:lvlText w:val="(%1)"/>
      <w:numFmt w:val="decimal"/>
      <w:start w:val="1"/>
    </w:lvl>
  </w:abstractNum>
  <w:abstractNum w:abstractNumId="138">
    <w:nsid w:val="230F856C"/>
    <w:multiLevelType w:val="hybridMultilevel"/>
    <w:lvl w:ilvl="0">
      <w:lvlJc w:val="left"/>
      <w:lvlText w:val="(%1)"/>
      <w:numFmt w:val="decimal"/>
      <w:start w:val="1"/>
    </w:lvl>
  </w:abstractNum>
  <w:abstractNum w:abstractNumId="139">
    <w:nsid w:val="6EAA85FB"/>
    <w:multiLevelType w:val="hybridMultilevel"/>
    <w:lvl w:ilvl="0">
      <w:lvlJc w:val="left"/>
      <w:lvlText w:val="(%1)"/>
      <w:numFmt w:val="decimal"/>
      <w:start w:val="2"/>
    </w:lvl>
  </w:abstractNum>
  <w:abstractNum w:abstractNumId="140">
    <w:nsid w:val="3F06ECB2"/>
    <w:multiLevelType w:val="hybridMultilevel"/>
    <w:lvl w:ilvl="0">
      <w:lvlJc w:val="left"/>
      <w:lvlText w:val="(%1)"/>
      <w:numFmt w:val="decimal"/>
      <w:start w:val="1"/>
    </w:lvl>
  </w:abstractNum>
  <w:abstractNum w:abstractNumId="141">
    <w:nsid w:val="3B594807"/>
    <w:multiLevelType w:val="hybridMultilevel"/>
    <w:lvl w:ilvl="0">
      <w:lvlJc w:val="left"/>
      <w:lvlText w:val="(%1)"/>
      <w:numFmt w:val="decimal"/>
      <w:start w:val="1"/>
    </w:lvl>
  </w:abstractNum>
  <w:abstractNum w:abstractNumId="142">
    <w:nsid w:val="6CAA2304"/>
    <w:multiLevelType w:val="hybridMultilevel"/>
    <w:lvl w:ilvl="0">
      <w:lvlJc w:val="left"/>
      <w:lvlText w:val="(%1)"/>
      <w:numFmt w:val="decimal"/>
      <w:start w:val="3"/>
    </w:lvl>
  </w:abstractNum>
  <w:abstractNum w:abstractNumId="143">
    <w:nsid w:val="3F7C2FF4"/>
    <w:multiLevelType w:val="hybridMultilevel"/>
    <w:lvl w:ilvl="0">
      <w:lvlJc w:val="left"/>
      <w:lvlText w:val="(%1)"/>
      <w:numFmt w:val="decimal"/>
      <w:start w:val="1"/>
    </w:lvl>
  </w:abstractNum>
  <w:abstractNum w:abstractNumId="144">
    <w:nsid w:val="25413BEC"/>
    <w:multiLevelType w:val="hybridMultilevel"/>
    <w:lvl w:ilvl="0">
      <w:lvlJc w:val="left"/>
      <w:lvlText w:val="%1"/>
      <w:numFmt w:val="decimal"/>
      <w:start w:val="615"/>
    </w:lvl>
  </w:abstractNum>
  <w:abstractNum w:abstractNumId="145">
    <w:nsid w:val="17180B0B"/>
    <w:multiLevelType w:val="hybridMultilevel"/>
    <w:lvl w:ilvl="0">
      <w:lvlJc w:val="left"/>
      <w:lvlText w:val="%1"/>
      <w:numFmt w:val="decimal"/>
      <w:start w:val="325"/>
    </w:lvl>
  </w:abstractNum>
  <w:abstractNum w:abstractNumId="146">
    <w:nsid w:val="579328B9"/>
    <w:multiLevelType w:val="hybridMultilevel"/>
    <w:lvl w:ilvl="0">
      <w:lvlJc w:val="left"/>
      <w:lvlText w:val="%1"/>
      <w:numFmt w:val="decimal"/>
      <w:start w:val="35"/>
    </w:lvl>
  </w:abstractNum>
  <w:abstractNum w:abstractNumId="147">
    <w:nsid w:val="5D205E20"/>
    <w:multiLevelType w:val="hybridMultilevel"/>
    <w:lvl w:ilvl="0">
      <w:lvlJc w:val="left"/>
      <w:lvlText w:val="(%1)"/>
      <w:numFmt w:val="decimal"/>
      <w:start w:val="1"/>
    </w:lvl>
  </w:abstractNum>
  <w:abstractNum w:abstractNumId="148">
    <w:nsid w:val="11CCA8BA"/>
    <w:multiLevelType w:val="hybridMultilevel"/>
    <w:lvl w:ilvl="0">
      <w:lvlJc w:val="left"/>
      <w:lvlText w:val="(%1)"/>
      <w:numFmt w:val="decimal"/>
      <w:start w:val="4"/>
    </w:lvl>
  </w:abstractNum>
  <w:abstractNum w:abstractNumId="149">
    <w:nsid w:val="4D32AB86"/>
    <w:multiLevelType w:val="hybridMultilevel"/>
    <w:lvl w:ilvl="0">
      <w:lvlJc w:val="left"/>
      <w:lvlText w:val="(%1)"/>
      <w:numFmt w:val="decimal"/>
      <w:start w:val="2"/>
    </w:lvl>
  </w:abstractNum>
  <w:abstractNum w:abstractNumId="150">
    <w:nsid w:val="3F07ACC3"/>
    <w:multiLevelType w:val="hybridMultilevel"/>
    <w:lvl w:ilvl="0">
      <w:lvlJc w:val="left"/>
      <w:lvlText w:val="(%1)"/>
      <w:numFmt w:val="decimal"/>
      <w:start w:val="1"/>
    </w:lvl>
  </w:abstractNum>
  <w:abstractNum w:abstractNumId="151">
    <w:nsid w:val="6B47F63E"/>
    <w:multiLevelType w:val="hybridMultilevel"/>
    <w:lvl w:ilvl="0">
      <w:lvlJc w:val="left"/>
      <w:lvlText w:val="(%1)"/>
      <w:numFmt w:val="decimal"/>
      <w:start w:val="4"/>
    </w:lvl>
  </w:abstractNum>
  <w:abstractNum w:abstractNumId="152">
    <w:nsid w:val="5CB44A05"/>
    <w:multiLevelType w:val="hybridMultilevel"/>
    <w:lvl w:ilvl="0">
      <w:lvlJc w:val="left"/>
      <w:lvlText w:val="■"/>
      <w:numFmt w:val="bullet"/>
      <w:start w:val="1"/>
    </w:lvl>
  </w:abstractNum>
  <w:abstractNum w:abstractNumId="153">
    <w:nsid w:val="16CF80F1"/>
    <w:multiLevelType w:val="hybridMultilevel"/>
    <w:lvl w:ilvl="0">
      <w:lvlJc w:val="left"/>
      <w:lvlText w:val="■"/>
      <w:numFmt w:val="bullet"/>
      <w:start w:val="1"/>
    </w:lvl>
  </w:abstractNum>
  <w:abstractNum w:abstractNumId="154">
    <w:nsid w:val="1C695DEC"/>
    <w:multiLevelType w:val="hybridMultilevel"/>
    <w:lvl w:ilvl="0">
      <w:lvlJc w:val="left"/>
      <w:lvlText w:val="■"/>
      <w:numFmt w:val="bullet"/>
      <w:start w:val="1"/>
    </w:lvl>
  </w:abstractNum>
  <w:abstractNum w:abstractNumId="155">
    <w:nsid w:val="3FCFAED9"/>
    <w:multiLevelType w:val="hybridMultilevel"/>
    <w:lvl w:ilvl="0">
      <w:lvlJc w:val="left"/>
      <w:lvlText w:val="1"/>
      <w:numFmt w:val="bullet"/>
      <w:start w:val="1"/>
    </w:lvl>
  </w:abstractNum>
  <w:abstractNum w:abstractNumId="156">
    <w:nsid w:val="F856867"/>
    <w:multiLevelType w:val="hybridMultilevel"/>
    <w:lvl w:ilvl="0">
      <w:lvlJc w:val="left"/>
      <w:lvlText w:val="8"/>
      <w:numFmt w:val="bullet"/>
      <w:start w:val="1"/>
    </w:lvl>
  </w:abstractNum>
  <w:abstractNum w:abstractNumId="157">
    <w:nsid w:val="11B1CC33"/>
    <w:multiLevelType w:val="hybridMultilevel"/>
    <w:lvl w:ilvl="0">
      <w:lvlJc w:val="left"/>
      <w:lvlText w:val="%1"/>
      <w:numFmt w:val="decimal"/>
      <w:start w:val="11"/>
    </w:lvl>
  </w:abstractNum>
  <w:abstractNum w:abstractNumId="158">
    <w:nsid w:val="2E22FBB7"/>
    <w:multiLevelType w:val="hybridMultilevel"/>
    <w:lvl w:ilvl="0">
      <w:lvlJc w:val="left"/>
      <w:lvlText w:val="%1"/>
      <w:numFmt w:val="decimal"/>
      <w:start w:val="13"/>
    </w:lvl>
  </w:abstractNum>
  <w:abstractNum w:abstractNumId="159">
    <w:nsid w:val="29934699"/>
    <w:multiLevelType w:val="hybridMultilevel"/>
    <w:lvl w:ilvl="0">
      <w:lvlJc w:val="left"/>
      <w:lvlText w:val="%1"/>
      <w:numFmt w:val="decimal"/>
      <w:start w:val="104"/>
    </w:lvl>
  </w:abstractNum>
  <w:abstractNum w:abstractNumId="160">
    <w:nsid w:val="77485850"/>
    <w:multiLevelType w:val="hybridMultilevel"/>
    <w:lvl w:ilvl="0">
      <w:lvlJc w:val="left"/>
      <w:lvlText w:val="%1."/>
      <w:numFmt w:val="decimal"/>
      <w:start w:val="1"/>
    </w:lvl>
    <w:lvl w:ilvl="1">
      <w:lvlJc w:val="left"/>
      <w:lvlText w:val="%2."/>
      <w:numFmt w:val="lowerLetter"/>
      <w:start w:val="1"/>
    </w:lvl>
  </w:abstractNum>
  <w:abstractNum w:abstractNumId="161">
    <w:nsid w:val="744939A3"/>
    <w:multiLevelType w:val="hybridMultilevel"/>
    <w:lvl w:ilvl="0">
      <w:lvlJc w:val="left"/>
      <w:lvlText w:val="%1."/>
      <w:numFmt w:val="decimal"/>
      <w:start w:val="1"/>
    </w:lvl>
    <w:lvl w:ilvl="1">
      <w:lvlJc w:val="left"/>
      <w:lvlText w:val="%2."/>
      <w:numFmt w:val="lowerLetter"/>
      <w:start w:val="1"/>
    </w:lvl>
  </w:abstractNum>
  <w:abstractNum w:abstractNumId="162">
    <w:nsid w:val="4FA0D2E3"/>
    <w:multiLevelType w:val="hybridMultilevel"/>
    <w:lvl w:ilvl="0">
      <w:lvlJc w:val="left"/>
      <w:lvlText w:val="%1."/>
      <w:numFmt w:val="decimal"/>
      <w:start w:val="1"/>
    </w:lvl>
  </w:abstractNum>
  <w:abstractNum w:abstractNumId="163">
    <w:nsid w:val="6B1D2C14"/>
    <w:multiLevelType w:val="hybridMultilevel"/>
    <w:lvl w:ilvl="0">
      <w:lvlJc w:val="left"/>
      <w:lvlText w:val="%1)"/>
      <w:numFmt w:val="lowerLetter"/>
      <w:start w:val="2"/>
    </w:lvl>
  </w:abstractNum>
  <w:abstractNum w:abstractNumId="164">
    <w:nsid w:val="68B867D3"/>
    <w:multiLevelType w:val="hybridMultilevel"/>
    <w:lvl w:ilvl="0">
      <w:lvlJc w:val="left"/>
      <w:lvlText w:val="1"/>
      <w:numFmt w:val="bullet"/>
      <w:start w:val="1"/>
    </w:lvl>
  </w:abstractNum>
  <w:abstractNum w:abstractNumId="165">
    <w:nsid w:val="3F7F5DD9"/>
    <w:multiLevelType w:val="hybridMultilevel"/>
    <w:lvl w:ilvl="0">
      <w:lvlJc w:val="left"/>
      <w:lvlText w:val="%1)"/>
      <w:numFmt w:val="lowerLetter"/>
      <w:start w:val="6"/>
    </w:lvl>
  </w:abstractNum>
  <w:abstractNum w:abstractNumId="166">
    <w:nsid w:val="2AE05A34"/>
    <w:multiLevelType w:val="hybridMultilevel"/>
    <w:lvl w:ilvl="0">
      <w:lvlJc w:val="left"/>
      <w:lvlText w:val="%1"/>
      <w:numFmt w:val="decimal"/>
      <w:start w:val="1"/>
    </w:lvl>
    <w:lvl w:ilvl="1">
      <w:lvlJc w:val="left"/>
      <w:lvlText w:val="%2)"/>
      <w:numFmt w:val="lowerLetter"/>
      <w:start w:val="13"/>
    </w:lvl>
  </w:abstractNum>
  <w:abstractNum w:abstractNumId="167">
    <w:nsid w:val="32794FF7"/>
    <w:multiLevelType w:val="hybridMultilevel"/>
    <w:lvl w:ilvl="0">
      <w:lvlJc w:val="left"/>
      <w:lvlText w:val="%1."/>
      <w:numFmt w:val="decimal"/>
      <w:start w:val="2"/>
    </w:lvl>
    <w:lvl w:ilvl="1">
      <w:lvlJc w:val="left"/>
      <w:lvlText w:val="%2"/>
      <w:numFmt w:val="lowerLetter"/>
      <w:start w:val="1"/>
    </w:lvl>
  </w:abstractNum>
  <w:abstractNum w:abstractNumId="168">
    <w:nsid w:val="5454945E"/>
    <w:multiLevelType w:val="hybridMultilevel"/>
    <w:lvl w:ilvl="0">
      <w:lvlJc w:val="left"/>
      <w:lvlText w:val="(%1)"/>
      <w:numFmt w:val="lowerRoman"/>
      <w:start w:val="3"/>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eastAsiaTheme="minorEastAsia"/>
        <w:sz w:val="22"/>
        <w:szCs w:val="22"/>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Layout w:type="fixed"/>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 Id="rId7" Type="http://schemas.openxmlformats.org/officeDocument/2006/relationships/numbering" Target="numbering.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png"/><Relationship Id="rId164" Type="http://schemas.openxmlformats.org/officeDocument/2006/relationships/image" Target="media/image157.png"/><Relationship Id="rId165" Type="http://schemas.openxmlformats.org/officeDocument/2006/relationships/image" Target="media/image158.png"/><Relationship Id="rId166" Type="http://schemas.openxmlformats.org/officeDocument/2006/relationships/image" Target="media/image159.pn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image" Target="media/image164.png"/><Relationship Id="rId172" Type="http://schemas.openxmlformats.org/officeDocument/2006/relationships/image" Target="media/image165.png"/><Relationship Id="rId173" Type="http://schemas.openxmlformats.org/officeDocument/2006/relationships/image" Target="media/image166.png"/><Relationship Id="rId174" Type="http://schemas.openxmlformats.org/officeDocument/2006/relationships/image" Target="media/image167.png"/><Relationship Id="rId175" Type="http://schemas.openxmlformats.org/officeDocument/2006/relationships/image" Target="media/image168.png"/><Relationship Id="rId176" Type="http://schemas.openxmlformats.org/officeDocument/2006/relationships/image" Target="media/image169.png"/><Relationship Id="rId177" Type="http://schemas.openxmlformats.org/officeDocument/2006/relationships/image" Target="media/image170.png"/><Relationship Id="rId178" Type="http://schemas.openxmlformats.org/officeDocument/2006/relationships/image" Target="media/image171.png"/><Relationship Id="rId179" Type="http://schemas.openxmlformats.org/officeDocument/2006/relationships/image" Target="media/image172.png"/><Relationship Id="rId180" Type="http://schemas.openxmlformats.org/officeDocument/2006/relationships/image" Target="media/image173.png"/><Relationship Id="rId181" Type="http://schemas.openxmlformats.org/officeDocument/2006/relationships/image" Target="media/image174.png"/><Relationship Id="rId182" Type="http://schemas.openxmlformats.org/officeDocument/2006/relationships/image" Target="media/image175.png"/><Relationship Id="rId183" Type="http://schemas.openxmlformats.org/officeDocument/2006/relationships/image" Target="media/image176.png"/><Relationship Id="rId184" Type="http://schemas.openxmlformats.org/officeDocument/2006/relationships/image" Target="media/image177.png"/><Relationship Id="rId185" Type="http://schemas.openxmlformats.org/officeDocument/2006/relationships/image" Target="media/image178.png"/><Relationship Id="rId186" Type="http://schemas.openxmlformats.org/officeDocument/2006/relationships/image" Target="media/image179.png"/><Relationship Id="rId187" Type="http://schemas.openxmlformats.org/officeDocument/2006/relationships/image" Target="media/image180.png"/><Relationship Id="rId188" Type="http://schemas.openxmlformats.org/officeDocument/2006/relationships/image" Target="media/image181.png"/><Relationship Id="rId189" Type="http://schemas.openxmlformats.org/officeDocument/2006/relationships/image" Target="media/image182.png"/><Relationship Id="rId190" Type="http://schemas.openxmlformats.org/officeDocument/2006/relationships/image" Target="media/image183.png"/><Relationship Id="rId191" Type="http://schemas.openxmlformats.org/officeDocument/2006/relationships/image" Target="media/image184.png"/><Relationship Id="rId192" Type="http://schemas.openxmlformats.org/officeDocument/2006/relationships/image" Target="media/image185.png"/><Relationship Id="rId193" Type="http://schemas.openxmlformats.org/officeDocument/2006/relationships/image" Target="media/image186.png"/><Relationship Id="rId194" Type="http://schemas.openxmlformats.org/officeDocument/2006/relationships/image" Target="media/image187.png"/><Relationship Id="rId195" Type="http://schemas.openxmlformats.org/officeDocument/2006/relationships/image" Target="media/image188.png"/><Relationship Id="rId196" Type="http://schemas.openxmlformats.org/officeDocument/2006/relationships/image" Target="media/image189.png"/><Relationship Id="rId197" Type="http://schemas.openxmlformats.org/officeDocument/2006/relationships/image" Target="media/image190.png"/><Relationship Id="rId198" Type="http://schemas.openxmlformats.org/officeDocument/2006/relationships/image" Target="media/image191.png"/><Relationship Id="rId199" Type="http://schemas.openxmlformats.org/officeDocument/2006/relationships/image" Target="media/image192.png"/><Relationship Id="rId200" Type="http://schemas.openxmlformats.org/officeDocument/2006/relationships/image" Target="media/image193.png"/><Relationship Id="rId201" Type="http://schemas.openxmlformats.org/officeDocument/2006/relationships/image" Target="media/image194.png"/><Relationship Id="rId202" Type="http://schemas.openxmlformats.org/officeDocument/2006/relationships/image" Target="media/image195.png"/><Relationship Id="rId203" Type="http://schemas.openxmlformats.org/officeDocument/2006/relationships/image" Target="media/image196.png"/><Relationship Id="rId204" Type="http://schemas.openxmlformats.org/officeDocument/2006/relationships/image" Target="media/image197.png"/><Relationship Id="rId205" Type="http://schemas.openxmlformats.org/officeDocument/2006/relationships/image" Target="media/image198.png"/><Relationship Id="rId206" Type="http://schemas.openxmlformats.org/officeDocument/2006/relationships/image" Target="media/image199.png"/><Relationship Id="rId207" Type="http://schemas.openxmlformats.org/officeDocument/2006/relationships/image" Target="media/image200.png"/><Relationship Id="rId208" Type="http://schemas.openxmlformats.org/officeDocument/2006/relationships/image" Target="media/image201.png"/><Relationship Id="rId209" Type="http://schemas.openxmlformats.org/officeDocument/2006/relationships/image" Target="media/image202.png"/><Relationship Id="rId210" Type="http://schemas.openxmlformats.org/officeDocument/2006/relationships/image" Target="media/image203.png"/><Relationship Id="rId211" Type="http://schemas.openxmlformats.org/officeDocument/2006/relationships/image" Target="media/image204.png"/><Relationship Id="rId212" Type="http://schemas.openxmlformats.org/officeDocument/2006/relationships/image" Target="media/image205.png"/><Relationship Id="rId213" Type="http://schemas.openxmlformats.org/officeDocument/2006/relationships/image" Target="media/image206.png"/><Relationship Id="rId214" Type="http://schemas.openxmlformats.org/officeDocument/2006/relationships/image" Target="media/image207.png"/><Relationship Id="rId215" Type="http://schemas.openxmlformats.org/officeDocument/2006/relationships/image" Target="media/image208.png"/><Relationship Id="rId216" Type="http://schemas.openxmlformats.org/officeDocument/2006/relationships/image" Target="media/image209.png"/><Relationship Id="rId217" Type="http://schemas.openxmlformats.org/officeDocument/2006/relationships/image" Target="media/image210.png"/><Relationship Id="rId218" Type="http://schemas.openxmlformats.org/officeDocument/2006/relationships/image" Target="media/image211.png"/><Relationship Id="rId219" Type="http://schemas.openxmlformats.org/officeDocument/2006/relationships/image" Target="media/image212.png"/><Relationship Id="rId220" Type="http://schemas.openxmlformats.org/officeDocument/2006/relationships/image" Target="media/image213.png"/><Relationship Id="rId221" Type="http://schemas.openxmlformats.org/officeDocument/2006/relationships/image" Target="media/image214.png"/><Relationship Id="rId222" Type="http://schemas.openxmlformats.org/officeDocument/2006/relationships/image" Target="media/image215.png"/><Relationship Id="rId223" Type="http://schemas.openxmlformats.org/officeDocument/2006/relationships/image" Target="media/image216.png"/><Relationship Id="rId224" Type="http://schemas.openxmlformats.org/officeDocument/2006/relationships/image" Target="media/image217.png"/><Relationship Id="rId225" Type="http://schemas.openxmlformats.org/officeDocument/2006/relationships/image" Target="media/image218.png"/><Relationship Id="rId226" Type="http://schemas.openxmlformats.org/officeDocument/2006/relationships/image" Target="media/image219.png"/><Relationship Id="rId229" Type="http://schemas.openxmlformats.org/officeDocument/2006/relationships/image" Target="media/image220.png"/><Relationship Id="rId230" Type="http://schemas.openxmlformats.org/officeDocument/2006/relationships/image" Target="media/image221.png"/><Relationship Id="rId231" Type="http://schemas.openxmlformats.org/officeDocument/2006/relationships/image" Target="media/image222.png"/><Relationship Id="rId232" Type="http://schemas.openxmlformats.org/officeDocument/2006/relationships/image" Target="media/image223.png"/><Relationship Id="rId233" Type="http://schemas.openxmlformats.org/officeDocument/2006/relationships/image" Target="media/image224.png"/><Relationship Id="rId234" Type="http://schemas.openxmlformats.org/officeDocument/2006/relationships/image" Target="media/image225.png"/><Relationship Id="rId235" Type="http://schemas.openxmlformats.org/officeDocument/2006/relationships/image" Target="media/image226.png"/><Relationship Id="rId236" Type="http://schemas.openxmlformats.org/officeDocument/2006/relationships/image" Target="media/image227.png"/><Relationship Id="rId237" Type="http://schemas.openxmlformats.org/officeDocument/2006/relationships/image" Target="media/image228.png"/><Relationship Id="rId238" Type="http://schemas.openxmlformats.org/officeDocument/2006/relationships/image" Target="media/image229.png"/><Relationship Id="rId239" Type="http://schemas.openxmlformats.org/officeDocument/2006/relationships/image" Target="media/image230.png"/><Relationship Id="rId240" Type="http://schemas.openxmlformats.org/officeDocument/2006/relationships/image" Target="media/image231.png"/><Relationship Id="rId241" Type="http://schemas.openxmlformats.org/officeDocument/2006/relationships/image" Target="media/image232.png"/><Relationship Id="rId242" Type="http://schemas.openxmlformats.org/officeDocument/2006/relationships/image" Target="media/image233.png"/><Relationship Id="rId227" Type="http://schemas.openxmlformats.org/officeDocument/2006/relationships/hyperlink" Target="http://www.sec.gov/Archives/edgar/data/924613/000119312517093200/d283248dex1.htm#Exhibit:http://www.sec.gov/Archives/edgar/data/924613/000119312517093200/d283248dex1.htm" TargetMode="External"/><Relationship Id="rId228" Type="http://schemas.openxmlformats.org/officeDocument/2006/relationships/hyperlink" Target="https://www.sec.gov/Archives/edgar/data/924613/000155837019002343/nok-20181231xex11.htm" TargetMode="External"/></Relationships>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cp:revision>
  <dcterms:created xsi:type="dcterms:W3CDTF">2024-03-13T14:15:05Z</dcterms:created>
  <dcterms:modified xsi:type="dcterms:W3CDTF">2024-03-13T14:15:05Z</dcterms:modified>
</cp:coreProperties>
</file>