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4"/>
        <w:spacing w:after="0"/>
        <w:rPr>
          <w:sz w:val="20"/>
          <w:szCs w:val="20"/>
          <w:color w:val="auto"/>
        </w:rPr>
      </w:pPr>
      <w:r>
        <w:rPr>
          <w:rFonts w:ascii="Arial" w:cs="Arial" w:eastAsia="Arial" w:hAnsi="Arial"/>
          <w:sz w:val="18"/>
          <w:szCs w:val="18"/>
          <w:color w:val="auto"/>
        </w:rPr>
        <w:t>As filed with the Securities and Exchange Commission on June 29,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001-13202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208280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636"/>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636"/>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0"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FORM 11-K</w:t>
      </w:r>
    </w:p>
    <w:p>
      <w:pPr>
        <w:spacing w:after="0" w:line="225" w:lineRule="exact"/>
        <w:rPr>
          <w:sz w:val="24"/>
          <w:szCs w:val="24"/>
          <w:color w:val="auto"/>
        </w:rPr>
      </w:pPr>
    </w:p>
    <w:p>
      <w:pPr>
        <w:ind w:left="3404" w:right="3140" w:hanging="920"/>
        <w:spacing w:after="0" w:line="261" w:lineRule="auto"/>
        <w:tabs>
          <w:tab w:leader="none" w:pos="2722"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15(d) OF THE SECURITIES EXCHANGE ACT OF 1934</w:t>
      </w:r>
    </w:p>
    <w:p>
      <w:pPr>
        <w:ind w:left="3384"/>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fiscal year ended December 31, 2016</w:t>
      </w:r>
    </w:p>
    <w:p>
      <w:pPr>
        <w:spacing w:after="0" w:line="9" w:lineRule="exact"/>
        <w:rPr>
          <w:rFonts w:ascii="MS PGothic" w:cs="MS PGothic" w:eastAsia="MS PGothic" w:hAnsi="MS PGothic"/>
          <w:sz w:val="18"/>
          <w:szCs w:val="18"/>
          <w:color w:val="auto"/>
          <w:highlight w:val="black"/>
        </w:rPr>
      </w:pPr>
    </w:p>
    <w:p>
      <w:pPr>
        <w:ind w:left="4924"/>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06" w:lineRule="exact"/>
        <w:rPr>
          <w:rFonts w:ascii="MS PGothic" w:cs="MS PGothic" w:eastAsia="MS PGothic" w:hAnsi="MS PGothic"/>
          <w:sz w:val="18"/>
          <w:szCs w:val="18"/>
          <w:color w:val="auto"/>
          <w:highlight w:val="black"/>
        </w:rPr>
      </w:pPr>
    </w:p>
    <w:p>
      <w:pPr>
        <w:ind w:left="3404" w:right="2960" w:hanging="1088"/>
        <w:spacing w:after="0" w:line="261" w:lineRule="auto"/>
        <w:tabs>
          <w:tab w:leader="none" w:pos="2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15(d) OF THE SECURITIES EXCHANGE ACT OF 1934</w:t>
      </w:r>
    </w:p>
    <w:p>
      <w:pPr>
        <w:ind w:left="3664"/>
        <w:spacing w:after="0"/>
        <w:tabs>
          <w:tab w:leader="none" w:pos="6283"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0" w:lineRule="exact"/>
        <w:rPr>
          <w:sz w:val="24"/>
          <w:szCs w:val="24"/>
          <w:color w:val="auto"/>
        </w:rPr>
      </w:pPr>
    </w:p>
    <w:p>
      <w:pPr>
        <w:spacing w:after="0" w:line="250" w:lineRule="exact"/>
        <w:rPr>
          <w:sz w:val="24"/>
          <w:szCs w:val="24"/>
          <w:color w:val="auto"/>
        </w:rPr>
      </w:pPr>
    </w:p>
    <w:p>
      <w:pPr>
        <w:ind w:left="3604"/>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001-13202</w:t>
      </w:r>
    </w:p>
    <w:p>
      <w:pPr>
        <w:spacing w:after="0" w:line="229" w:lineRule="exact"/>
        <w:rPr>
          <w:sz w:val="24"/>
          <w:szCs w:val="24"/>
          <w:color w:val="auto"/>
        </w:rPr>
      </w:pPr>
    </w:p>
    <w:p>
      <w:pPr>
        <w:ind w:left="644" w:right="3160" w:hanging="644"/>
        <w:spacing w:after="0" w:line="516"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 Nokia USA Inc. Retirement Savings and Investment Plan</w:t>
      </w:r>
    </w:p>
    <w:p>
      <w:pPr>
        <w:spacing w:after="0" w:line="1"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Nokia USA Inc.</w:t>
      </w:r>
    </w:p>
    <w:p>
      <w:pPr>
        <w:spacing w:after="0" w:line="252" w:lineRule="exact"/>
        <w:rPr>
          <w:rFonts w:ascii="Arial" w:cs="Arial" w:eastAsia="Arial" w:hAnsi="Arial"/>
          <w:sz w:val="18"/>
          <w:szCs w:val="18"/>
          <w:color w:val="auto"/>
        </w:rPr>
      </w:pPr>
    </w:p>
    <w:p>
      <w:pPr>
        <w:jc w:val="both"/>
        <w:ind w:left="644" w:right="8040"/>
        <w:spacing w:after="0" w:line="659" w:lineRule="auto"/>
        <w:rPr>
          <w:rFonts w:ascii="Arial" w:cs="Arial" w:eastAsia="Arial" w:hAnsi="Arial"/>
          <w:sz w:val="18"/>
          <w:szCs w:val="18"/>
          <w:color w:val="auto"/>
        </w:rPr>
      </w:pPr>
      <w:r>
        <w:rPr>
          <w:rFonts w:ascii="Arial" w:cs="Arial" w:eastAsia="Arial" w:hAnsi="Arial"/>
          <w:sz w:val="16"/>
          <w:szCs w:val="16"/>
          <w:color w:val="auto"/>
        </w:rPr>
        <w:t>200 South Mathilda Avenue Sunnyvale, California 94086</w:t>
      </w:r>
    </w:p>
    <w:p>
      <w:pPr>
        <w:spacing w:after="0" w:line="151" w:lineRule="exact"/>
        <w:rPr>
          <w:rFonts w:ascii="Arial" w:cs="Arial" w:eastAsia="Arial" w:hAnsi="Arial"/>
          <w:sz w:val="18"/>
          <w:szCs w:val="18"/>
          <w:color w:val="auto"/>
        </w:rPr>
      </w:pPr>
    </w:p>
    <w:p>
      <w:pPr>
        <w:ind w:left="644" w:right="2520" w:hanging="644"/>
        <w:spacing w:after="0" w:line="516"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 Nokia Corporation</w:t>
      </w:r>
    </w:p>
    <w:p>
      <w:pPr>
        <w:spacing w:after="0" w:line="1" w:lineRule="exact"/>
        <w:rPr>
          <w:rFonts w:ascii="Arial" w:cs="Arial" w:eastAsia="Arial" w:hAnsi="Arial"/>
          <w:sz w:val="18"/>
          <w:szCs w:val="18"/>
          <w:color w:val="auto"/>
        </w:rPr>
      </w:pPr>
    </w:p>
    <w:p>
      <w:pPr>
        <w:ind w:left="644" w:right="9020"/>
        <w:spacing w:after="0" w:line="629" w:lineRule="auto"/>
        <w:rPr>
          <w:rFonts w:ascii="Arial" w:cs="Arial" w:eastAsia="Arial" w:hAnsi="Arial"/>
          <w:sz w:val="18"/>
          <w:szCs w:val="18"/>
          <w:color w:val="auto"/>
        </w:rPr>
      </w:pPr>
      <w:r>
        <w:rPr>
          <w:rFonts w:ascii="Arial" w:cs="Arial" w:eastAsia="Arial" w:hAnsi="Arial"/>
          <w:sz w:val="16"/>
          <w:szCs w:val="16"/>
          <w:color w:val="auto"/>
        </w:rPr>
        <w:t>Karaportti 3 FI-02610 Espoo, Finland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175260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0764"/>
          </w:cols>
          <w:pgMar w:left="896" w:top="71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tcPr>
          <w:p>
            <w:pPr>
              <w:ind w:left="3520"/>
              <w:spacing w:after="0"/>
              <w:rPr>
                <w:sz w:val="20"/>
                <w:szCs w:val="20"/>
                <w:color w:val="auto"/>
              </w:rPr>
            </w:pPr>
            <w:r>
              <w:rPr>
                <w:rFonts w:ascii="Arial" w:cs="Arial" w:eastAsia="Arial" w:hAnsi="Arial"/>
                <w:sz w:val="18"/>
                <w:szCs w:val="18"/>
                <w:b w:val="1"/>
                <w:bCs w:val="1"/>
                <w:color w:val="auto"/>
              </w:rPr>
              <w:t>Nokia USA Inc. Retirement Savings and Investment Plan</w:t>
            </w:r>
          </w:p>
        </w:tc>
        <w:tc>
          <w:tcPr>
            <w:tcW w:w="1240" w:type="dxa"/>
            <w:vAlign w:val="bottom"/>
          </w:tcPr>
          <w:p>
            <w:pPr>
              <w:spacing w:after="0"/>
              <w:rPr>
                <w:sz w:val="20"/>
                <w:szCs w:val="20"/>
                <w:color w:val="auto"/>
              </w:rPr>
            </w:pPr>
          </w:p>
        </w:tc>
      </w:tr>
      <w:tr>
        <w:trPr>
          <w:trHeight w:val="675"/>
        </w:trPr>
        <w:tc>
          <w:tcPr>
            <w:tcW w:w="101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4"/>
                <w:szCs w:val="24"/>
                <w:color w:val="auto"/>
              </w:rPr>
            </w:pPr>
          </w:p>
        </w:tc>
      </w:tr>
      <w:tr>
        <w:trPr>
          <w:trHeight w:val="432"/>
        </w:trPr>
        <w:tc>
          <w:tcPr>
            <w:tcW w:w="10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w w:val="96"/>
              </w:rPr>
              <w:t>Financial Statements and Supplemental Schedules as of December 31, 2016 and 2015, and for the year ended December 31, 2016</w:t>
            </w:r>
          </w:p>
        </w:tc>
        <w:tc>
          <w:tcPr>
            <w:tcW w:w="1240" w:type="dxa"/>
            <w:vAlign w:val="bottom"/>
          </w:tcPr>
          <w:p>
            <w:pPr>
              <w:jc w:val="right"/>
              <w:spacing w:after="0"/>
              <w:rPr>
                <w:sz w:val="20"/>
                <w:szCs w:val="20"/>
                <w:color w:val="auto"/>
              </w:rPr>
            </w:pPr>
            <w:r>
              <w:rPr>
                <w:rFonts w:ascii="Arial" w:cs="Arial" w:eastAsia="Arial" w:hAnsi="Arial"/>
                <w:sz w:val="18"/>
                <w:szCs w:val="18"/>
                <w:color w:val="auto"/>
              </w:rPr>
              <w:t>6 - 16</w:t>
            </w: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Signature Page</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Index To Exhibits</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 xml:space="preserve">Armanino </w:t>
      </w:r>
      <w:r>
        <w:rPr>
          <w:rFonts w:ascii="Arial" w:cs="Arial" w:eastAsia="Arial" w:hAnsi="Arial"/>
          <w:sz w:val="23"/>
          <w:szCs w:val="23"/>
          <w:color w:val="auto"/>
          <w:vertAlign w:val="superscript"/>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-89535</wp:posOffset>
            </wp:positionV>
            <wp:extent cx="129476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44577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15950 N. Dallas Parkway</w:t>
      </w:r>
    </w:p>
    <w:p>
      <w:pPr>
        <w:spacing w:after="0" w:line="221" w:lineRule="auto"/>
        <w:rPr>
          <w:sz w:val="20"/>
          <w:szCs w:val="20"/>
          <w:color w:val="auto"/>
        </w:rPr>
      </w:pPr>
      <w:r>
        <w:rPr>
          <w:rFonts w:ascii="Arial" w:cs="Arial" w:eastAsia="Arial" w:hAnsi="Arial"/>
          <w:sz w:val="14"/>
          <w:szCs w:val="14"/>
          <w:color w:val="auto"/>
        </w:rPr>
        <w:t>Suite 600</w:t>
      </w:r>
    </w:p>
    <w:p>
      <w:pPr>
        <w:spacing w:after="0" w:line="222" w:lineRule="auto"/>
        <w:rPr>
          <w:sz w:val="20"/>
          <w:szCs w:val="20"/>
          <w:color w:val="auto"/>
        </w:rPr>
      </w:pPr>
      <w:r>
        <w:rPr>
          <w:rFonts w:ascii="Arial" w:cs="Arial" w:eastAsia="Arial" w:hAnsi="Arial"/>
          <w:sz w:val="14"/>
          <w:szCs w:val="14"/>
          <w:color w:val="auto"/>
        </w:rPr>
        <w:t>Dallas, TX 75248-6685</w:t>
      </w:r>
    </w:p>
    <w:p>
      <w:pPr>
        <w:spacing w:after="0"/>
        <w:tabs>
          <w:tab w:leader="none" w:pos="1040" w:val="left"/>
        </w:tabs>
        <w:rPr>
          <w:sz w:val="20"/>
          <w:szCs w:val="20"/>
          <w:color w:val="auto"/>
        </w:rPr>
      </w:pPr>
      <w:r>
        <w:rPr>
          <w:rFonts w:ascii="Arial" w:cs="Arial" w:eastAsia="Arial" w:hAnsi="Arial"/>
          <w:sz w:val="14"/>
          <w:szCs w:val="14"/>
          <w:color w:val="auto"/>
        </w:rPr>
        <w:t>972 661 1843</w:t>
      </w:r>
      <w:r>
        <w:rPr>
          <w:sz w:val="20"/>
          <w:szCs w:val="20"/>
          <w:color w:val="auto"/>
        </w:rPr>
        <w:tab/>
      </w:r>
      <w:r>
        <w:rPr>
          <w:rFonts w:ascii="Arial" w:cs="Arial" w:eastAsia="Arial" w:hAnsi="Arial"/>
          <w:sz w:val="12"/>
          <w:szCs w:val="12"/>
          <w:color w:val="auto"/>
        </w:rPr>
        <w:t>main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armaninoLLP.com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Nokia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Nokia USA Inc. Retirement Savings and 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have audited the accompanying Statement of Net Assets Available for Benefits of the Nokia USA Inc. Retirement Savings and Investment Plan (the “Plan”) as of December 31, 2016, and the related Statement of Changes in Net Assets Available for Benefits for the year ended December 31, 2016. These financial statements are the responsibility of the Plan’s management. Our responsibility is to express an opinion on these financial statements based on our audit. The financial statement of the Plan as of December 31, 2015, was audited by TravisWolff LLP, whose practice became part of Armanino</w:t>
      </w:r>
      <w:r>
        <w:rPr>
          <w:rFonts w:ascii="Arial" w:cs="Arial" w:eastAsia="Arial" w:hAnsi="Arial"/>
          <w:sz w:val="28"/>
          <w:szCs w:val="28"/>
          <w:color w:val="auto"/>
          <w:vertAlign w:val="superscript"/>
        </w:rPr>
        <w:t>LLP</w:t>
      </w:r>
      <w:r>
        <w:rPr>
          <w:rFonts w:ascii="Arial" w:cs="Arial" w:eastAsia="Arial" w:hAnsi="Arial"/>
          <w:sz w:val="17"/>
          <w:szCs w:val="17"/>
          <w:color w:val="auto"/>
        </w:rPr>
        <w:t>, as of January 1, 2017, and whose report dated July 11, 2016, expressed an unqualified opinion on the financial statement.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from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2016, and the Changes in Net Assets Available for Benefits for the year ended December 31, 2016, in conformity with accounting principles generally accepted in the United States of America.</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in Note 3 to the financial statements, during the 2016 Plan year, the Plan adopted new accounting guidance related to the Plan’s investment disclosures. Prior year disclosures have been revised to reflect the retrospective application of adopting the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90932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93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jc w:val="both"/>
        <w:spacing w:after="0" w:line="289" w:lineRule="auto"/>
        <w:rPr>
          <w:sz w:val="20"/>
          <w:szCs w:val="20"/>
          <w:color w:val="auto"/>
        </w:rPr>
      </w:pPr>
      <w:r>
        <w:rPr>
          <w:rFonts w:ascii="Arial" w:cs="Arial" w:eastAsia="Arial" w:hAnsi="Arial"/>
          <w:sz w:val="16"/>
          <w:szCs w:val="16"/>
          <w:color w:val="auto"/>
        </w:rPr>
        <w:t>The supplemental information in the accompanying schedules of Delinquent Participant Contributions for the year ended December 31, 2016, and Assets (Held at End of Year) as of December 31, 2016, have been subjected to audit procedures performed in conjunction with the audit of the Plan’s 2016 financial statements. The supplemental information is presented for the purpose of additional analysis and is not a required part of the financial statements but include supplemental information required by the Department of Labor’s Rules and Regulations for Reporting and Disclosure under the Employee Retirement Income Security Act of 1974 (ERISA).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ERISA. In our opinion, the supplemental information included in the accompanying schedules is fairly stated in all material respects in relation to the financial statements as a whole.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 Armanino</w:t>
      </w:r>
      <w:r>
        <w:rPr>
          <w:rFonts w:ascii="Arial" w:cs="Arial" w:eastAsia="Arial" w:hAnsi="Arial"/>
          <w:sz w:val="36"/>
          <w:szCs w:val="36"/>
          <w:color w:val="auto"/>
          <w:vertAlign w:val="superscript"/>
        </w:rPr>
        <w:t>LLP</w:t>
      </w:r>
    </w:p>
    <w:p>
      <w:pPr>
        <w:spacing w:after="0" w:line="184" w:lineRule="auto"/>
        <w:rPr>
          <w:sz w:val="20"/>
          <w:szCs w:val="20"/>
          <w:color w:val="auto"/>
        </w:rPr>
      </w:pPr>
      <w:r>
        <w:rPr>
          <w:rFonts w:ascii="Arial" w:cs="Arial" w:eastAsia="Arial" w:hAnsi="Arial"/>
          <w:sz w:val="16"/>
          <w:szCs w:val="16"/>
          <w:color w:val="auto"/>
        </w:rPr>
        <w:t>Armanino</w:t>
      </w:r>
      <w:r>
        <w:rPr>
          <w:rFonts w:ascii="Arial" w:cs="Arial" w:eastAsia="Arial" w:hAnsi="Arial"/>
          <w:sz w:val="26"/>
          <w:szCs w:val="26"/>
          <w:color w:val="auto"/>
          <w:vertAlign w:val="superscript"/>
        </w:rPr>
        <w:t>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29, 2017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Nokia USA Inc. Retirement Savings and Investment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Supplemental Schedules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spacing w:after="0"/>
              <w:rPr>
                <w:sz w:val="24"/>
                <w:szCs w:val="24"/>
                <w:color w:val="auto"/>
              </w:rPr>
            </w:pPr>
          </w:p>
        </w:tc>
      </w:tr>
      <w:tr>
        <w:trPr>
          <w:trHeight w:val="365"/>
        </w:trPr>
        <w:tc>
          <w:tcPr>
            <w:tcW w:w="10440" w:type="dxa"/>
            <w:vAlign w:val="bottom"/>
            <w:gridSpan w:val="2"/>
          </w:tcPr>
          <w:p>
            <w:pPr>
              <w:spacing w:after="0"/>
              <w:rPr>
                <w:sz w:val="20"/>
                <w:szCs w:val="20"/>
                <w:color w:val="auto"/>
              </w:rPr>
            </w:pPr>
            <w:r>
              <w:rPr>
                <w:rFonts w:ascii="Arial" w:cs="Arial" w:eastAsia="Arial" w:hAnsi="Arial"/>
                <w:sz w:val="18"/>
                <w:szCs w:val="18"/>
                <w:color w:val="auto"/>
              </w:rPr>
              <w:t>Statements of Net Assets Available for Benefits as of December 31, 2016 and 2015</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0440" w:type="dxa"/>
            <w:vAlign w:val="bottom"/>
            <w:gridSpan w:val="2"/>
          </w:tcPr>
          <w:p>
            <w:pPr>
              <w:spacing w:after="0"/>
              <w:rPr>
                <w:sz w:val="20"/>
                <w:szCs w:val="20"/>
                <w:color w:val="auto"/>
              </w:rPr>
            </w:pPr>
            <w:r>
              <w:rPr>
                <w:rFonts w:ascii="Arial" w:cs="Arial" w:eastAsia="Arial" w:hAnsi="Arial"/>
                <w:sz w:val="18"/>
                <w:szCs w:val="18"/>
                <w:color w:val="auto"/>
              </w:rPr>
              <w:t>Statement of Changes in Net Assets Available for Benefits for the year ended December 31, 2016</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10440" w:type="dxa"/>
            <w:vAlign w:val="bottom"/>
            <w:gridSpan w:val="2"/>
          </w:tcPr>
          <w:p>
            <w:pPr>
              <w:spacing w:after="0"/>
              <w:rPr>
                <w:sz w:val="20"/>
                <w:szCs w:val="20"/>
                <w:color w:val="auto"/>
              </w:rPr>
            </w:pPr>
            <w:r>
              <w:rPr>
                <w:rFonts w:ascii="Arial" w:cs="Arial" w:eastAsia="Arial" w:hAnsi="Arial"/>
                <w:sz w:val="18"/>
                <w:szCs w:val="18"/>
                <w:color w:val="auto"/>
              </w:rPr>
              <w:t>Notes to Financial Statements</w:t>
            </w: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365"/>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Schedules</w:t>
            </w:r>
          </w:p>
        </w:tc>
        <w:tc>
          <w:tcPr>
            <w:tcW w:w="980" w:type="dxa"/>
            <w:vAlign w:val="bottom"/>
          </w:tcPr>
          <w:p>
            <w:pPr>
              <w:spacing w:after="0"/>
              <w:rPr>
                <w:sz w:val="24"/>
                <w:szCs w:val="24"/>
                <w:color w:val="auto"/>
              </w:rPr>
            </w:pPr>
          </w:p>
        </w:tc>
      </w:tr>
      <w:tr>
        <w:trPr>
          <w:trHeight w:val="350"/>
        </w:trPr>
        <w:tc>
          <w:tcPr>
            <w:tcW w:w="10440" w:type="dxa"/>
            <w:vAlign w:val="bottom"/>
            <w:gridSpan w:val="2"/>
          </w:tcPr>
          <w:p>
            <w:pPr>
              <w:spacing w:after="0"/>
              <w:rPr>
                <w:sz w:val="20"/>
                <w:szCs w:val="20"/>
                <w:color w:val="auto"/>
              </w:rPr>
            </w:pPr>
            <w:r>
              <w:rPr>
                <w:rFonts w:ascii="Arial" w:cs="Arial" w:eastAsia="Arial" w:hAnsi="Arial"/>
                <w:sz w:val="18"/>
                <w:szCs w:val="18"/>
                <w:color w:val="auto"/>
              </w:rPr>
              <w:t>Schedule H, Line 4a – Schedule of Delinquent Participant Contributions</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440" w:type="dxa"/>
            <w:vAlign w:val="bottom"/>
            <w:gridSpan w:val="2"/>
          </w:tcPr>
          <w:p>
            <w:pPr>
              <w:spacing w:after="0"/>
              <w:rPr>
                <w:sz w:val="20"/>
                <w:szCs w:val="20"/>
                <w:color w:val="auto"/>
              </w:rPr>
            </w:pPr>
            <w:r>
              <w:rPr>
                <w:rFonts w:ascii="Arial" w:cs="Arial" w:eastAsia="Arial" w:hAnsi="Arial"/>
                <w:sz w:val="18"/>
                <w:szCs w:val="18"/>
                <w:color w:val="auto"/>
              </w:rPr>
              <w:t>Schedule H, Line 4i – Schedule of Assets (Held at End of Year) at December 31, 2016</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50"/>
        </w:trPr>
        <w:tc>
          <w:tcPr>
            <w:tcW w:w="640" w:type="dxa"/>
            <w:vAlign w:val="bottom"/>
          </w:tcPr>
          <w:p>
            <w:pPr>
              <w:spacing w:after="0"/>
              <w:rPr>
                <w:sz w:val="20"/>
                <w:szCs w:val="20"/>
                <w:color w:val="auto"/>
              </w:rPr>
            </w:pPr>
            <w:r>
              <w:rPr>
                <w:rFonts w:ascii="Arial" w:cs="Arial" w:eastAsia="Arial" w:hAnsi="Arial"/>
                <w:sz w:val="18"/>
                <w:szCs w:val="18"/>
                <w:color w:val="auto"/>
              </w:rPr>
              <w:t>Note:</w:t>
            </w:r>
          </w:p>
        </w:tc>
        <w:tc>
          <w:tcPr>
            <w:tcW w:w="9800" w:type="dxa"/>
            <w:vAlign w:val="bottom"/>
          </w:tcPr>
          <w:p>
            <w:pPr>
              <w:ind w:left="220"/>
              <w:spacing w:after="0"/>
              <w:rPr>
                <w:sz w:val="20"/>
                <w:szCs w:val="20"/>
                <w:color w:val="auto"/>
              </w:rPr>
            </w:pPr>
            <w:r>
              <w:rPr>
                <w:rFonts w:ascii="Arial" w:cs="Arial" w:eastAsia="Arial" w:hAnsi="Arial"/>
                <w:sz w:val="18"/>
                <w:szCs w:val="18"/>
                <w:color w:val="auto"/>
                <w:w w:val="99"/>
              </w:rPr>
              <w:t>Other schedules required by Section 2520-103.10 of the Department of Labor’s Rules and Regulations for Reporting and</w:t>
            </w:r>
          </w:p>
        </w:tc>
        <w:tc>
          <w:tcPr>
            <w:tcW w:w="98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6"/>
              </w:rPr>
              <w:t>Disclosure under the Employee Retirement Income Security Act of 1974 have been omitted because they are not applicable.</w:t>
            </w: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5840" w:type="dxa"/>
            <w:vAlign w:val="bottom"/>
            <w:gridSpan w:val="2"/>
            <w:vMerge w:val="continue"/>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1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61,578,053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59,328,484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Investment, at net asset value</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3,667,274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receivable</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Exchange of funds in transit</w:t>
            </w:r>
          </w:p>
        </w:tc>
        <w:tc>
          <w:tcPr>
            <w:tcW w:w="2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2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65,704,756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64,271,298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Nokia USA Inc. Retirement Savings and Investment Plan</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 of Changes in Net Assets Available for Benefits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other income: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appreciation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Interest income from notes receivable from participants</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Dividend and other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Administrative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increase prior to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to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out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3" w:hanging="423"/>
        <w:spacing w:after="0"/>
        <w:tabs>
          <w:tab w:leader="none" w:pos="423" w:val="left"/>
        </w:tabs>
        <w:numPr>
          <w:ilvl w:val="0"/>
          <w:numId w:val="3"/>
        </w:numPr>
        <w:rPr>
          <w:rFonts w:ascii="Arial" w:cs="Arial" w:eastAsia="Arial" w:hAnsi="Arial"/>
          <w:sz w:val="17"/>
          <w:szCs w:val="17"/>
          <w:color w:val="auto"/>
        </w:rPr>
      </w:pPr>
      <w:r>
        <w:rPr>
          <w:rFonts w:ascii="Arial" w:cs="Arial" w:eastAsia="Arial" w:hAnsi="Arial"/>
          <w:sz w:val="17"/>
          <w:szCs w:val="17"/>
          <w:color w:val="auto"/>
        </w:rPr>
        <w:t>3,088,318</w:t>
      </w:r>
    </w:p>
    <w:p>
      <w:pPr>
        <w:spacing w:after="0" w:line="34" w:lineRule="exact"/>
        <w:rPr>
          <w:rFonts w:ascii="Arial" w:cs="Arial" w:eastAsia="Arial" w:hAnsi="Arial"/>
          <w:sz w:val="17"/>
          <w:szCs w:val="17"/>
          <w:color w:val="auto"/>
        </w:rPr>
      </w:pPr>
    </w:p>
    <w:p>
      <w:pPr>
        <w:ind w:left="643"/>
        <w:spacing w:after="0"/>
        <w:rPr>
          <w:rFonts w:ascii="Arial" w:cs="Arial" w:eastAsia="Arial" w:hAnsi="Arial"/>
          <w:sz w:val="17"/>
          <w:szCs w:val="17"/>
          <w:color w:val="auto"/>
        </w:rPr>
      </w:pPr>
      <w:r>
        <w:rPr>
          <w:rFonts w:ascii="Arial" w:cs="Arial" w:eastAsia="Arial" w:hAnsi="Arial"/>
          <w:sz w:val="18"/>
          <w:szCs w:val="18"/>
          <w:color w:val="auto"/>
        </w:rPr>
        <w:t>13,830</w:t>
      </w:r>
    </w:p>
    <w:p>
      <w:pPr>
        <w:spacing w:after="0" w:line="9" w:lineRule="exact"/>
        <w:rPr>
          <w:sz w:val="20"/>
          <w:szCs w:val="20"/>
          <w:color w:val="auto"/>
        </w:rPr>
      </w:pPr>
    </w:p>
    <w:p>
      <w:pPr>
        <w:ind w:left="423"/>
        <w:spacing w:after="0"/>
        <w:rPr>
          <w:sz w:val="20"/>
          <w:szCs w:val="20"/>
          <w:color w:val="auto"/>
        </w:rPr>
      </w:pPr>
      <w:r>
        <w:rPr>
          <w:rFonts w:ascii="Arial" w:cs="Arial" w:eastAsia="Arial" w:hAnsi="Arial"/>
          <w:sz w:val="17"/>
          <w:szCs w:val="17"/>
          <w:color w:val="auto"/>
        </w:rPr>
        <w:t>1,843,759</w:t>
      </w:r>
    </w:p>
    <w:p>
      <w:pPr>
        <w:spacing w:after="0" w:line="33" w:lineRule="exact"/>
        <w:rPr>
          <w:sz w:val="20"/>
          <w:szCs w:val="20"/>
          <w:color w:val="auto"/>
        </w:rPr>
      </w:pPr>
    </w:p>
    <w:p>
      <w:pPr>
        <w:ind w:left="423"/>
        <w:spacing w:after="0"/>
        <w:rPr>
          <w:sz w:val="20"/>
          <w:szCs w:val="20"/>
          <w:color w:val="auto"/>
        </w:rPr>
      </w:pPr>
      <w:r>
        <w:rPr>
          <w:rFonts w:ascii="Arial" w:cs="Arial" w:eastAsia="Arial" w:hAnsi="Arial"/>
          <w:sz w:val="17"/>
          <w:szCs w:val="17"/>
          <w:color w:val="auto"/>
        </w:rPr>
        <w:t>4,945,907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886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4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2,573,545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3,163,298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836,518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 w:lineRule="exact"/>
        <w:rPr>
          <w:sz w:val="20"/>
          <w:szCs w:val="20"/>
          <w:color w:val="auto"/>
        </w:rPr>
      </w:pPr>
    </w:p>
    <w:p>
      <w:pPr>
        <w:ind w:left="423"/>
        <w:spacing w:after="0"/>
        <w:rPr>
          <w:sz w:val="20"/>
          <w:szCs w:val="20"/>
          <w:color w:val="auto"/>
        </w:rPr>
      </w:pPr>
      <w:r>
        <w:rPr>
          <w:rFonts w:ascii="Arial" w:cs="Arial" w:eastAsia="Arial" w:hAnsi="Arial"/>
          <w:sz w:val="17"/>
          <w:szCs w:val="17"/>
          <w:color w:val="auto"/>
        </w:rPr>
        <w:t>6,573,361</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(9,201,871)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(9,284,573)</w:t>
      </w:r>
    </w:p>
    <w:p>
      <w:pPr>
        <w:spacing w:after="0" w:line="36" w:lineRule="exact"/>
        <w:rPr>
          <w:sz w:val="20"/>
          <w:szCs w:val="20"/>
          <w:color w:val="auto"/>
        </w:rPr>
      </w:pPr>
    </w:p>
    <w:p>
      <w:pPr>
        <w:ind w:left="423"/>
        <w:spacing w:after="0"/>
        <w:rPr>
          <w:sz w:val="20"/>
          <w:szCs w:val="20"/>
          <w:color w:val="auto"/>
        </w:rPr>
      </w:pPr>
      <w:r>
        <w:rPr>
          <w:rFonts w:ascii="Arial" w:cs="Arial" w:eastAsia="Arial" w:hAnsi="Arial"/>
          <w:sz w:val="17"/>
          <w:szCs w:val="17"/>
          <w:color w:val="auto"/>
        </w:rPr>
        <w:t>2,234,695</w:t>
      </w:r>
    </w:p>
    <w:p>
      <w:pPr>
        <w:spacing w:after="0" w:line="237" w:lineRule="exact"/>
        <w:rPr>
          <w:sz w:val="20"/>
          <w:szCs w:val="20"/>
          <w:color w:val="auto"/>
        </w:rPr>
      </w:pPr>
    </w:p>
    <w:p>
      <w:pPr>
        <w:ind w:left="543"/>
        <w:spacing w:after="0"/>
        <w:rPr>
          <w:sz w:val="20"/>
          <w:szCs w:val="20"/>
          <w:color w:val="auto"/>
        </w:rPr>
      </w:pPr>
      <w:r>
        <w:rPr>
          <w:rFonts w:ascii="Arial" w:cs="Arial" w:eastAsia="Arial" w:hAnsi="Arial"/>
          <w:sz w:val="18"/>
          <w:szCs w:val="18"/>
          <w:color w:val="auto"/>
        </w:rPr>
        <w:t>398,789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(1,200,026)</w:t>
      </w:r>
    </w:p>
    <w:p>
      <w:pPr>
        <w:spacing w:after="0" w:line="211" w:lineRule="exact"/>
        <w:rPr>
          <w:sz w:val="20"/>
          <w:szCs w:val="20"/>
          <w:color w:val="auto"/>
        </w:rPr>
      </w:pPr>
    </w:p>
    <w:p>
      <w:pPr>
        <w:ind w:left="323"/>
        <w:spacing w:after="0"/>
        <w:rPr>
          <w:sz w:val="20"/>
          <w:szCs w:val="20"/>
          <w:color w:val="auto"/>
        </w:rPr>
      </w:pPr>
      <w:r>
        <w:rPr>
          <w:rFonts w:ascii="Arial" w:cs="Arial" w:eastAsia="Arial" w:hAnsi="Arial"/>
          <w:sz w:val="17"/>
          <w:szCs w:val="17"/>
          <w:color w:val="auto"/>
        </w:rPr>
        <w:t>64,271,298</w:t>
      </w:r>
    </w:p>
    <w:p>
      <w:pPr>
        <w:spacing w:after="0" w:line="48" w:lineRule="exact"/>
        <w:rPr>
          <w:sz w:val="20"/>
          <w:szCs w:val="20"/>
          <w:color w:val="auto"/>
        </w:rPr>
      </w:pPr>
    </w:p>
    <w:p>
      <w:pPr>
        <w:ind w:left="323" w:hanging="323"/>
        <w:spacing w:after="0"/>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65,704,756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886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7886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457" w:space="720"/>
            <w:col w:w="1203"/>
          </w:cols>
          <w:pgMar w:left="240" w:top="33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Plan</w:t>
      </w:r>
    </w:p>
    <w:p>
      <w:pPr>
        <w:spacing w:after="0" w:line="229" w:lineRule="exact"/>
        <w:rPr>
          <w:sz w:val="20"/>
          <w:szCs w:val="20"/>
          <w:color w:val="auto"/>
        </w:rPr>
      </w:pPr>
    </w:p>
    <w:p>
      <w:pPr>
        <w:ind w:left="720" w:right="140"/>
        <w:spacing w:after="0" w:line="264" w:lineRule="auto"/>
        <w:rPr>
          <w:sz w:val="20"/>
          <w:szCs w:val="20"/>
          <w:color w:val="auto"/>
        </w:rPr>
      </w:pPr>
      <w:r>
        <w:rPr>
          <w:rFonts w:ascii="Arial" w:cs="Arial" w:eastAsia="Arial" w:hAnsi="Arial"/>
          <w:sz w:val="18"/>
          <w:szCs w:val="18"/>
          <w:color w:val="auto"/>
        </w:rPr>
        <w:t>The following description of the Nokia USA Inc. Retirement Savings and Investment Plan (the “Plan”) provides only general information. More complete information regarding items such as eligibility requirements, vesting and benefit provisions may be found in the plan document, which is available to all Plan participants upon request.</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left="720" w:right="200"/>
        <w:spacing w:after="0" w:line="253" w:lineRule="auto"/>
        <w:rPr>
          <w:sz w:val="20"/>
          <w:szCs w:val="20"/>
          <w:color w:val="auto"/>
        </w:rPr>
      </w:pPr>
      <w:r>
        <w:rPr>
          <w:rFonts w:ascii="Arial" w:cs="Arial" w:eastAsia="Arial" w:hAnsi="Arial"/>
          <w:sz w:val="18"/>
          <w:szCs w:val="18"/>
          <w:color w:val="auto"/>
        </w:rPr>
        <w:t>The Plan is a defined contribution plan that covers eligible employees of Nokia USA, Inc. Prior to the adoption of the Volume Submitter plan as described below, the plan included Nokia USA, Inc. and its affiliates. With the change to the Volume Submitter plan in 2016, the Plan is a defined contribution plan that covers eligible employees of Nokia USA, Inc. (the “Company” or “Nokia”). The Plan is subject to the provisions of the Department of Labor’s Rules and Regulations for Reporting and Disclosure under the Employee Retirement Income Security Act of 1974, as amended (“ERISA”).</w:t>
      </w:r>
    </w:p>
    <w:p>
      <w:pPr>
        <w:spacing w:after="0" w:line="191" w:lineRule="exact"/>
        <w:rPr>
          <w:sz w:val="20"/>
          <w:szCs w:val="20"/>
          <w:color w:val="auto"/>
        </w:rPr>
      </w:pPr>
    </w:p>
    <w:p>
      <w:pPr>
        <w:ind w:left="720" w:right="180"/>
        <w:spacing w:after="0" w:line="277" w:lineRule="auto"/>
        <w:rPr>
          <w:sz w:val="20"/>
          <w:szCs w:val="20"/>
          <w:color w:val="auto"/>
        </w:rPr>
      </w:pPr>
      <w:r>
        <w:rPr>
          <w:rFonts w:ascii="Arial" w:cs="Arial" w:eastAsia="Arial" w:hAnsi="Arial"/>
          <w:sz w:val="18"/>
          <w:szCs w:val="18"/>
          <w:color w:val="auto"/>
        </w:rPr>
        <w:t>The Plan administrator, Nokia, retains responsibility for oversight of the Plan and the Plan’s day-to-day administration. The Plan is amended from time to time in order to comply with changes in applicable laws and to make changes in Plan administration.</w:t>
      </w:r>
    </w:p>
    <w:p>
      <w:pPr>
        <w:spacing w:after="0" w:line="197"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The Plan was created effective April 25, 2014 to replace the Nokia Retirement Savings and Investment Plan which was transferred to Microsoft Corporation along with the sale of Nokia’s Devices and Services business. The Nokia Retirement Savings and Investment Plan served both Nokia Inc. employees and employees of the Company. In 2015, assets related to Nokia’s acquisition of Medio Systems, Inc. totaling $2,966,920 were transferred into the Plan from the Medio Systems, Inc. 401(k) Plan. Transfers out amounted to $195,888,416 of which $3,301,643 was transferred to the Nokia Solutions and Networks Savings Plan. The remaining $192,428,093 was transferred to a new plan created upon the sale of the HERE business, a former Nokia affiliate, and $158,680 was forfeited.</w:t>
      </w:r>
    </w:p>
    <w:p>
      <w:pPr>
        <w:spacing w:after="0" w:line="220" w:lineRule="exact"/>
        <w:rPr>
          <w:sz w:val="20"/>
          <w:szCs w:val="20"/>
          <w:color w:val="auto"/>
        </w:rPr>
      </w:pPr>
    </w:p>
    <w:p>
      <w:pPr>
        <w:ind w:left="720" w:right="120"/>
        <w:spacing w:after="0" w:line="277" w:lineRule="auto"/>
        <w:rPr>
          <w:sz w:val="20"/>
          <w:szCs w:val="20"/>
          <w:color w:val="auto"/>
        </w:rPr>
      </w:pPr>
      <w:r>
        <w:rPr>
          <w:rFonts w:ascii="Arial" w:cs="Arial" w:eastAsia="Arial" w:hAnsi="Arial"/>
          <w:sz w:val="18"/>
          <w:szCs w:val="18"/>
          <w:color w:val="auto"/>
        </w:rPr>
        <w:t>The Nokia USA Inc. 401(k) Committee met on the February 10, 2016, and approved an amendment changing the Plan’s governing document from a Prototype Plan to a Volume Submitter plan effective June 6, 2016.</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Eligibility</w:t>
      </w:r>
    </w:p>
    <w:p>
      <w:pPr>
        <w:spacing w:after="0" w:line="27" w:lineRule="exact"/>
        <w:rPr>
          <w:sz w:val="20"/>
          <w:szCs w:val="20"/>
          <w:color w:val="auto"/>
        </w:rPr>
      </w:pPr>
    </w:p>
    <w:p>
      <w:pPr>
        <w:ind w:left="720" w:right="260"/>
        <w:spacing w:after="0" w:line="261" w:lineRule="auto"/>
        <w:rPr>
          <w:sz w:val="20"/>
          <w:szCs w:val="20"/>
          <w:color w:val="auto"/>
        </w:rPr>
      </w:pPr>
      <w:r>
        <w:rPr>
          <w:rFonts w:ascii="Arial" w:cs="Arial" w:eastAsia="Arial" w:hAnsi="Arial"/>
          <w:sz w:val="18"/>
          <w:szCs w:val="18"/>
          <w:color w:val="auto"/>
        </w:rPr>
        <w:t>Employees are eligible to participate in the Plan after attaining age 18; however, interns, part time employees and cooperatives are not eligible to participate in the Plan.</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Contributions</w:t>
      </w:r>
    </w:p>
    <w:p>
      <w:pPr>
        <w:spacing w:after="0" w:line="27" w:lineRule="exact"/>
        <w:rPr>
          <w:sz w:val="20"/>
          <w:szCs w:val="20"/>
          <w:color w:val="auto"/>
        </w:rPr>
      </w:pPr>
    </w:p>
    <w:p>
      <w:pPr>
        <w:ind w:left="720" w:right="180"/>
        <w:spacing w:after="0" w:line="255" w:lineRule="auto"/>
        <w:rPr>
          <w:sz w:val="20"/>
          <w:szCs w:val="20"/>
          <w:color w:val="auto"/>
        </w:rPr>
      </w:pPr>
      <w:r>
        <w:rPr>
          <w:rFonts w:ascii="Arial" w:cs="Arial" w:eastAsia="Arial" w:hAnsi="Arial"/>
          <w:sz w:val="18"/>
          <w:szCs w:val="18"/>
          <w:color w:val="auto"/>
        </w:rPr>
        <w:t>Participant contributions take the form of before-tax contributions and are deferred for federal income tax purposes. The Plan does not allow for voluntary after-tax contributions for employees working in the United States. Voluntary after-tax contributions are permitted with respect to those participants who are working outside the United States on temporary assignments.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Participants may also contribute rollover contributions from other qualified plans.</w:t>
      </w:r>
    </w:p>
    <w:p>
      <w:pPr>
        <w:spacing w:after="0" w:line="225" w:lineRule="exact"/>
        <w:rPr>
          <w:sz w:val="20"/>
          <w:szCs w:val="20"/>
          <w:color w:val="auto"/>
        </w:rPr>
      </w:pPr>
    </w:p>
    <w:p>
      <w:pPr>
        <w:ind w:left="720" w:right="120"/>
        <w:spacing w:after="0" w:line="279" w:lineRule="auto"/>
        <w:rPr>
          <w:sz w:val="20"/>
          <w:szCs w:val="20"/>
          <w:color w:val="auto"/>
        </w:rPr>
      </w:pPr>
      <w:r>
        <w:rPr>
          <w:rFonts w:ascii="Arial" w:cs="Arial" w:eastAsia="Arial" w:hAnsi="Arial"/>
          <w:sz w:val="17"/>
          <w:szCs w:val="17"/>
          <w:color w:val="auto"/>
        </w:rPr>
        <w:t>Participants contribute a percentage of their eligible annual compensation, as defined in the plan document. Participants may contribute up to 50% of their pre-tax eligible annual compensation to the Plan, subject to annual individual deferral limitations under the Internal Revenue Code (the “Code” or “IRC”). All participants who are eligible to make elective deferrals under the Plan and who have attained age 50 before the close of the Plan year were eligible to make additional catch-up contributions, as defined by the Code.</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Participant contributions are matched by the Company in cash at the rate of one dollar per dollar up to 8% of the participants’ eligible</w:t>
      </w:r>
    </w:p>
    <w:p>
      <w:pPr>
        <w:spacing w:after="0" w:line="23" w:lineRule="exact"/>
        <w:rPr>
          <w:sz w:val="20"/>
          <w:szCs w:val="20"/>
          <w:color w:val="auto"/>
        </w:rPr>
      </w:pPr>
    </w:p>
    <w:p>
      <w:pPr>
        <w:ind w:left="720" w:right="300"/>
        <w:spacing w:after="0" w:line="281" w:lineRule="auto"/>
        <w:rPr>
          <w:sz w:val="20"/>
          <w:szCs w:val="20"/>
          <w:color w:val="auto"/>
        </w:rPr>
      </w:pPr>
      <w:r>
        <w:rPr>
          <w:rFonts w:ascii="Arial" w:cs="Arial" w:eastAsia="Arial" w:hAnsi="Arial"/>
          <w:sz w:val="16"/>
          <w:szCs w:val="16"/>
          <w:color w:val="auto"/>
        </w:rPr>
        <w:t>earnings. Contributions made by participants and the related company match are invested based on each participant’s election and can be in any combination of investment options under the Plan. The Plan includes an auto-enrollment provision whereby all newly eligible employees are automatically enrolled in the Plan unless they affirmatively elect not to participate in the Plan. Automatically enrolled participants have their deferral rate set at 3% of eligible compensation and their contributions invested in a designated balanced fund until changed by the</w:t>
      </w:r>
    </w:p>
    <w:p>
      <w:pPr>
        <w:spacing w:after="0" w:line="3" w:lineRule="exact"/>
        <w:rPr>
          <w:sz w:val="20"/>
          <w:szCs w:val="20"/>
          <w:color w:val="auto"/>
        </w:rPr>
      </w:pPr>
    </w:p>
    <w:p>
      <w:pPr>
        <w:ind w:left="720" w:right="80"/>
        <w:spacing w:after="0" w:line="261" w:lineRule="auto"/>
        <w:rPr>
          <w:sz w:val="20"/>
          <w:szCs w:val="20"/>
          <w:color w:val="auto"/>
        </w:rPr>
      </w:pPr>
      <w:r>
        <w:rPr>
          <w:rFonts w:ascii="Arial" w:cs="Arial" w:eastAsia="Arial" w:hAnsi="Arial"/>
          <w:sz w:val="18"/>
          <w:szCs w:val="18"/>
          <w:color w:val="auto"/>
        </w:rPr>
        <w:t>participant. Additional discretionary Company contributions may be made upon the approval of the Company’s Board of Directors. The Company made no additional discretionary contributions for the Plan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There are no restrictions on moving participant contributions and related Company contributions out of the Nokia stock investment option.</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Participant and Company contributions are subject to certain IRS limitations.</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Participant Accounts</w:t>
      </w:r>
    </w:p>
    <w:p>
      <w:pPr>
        <w:spacing w:after="0" w:line="27" w:lineRule="exact"/>
        <w:rPr>
          <w:sz w:val="20"/>
          <w:szCs w:val="20"/>
          <w:color w:val="auto"/>
        </w:rPr>
      </w:pPr>
    </w:p>
    <w:p>
      <w:pPr>
        <w:ind w:left="720" w:right="200"/>
        <w:spacing w:after="0" w:line="252" w:lineRule="auto"/>
        <w:rPr>
          <w:sz w:val="20"/>
          <w:szCs w:val="20"/>
          <w:color w:val="auto"/>
        </w:rPr>
      </w:pPr>
      <w:r>
        <w:rPr>
          <w:rFonts w:ascii="Arial" w:cs="Arial" w:eastAsia="Arial" w:hAnsi="Arial"/>
          <w:sz w:val="18"/>
          <w:szCs w:val="18"/>
          <w:color w:val="auto"/>
        </w:rPr>
        <w:t>Each participant’s account is credited with the participant’s voluntary contributions, the Company’s matching contribution, an allocation of the Company’s discretionary contribution, if any, and an allocation of investment income from each fund as defined in the plan document. Plan earnings or losses are allocated to or deducted from a participant’s account at the rate attributable to the participant’s specific account balance on each day the New York Stock Exchange is open for business or any other day selected by the Plan’s 401(k) committee. Additionally, the Plan has certain expenses that are deducted from participant accounts. Transaction based fees are associated with optional services under the Plan, and are charged directly to participant accounts for particular Plan features that may be available, such as a participant loan or the maintenance of a terminated participant account. The benefit to which a participant is entitled is the benefit that can be provided from the participant’s vested account.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ind w:left="720" w:right="60"/>
        <w:spacing w:after="0" w:line="292" w:lineRule="auto"/>
        <w:rPr>
          <w:sz w:val="20"/>
          <w:szCs w:val="20"/>
          <w:color w:val="auto"/>
        </w:rPr>
      </w:pPr>
      <w:r>
        <w:rPr>
          <w:rFonts w:ascii="Arial" w:cs="Arial" w:eastAsia="Arial" w:hAnsi="Arial"/>
          <w:sz w:val="16"/>
          <w:szCs w:val="16"/>
          <w:color w:val="auto"/>
        </w:rPr>
        <w:t>Participants are able to borrow from their fund accounts a minimum of $1,000 up to a maximum of the lesser of $50,000 or 50% of their vested account balance at market interest rates payable under various term lengths specified in the loan agreement. The notes receivable from participants, maturing at various dates through 2046, are collateralized by the balance in the participant’s account. The notes receivable from participants bear interest rates that reflect the prime rate for the month when issued and were between 3.25% to 3.50%. Principal and interest are repaid ratably through bi-monthly payroll deductions. Notes receivable from participants are carried at unpaid principal plus accrued interest.</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Vesting</w:t>
      </w:r>
    </w:p>
    <w:p>
      <w:pPr>
        <w:spacing w:after="0" w:line="27" w:lineRule="exact"/>
        <w:rPr>
          <w:sz w:val="20"/>
          <w:szCs w:val="20"/>
          <w:color w:val="auto"/>
        </w:rPr>
      </w:pPr>
    </w:p>
    <w:p>
      <w:pPr>
        <w:jc w:val="both"/>
        <w:ind w:left="720" w:right="340"/>
        <w:spacing w:after="0" w:line="261" w:lineRule="auto"/>
        <w:rPr>
          <w:sz w:val="20"/>
          <w:szCs w:val="20"/>
          <w:color w:val="auto"/>
        </w:rPr>
      </w:pPr>
      <w:r>
        <w:rPr>
          <w:rFonts w:ascii="Arial" w:cs="Arial" w:eastAsia="Arial" w:hAnsi="Arial"/>
          <w:sz w:val="18"/>
          <w:szCs w:val="18"/>
          <w:color w:val="auto"/>
        </w:rPr>
        <w:t>Participants vest in employer contributions at a rate of 25% per year of service, reaching full vesting after four years of service. Participants are always fully vested in their contributions and earnings thereon.</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Forfeitures</w:t>
      </w:r>
    </w:p>
    <w:p>
      <w:pPr>
        <w:spacing w:after="0" w:line="27" w:lineRule="exact"/>
        <w:rPr>
          <w:sz w:val="20"/>
          <w:szCs w:val="20"/>
          <w:color w:val="auto"/>
        </w:rPr>
      </w:pPr>
    </w:p>
    <w:p>
      <w:pPr>
        <w:ind w:left="720" w:right="80"/>
        <w:spacing w:after="0" w:line="290" w:lineRule="auto"/>
        <w:rPr>
          <w:sz w:val="20"/>
          <w:szCs w:val="20"/>
          <w:color w:val="auto"/>
        </w:rPr>
      </w:pPr>
      <w:r>
        <w:rPr>
          <w:rFonts w:ascii="Arial" w:cs="Arial" w:eastAsia="Arial" w:hAnsi="Arial"/>
          <w:sz w:val="17"/>
          <w:szCs w:val="17"/>
          <w:color w:val="auto"/>
        </w:rPr>
        <w:t>At December 31, 2016, forfeited nonvested accounts were $362,059. These accounts are generally used to reduce future Company contributions or pay Plan administrative fees. In 2016, forfeitures in the amount of $20,570 were used to reduce Company contributions.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Payment of Benefits</w:t>
      </w:r>
    </w:p>
    <w:p>
      <w:pPr>
        <w:spacing w:after="0" w:line="27" w:lineRule="exact"/>
        <w:rPr>
          <w:sz w:val="20"/>
          <w:szCs w:val="20"/>
          <w:color w:val="auto"/>
        </w:rPr>
      </w:pPr>
    </w:p>
    <w:p>
      <w:pPr>
        <w:ind w:left="720" w:right="420"/>
        <w:spacing w:after="0" w:line="261" w:lineRule="auto"/>
        <w:rPr>
          <w:sz w:val="20"/>
          <w:szCs w:val="20"/>
          <w:color w:val="auto"/>
        </w:rPr>
      </w:pPr>
      <w:r>
        <w:rPr>
          <w:rFonts w:ascii="Arial" w:cs="Arial" w:eastAsia="Arial" w:hAnsi="Arial"/>
          <w:sz w:val="18"/>
          <w:szCs w:val="18"/>
          <w:color w:val="auto"/>
        </w:rPr>
        <w:t>Upon termination of employment for reasons other than disability or death, participants’ benefits will be payable as follows (subject to spousal rights, if 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Nokia ADR shares are paid out in cash or certificates as requested by the participant. Fractional shares are paid in cash.</w:t>
      </w:r>
    </w:p>
    <w:p>
      <w:pPr>
        <w:spacing w:after="0" w:line="225" w:lineRule="exact"/>
        <w:rPr>
          <w:sz w:val="20"/>
          <w:szCs w:val="20"/>
          <w:color w:val="auto"/>
        </w:rPr>
      </w:pPr>
    </w:p>
    <w:p>
      <w:pPr>
        <w:ind w:left="720" w:right="40"/>
        <w:spacing w:after="0" w:line="277" w:lineRule="auto"/>
        <w:rPr>
          <w:sz w:val="20"/>
          <w:szCs w:val="20"/>
          <w:color w:val="auto"/>
        </w:rPr>
      </w:pPr>
      <w:r>
        <w:rPr>
          <w:rFonts w:ascii="Arial" w:cs="Arial" w:eastAsia="Arial" w:hAnsi="Arial"/>
          <w:sz w:val="18"/>
          <w:szCs w:val="18"/>
          <w:color w:val="auto"/>
        </w:rPr>
        <w:t>A participant whose vested account is more than $1,000 may elect to have benefits paid in a lump-sum payment or may choose to leave funds in the Plan until such participant is required by law to receive minimum required distributions.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participant who has a vested account balance of $1,000 or less will automatically be paid in a lump-sum payment.</w:t>
      </w:r>
    </w:p>
    <w:p>
      <w:pPr>
        <w:spacing w:after="0" w:line="252" w:lineRule="exact"/>
        <w:rPr>
          <w:sz w:val="20"/>
          <w:szCs w:val="20"/>
          <w:color w:val="auto"/>
        </w:rPr>
      </w:pPr>
    </w:p>
    <w:p>
      <w:pPr>
        <w:jc w:val="both"/>
        <w:ind w:left="720" w:right="320"/>
        <w:spacing w:after="0" w:line="264" w:lineRule="auto"/>
        <w:rPr>
          <w:sz w:val="20"/>
          <w:szCs w:val="20"/>
          <w:color w:val="auto"/>
        </w:rPr>
      </w:pPr>
      <w:r>
        <w:rPr>
          <w:rFonts w:ascii="Arial" w:cs="Arial" w:eastAsia="Arial" w:hAnsi="Arial"/>
          <w:sz w:val="18"/>
          <w:szCs w:val="18"/>
          <w:color w:val="auto"/>
        </w:rPr>
        <w:t>The Plan provides that upon termination of employment due to retirement, disability, death or upon attainment of age 65, the Plan’s trustee may commence distribution of the participant’s vested account by payment of a lump sum, partial payments, or a series of installments in accordance with the provisions of the plan document.</w:t>
      </w:r>
    </w:p>
    <w:p>
      <w:pPr>
        <w:spacing w:after="0" w:line="208" w:lineRule="exact"/>
        <w:rPr>
          <w:sz w:val="20"/>
          <w:szCs w:val="20"/>
          <w:color w:val="auto"/>
        </w:rPr>
      </w:pPr>
    </w:p>
    <w:p>
      <w:pPr>
        <w:ind w:left="720" w:right="340"/>
        <w:spacing w:after="0" w:line="277" w:lineRule="auto"/>
        <w:rPr>
          <w:sz w:val="20"/>
          <w:szCs w:val="20"/>
          <w:color w:val="auto"/>
        </w:rPr>
      </w:pPr>
      <w:r>
        <w:rPr>
          <w:rFonts w:ascii="Arial" w:cs="Arial" w:eastAsia="Arial" w:hAnsi="Arial"/>
          <w:sz w:val="18"/>
          <w:szCs w:val="18"/>
          <w:color w:val="auto"/>
        </w:rPr>
        <w:t>In addition to the foregoing, participants are permitted to request in-service distribution from their vested Plan accounts at any time after having attained age 59½.</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Plan Termination</w:t>
      </w:r>
    </w:p>
    <w:p>
      <w:pPr>
        <w:spacing w:after="0" w:line="27"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While it has not expressed any intent to do so, the Company may discontinue the Plan at any time subject to the provisions of ERISA. In the event of Plan termination participants will become 100% vested in their accounts. Assets in the Plan will be distributed in accordance with the plan document.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left="720"/>
        <w:spacing w:after="0" w:line="261" w:lineRule="auto"/>
        <w:rPr>
          <w:sz w:val="20"/>
          <w:szCs w:val="20"/>
          <w:color w:val="auto"/>
        </w:rPr>
      </w:pPr>
      <w:r>
        <w:rPr>
          <w:rFonts w:ascii="Arial" w:cs="Arial" w:eastAsia="Arial" w:hAnsi="Arial"/>
          <w:sz w:val="18"/>
          <w:szCs w:val="18"/>
          <w:color w:val="auto"/>
        </w:rPr>
        <w:t>The accompanying financial statements have been prepared on the accrual basis of accounting, in accordance with accounting principles generally accepted in the United States of America (“US GAAP”).</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Income Recognition and Investment Valuation</w:t>
      </w:r>
    </w:p>
    <w:p>
      <w:pPr>
        <w:spacing w:after="0" w:line="27" w:lineRule="exact"/>
        <w:rPr>
          <w:sz w:val="20"/>
          <w:szCs w:val="20"/>
          <w:color w:val="auto"/>
        </w:rPr>
      </w:pPr>
    </w:p>
    <w:p>
      <w:pPr>
        <w:ind w:left="720" w:right="520"/>
        <w:spacing w:after="0" w:line="261" w:lineRule="auto"/>
        <w:rPr>
          <w:sz w:val="20"/>
          <w:szCs w:val="20"/>
          <w:color w:val="auto"/>
        </w:rPr>
      </w:pPr>
      <w:r>
        <w:rPr>
          <w:rFonts w:ascii="Arial" w:cs="Arial" w:eastAsia="Arial" w:hAnsi="Arial"/>
          <w:sz w:val="18"/>
          <w:szCs w:val="18"/>
          <w:color w:val="auto"/>
        </w:rPr>
        <w:t>Purchases and sales of securities are recorded on a trade-date basis. Dividend income is recorded on the ex-dividend date. Interest income is recognized on the accrual basis. Investments are reported at fair value.</w:t>
      </w:r>
    </w:p>
    <w:p>
      <w:pPr>
        <w:spacing w:after="0" w:line="184" w:lineRule="exact"/>
        <w:rPr>
          <w:sz w:val="20"/>
          <w:szCs w:val="20"/>
          <w:color w:val="auto"/>
        </w:rPr>
      </w:pPr>
    </w:p>
    <w:p>
      <w:pPr>
        <w:jc w:val="both"/>
        <w:ind w:left="720" w:right="500"/>
        <w:spacing w:after="0" w:line="264" w:lineRule="auto"/>
        <w:rPr>
          <w:sz w:val="20"/>
          <w:szCs w:val="20"/>
          <w:color w:val="auto"/>
        </w:rPr>
      </w:pPr>
      <w:r>
        <w:rPr>
          <w:rFonts w:ascii="Arial" w:cs="Arial" w:eastAsia="Arial" w:hAnsi="Arial"/>
          <w:sz w:val="18"/>
          <w:szCs w:val="18"/>
          <w:color w:val="auto"/>
        </w:rPr>
        <w:t>The Plan presents in the statement of changes in net assets available for benefits, the net appreciation or (depreciation) in the fair value of its investments, which consists of the realized gains and losses on sales of investments and the unrealized appreciation or (depreciation) on those investments.</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Plan Expenses</w:t>
      </w:r>
    </w:p>
    <w:p>
      <w:pPr>
        <w:spacing w:after="0" w:line="27"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Expenses incurred by the Plan for certain administration fees and certain investment charges are paid by the Plan. Audit fees and all other operating expenses of the Plan are paid by the Company. Forfeitures are retained in the Plan and may first be used to pay administrative expenses. Any remaining amounts may be used to reduce future Employer contributions payable under the Plan.</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Risks and Uncertainties</w:t>
      </w:r>
    </w:p>
    <w:p>
      <w:pPr>
        <w:spacing w:after="0" w:line="27" w:lineRule="exact"/>
        <w:rPr>
          <w:sz w:val="20"/>
          <w:szCs w:val="20"/>
          <w:color w:val="auto"/>
        </w:rPr>
      </w:pPr>
    </w:p>
    <w:p>
      <w:pPr>
        <w:ind w:left="720" w:right="40"/>
        <w:spacing w:after="0" w:line="254" w:lineRule="auto"/>
        <w:rPr>
          <w:sz w:val="20"/>
          <w:szCs w:val="20"/>
          <w:color w:val="auto"/>
        </w:rPr>
      </w:pPr>
      <w:r>
        <w:rPr>
          <w:rFonts w:ascii="Arial" w:cs="Arial" w:eastAsia="Arial" w:hAnsi="Arial"/>
          <w:sz w:val="18"/>
          <w:szCs w:val="18"/>
          <w:color w:val="auto"/>
        </w:rPr>
        <w:t>The Plan invests in various investments. Investments are exposed to various risks such as interest rate, market and credit risks. Due to the level of risk associated with certain Plan investments, it is at least reasonably possible that changes in the values of investments will continue to occur in the near term and that such change could materially affect participants’ account balances and the amounts reported in the statements of net assets available for benefits and changes therein.</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ind w:left="720" w:right="300"/>
        <w:spacing w:after="0" w:line="30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Estimates also affect the reported amounts of revenues and expenses during the reporting period. Actual results could differ from those estimates.</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Benefits</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Benefit distributions to participants are recorded when paid.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During 2015, the Financial Accounting Standards Board (“FASB”) issued Accounting Standards Update (“ASU”) No. 2015-07, Disclosure for Investments in Certain Entities that Calculate Net Asset Value per Share (Or Its Equivalent), and ASU no. 2015-12, Plan Accounting: Defined Benefit Pension Plans (Topic 960), Defined Contribution Pension Plans (Topic 962), and Health and Welfare Benefit Plans (Topic 965) – I. Fully Benefit-Responsive Investment Contracts, II. Plan Investment Disclosures, and III. Measurement Date Practical Expedient. ASU No. 2015-07 amended the Accounting Standards Codification (“ASC”) 820, Fair Value Measurements, and removed the requirement to categorize within the fair value hierarchy all investments for which fair value is measured using the net asset value per share as a practical expedient.</w:t>
      </w:r>
    </w:p>
    <w:p>
      <w:pPr>
        <w:spacing w:after="0" w:line="20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Part II of ASU No. 2015-12 is applicable to the Plan and modifies the investment disclosures under ASC 820 and 962. The disclosure requirements under ASU 2015-07 and ASU-12 are effective for fiscal years beginning after December 15, 2015. The Plan adopted the provisions of ASU 2015-12 in 2016 and retrospectively applied the provisions to the 2015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229" w:lineRule="exact"/>
        <w:rPr>
          <w:sz w:val="20"/>
          <w:szCs w:val="20"/>
          <w:color w:val="auto"/>
        </w:rPr>
      </w:pPr>
    </w:p>
    <w:p>
      <w:pPr>
        <w:ind w:left="720" w:right="100"/>
        <w:spacing w:after="0" w:line="259" w:lineRule="auto"/>
        <w:rPr>
          <w:sz w:val="20"/>
          <w:szCs w:val="20"/>
          <w:color w:val="auto"/>
        </w:rPr>
      </w:pPr>
      <w:r>
        <w:rPr>
          <w:rFonts w:ascii="Arial" w:cs="Arial" w:eastAsia="Arial" w:hAnsi="Arial"/>
          <w:sz w:val="18"/>
          <w:szCs w:val="18"/>
          <w:color w:val="auto"/>
        </w:rPr>
        <w:t>The FASB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Management to develop their own assumptions.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The following is a description of the valuation methodologies used for the investments measured at fair value, including the general classification of such instruments pursuant to the valuation hierarchy.</w:t>
      </w:r>
    </w:p>
    <w:p>
      <w:pPr>
        <w:spacing w:after="0" w:line="197" w:lineRule="exact"/>
        <w:rPr>
          <w:sz w:val="20"/>
          <w:szCs w:val="20"/>
          <w:color w:val="auto"/>
        </w:rPr>
      </w:pPr>
    </w:p>
    <w:p>
      <w:pPr>
        <w:ind w:left="720" w:right="80"/>
        <w:spacing w:after="0" w:line="277" w:lineRule="auto"/>
        <w:rPr>
          <w:sz w:val="20"/>
          <w:szCs w:val="20"/>
          <w:color w:val="auto"/>
        </w:rPr>
      </w:pPr>
      <w:r>
        <w:rPr>
          <w:rFonts w:ascii="Arial" w:cs="Arial" w:eastAsia="Arial" w:hAnsi="Arial"/>
          <w:sz w:val="18"/>
          <w:szCs w:val="18"/>
          <w:color w:val="auto"/>
        </w:rPr>
        <w:t>Investments in collective trusts and investments measured at NAV are stated at fair value, which represents the net asset value of shares held by the Plan at year end.</w:t>
      </w:r>
    </w:p>
    <w:p>
      <w:pPr>
        <w:spacing w:after="0" w:line="197" w:lineRule="exact"/>
        <w:rPr>
          <w:sz w:val="20"/>
          <w:szCs w:val="20"/>
          <w:color w:val="auto"/>
        </w:rPr>
      </w:pPr>
    </w:p>
    <w:p>
      <w:pPr>
        <w:ind w:left="720" w:right="340"/>
        <w:spacing w:after="0" w:line="259" w:lineRule="auto"/>
        <w:rPr>
          <w:sz w:val="20"/>
          <w:szCs w:val="20"/>
          <w:color w:val="auto"/>
        </w:rPr>
      </w:pPr>
      <w:r>
        <w:rPr>
          <w:rFonts w:ascii="Arial" w:cs="Arial" w:eastAsia="Arial" w:hAnsi="Arial"/>
          <w:sz w:val="18"/>
          <w:szCs w:val="18"/>
          <w:color w:val="auto"/>
        </w:rPr>
        <w:t>The methods described above may produce a fair value that may not be indicative of the net realizable value or reflective of future fair value.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Registered Investment Companies</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shares of registered investment companies are invested in mutual funds which are valued at the daily closing price as reported by the</w:t>
      </w:r>
    </w:p>
    <w:p>
      <w:pPr>
        <w:spacing w:after="0" w:line="21" w:lineRule="exact"/>
        <w:rPr>
          <w:sz w:val="20"/>
          <w:szCs w:val="20"/>
          <w:color w:val="auto"/>
        </w:rPr>
      </w:pPr>
    </w:p>
    <w:p>
      <w:pPr>
        <w:jc w:val="both"/>
        <w:ind w:left="720" w:right="120"/>
        <w:spacing w:after="0" w:line="255" w:lineRule="auto"/>
        <w:rPr>
          <w:sz w:val="20"/>
          <w:szCs w:val="20"/>
          <w:color w:val="auto"/>
        </w:rPr>
      </w:pPr>
      <w:r>
        <w:rPr>
          <w:rFonts w:ascii="Arial" w:cs="Arial" w:eastAsia="Arial" w:hAnsi="Arial"/>
          <w:sz w:val="18"/>
          <w:szCs w:val="18"/>
          <w:color w:val="auto"/>
        </w:rPr>
        <w:t>fund. Mutual funds held by the Plan are open-end mutual funds that are registered with the Securities and Exchange Commission (“SEC”). These funds are required to publish their daily net asset value (“NAV”) and to transact at that price. The mutual funds held by the Plan are deemed to be actively traded and are classified as Level 1 investments.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Collective Trust</w:t>
      </w:r>
    </w:p>
    <w:p>
      <w:pPr>
        <w:spacing w:after="0" w:line="27" w:lineRule="exact"/>
        <w:rPr>
          <w:sz w:val="20"/>
          <w:szCs w:val="20"/>
          <w:color w:val="auto"/>
        </w:rPr>
      </w:pPr>
    </w:p>
    <w:p>
      <w:pPr>
        <w:ind w:left="720" w:right="180"/>
        <w:spacing w:after="0" w:line="269" w:lineRule="auto"/>
        <w:rPr>
          <w:sz w:val="20"/>
          <w:szCs w:val="20"/>
          <w:color w:val="auto"/>
        </w:rPr>
      </w:pPr>
      <w:r>
        <w:rPr>
          <w:rFonts w:ascii="Arial" w:cs="Arial" w:eastAsia="Arial" w:hAnsi="Arial"/>
          <w:sz w:val="17"/>
          <w:szCs w:val="17"/>
          <w:color w:val="auto"/>
        </w:rPr>
        <w:t>The Collective Trust (“CT”) is comprised of the Fidelity Managed Income Portfolio II Fund, a common collective trust. It is commingled pool of the Fidelity Group Trust for Employee benefit Plans and is managed by Fidelity, which is also the trustee of the Plan. This fund seeks to preserve principal investments while earning interest income. This fund will try to maintain a net asset value of $1 per unit. The portfolio invests in investment contracts issued by insurance companies and other financial institutions, and in fixed income securities. A portion of the portfolio is invested in a money market fund to provide daily liquidity. Investment contracts provide for the payment of a specified rate of interest to the portfolio and for the repayment of the principal when the contract matures. All investment contracts and fixed income securities purchased for the portfolio must satisfy the credit quality standards of Fidelity.</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CT is not available in an exchange and active market.</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is no restriction in place with respect to the daily redemption of the CT.</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were no unfunded commitments to the funds.</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Common Stocks</w:t>
      </w:r>
    </w:p>
    <w:p>
      <w:pPr>
        <w:spacing w:after="0" w:line="27" w:lineRule="exact"/>
        <w:rPr>
          <w:sz w:val="20"/>
          <w:szCs w:val="20"/>
          <w:color w:val="auto"/>
        </w:rPr>
      </w:pPr>
    </w:p>
    <w:p>
      <w:pPr>
        <w:ind w:left="720" w:right="60"/>
        <w:spacing w:after="0" w:line="255" w:lineRule="auto"/>
        <w:rPr>
          <w:sz w:val="20"/>
          <w:szCs w:val="20"/>
          <w:color w:val="auto"/>
        </w:rPr>
      </w:pPr>
      <w:r>
        <w:rPr>
          <w:rFonts w:ascii="Arial" w:cs="Arial" w:eastAsia="Arial" w:hAnsi="Arial"/>
          <w:sz w:val="18"/>
          <w:szCs w:val="18"/>
          <w:color w:val="auto"/>
        </w:rPr>
        <w:t>Nokia American Depository Shares (“Nokia ADR shares”) and common stocks held in self-directed brokerage accounts are stated at fair value as quoted on a recognized securities exchange and are valued at the last reported sales price on the last business day of the Plan year and are classified as Level 1 investments.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Plan’s assets at fair value as of December 31, 2016 and 2015:</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460" w:type="dxa"/>
            <w:vAlign w:val="bottom"/>
          </w:tcPr>
          <w:p>
            <w:pPr>
              <w:ind w:left="60"/>
              <w:spacing w:after="0"/>
              <w:rPr>
                <w:sz w:val="20"/>
                <w:szCs w:val="20"/>
                <w:color w:val="auto"/>
              </w:rPr>
            </w:pPr>
            <w:r>
              <w:rPr>
                <w:rFonts w:ascii="Arial" w:cs="Arial" w:eastAsia="Arial" w:hAnsi="Arial"/>
                <w:sz w:val="14"/>
                <w:szCs w:val="14"/>
                <w:b w:val="1"/>
                <w:bCs w:val="1"/>
                <w:color w:val="auto"/>
              </w:rPr>
              <w:t>December 31, 2016</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57,657,827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57,657,827</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Nokia ADR common stock</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1,002,715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1,002,715</w:t>
            </w:r>
          </w:p>
        </w:tc>
      </w:tr>
      <w:tr>
        <w:trPr>
          <w:trHeight w:val="223"/>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Self-directed brokerage accounts</w:t>
            </w:r>
          </w:p>
        </w:tc>
        <w:tc>
          <w:tcPr>
            <w:tcW w:w="1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2,917,511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2,917,511</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Total Assets in the fair value hierarchy</w:t>
            </w:r>
          </w:p>
        </w:tc>
        <w:tc>
          <w:tcPr>
            <w:tcW w:w="1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61,578,053</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61,578,053</w:t>
            </w:r>
          </w:p>
        </w:tc>
      </w:tr>
      <w:tr>
        <w:trPr>
          <w:trHeight w:val="21"/>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 at net asset value</w:t>
            </w:r>
          </w:p>
        </w:tc>
        <w:tc>
          <w:tcPr>
            <w:tcW w:w="1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3,667,274</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Investment, at fair value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65,245,327</w:t>
            </w:r>
          </w:p>
        </w:tc>
      </w:tr>
      <w:tr>
        <w:trPr>
          <w:trHeight w:val="21"/>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460" w:type="dxa"/>
            <w:vAlign w:val="bottom"/>
          </w:tcPr>
          <w:p>
            <w:pPr>
              <w:ind w:left="60"/>
              <w:spacing w:after="0"/>
              <w:rPr>
                <w:sz w:val="20"/>
                <w:szCs w:val="20"/>
                <w:color w:val="auto"/>
              </w:rPr>
            </w:pPr>
            <w:r>
              <w:rPr>
                <w:rFonts w:ascii="Arial" w:cs="Arial" w:eastAsia="Arial" w:hAnsi="Arial"/>
                <w:sz w:val="14"/>
                <w:szCs w:val="14"/>
                <w:b w:val="1"/>
                <w:bCs w:val="1"/>
                <w:color w:val="auto"/>
              </w:rPr>
              <w:t>December 31, 2015</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55,296,328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55,296,328</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Nokia ADR common stock</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1,518,897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1,518,897</w:t>
            </w:r>
          </w:p>
        </w:tc>
      </w:tr>
      <w:tr>
        <w:trPr>
          <w:trHeight w:val="223"/>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Self-directed brokerage accounts</w:t>
            </w:r>
          </w:p>
        </w:tc>
        <w:tc>
          <w:tcPr>
            <w:tcW w:w="1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2,513,259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2,513,259</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Total Assets in the fair value hierarchy</w:t>
            </w:r>
          </w:p>
        </w:tc>
        <w:tc>
          <w:tcPr>
            <w:tcW w:w="1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59,328,484</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59,328,484</w:t>
            </w:r>
          </w:p>
        </w:tc>
      </w:tr>
      <w:tr>
        <w:trPr>
          <w:trHeight w:val="21"/>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 at net asset value</w:t>
            </w:r>
          </w:p>
        </w:tc>
        <w:tc>
          <w:tcPr>
            <w:tcW w:w="1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4,507,818</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Investment, at fair value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63,836,302</w:t>
            </w:r>
          </w:p>
        </w:tc>
      </w:tr>
      <w:tr>
        <w:trPr>
          <w:trHeight w:val="21"/>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6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Tax Status</w:t>
      </w:r>
    </w:p>
    <w:p>
      <w:pPr>
        <w:spacing w:after="0" w:line="229" w:lineRule="exact"/>
        <w:rPr>
          <w:sz w:val="20"/>
          <w:szCs w:val="20"/>
          <w:color w:val="auto"/>
        </w:rPr>
      </w:pPr>
    </w:p>
    <w:p>
      <w:pPr>
        <w:jc w:val="both"/>
        <w:ind w:left="720" w:right="320"/>
        <w:spacing w:after="0" w:line="286" w:lineRule="auto"/>
        <w:rPr>
          <w:sz w:val="20"/>
          <w:szCs w:val="20"/>
          <w:color w:val="auto"/>
        </w:rPr>
      </w:pPr>
      <w:r>
        <w:rPr>
          <w:rFonts w:ascii="Arial" w:cs="Arial" w:eastAsia="Arial" w:hAnsi="Arial"/>
          <w:sz w:val="17"/>
          <w:szCs w:val="17"/>
          <w:color w:val="auto"/>
        </w:rPr>
        <w:t>The Internal Revenue Service issued an opinion letter on the volume submitter plan dated March 31, 2014 (Note 1), that the Plan is acceptable under section 401 of the Code. The Plan Administrator believes that the Plan is currently designed and being operated in compliance with the applicable requirements of the Code. Therefore, no provision for income taxes has been included.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Party-in-Interest Transactions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Parties-in-interest are defined under ERISA as any fiduciary of the Plan, any party rendering service to the Plan, the Company, and certain others.</w:t>
      </w:r>
    </w:p>
    <w:p>
      <w:pPr>
        <w:spacing w:after="0" w:line="275" w:lineRule="exact"/>
        <w:rPr>
          <w:sz w:val="20"/>
          <w:szCs w:val="20"/>
          <w:color w:val="auto"/>
        </w:rPr>
      </w:pPr>
    </w:p>
    <w:p>
      <w:pPr>
        <w:ind w:left="720" w:right="100"/>
        <w:spacing w:after="0" w:line="312" w:lineRule="auto"/>
        <w:rPr>
          <w:sz w:val="20"/>
          <w:szCs w:val="20"/>
          <w:color w:val="auto"/>
        </w:rPr>
      </w:pPr>
      <w:r>
        <w:rPr>
          <w:rFonts w:ascii="Arial" w:cs="Arial" w:eastAsia="Arial" w:hAnsi="Arial"/>
          <w:sz w:val="16"/>
          <w:szCs w:val="16"/>
          <w:color w:val="auto"/>
        </w:rPr>
        <w:t>The Plan purchased and sold approximately $70,957 in Nokia ADR shares during 2016. The Nokia ADR shares were purchased/sold in the open market at quoted fair market values at the date of purchase/sale. At December 31, 2016, the Plan held 208,258 shares, including outstanding purchases, with a fair value of $1,002,715 including outstanding purchases. The Plan received $108,454 in dividends from Nokia ADR shares.</w:t>
      </w:r>
    </w:p>
    <w:p>
      <w:pPr>
        <w:spacing w:after="0" w:line="174" w:lineRule="exact"/>
        <w:rPr>
          <w:sz w:val="20"/>
          <w:szCs w:val="20"/>
          <w:color w:val="auto"/>
        </w:rPr>
      </w:pPr>
    </w:p>
    <w:p>
      <w:pPr>
        <w:jc w:val="both"/>
        <w:ind w:left="720" w:right="100"/>
        <w:spacing w:after="0" w:line="312" w:lineRule="auto"/>
        <w:rPr>
          <w:sz w:val="20"/>
          <w:szCs w:val="20"/>
          <w:color w:val="auto"/>
        </w:rPr>
      </w:pPr>
      <w:r>
        <w:rPr>
          <w:rFonts w:ascii="Arial" w:cs="Arial" w:eastAsia="Arial" w:hAnsi="Arial"/>
          <w:sz w:val="16"/>
          <w:szCs w:val="16"/>
          <w:color w:val="auto"/>
        </w:rPr>
        <w:t>The Plan purchased and sold approximately ($2,226,691) in Nokia ADR shares during 2015. The Nokia ADR shares were purchased/sold in the open market at quoted fair market values at the date of purchase/sale. At December 31, 2015, the Plan held 216,222 shares, including outstanding purchases, with a fair value of $1,518,896 including outstanding purchases. The Plan received $61,698 in dividends from Nokia ADR shares.</w:t>
      </w:r>
    </w:p>
    <w:p>
      <w:pPr>
        <w:spacing w:after="0" w:line="174" w:lineRule="exact"/>
        <w:rPr>
          <w:sz w:val="20"/>
          <w:szCs w:val="20"/>
          <w:color w:val="auto"/>
        </w:rPr>
      </w:pPr>
    </w:p>
    <w:p>
      <w:pPr>
        <w:ind w:left="720" w:right="340"/>
        <w:spacing w:after="0" w:line="308" w:lineRule="auto"/>
        <w:rPr>
          <w:sz w:val="20"/>
          <w:szCs w:val="20"/>
          <w:color w:val="auto"/>
        </w:rPr>
      </w:pPr>
      <w:r>
        <w:rPr>
          <w:rFonts w:ascii="Arial" w:cs="Arial" w:eastAsia="Arial" w:hAnsi="Arial"/>
          <w:sz w:val="17"/>
          <w:szCs w:val="17"/>
          <w:color w:val="auto"/>
        </w:rPr>
        <w:t>Fees paid by the Plan for investment management, recordkeeping and consulting services, also qualify as party-in-interest transactions and are included in Plan expenses in the accompanying financial statements. The fees paid by the Plan totaled $82,702.</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trustee retains as compensation for service provided to the Plan, any interest on amounts earned while certain transactions are pending.</w:t>
      </w:r>
    </w:p>
    <w:p>
      <w:pPr>
        <w:spacing w:after="0" w:line="237" w:lineRule="exact"/>
        <w:rPr>
          <w:sz w:val="20"/>
          <w:szCs w:val="20"/>
          <w:color w:val="auto"/>
        </w:rPr>
      </w:pPr>
    </w:p>
    <w:p>
      <w:pPr>
        <w:jc w:val="both"/>
        <w:ind w:left="720"/>
        <w:spacing w:after="0" w:line="286" w:lineRule="auto"/>
        <w:rPr>
          <w:sz w:val="20"/>
          <w:szCs w:val="20"/>
          <w:color w:val="auto"/>
        </w:rPr>
      </w:pPr>
      <w:r>
        <w:rPr>
          <w:rFonts w:ascii="Arial" w:cs="Arial" w:eastAsia="Arial" w:hAnsi="Arial"/>
          <w:sz w:val="17"/>
          <w:szCs w:val="17"/>
          <w:color w:val="auto"/>
        </w:rPr>
        <w:t>The Plan is administered by Fidelity Investments Institutional Operations Company as the record keeper and Fidelity Management Trust Company as the Plan’s trustee. Accordingly, transactions with the Fidelity Managed Income Portfolio II Fund and the Spartan Extended Market Index Fund qualify as party-in-interest transactions. Notes receivable from participants also qualify as party-in-interest transactions.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of these transactions are exempt from the prohibited transaction rules under ERISA.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of the Plan has evaluated the subsequent events through June 29, 2017,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3" w:name="page14"/>
    <w:bookmarkEnd w:id="13"/>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Line 4a – Schedule of Delinquent Participant Contributions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Participant Contributions</w:t>
            </w:r>
          </w:p>
        </w:tc>
        <w:tc>
          <w:tcPr>
            <w:tcW w:w="2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Transferred Late to Plan</w:t>
            </w:r>
          </w:p>
        </w:tc>
        <w:tc>
          <w:tcPr>
            <w:tcW w:w="6900" w:type="dxa"/>
            <w:vAlign w:val="bottom"/>
            <w:gridSpan w:val="3"/>
          </w:tcPr>
          <w:p>
            <w:pPr>
              <w:ind w:left="1240"/>
              <w:spacing w:after="0"/>
              <w:rPr>
                <w:sz w:val="20"/>
                <w:szCs w:val="20"/>
                <w:color w:val="auto"/>
              </w:rPr>
            </w:pPr>
            <w:r>
              <w:rPr>
                <w:rFonts w:ascii="Arial" w:cs="Arial" w:eastAsia="Arial" w:hAnsi="Arial"/>
                <w:sz w:val="18"/>
                <w:szCs w:val="18"/>
                <w:b w:val="1"/>
                <w:bCs w:val="1"/>
                <w:color w:val="auto"/>
              </w:rPr>
              <w:t>Total that Constitute Nonexempt Prohibited Transactions</w:t>
            </w:r>
          </w:p>
        </w:tc>
        <w:tc>
          <w:tcPr>
            <w:tcW w:w="2080" w:type="dxa"/>
            <w:vAlign w:val="bottom"/>
          </w:tcPr>
          <w:p>
            <w:pPr>
              <w:spacing w:after="0"/>
              <w:rPr>
                <w:sz w:val="20"/>
                <w:szCs w:val="20"/>
                <w:color w:val="auto"/>
              </w:rPr>
            </w:pPr>
          </w:p>
        </w:tc>
      </w:tr>
      <w:tr>
        <w:trPr>
          <w:trHeight w:val="48"/>
        </w:trPr>
        <w:tc>
          <w:tcPr>
            <w:tcW w:w="2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80" w:type="dxa"/>
            <w:vAlign w:val="bottom"/>
          </w:tcPr>
          <w:p>
            <w:pPr>
              <w:spacing w:after="0"/>
              <w:rPr>
                <w:sz w:val="4"/>
                <w:szCs w:val="4"/>
                <w:color w:val="auto"/>
              </w:rPr>
            </w:pPr>
          </w:p>
        </w:tc>
      </w:tr>
      <w:tr>
        <w:trPr>
          <w:trHeight w:val="238"/>
        </w:trPr>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Check here if Late</w:t>
            </w:r>
          </w:p>
        </w:tc>
        <w:tc>
          <w:tcPr>
            <w:tcW w:w="2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16"/>
        </w:trPr>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Participant Loan</w:t>
            </w:r>
          </w:p>
        </w:tc>
        <w:tc>
          <w:tcPr>
            <w:tcW w:w="2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Total Fully Corrected</w:t>
            </w:r>
          </w:p>
        </w:tc>
      </w:tr>
      <w:tr>
        <w:trPr>
          <w:trHeight w:val="187"/>
        </w:trPr>
        <w:tc>
          <w:tcPr>
            <w:tcW w:w="2220" w:type="dxa"/>
            <w:vAlign w:val="bottom"/>
            <w:gridSpan w:val="2"/>
          </w:tcPr>
          <w:p>
            <w:pPr>
              <w:jc w:val="center"/>
              <w:ind w:right="140"/>
              <w:spacing w:after="0" w:line="188" w:lineRule="exact"/>
              <w:rPr>
                <w:sz w:val="20"/>
                <w:szCs w:val="20"/>
                <w:color w:val="auto"/>
              </w:rPr>
            </w:pPr>
            <w:r>
              <w:rPr>
                <w:rFonts w:ascii="Arial" w:cs="Arial" w:eastAsia="Arial" w:hAnsi="Arial"/>
                <w:sz w:val="18"/>
                <w:szCs w:val="18"/>
                <w:b w:val="1"/>
                <w:bCs w:val="1"/>
                <w:color w:val="auto"/>
                <w:w w:val="89"/>
              </w:rPr>
              <w:t>Repayments are</w:t>
            </w:r>
          </w:p>
        </w:tc>
        <w:tc>
          <w:tcPr>
            <w:tcW w:w="206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2"/>
              </w:rPr>
              <w:t>Contributions Not</w:t>
            </w:r>
          </w:p>
        </w:tc>
        <w:tc>
          <w:tcPr>
            <w:tcW w:w="252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1"/>
              </w:rPr>
              <w:t>Contributions Corrected</w:t>
            </w:r>
          </w:p>
        </w:tc>
        <w:tc>
          <w:tcPr>
            <w:tcW w:w="232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89"/>
              </w:rPr>
              <w:t>Contributions Pending</w:t>
            </w:r>
          </w:p>
        </w:tc>
        <w:tc>
          <w:tcPr>
            <w:tcW w:w="2080" w:type="dxa"/>
            <w:vAlign w:val="bottom"/>
          </w:tcPr>
          <w:p>
            <w:pPr>
              <w:jc w:val="center"/>
              <w:ind w:left="250"/>
              <w:spacing w:after="0" w:line="188" w:lineRule="exact"/>
              <w:rPr>
                <w:sz w:val="20"/>
                <w:szCs w:val="20"/>
                <w:color w:val="auto"/>
              </w:rPr>
            </w:pPr>
            <w:r>
              <w:rPr>
                <w:rFonts w:ascii="Arial" w:cs="Arial" w:eastAsia="Arial" w:hAnsi="Arial"/>
                <w:sz w:val="18"/>
                <w:szCs w:val="18"/>
                <w:b w:val="1"/>
                <w:bCs w:val="1"/>
                <w:color w:val="auto"/>
                <w:w w:val="95"/>
              </w:rPr>
              <w:t>Under VFCP and PTE</w:t>
            </w:r>
          </w:p>
        </w:tc>
      </w:tr>
      <w:tr>
        <w:trPr>
          <w:trHeight w:val="283"/>
        </w:trPr>
        <w:tc>
          <w:tcPr>
            <w:tcW w:w="2220" w:type="dxa"/>
            <w:vAlign w:val="bottom"/>
            <w:gridSpan w:val="2"/>
          </w:tcPr>
          <w:p>
            <w:pPr>
              <w:jc w:val="center"/>
              <w:ind w:right="120"/>
              <w:spacing w:after="0" w:line="207" w:lineRule="exact"/>
              <w:rPr>
                <w:sz w:val="20"/>
                <w:szCs w:val="20"/>
                <w:color w:val="auto"/>
              </w:rPr>
            </w:pPr>
            <w:r>
              <w:rPr>
                <w:rFonts w:ascii="Arial" w:cs="Arial" w:eastAsia="Arial" w:hAnsi="Arial"/>
                <w:sz w:val="18"/>
                <w:szCs w:val="18"/>
                <w:b w:val="1"/>
                <w:bCs w:val="1"/>
                <w:color w:val="auto"/>
                <w:w w:val="95"/>
              </w:rPr>
              <w:t xml:space="preserve">included: </w:t>
            </w:r>
            <w:r>
              <w:rPr>
                <w:rFonts w:ascii="MS PGothic" w:cs="MS PGothic" w:eastAsia="MS PGothic" w:hAnsi="MS PGothic"/>
                <w:sz w:val="18"/>
                <w:szCs w:val="18"/>
                <w:color w:val="auto"/>
                <w:highlight w:val="black"/>
                <w:w w:val="95"/>
              </w:rPr>
              <w: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Corrected</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4"/>
              </w:rPr>
              <w:t>Outside VFCP</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3"/>
              </w:rPr>
              <w:t>Correction in VFCP</w:t>
            </w:r>
          </w:p>
        </w:tc>
        <w:tc>
          <w:tcPr>
            <w:tcW w:w="20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2002-51</w:t>
            </w:r>
          </w:p>
        </w:tc>
      </w:tr>
      <w:tr>
        <w:trPr>
          <w:trHeight w:val="574"/>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$147,678</w:t>
            </w:r>
          </w:p>
        </w:tc>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364"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Nokia USA Inc. Retirement Savings and 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(a)</w:t>
            </w:r>
          </w:p>
        </w:tc>
        <w:tc>
          <w:tcPr>
            <w:tcW w:w="4280" w:type="dxa"/>
            <w:vAlign w:val="bottom"/>
          </w:tcPr>
          <w:p>
            <w:pPr>
              <w:ind w:left="2260"/>
              <w:spacing w:after="0"/>
              <w:rPr>
                <w:sz w:val="20"/>
                <w:szCs w:val="20"/>
                <w:color w:val="auto"/>
              </w:rPr>
            </w:pPr>
            <w:r>
              <w:rPr>
                <w:rFonts w:ascii="Arial" w:cs="Arial" w:eastAsia="Arial" w:hAnsi="Arial"/>
                <w:sz w:val="18"/>
                <w:szCs w:val="18"/>
                <w:b w:val="1"/>
                <w:bCs w:val="1"/>
                <w:color w:val="auto"/>
              </w:rPr>
              <w:t>(b)</w:t>
            </w:r>
          </w:p>
        </w:tc>
        <w:tc>
          <w:tcPr>
            <w:tcW w:w="388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(c)</w:t>
            </w:r>
          </w:p>
        </w:tc>
        <w:tc>
          <w:tcPr>
            <w:tcW w:w="1460" w:type="dxa"/>
            <w:vAlign w:val="bottom"/>
            <w:gridSpan w:val="2"/>
          </w:tcPr>
          <w:p>
            <w:pPr>
              <w:jc w:val="right"/>
              <w:ind w:right="765"/>
              <w:spacing w:after="0"/>
              <w:rPr>
                <w:sz w:val="20"/>
                <w:szCs w:val="20"/>
                <w:color w:val="auto"/>
              </w:rPr>
            </w:pPr>
            <w:r>
              <w:rPr>
                <w:rFonts w:ascii="Arial" w:cs="Arial" w:eastAsia="Arial" w:hAnsi="Arial"/>
                <w:sz w:val="18"/>
                <w:szCs w:val="18"/>
                <w:b w:val="1"/>
                <w:bCs w:val="1"/>
                <w:color w:val="auto"/>
              </w:rPr>
              <w:t>(d)</w:t>
            </w: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1060"/>
              <w:spacing w:after="0"/>
              <w:rPr>
                <w:sz w:val="20"/>
                <w:szCs w:val="20"/>
                <w:color w:val="auto"/>
              </w:rPr>
            </w:pPr>
            <w:r>
              <w:rPr>
                <w:rFonts w:ascii="Arial" w:cs="Arial" w:eastAsia="Arial" w:hAnsi="Arial"/>
                <w:sz w:val="18"/>
                <w:szCs w:val="18"/>
                <w:b w:val="1"/>
                <w:bCs w:val="1"/>
                <w:color w:val="auto"/>
              </w:rPr>
              <w:t>Identity of Issue, Borrower, Lessor</w:t>
            </w:r>
          </w:p>
        </w:tc>
        <w:tc>
          <w:tcPr>
            <w:tcW w:w="38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Description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0" w:type="dxa"/>
            <w:vAlign w:val="bottom"/>
          </w:tcPr>
          <w:p>
            <w:pPr>
              <w:spacing w:after="0"/>
              <w:rPr>
                <w:sz w:val="1"/>
                <w:szCs w:val="1"/>
                <w:color w:val="auto"/>
              </w:rPr>
            </w:pPr>
          </w:p>
        </w:tc>
      </w:tr>
      <w:tr>
        <w:trPr>
          <w:trHeight w:val="241"/>
        </w:trPr>
        <w:tc>
          <w:tcPr>
            <w:tcW w:w="3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or Similar Party</w:t>
            </w:r>
          </w:p>
        </w:tc>
        <w:tc>
          <w:tcPr>
            <w:tcW w:w="38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of Investment</w:t>
            </w:r>
          </w:p>
        </w:tc>
        <w:tc>
          <w:tcPr>
            <w:tcW w:w="1460" w:type="dxa"/>
            <w:vAlign w:val="bottom"/>
            <w:tcBorders>
              <w:bottom w:val="single" w:sz="8" w:color="auto"/>
            </w:tcBorders>
            <w:gridSpan w:val="2"/>
          </w:tcPr>
          <w:p>
            <w:pPr>
              <w:jc w:val="right"/>
              <w:ind w:right="625"/>
              <w:spacing w:after="0"/>
              <w:rPr>
                <w:sz w:val="20"/>
                <w:szCs w:val="20"/>
                <w:color w:val="auto"/>
              </w:rPr>
            </w:pPr>
            <w:r>
              <w:rPr>
                <w:rFonts w:ascii="Arial" w:cs="Arial" w:eastAsia="Arial" w:hAnsi="Arial"/>
                <w:sz w:val="18"/>
                <w:szCs w:val="18"/>
                <w:b w:val="1"/>
                <w:bCs w:val="1"/>
                <w:color w:val="auto"/>
              </w:rPr>
              <w:t>Cost**</w:t>
            </w: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Allianz NFJ Small Cap Value Fund</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2,868,997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American Balanced Fund</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4,272,079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American EuroPacific Growth Fund</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3,048,983</w:t>
            </w:r>
          </w:p>
        </w:tc>
        <w:tc>
          <w:tcPr>
            <w:tcW w:w="0" w:type="dxa"/>
            <w:vAlign w:val="bottom"/>
          </w:tcPr>
          <w:p>
            <w:pPr>
              <w:spacing w:after="0"/>
              <w:rPr>
                <w:sz w:val="1"/>
                <w:szCs w:val="1"/>
                <w:color w:val="auto"/>
              </w:rPr>
            </w:pPr>
          </w:p>
        </w:tc>
      </w:tr>
      <w:tr>
        <w:trPr>
          <w:trHeight w:val="216"/>
        </w:trPr>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rPr>
                <w:sz w:val="20"/>
                <w:szCs w:val="20"/>
                <w:color w:val="auto"/>
              </w:rPr>
            </w:pPr>
            <w:r>
              <w:rPr>
                <w:rFonts w:ascii="Arial" w:cs="Arial" w:eastAsia="Arial" w:hAnsi="Arial"/>
                <w:sz w:val="18"/>
                <w:szCs w:val="18"/>
                <w:color w:val="auto"/>
              </w:rPr>
              <w:t>Fidelity Extended Market Index Fund</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1"/>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3,252,623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Fidelity Managed Income Portfolio II</w:t>
            </w:r>
          </w:p>
        </w:tc>
        <w:tc>
          <w:tcPr>
            <w:tcW w:w="38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Collective investment trust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3,667,274</w:t>
            </w:r>
          </w:p>
        </w:tc>
        <w:tc>
          <w:tcPr>
            <w:tcW w:w="0" w:type="dxa"/>
            <w:vAlign w:val="bottom"/>
          </w:tcPr>
          <w:p>
            <w:pPr>
              <w:spacing w:after="0"/>
              <w:rPr>
                <w:sz w:val="1"/>
                <w:szCs w:val="1"/>
                <w:color w:val="auto"/>
              </w:rPr>
            </w:pPr>
          </w:p>
        </w:tc>
      </w:tr>
      <w:tr>
        <w:trPr>
          <w:trHeight w:val="216"/>
        </w:trPr>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rPr>
                <w:sz w:val="20"/>
                <w:szCs w:val="20"/>
                <w:color w:val="auto"/>
              </w:rPr>
            </w:pPr>
            <w:r>
              <w:rPr>
                <w:rFonts w:ascii="Arial" w:cs="Arial" w:eastAsia="Arial" w:hAnsi="Arial"/>
                <w:sz w:val="18"/>
                <w:szCs w:val="18"/>
                <w:color w:val="auto"/>
              </w:rPr>
              <w:t>Nokia ADR Shares</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0"/>
              </w:rPr>
              <w:t>ADR shares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1,002,715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PIMCO Total Return Fund</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3,246,913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T. Rowe Price Blue Chip Growth Fund</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164,236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Institutional Index Fund</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10,330,910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Vanguard Small Growth Institutional Index Fund</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3,060,362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Target Retirement 2010</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767,769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Vanguard Target Retirement 2015</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461,670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Target Retirement 2020</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1,645,924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Vanguard Target Retirement 2025</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3,051,740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Target Retirement 2030</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2,378,477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Vanguard Target Retirement 2035</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4,553,857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Target Retirement 2040</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5,229,197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Vanguard Target Retirement 2045</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4,007,686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Target Retirement 2050</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1,586,298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Vanguard Target Retirement 2055</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550,259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Target Retirement Funds</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647,291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BlackRock U.S. Total Bond Index Fund</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91"/>
              </w:rPr>
              <w:t>Mutual Fund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254,143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Vanguard Windsor II Fund</w:t>
            </w:r>
          </w:p>
        </w:tc>
        <w:tc>
          <w:tcPr>
            <w:tcW w:w="3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Mutual fund</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2,278,414</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280" w:type="dxa"/>
            <w:vAlign w:val="bottom"/>
          </w:tcPr>
          <w:p>
            <w:pPr>
              <w:ind w:left="80"/>
              <w:spacing w:after="0"/>
              <w:rPr>
                <w:sz w:val="20"/>
                <w:szCs w:val="20"/>
                <w:color w:val="auto"/>
              </w:rPr>
            </w:pPr>
            <w:r>
              <w:rPr>
                <w:rFonts w:ascii="Arial" w:cs="Arial" w:eastAsia="Arial" w:hAnsi="Arial"/>
                <w:sz w:val="18"/>
                <w:szCs w:val="18"/>
                <w:color w:val="auto"/>
              </w:rPr>
              <w:t>BrokerageLink</w:t>
            </w:r>
          </w:p>
        </w:tc>
        <w:tc>
          <w:tcPr>
            <w:tcW w:w="3880" w:type="dxa"/>
            <w:vAlign w:val="bottom"/>
          </w:tcPr>
          <w:p>
            <w:pPr>
              <w:jc w:val="center"/>
              <w:ind w:left="250"/>
              <w:spacing w:after="0"/>
              <w:rPr>
                <w:sz w:val="20"/>
                <w:szCs w:val="20"/>
                <w:color w:val="auto"/>
              </w:rPr>
            </w:pPr>
            <w:r>
              <w:rPr>
                <w:rFonts w:ascii="Arial" w:cs="Arial" w:eastAsia="Arial" w:hAnsi="Arial"/>
                <w:sz w:val="18"/>
                <w:szCs w:val="18"/>
                <w:color w:val="auto"/>
                <w:w w:val="90"/>
              </w:rPr>
              <w:t>Common stocks and mutual funds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2,917,510</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Subtotal</w:t>
            </w:r>
          </w:p>
        </w:tc>
        <w:tc>
          <w:tcPr>
            <w:tcW w:w="3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65,245,327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66"/>
        </w:trPr>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80" w:type="dxa"/>
            <w:vAlign w:val="bottom"/>
          </w:tcPr>
          <w:p>
            <w:pPr>
              <w:jc w:val="center"/>
              <w:ind w:left="250"/>
              <w:spacing w:after="0"/>
              <w:rPr>
                <w:sz w:val="20"/>
                <w:szCs w:val="20"/>
                <w:color w:val="auto"/>
              </w:rPr>
            </w:pPr>
            <w:r>
              <w:rPr>
                <w:rFonts w:ascii="Arial" w:cs="Arial" w:eastAsia="Arial" w:hAnsi="Arial"/>
                <w:sz w:val="18"/>
                <w:szCs w:val="18"/>
                <w:color w:val="auto"/>
                <w:w w:val="90"/>
              </w:rPr>
              <w:t>Interest rate is 3.25% - 3.50%, maturing at</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438,961</w:t>
            </w: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8"/>
                <w:szCs w:val="18"/>
                <w:color w:val="auto"/>
              </w:rPr>
              <w:t>Notes receivable from participants</w:t>
            </w:r>
          </w:p>
        </w:tc>
        <w:tc>
          <w:tcPr>
            <w:tcW w:w="3880" w:type="dxa"/>
            <w:vAlign w:val="bottom"/>
          </w:tcPr>
          <w:p>
            <w:pPr>
              <w:jc w:val="center"/>
              <w:ind w:left="230"/>
              <w:spacing w:after="0"/>
              <w:rPr>
                <w:sz w:val="20"/>
                <w:szCs w:val="20"/>
                <w:color w:val="auto"/>
              </w:rPr>
            </w:pPr>
            <w:r>
              <w:rPr>
                <w:rFonts w:ascii="Arial" w:cs="Arial" w:eastAsia="Arial" w:hAnsi="Arial"/>
                <w:sz w:val="18"/>
                <w:szCs w:val="18"/>
                <w:color w:val="auto"/>
                <w:w w:val="89"/>
              </w:rPr>
              <w:t>various dates through 2046</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65,684,288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22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 due to investments being participant-directed.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426"/>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trustees (or other persons who administer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Nokia USA Inc. Retirement Savings and Investment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720" w:val="left"/>
          <w:tab w:leader="none" w:pos="6280" w:val="left"/>
        </w:tabs>
        <w:rPr>
          <w:sz w:val="20"/>
          <w:szCs w:val="20"/>
          <w:color w:val="auto"/>
        </w:rPr>
      </w:pPr>
      <w:r>
        <w:rPr>
          <w:rFonts w:ascii="Arial" w:cs="Arial" w:eastAsia="Arial" w:hAnsi="Arial"/>
          <w:sz w:val="18"/>
          <w:szCs w:val="18"/>
          <w:color w:val="auto"/>
        </w:rPr>
        <w:t>Date: June 29,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252158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Oliver Simon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5720" w:val="left"/>
          <w:tab w:leader="none" w:pos="6280" w:val="left"/>
        </w:tabs>
        <w:rPr>
          <w:sz w:val="20"/>
          <w:szCs w:val="20"/>
          <w:color w:val="auto"/>
        </w:rPr>
      </w:pPr>
      <w:r>
        <w:rPr>
          <w:rFonts w:ascii="Arial" w:cs="Arial" w:eastAsia="Arial" w:hAnsi="Arial"/>
          <w:sz w:val="18"/>
          <w:szCs w:val="18"/>
          <w:color w:val="auto"/>
        </w:rPr>
        <w:t>Date: June 29,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Cristina Hamley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252158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Cristina Hamley</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364" w:right="479" w:bottom="1440" w:gutter="0" w:footer="0" w:header="0"/>
        </w:sectPr>
      </w:pPr>
    </w:p>
    <w:bookmarkStart w:id="17" w:name="page18"/>
    <w:bookmarkEnd w:id="17"/>
    <w:p>
      <w:pPr>
        <w:ind w:left="48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219"/>
          </w:cols>
          <w:pgMar w:left="24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00" w:lineRule="exact"/>
        <w:rPr>
          <w:sz w:val="20"/>
          <w:szCs w:val="20"/>
          <w:color w:val="auto"/>
        </w:rPr>
      </w:pPr>
    </w:p>
    <w:p>
      <w:pPr>
        <w:sectPr>
          <w:pgSz w:w="11900" w:h="16838" w:orient="portrait"/>
          <w:cols w:equalWidth="0" w:num="2">
            <w:col w:w="1200" w:space="720"/>
            <w:col w:w="8299"/>
          </w:cols>
          <w:pgMar w:left="240" w:top="364"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Independent Registered Public Accounting Firm.</w:t>
      </w:r>
    </w:p>
    <w:p>
      <w:pPr>
        <w:spacing w:after="0" w:line="200" w:lineRule="exact"/>
        <w:rPr>
          <w:sz w:val="20"/>
          <w:szCs w:val="20"/>
          <w:color w:val="auto"/>
        </w:rPr>
      </w:pPr>
    </w:p>
    <w:p>
      <w:pPr>
        <w:sectPr>
          <w:pgSz w:w="11900" w:h="16838" w:orient="portrait"/>
          <w:cols w:equalWidth="0" w:num="2">
            <w:col w:w="1200" w:space="720"/>
            <w:col w:w="8299"/>
          </w:cols>
          <w:pgMar w:left="240" w:top="3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Armanino </w:t>
      </w:r>
      <w:r>
        <w:rPr>
          <w:rFonts w:ascii="Arial" w:cs="Arial" w:eastAsia="Arial" w:hAnsi="Arial"/>
          <w:sz w:val="23"/>
          <w:szCs w:val="23"/>
          <w:color w:val="auto"/>
          <w:vertAlign w:val="superscript"/>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-89535</wp:posOffset>
            </wp:positionV>
            <wp:extent cx="1294765"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94765" cy="44577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15950 N. Dallas Parkway</w:t>
      </w:r>
    </w:p>
    <w:p>
      <w:pPr>
        <w:spacing w:after="0" w:line="221" w:lineRule="auto"/>
        <w:rPr>
          <w:sz w:val="20"/>
          <w:szCs w:val="20"/>
          <w:color w:val="auto"/>
        </w:rPr>
      </w:pPr>
      <w:r>
        <w:rPr>
          <w:rFonts w:ascii="Arial" w:cs="Arial" w:eastAsia="Arial" w:hAnsi="Arial"/>
          <w:sz w:val="14"/>
          <w:szCs w:val="14"/>
          <w:color w:val="auto"/>
        </w:rPr>
        <w:t>Suite 600</w:t>
      </w:r>
    </w:p>
    <w:p>
      <w:pPr>
        <w:spacing w:after="0" w:line="222" w:lineRule="auto"/>
        <w:rPr>
          <w:sz w:val="20"/>
          <w:szCs w:val="20"/>
          <w:color w:val="auto"/>
        </w:rPr>
      </w:pPr>
      <w:r>
        <w:rPr>
          <w:rFonts w:ascii="Arial" w:cs="Arial" w:eastAsia="Arial" w:hAnsi="Arial"/>
          <w:sz w:val="14"/>
          <w:szCs w:val="14"/>
          <w:color w:val="auto"/>
        </w:rPr>
        <w:t>Dallas, TX 75248-6685</w:t>
      </w:r>
    </w:p>
    <w:p>
      <w:pPr>
        <w:spacing w:after="0"/>
        <w:tabs>
          <w:tab w:leader="none" w:pos="1040" w:val="left"/>
        </w:tabs>
        <w:rPr>
          <w:sz w:val="20"/>
          <w:szCs w:val="20"/>
          <w:color w:val="auto"/>
        </w:rPr>
      </w:pPr>
      <w:r>
        <w:rPr>
          <w:rFonts w:ascii="Arial" w:cs="Arial" w:eastAsia="Arial" w:hAnsi="Arial"/>
          <w:sz w:val="14"/>
          <w:szCs w:val="14"/>
          <w:color w:val="auto"/>
        </w:rPr>
        <w:t>972 661 1843</w:t>
      </w:r>
      <w:r>
        <w:rPr>
          <w:sz w:val="20"/>
          <w:szCs w:val="20"/>
          <w:color w:val="auto"/>
        </w:rPr>
        <w:tab/>
      </w:r>
      <w:r>
        <w:rPr>
          <w:rFonts w:ascii="Arial" w:cs="Arial" w:eastAsia="Arial" w:hAnsi="Arial"/>
          <w:sz w:val="12"/>
          <w:szCs w:val="12"/>
          <w:color w:val="auto"/>
        </w:rPr>
        <w:t>main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armaninoLLP.com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Nokia USA Inc. Retirement Savings and Investment Plan:</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consent to the incorporation by reference in the registration statements (No. 333-210546, No. 333-202869, and No. 333-194196) on Form S-8 of Nokia USA Inc. of our report dated June 29, 2017, with respect to the Statements of Net Assets Available for Benefits of The Nokia USA Inc. Retirement Savings and Investment Plan as of December 31, 2016 and December 31, 2015, (2015 was issued by Travis Wolff LLP whose practice became part of Armanino</w:t>
      </w:r>
      <w:r>
        <w:rPr>
          <w:rFonts w:ascii="Arial" w:cs="Arial" w:eastAsia="Arial" w:hAnsi="Arial"/>
          <w:sz w:val="26"/>
          <w:szCs w:val="26"/>
          <w:color w:val="auto"/>
          <w:vertAlign w:val="superscript"/>
        </w:rPr>
        <w:t>LLP</w:t>
      </w:r>
      <w:r>
        <w:rPr>
          <w:rFonts w:ascii="Arial" w:cs="Arial" w:eastAsia="Arial" w:hAnsi="Arial"/>
          <w:sz w:val="16"/>
          <w:szCs w:val="16"/>
          <w:color w:val="auto"/>
        </w:rPr>
        <w:t xml:space="preserve"> as of January 1, 2017), the Statement of Changes in Net Assets Available for Benefits for the year ended December 31, 2016, and the related supplemental schedules of Delinquent Participant Contributions for the year ended December 31, 2016, and Assets (Held at End of Year) as of December 31, 2016, which report appears in the December 31, 2016, annual report on Form 11-K of the Nokia USA Inc. Retirement Savings and Investment Plan.</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/s/ Armanino</w:t>
      </w:r>
      <w:r>
        <w:rPr>
          <w:rFonts w:ascii="Arial" w:cs="Arial" w:eastAsia="Arial" w:hAnsi="Arial"/>
          <w:sz w:val="36"/>
          <w:szCs w:val="36"/>
          <w:color w:val="auto"/>
          <w:vertAlign w:val="superscript"/>
        </w:rPr>
        <w:t>LLP</w:t>
      </w:r>
    </w:p>
    <w:p>
      <w:pPr>
        <w:spacing w:after="0" w:line="184" w:lineRule="auto"/>
        <w:rPr>
          <w:sz w:val="20"/>
          <w:szCs w:val="20"/>
          <w:color w:val="auto"/>
        </w:rPr>
      </w:pPr>
      <w:r>
        <w:rPr>
          <w:rFonts w:ascii="Arial" w:cs="Arial" w:eastAsia="Arial" w:hAnsi="Arial"/>
          <w:sz w:val="16"/>
          <w:szCs w:val="16"/>
          <w:color w:val="auto"/>
        </w:rPr>
        <w:t>Armanino</w:t>
      </w:r>
      <w:r>
        <w:rPr>
          <w:rFonts w:ascii="Arial" w:cs="Arial" w:eastAsia="Arial" w:hAnsi="Arial"/>
          <w:sz w:val="26"/>
          <w:szCs w:val="26"/>
          <w:color w:val="auto"/>
          <w:vertAlign w:val="superscript"/>
        </w:rPr>
        <w:t>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29, 2017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1583690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966470</wp:posOffset>
            </wp:positionV>
            <wp:extent cx="909320" cy="420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9320" cy="42037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2019-12-05T23:50:44Z</dcterms:created>
  <dcterms:modified xsi:type="dcterms:W3CDTF">2019-12-05T23:50:44Z</dcterms:modified>
</cp:coreProperties>
</file>